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8.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Override8.xml" ContentType="application/vnd.openxmlformats-officedocument.themeOverride+xml"/>
  <Override PartName="/word/theme/theme1.xml" ContentType="application/vnd.openxmlformats-officedocument.theme+xml"/>
  <Override PartName="/word/charts/chart8.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5" w:type="dxa"/>
        <w:tblBorders>
          <w:top w:val="single" w:sz="4" w:space="0" w:color="000100"/>
          <w:left w:val="single" w:sz="4" w:space="0" w:color="000100"/>
          <w:bottom w:val="single" w:sz="4" w:space="0" w:color="000100"/>
          <w:right w:val="single" w:sz="4" w:space="0" w:color="000100"/>
        </w:tblBorders>
        <w:shd w:val="clear" w:color="auto" w:fill="000100"/>
        <w:tblLayout w:type="fixed"/>
        <w:tblCellMar>
          <w:left w:w="0" w:type="dxa"/>
          <w:right w:w="0" w:type="dxa"/>
        </w:tblCellMar>
        <w:tblLook w:val="04A0" w:firstRow="1" w:lastRow="0" w:firstColumn="1" w:lastColumn="0" w:noHBand="0" w:noVBand="1"/>
      </w:tblPr>
      <w:tblGrid>
        <w:gridCol w:w="2415"/>
        <w:gridCol w:w="1242"/>
        <w:gridCol w:w="7316"/>
        <w:gridCol w:w="7"/>
      </w:tblGrid>
      <w:tr w:rsidR="00E86A68" w:rsidRPr="00387654" w:rsidTr="00401D90">
        <w:trPr>
          <w:gridAfter w:val="1"/>
          <w:wAfter w:w="7" w:type="dxa"/>
          <w:trHeight w:hRule="exact" w:val="572"/>
        </w:trPr>
        <w:tc>
          <w:tcPr>
            <w:tcW w:w="3657" w:type="dxa"/>
            <w:gridSpan w:val="2"/>
            <w:tcBorders>
              <w:top w:val="nil"/>
              <w:left w:val="nil"/>
              <w:bottom w:val="nil"/>
            </w:tcBorders>
            <w:shd w:val="clear" w:color="auto" w:fill="000000"/>
            <w:tcMar>
              <w:top w:w="152" w:type="dxa"/>
              <w:right w:w="0" w:type="dxa"/>
            </w:tcMar>
          </w:tcPr>
          <w:p w:rsidR="00D95E58" w:rsidRPr="00387654" w:rsidRDefault="00D95E58" w:rsidP="00F1413A">
            <w:pPr>
              <w:pStyle w:val="tagcoverPage"/>
            </w:pPr>
            <w:bookmarkStart w:id="0" w:name="_GoBack"/>
            <w:bookmarkEnd w:id="0"/>
          </w:p>
        </w:tc>
        <w:tc>
          <w:tcPr>
            <w:tcW w:w="7316" w:type="dxa"/>
            <w:tcBorders>
              <w:top w:val="nil"/>
              <w:bottom w:val="nil"/>
            </w:tcBorders>
            <w:shd w:val="clear" w:color="auto" w:fill="000000"/>
          </w:tcPr>
          <w:p w:rsidR="00D95E58" w:rsidRPr="00387654" w:rsidRDefault="00D95E58" w:rsidP="00F1413A">
            <w:pPr>
              <w:pStyle w:val="CpHeaderConsulting"/>
            </w:pPr>
            <w:r w:rsidRPr="001317DA">
              <w:rPr>
                <w:noProof/>
                <w:lang w:eastAsia="en-AU"/>
              </w:rPr>
              <mc:AlternateContent>
                <mc:Choice Requires="wpg">
                  <w:drawing>
                    <wp:anchor distT="0" distB="0" distL="114300" distR="114300" simplePos="0" relativeHeight="251660288" behindDoc="0" locked="1" layoutInCell="1" allowOverlap="1" wp14:anchorId="57EB245A" wp14:editId="72DE7ED6">
                      <wp:simplePos x="0" y="0"/>
                      <wp:positionH relativeFrom="rightMargin">
                        <wp:posOffset>-3390900</wp:posOffset>
                      </wp:positionH>
                      <wp:positionV relativeFrom="page">
                        <wp:posOffset>47625</wp:posOffset>
                      </wp:positionV>
                      <wp:extent cx="3235960" cy="133350"/>
                      <wp:effectExtent l="0" t="0" r="2540" b="0"/>
                      <wp:wrapNone/>
                      <wp:docPr id="11"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5C4AC4" id="Group 10" o:spid="_x0000_s1026" style="position:absolute;margin-left:-267pt;margin-top:3.7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5RMUA&#10;AADcAAAADwAAAGRycy9kb3ducmV2LnhtbESPW2vCQBSE3wv+h+UUfCm6MWC1qatIQZS+NYr4eMye&#10;XGj2bMhuc/n33ULBx2FmvmE2u8HUoqPWVZYVLOYRCOLM6ooLBZfzYbYG4TyyxtoyKRjJwW47edpg&#10;om3PX9SlvhABwi5BBaX3TSKly0oy6Oa2IQ5ebluDPsi2kLrFPsBNLeMoepUGKw4LJTb0UVL2nf4Y&#10;BcdznH5ec7zVb0v9ko2re37ju1LT52H/DsLT4B/h//ZJK1gu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lE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25MEA&#10;AADcAAAADwAAAGRycy9kb3ducmV2LnhtbERPz2vCMBS+D/wfwhO8DE0dOKQziogOT3VWYddH8taW&#10;NS+liRr/e3MQPH58vxeraFtxpd43jhVMJxkIYu1Mw5WC82k3noPwAdlg65gU3MnDajl4W2Bu3I2P&#10;dC1DJVII+xwV1CF0uZRe12TRT1xHnLg/11sMCfaVND3eUrht5UeWfUqLDaeGGjva1KT/y4tVkP3u&#10;qp9D1NvClO3m/VsXUW4LpUbDuP4CESiGl/jp3hsF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9uTBAAAA3AAAAA8AAAAAAAAAAAAAAAAAmAIAAGRycy9kb3du&#10;cmV2LnhtbFBLBQYAAAAABAAEAPUAAACG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D95E58" w:rsidTr="00E94791">
        <w:trPr>
          <w:trHeight w:hRule="exact" w:val="528"/>
        </w:trPr>
        <w:tc>
          <w:tcPr>
            <w:tcW w:w="2415" w:type="dxa"/>
            <w:tcBorders>
              <w:top w:val="nil"/>
              <w:left w:val="nil"/>
              <w:bottom w:val="nil"/>
            </w:tcBorders>
            <w:shd w:val="clear" w:color="auto" w:fill="auto"/>
          </w:tcPr>
          <w:p w:rsidR="00D95E58" w:rsidRPr="00E86A68" w:rsidRDefault="00D95E58" w:rsidP="00F1413A">
            <w:pPr>
              <w:rPr>
                <w:sz w:val="20"/>
              </w:rPr>
            </w:pPr>
          </w:p>
        </w:tc>
        <w:tc>
          <w:tcPr>
            <w:tcW w:w="8565" w:type="dxa"/>
            <w:gridSpan w:val="3"/>
            <w:tcBorders>
              <w:top w:val="nil"/>
              <w:bottom w:val="nil"/>
              <w:right w:val="nil"/>
            </w:tcBorders>
            <w:shd w:val="clear" w:color="auto" w:fill="auto"/>
          </w:tcPr>
          <w:p w:rsidR="00D95E58" w:rsidRPr="00E86A68" w:rsidRDefault="00D95E58" w:rsidP="00F1413A">
            <w:pPr>
              <w:rPr>
                <w:sz w:val="20"/>
              </w:rPr>
            </w:pPr>
          </w:p>
        </w:tc>
      </w:tr>
      <w:tr w:rsidR="00D95E58" w:rsidTr="00E94791">
        <w:trPr>
          <w:trHeight w:hRule="exact" w:val="1212"/>
        </w:trPr>
        <w:tc>
          <w:tcPr>
            <w:tcW w:w="2415" w:type="dxa"/>
            <w:tcBorders>
              <w:top w:val="nil"/>
              <w:left w:val="nil"/>
            </w:tcBorders>
            <w:shd w:val="clear" w:color="auto" w:fill="auto"/>
          </w:tcPr>
          <w:p w:rsidR="00D95E58" w:rsidRPr="00E86A68" w:rsidRDefault="00D95E58" w:rsidP="00F1413A">
            <w:pPr>
              <w:rPr>
                <w:sz w:val="20"/>
              </w:rPr>
            </w:pPr>
          </w:p>
        </w:tc>
        <w:tc>
          <w:tcPr>
            <w:tcW w:w="8565" w:type="dxa"/>
            <w:gridSpan w:val="3"/>
            <w:tcBorders>
              <w:top w:val="nil"/>
              <w:bottom w:val="single" w:sz="4" w:space="0" w:color="auto"/>
              <w:right w:val="nil"/>
            </w:tcBorders>
            <w:shd w:val="clear" w:color="auto" w:fill="auto"/>
            <w:vAlign w:val="bottom"/>
          </w:tcPr>
          <w:tbl>
            <w:tblPr>
              <w:tblW w:w="0" w:type="auto"/>
              <w:tblLayout w:type="fixed"/>
              <w:tblCellMar>
                <w:left w:w="0" w:type="dxa"/>
                <w:right w:w="0" w:type="dxa"/>
              </w:tblCellMar>
              <w:tblLook w:val="04A0" w:firstRow="1" w:lastRow="0" w:firstColumn="1" w:lastColumn="0" w:noHBand="0" w:noVBand="1"/>
            </w:tblPr>
            <w:tblGrid>
              <w:gridCol w:w="5970"/>
            </w:tblGrid>
            <w:tr w:rsidR="00D95E58" w:rsidTr="00054F8F">
              <w:trPr>
                <w:trHeight w:val="194"/>
              </w:trPr>
              <w:tc>
                <w:tcPr>
                  <w:tcW w:w="5970" w:type="dxa"/>
                  <w:shd w:val="clear" w:color="auto" w:fill="auto"/>
                  <w:vAlign w:val="bottom"/>
                </w:tcPr>
                <w:p w:rsidR="00D95E58" w:rsidRPr="00F21DE3" w:rsidRDefault="00221158" w:rsidP="00F1413A">
                  <w:pPr>
                    <w:pStyle w:val="CpReportTo"/>
                    <w:spacing w:after="36"/>
                  </w:pPr>
                  <w:sdt>
                    <w:sdtPr>
                      <w:id w:val="-347643168"/>
                      <w:placeholder>
                        <w:docPart w:val="ADCD4F77051F4DD09515197344748DA1"/>
                      </w:placeholder>
                      <w:dropDownList>
                        <w:listItem w:displayText="REPORT TO" w:value="REPORT TO"/>
                        <w:listItem w:displayText="PROPOSAL TO" w:value="PROPOSAL TO"/>
                      </w:dropDownList>
                    </w:sdtPr>
                    <w:sdtEndPr/>
                    <w:sdtContent>
                      <w:r w:rsidR="0069189A">
                        <w:t>REPORT TO</w:t>
                      </w:r>
                    </w:sdtContent>
                  </w:sdt>
                </w:p>
              </w:tc>
            </w:tr>
            <w:tr w:rsidR="00D95E58" w:rsidTr="00054F8F">
              <w:trPr>
                <w:trHeight w:val="292"/>
              </w:trPr>
              <w:tc>
                <w:tcPr>
                  <w:tcW w:w="5970" w:type="dxa"/>
                  <w:shd w:val="clear" w:color="auto" w:fill="auto"/>
                  <w:tcMar>
                    <w:bottom w:w="32" w:type="dxa"/>
                  </w:tcMar>
                </w:tcPr>
                <w:p w:rsidR="00D95E58" w:rsidRPr="00F21DE3" w:rsidRDefault="00D95E58" w:rsidP="00D95E58">
                  <w:pPr>
                    <w:pStyle w:val="CpClientName"/>
                  </w:pPr>
                  <w:r>
                    <w:t>Department of Agriculture and Water Resources</w:t>
                  </w:r>
                </w:p>
              </w:tc>
            </w:tr>
          </w:tbl>
          <w:p w:rsidR="00D95E58" w:rsidRPr="00E86A68" w:rsidRDefault="00D95E58" w:rsidP="00F1413A">
            <w:pPr>
              <w:rPr>
                <w:sz w:val="20"/>
              </w:rPr>
            </w:pPr>
          </w:p>
        </w:tc>
      </w:tr>
      <w:tr w:rsidR="00D95E58" w:rsidTr="00E94791">
        <w:trPr>
          <w:trHeight w:hRule="exact" w:val="560"/>
        </w:trPr>
        <w:tc>
          <w:tcPr>
            <w:tcW w:w="2415" w:type="dxa"/>
            <w:tcBorders>
              <w:left w:val="nil"/>
            </w:tcBorders>
            <w:shd w:val="clear" w:color="auto" w:fill="auto"/>
          </w:tcPr>
          <w:p w:rsidR="00D95E58" w:rsidRPr="00E86A68" w:rsidRDefault="00D95E58" w:rsidP="00F1413A">
            <w:pPr>
              <w:rPr>
                <w:sz w:val="20"/>
              </w:rPr>
            </w:pPr>
          </w:p>
        </w:tc>
        <w:tc>
          <w:tcPr>
            <w:tcW w:w="8565" w:type="dxa"/>
            <w:gridSpan w:val="3"/>
            <w:tcBorders>
              <w:top w:val="single" w:sz="4" w:space="0" w:color="auto"/>
              <w:right w:val="nil"/>
            </w:tcBorders>
            <w:shd w:val="clear" w:color="auto" w:fill="auto"/>
            <w:tcMar>
              <w:top w:w="16" w:type="dxa"/>
            </w:tcMar>
          </w:tcPr>
          <w:p w:rsidR="00D95E58" w:rsidRDefault="001B6EFC" w:rsidP="009E4C90">
            <w:pPr>
              <w:pStyle w:val="CpReportDate"/>
            </w:pPr>
            <w:r>
              <w:t>1</w:t>
            </w:r>
            <w:sdt>
              <w:sdtPr>
                <w:id w:val="1639841848"/>
                <w:placeholder>
                  <w:docPart w:val="77C0BE4844C94454A84BFD55203E1CFB"/>
                </w:placeholder>
                <w:date w:fullDate="2017-11-09T00:00:00Z">
                  <w:dateFormat w:val=" MMMM yyyy"/>
                  <w:lid w:val="en-AU"/>
                  <w:storeMappedDataAs w:val="dateTime"/>
                  <w:calendar w:val="gregorian"/>
                </w:date>
              </w:sdtPr>
              <w:sdtEndPr/>
              <w:sdtContent>
                <w:r>
                  <w:t xml:space="preserve"> November 2017</w:t>
                </w:r>
              </w:sdtContent>
            </w:sdt>
          </w:p>
        </w:tc>
      </w:tr>
      <w:tr w:rsidR="00D95E58" w:rsidTr="00E94791">
        <w:trPr>
          <w:gridAfter w:val="1"/>
          <w:wAfter w:w="7" w:type="dxa"/>
          <w:trHeight w:hRule="exact" w:val="13040"/>
        </w:trPr>
        <w:tc>
          <w:tcPr>
            <w:tcW w:w="10973" w:type="dxa"/>
            <w:gridSpan w:val="3"/>
            <w:tcBorders>
              <w:left w:val="nil"/>
              <w:bottom w:val="nil"/>
              <w:right w:val="nil"/>
            </w:tcBorders>
            <w:shd w:val="clear" w:color="auto" w:fill="auto"/>
          </w:tcPr>
          <w:tbl>
            <w:tblPr>
              <w:tblW w:w="10996" w:type="dxa"/>
              <w:tblLayout w:type="fixed"/>
              <w:tblCellMar>
                <w:left w:w="0" w:type="dxa"/>
                <w:right w:w="0" w:type="dxa"/>
              </w:tblCellMar>
              <w:tblLook w:val="04A0" w:firstRow="1" w:lastRow="0" w:firstColumn="1" w:lastColumn="0" w:noHBand="0" w:noVBand="1"/>
            </w:tblPr>
            <w:tblGrid>
              <w:gridCol w:w="2415"/>
              <w:gridCol w:w="8581"/>
            </w:tblGrid>
            <w:tr w:rsidR="00E86A68" w:rsidTr="00054F8F">
              <w:tc>
                <w:tcPr>
                  <w:tcW w:w="2415" w:type="dxa"/>
                  <w:tcBorders>
                    <w:bottom w:val="single" w:sz="4" w:space="0" w:color="auto"/>
                  </w:tcBorders>
                  <w:shd w:val="clear" w:color="auto" w:fill="auto"/>
                </w:tcPr>
                <w:p w:rsidR="00D95E58" w:rsidRPr="00E86A68" w:rsidRDefault="00D95E58" w:rsidP="00F1413A">
                  <w:pPr>
                    <w:rPr>
                      <w:sz w:val="20"/>
                    </w:rPr>
                  </w:pPr>
                </w:p>
              </w:tc>
              <w:tc>
                <w:tcPr>
                  <w:tcW w:w="8581" w:type="dxa"/>
                  <w:tcBorders>
                    <w:bottom w:val="single" w:sz="4" w:space="0" w:color="auto"/>
                  </w:tcBorders>
                  <w:shd w:val="clear" w:color="auto" w:fill="auto"/>
                </w:tcPr>
                <w:p w:rsidR="00D95E58" w:rsidRPr="00D65571" w:rsidRDefault="00D95E58" w:rsidP="00F1413A">
                  <w:pPr>
                    <w:pStyle w:val="CpTitle"/>
                    <w:rPr>
                      <w:color w:val="9D57A6"/>
                    </w:rPr>
                  </w:pPr>
                  <w:r w:rsidRPr="00D65571">
                    <w:rPr>
                      <w:color w:val="9D57A6"/>
                    </w:rPr>
                    <w:t xml:space="preserve">Review of international IP </w:t>
                  </w:r>
                  <w:r w:rsidR="00E74DAB" w:rsidRPr="00D65571">
                    <w:rPr>
                      <w:color w:val="9D57A6"/>
                    </w:rPr>
                    <w:t xml:space="preserve">&amp; registration </w:t>
                  </w:r>
                  <w:r w:rsidRPr="00D65571">
                    <w:rPr>
                      <w:color w:val="9D57A6"/>
                    </w:rPr>
                    <w:t>arrangements for the regulation of AGVET chemicals</w:t>
                  </w:r>
                </w:p>
              </w:tc>
            </w:tr>
            <w:tr w:rsidR="00D95E58" w:rsidTr="00054F8F">
              <w:trPr>
                <w:trHeight w:hRule="exact" w:val="440"/>
              </w:trPr>
              <w:tc>
                <w:tcPr>
                  <w:tcW w:w="2415" w:type="dxa"/>
                  <w:tcBorders>
                    <w:top w:val="single" w:sz="4" w:space="0" w:color="auto"/>
                  </w:tcBorders>
                  <w:shd w:val="clear" w:color="auto" w:fill="auto"/>
                </w:tcPr>
                <w:p w:rsidR="00D95E58" w:rsidRDefault="00D95E58" w:rsidP="00F1413A">
                  <w:pPr>
                    <w:pStyle w:val="spacer-Shapes"/>
                  </w:pPr>
                </w:p>
              </w:tc>
              <w:tc>
                <w:tcPr>
                  <w:tcW w:w="8581" w:type="dxa"/>
                  <w:tcBorders>
                    <w:top w:val="single" w:sz="4" w:space="0" w:color="auto"/>
                  </w:tcBorders>
                  <w:shd w:val="clear" w:color="auto" w:fill="auto"/>
                </w:tcPr>
                <w:p w:rsidR="00D95E58" w:rsidRDefault="00D95E58" w:rsidP="00F1413A">
                  <w:pPr>
                    <w:pStyle w:val="spacer"/>
                  </w:pPr>
                  <w:r>
                    <w:rPr>
                      <w:noProof/>
                      <w:lang w:eastAsia="en-AU"/>
                    </w:rPr>
                    <mc:AlternateContent>
                      <mc:Choice Requires="wps">
                        <w:drawing>
                          <wp:anchor distT="0" distB="0" distL="114300" distR="114300" simplePos="0" relativeHeight="251659264" behindDoc="0" locked="1" layoutInCell="1" allowOverlap="1" wp14:anchorId="5CB4D865" wp14:editId="20DE6FE3">
                            <wp:simplePos x="0" y="0"/>
                            <wp:positionH relativeFrom="page">
                              <wp:posOffset>-678180</wp:posOffset>
                            </wp:positionH>
                            <wp:positionV relativeFrom="page">
                              <wp:posOffset>2540</wp:posOffset>
                            </wp:positionV>
                            <wp:extent cx="546735" cy="267335"/>
                            <wp:effectExtent l="0" t="0" r="5715" b="0"/>
                            <wp:wrapNone/>
                            <wp:docPr id="58"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C45220" id="cp_sails_contacts" o:spid="_x0000_s1026" style="position:absolute;margin-left:-53.4pt;margin-top:.2pt;width:43.05pt;height:2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E86A68" w:rsidTr="00054F8F">
              <w:tc>
                <w:tcPr>
                  <w:tcW w:w="2415" w:type="dxa"/>
                  <w:shd w:val="clear" w:color="auto" w:fill="auto"/>
                </w:tcPr>
                <w:p w:rsidR="00D95E58" w:rsidRDefault="00D95E58" w:rsidP="00F1413A">
                  <w:pPr>
                    <w:pStyle w:val="tagcoverPage"/>
                  </w:pPr>
                </w:p>
              </w:tc>
              <w:tc>
                <w:tcPr>
                  <w:tcW w:w="8581" w:type="dxa"/>
                  <w:shd w:val="clear" w:color="auto" w:fill="auto"/>
                  <w:tcMar>
                    <w:left w:w="0" w:type="dxa"/>
                  </w:tcMar>
                </w:tcPr>
                <w:p w:rsidR="00D95E58" w:rsidRPr="00F21DE3" w:rsidRDefault="008B46AE" w:rsidP="00F1413A">
                  <w:pPr>
                    <w:pStyle w:val="CpSubTitle"/>
                  </w:pPr>
                  <w:r>
                    <w:t>Final</w:t>
                  </w:r>
                  <w:r w:rsidR="00D95E58">
                    <w:t xml:space="preserve"> REport</w:t>
                  </w:r>
                </w:p>
              </w:tc>
            </w:tr>
            <w:tr w:rsidR="00E86A68" w:rsidTr="00054F8F">
              <w:tc>
                <w:tcPr>
                  <w:tcW w:w="2415" w:type="dxa"/>
                  <w:shd w:val="clear" w:color="auto" w:fill="auto"/>
                </w:tcPr>
                <w:p w:rsidR="00D95E58" w:rsidRPr="00E86A68" w:rsidRDefault="00D95E58" w:rsidP="00F1413A">
                  <w:pPr>
                    <w:rPr>
                      <w:sz w:val="20"/>
                    </w:rPr>
                  </w:pPr>
                </w:p>
              </w:tc>
              <w:tc>
                <w:tcPr>
                  <w:tcW w:w="8581" w:type="dxa"/>
                  <w:shd w:val="clear" w:color="auto" w:fill="auto"/>
                  <w:tcMar>
                    <w:bottom w:w="640" w:type="dxa"/>
                  </w:tcMar>
                </w:tcPr>
                <w:p w:rsidR="00D95E58" w:rsidRPr="00E86A68" w:rsidRDefault="00D95E58" w:rsidP="00F1413A">
                  <w:pPr>
                    <w:pStyle w:val="CpBoldSubTitle"/>
                    <w:rPr>
                      <w:sz w:val="20"/>
                    </w:rPr>
                  </w:pPr>
                </w:p>
              </w:tc>
            </w:tr>
          </w:tbl>
          <w:p w:rsidR="00601A82" w:rsidRDefault="00601A82" w:rsidP="00601A82">
            <w:pPr>
              <w:pStyle w:val="Normal-nospace"/>
              <w:tabs>
                <w:tab w:val="left" w:pos="10057"/>
              </w:tabs>
              <w:rPr>
                <w:sz w:val="20"/>
              </w:rPr>
            </w:pPr>
            <w:r>
              <w:rPr>
                <w:sz w:val="20"/>
              </w:rPr>
              <w:tab/>
            </w:r>
          </w:p>
          <w:p w:rsidR="00D95E58" w:rsidRPr="00601A82" w:rsidRDefault="00D95E58" w:rsidP="00601A82"/>
        </w:tc>
      </w:tr>
    </w:tbl>
    <w:p w:rsidR="00D95E58" w:rsidRDefault="00D95E58" w:rsidP="00F1413A">
      <w:pPr>
        <w:pStyle w:val="spacer"/>
        <w:sectPr w:rsidR="00D95E58" w:rsidSect="00F1413A">
          <w:headerReference w:type="even" r:id="rId8"/>
          <w:footerReference w:type="first" r:id="rId9"/>
          <w:pgSz w:w="11907" w:h="16839" w:code="9"/>
          <w:pgMar w:top="462" w:right="443" w:bottom="350" w:left="476" w:header="210" w:footer="234" w:gutter="0"/>
          <w:pgNumType w:start="0"/>
          <w:cols w:space="708"/>
          <w:titlePg/>
          <w:docGrid w:linePitch="360"/>
        </w:sectPr>
      </w:pPr>
    </w:p>
    <w:tbl>
      <w:tblPr>
        <w:tblW w:w="10951" w:type="dxa"/>
        <w:tblInd w:w="24" w:type="dxa"/>
        <w:tblLayout w:type="fixed"/>
        <w:tblCellMar>
          <w:left w:w="0" w:type="dxa"/>
          <w:right w:w="0" w:type="dxa"/>
        </w:tblCellMar>
        <w:tblLook w:val="04A0" w:firstRow="1" w:lastRow="0" w:firstColumn="1" w:lastColumn="0" w:noHBand="0" w:noVBand="1"/>
      </w:tblPr>
      <w:tblGrid>
        <w:gridCol w:w="1072"/>
        <w:gridCol w:w="10"/>
        <w:gridCol w:w="7377"/>
        <w:gridCol w:w="2492"/>
      </w:tblGrid>
      <w:tr w:rsidR="00E86A68" w:rsidTr="00401D90">
        <w:trPr>
          <w:trHeight w:hRule="exact" w:val="9437"/>
        </w:trPr>
        <w:tc>
          <w:tcPr>
            <w:tcW w:w="8459" w:type="dxa"/>
            <w:gridSpan w:val="3"/>
            <w:shd w:val="clear" w:color="auto" w:fill="auto"/>
            <w:tcMar>
              <w:left w:w="0" w:type="dxa"/>
            </w:tcMar>
          </w:tcPr>
          <w:p w:rsidR="00D95E58" w:rsidRDefault="00D95E58" w:rsidP="00F1413A">
            <w:pPr>
              <w:pStyle w:val="tagcontactsPage-Front"/>
            </w:pPr>
          </w:p>
        </w:tc>
        <w:tc>
          <w:tcPr>
            <w:tcW w:w="2492" w:type="dxa"/>
            <w:shd w:val="clear" w:color="auto" w:fill="auto"/>
            <w:tcMar>
              <w:top w:w="0" w:type="dxa"/>
              <w:right w:w="100" w:type="dxa"/>
            </w:tcMar>
          </w:tcPr>
          <w:p w:rsidR="00D95E58" w:rsidRDefault="00D95E58" w:rsidP="00F1413A">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rsidR="00D95E58" w:rsidRDefault="00D95E58" w:rsidP="00F1413A">
            <w:pPr>
              <w:pStyle w:val="CpContactDetails"/>
            </w:pPr>
            <w:r>
              <w:t>Level NINE</w:t>
            </w:r>
            <w:r>
              <w:br/>
              <w:t>60 Collins Street</w:t>
            </w:r>
            <w:r>
              <w:br/>
              <w:t>MELBOURNE VIC 3000</w:t>
            </w:r>
            <w:r>
              <w:br/>
            </w:r>
            <w:r w:rsidRPr="00222CFB">
              <w:rPr>
                <w:spacing w:val="-12"/>
              </w:rPr>
              <w:t>A</w:t>
            </w:r>
            <w:r>
              <w:t>USTRALIA</w:t>
            </w:r>
            <w:r>
              <w:br/>
              <w:t>T+61 3 8650 6000</w:t>
            </w:r>
            <w:r>
              <w:br/>
              <w:t>F+61 3 9654 6363</w:t>
            </w:r>
          </w:p>
          <w:p w:rsidR="00D95E58" w:rsidRDefault="00D95E58" w:rsidP="00F1413A">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rsidR="00D95E58" w:rsidRPr="00032900" w:rsidRDefault="00D95E58" w:rsidP="00F1413A">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rsidR="00D95E58" w:rsidRDefault="00D95E58" w:rsidP="00F1413A">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rsidR="00D95E58" w:rsidRDefault="00D95E58" w:rsidP="00F1413A">
            <w:pPr>
              <w:pStyle w:val="CpContactDetails"/>
            </w:pPr>
            <w:r>
              <w:t>level twelve, bgc centre</w:t>
            </w:r>
            <w:r>
              <w:br/>
              <w:t>28 the esplanade</w:t>
            </w:r>
            <w:r>
              <w:br/>
              <w:t>PERTH WA 6000</w:t>
            </w:r>
            <w:r>
              <w:br/>
              <w:t>AUSTRALIA</w:t>
            </w:r>
            <w:r>
              <w:br/>
              <w:t>T+61 8 9449 9600</w:t>
            </w:r>
            <w:r>
              <w:br/>
              <w:t>F+61 8 9322 3955</w:t>
            </w:r>
          </w:p>
          <w:p w:rsidR="00D95E58" w:rsidRDefault="00D95E58" w:rsidP="00F1413A">
            <w:pPr>
              <w:pStyle w:val="CpContactDetails"/>
            </w:pPr>
            <w:r>
              <w:t>P.O. Box 546</w:t>
            </w:r>
            <w:r>
              <w:br/>
              <w:t>Hobart TAS 7001</w:t>
            </w:r>
            <w:r>
              <w:br/>
              <w:t>AUSTRALIA</w:t>
            </w:r>
            <w:r>
              <w:br/>
              <w:t>T+61 3 8650 6000</w:t>
            </w:r>
            <w:r>
              <w:br/>
              <w:t>F+61 3 9654 6363</w:t>
            </w:r>
          </w:p>
          <w:p w:rsidR="00D95E58" w:rsidRDefault="00D95E58" w:rsidP="00F1413A">
            <w:pPr>
              <w:pStyle w:val="CpContactDetails"/>
            </w:pPr>
            <w:r>
              <w:t>161 Wakefield street</w:t>
            </w:r>
            <w:r>
              <w:br/>
              <w:t>Adelaide sa 5000</w:t>
            </w:r>
            <w:r>
              <w:br/>
              <w:t>AUSTRALIA</w:t>
            </w:r>
            <w:r>
              <w:br/>
              <w:t>t +61 8 8122 4965</w:t>
            </w:r>
          </w:p>
          <w:p w:rsidR="00D95E58" w:rsidRDefault="00D95E58" w:rsidP="00F1413A">
            <w:pPr>
              <w:pStyle w:val="CpContactDetails"/>
            </w:pPr>
            <w:r>
              <w:t>acilallen</w:t>
            </w:r>
            <w:r w:rsidRPr="00CE7775">
              <w:rPr>
                <w:spacing w:val="-12"/>
              </w:rPr>
              <w:t>.</w:t>
            </w:r>
            <w:r>
              <w:t>com.</w:t>
            </w:r>
            <w:r w:rsidRPr="00CE7775">
              <w:rPr>
                <w:spacing w:val="-10"/>
              </w:rPr>
              <w:t>a</w:t>
            </w:r>
            <w:r>
              <w:t>u</w:t>
            </w:r>
          </w:p>
        </w:tc>
      </w:tr>
      <w:tr w:rsidR="00E86A68" w:rsidTr="00401D90">
        <w:trPr>
          <w:trHeight w:hRule="exact" w:val="760"/>
        </w:trPr>
        <w:tc>
          <w:tcPr>
            <w:tcW w:w="1082" w:type="dxa"/>
            <w:gridSpan w:val="2"/>
            <w:shd w:val="clear" w:color="auto" w:fill="auto"/>
            <w:tcMar>
              <w:left w:w="0" w:type="dxa"/>
              <w:right w:w="436" w:type="dxa"/>
            </w:tcMar>
          </w:tcPr>
          <w:p w:rsidR="00D95E58" w:rsidRDefault="00D95E58" w:rsidP="00F1413A">
            <w:pPr>
              <w:pStyle w:val="spacer"/>
            </w:pPr>
          </w:p>
        </w:tc>
        <w:tc>
          <w:tcPr>
            <w:tcW w:w="9869" w:type="dxa"/>
            <w:gridSpan w:val="2"/>
            <w:shd w:val="clear" w:color="auto" w:fill="auto"/>
            <w:vAlign w:val="bottom"/>
          </w:tcPr>
          <w:p w:rsidR="0060045B" w:rsidRDefault="00D95E58" w:rsidP="00F1413A">
            <w:pPr>
              <w:pStyle w:val="CpDisclaimer"/>
            </w:pPr>
            <w:r>
              <w:t>SUGGESTED CITATION FOR THIS REPORT</w:t>
            </w:r>
          </w:p>
          <w:p w:rsidR="00D95E58" w:rsidRDefault="0060045B" w:rsidP="00F1413A">
            <w:pPr>
              <w:pStyle w:val="CpDisclaimer"/>
            </w:pPr>
            <w:r>
              <w:t>ACIL Allen Consulting 2017, A Review of international IP &amp; Registration Arrangements for the regulation of agvet chemicals, Prepared for the Department of Agriculture and water Resources.</w:t>
            </w:r>
            <w:r w:rsidR="00A4316F">
              <w:t xml:space="preserve"> August 2017.</w:t>
            </w:r>
          </w:p>
          <w:p w:rsidR="00D95E58" w:rsidRPr="00587339" w:rsidRDefault="00D95E58" w:rsidP="00F1413A">
            <w:pPr>
              <w:pStyle w:val="CpDisclaimer"/>
              <w:rPr>
                <w:shd w:val="clear" w:color="auto" w:fill="00FF00"/>
              </w:rPr>
            </w:pPr>
            <w:r w:rsidRPr="002165C5">
              <w:rPr>
                <w:shd w:val="clear" w:color="auto" w:fill="00FF00"/>
              </w:rPr>
              <w:t xml:space="preserve">Review of international IP arrangements for the regulation of AGVET chemicals, </w:t>
            </w:r>
            <w:r w:rsidR="00312E4D" w:rsidRPr="002165C5">
              <w:rPr>
                <w:shd w:val="clear" w:color="auto" w:fill="00FF00"/>
              </w:rPr>
              <w:t xml:space="preserve">ACIL Allen Consulting </w:t>
            </w:r>
            <w:r w:rsidRPr="002165C5">
              <w:rPr>
                <w:shd w:val="clear" w:color="auto" w:fill="00FF00"/>
              </w:rPr>
              <w:t>July 2017</w:t>
            </w:r>
          </w:p>
        </w:tc>
      </w:tr>
      <w:tr w:rsidR="00E86A68" w:rsidTr="00401D90">
        <w:trPr>
          <w:trHeight w:hRule="exact" w:val="4072"/>
        </w:trPr>
        <w:tc>
          <w:tcPr>
            <w:tcW w:w="1072" w:type="dxa"/>
            <w:shd w:val="clear" w:color="auto" w:fill="auto"/>
            <w:tcMar>
              <w:left w:w="0" w:type="dxa"/>
              <w:right w:w="436" w:type="dxa"/>
            </w:tcMar>
          </w:tcPr>
          <w:p w:rsidR="00D95E58" w:rsidRDefault="00D95E58" w:rsidP="00F1413A">
            <w:pPr>
              <w:pStyle w:val="CpDisclaimer"/>
            </w:pPr>
          </w:p>
        </w:tc>
        <w:tc>
          <w:tcPr>
            <w:tcW w:w="9879" w:type="dxa"/>
            <w:gridSpan w:val="3"/>
            <w:shd w:val="clear" w:color="auto" w:fill="auto"/>
            <w:tcMar>
              <w:right w:w="400" w:type="dxa"/>
            </w:tcMar>
            <w:vAlign w:val="bottom"/>
          </w:tcPr>
          <w:p w:rsidR="00D95E58" w:rsidRPr="00876F43" w:rsidRDefault="00D95E58" w:rsidP="00F1413A">
            <w:pPr>
              <w:pStyle w:val="CpDisclaimer"/>
              <w:rPr>
                <w:b/>
              </w:rPr>
            </w:pPr>
            <w:r w:rsidRPr="00957C82">
              <w:rPr>
                <w:rFonts w:ascii="Arial Bold" w:hAnsi="Arial Bold"/>
                <w:b/>
                <w:color w:val="000100"/>
              </w:rPr>
              <w:t>RELIANCE AND DISCLAIMER</w:t>
            </w:r>
            <w:r>
              <w:rPr>
                <w:b/>
              </w:rPr>
              <w:t xml:space="preserve"> </w:t>
            </w:r>
            <w:r>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rsidR="00D95E58" w:rsidRDefault="00D95E58" w:rsidP="00F1413A">
            <w:pPr>
              <w:pStyle w:val="CpDisclaimer"/>
            </w:pPr>
            <w:r>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rsidR="00D95E58" w:rsidRDefault="00D95E58" w:rsidP="00F1413A">
            <w:pPr>
              <w:pStyle w:val="CpDisclaimer"/>
            </w:pPr>
            <w:r>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rsidR="00D95E58" w:rsidRDefault="00D95E58" w:rsidP="00F1413A">
            <w:pPr>
              <w:pStyle w:val="CpDisclaimer"/>
            </w:pPr>
            <w:r>
              <w:t xml:space="preserve">© acil </w:t>
            </w:r>
            <w:r w:rsidRPr="00D708C0">
              <w:rPr>
                <w:spacing w:val="-8"/>
              </w:rPr>
              <w:t>A</w:t>
            </w:r>
            <w:r>
              <w:t>llen Consu</w:t>
            </w:r>
            <w:r w:rsidRPr="00D708C0">
              <w:rPr>
                <w:spacing w:val="-16"/>
              </w:rPr>
              <w:t>l</w:t>
            </w:r>
            <w:r>
              <w:t>ting 2017</w:t>
            </w:r>
          </w:p>
        </w:tc>
      </w:tr>
    </w:tbl>
    <w:p w:rsidR="00D95E58" w:rsidRDefault="00D95E58" w:rsidP="00F1413A">
      <w:pPr>
        <w:pStyle w:val="spacer"/>
      </w:pPr>
    </w:p>
    <w:p w:rsidR="00D95E58" w:rsidRDefault="00D95E58" w:rsidP="00F1413A">
      <w:pPr>
        <w:pStyle w:val="spacer"/>
        <w:sectPr w:rsidR="00D95E58" w:rsidSect="00F1413A">
          <w:headerReference w:type="even" r:id="rId10"/>
          <w:headerReference w:type="default" r:id="rId11"/>
          <w:footerReference w:type="even" r:id="rId12"/>
          <w:footerReference w:type="default" r:id="rId13"/>
          <w:headerReference w:type="first" r:id="rId14"/>
          <w:footerReference w:type="first" r:id="rId15"/>
          <w:pgSz w:w="11907" w:h="16839" w:code="9"/>
          <w:pgMar w:top="1100" w:right="442" w:bottom="482" w:left="476" w:header="454" w:footer="261" w:gutter="0"/>
          <w:cols w:space="708"/>
          <w:docGrid w:linePitch="360"/>
        </w:sectPr>
      </w:pPr>
    </w:p>
    <w:p w:rsidR="0081611A" w:rsidRDefault="00D95E58">
      <w:pPr>
        <w:pStyle w:val="TOC1"/>
        <w:rPr>
          <w:rFonts w:asciiTheme="minorHAnsi" w:eastAsiaTheme="minorEastAsia" w:hAnsiTheme="minorHAnsi" w:cstheme="minorBidi"/>
          <w:caps w:val="0"/>
          <w:sz w:val="22"/>
          <w:lang w:eastAsia="en-AU"/>
        </w:rPr>
      </w:pPr>
      <w:r>
        <w:rPr>
          <w:noProof w:val="0"/>
          <w:color w:val="000100"/>
        </w:rPr>
        <w:lastRenderedPageBreak/>
        <w:fldChar w:fldCharType="begin"/>
      </w:r>
      <w:r>
        <w:instrText xml:space="preserve"> TOC \h \t "Heading 2,5,Heading (Appendix),3,Heading 8,5,Exec - Heading (Banner),1,Part xx,2,Chpt - Context,4,App - Divider (Heading),2,App - Context,4, Heading (Chapter),3,Heading (glossary),6,Heading (bibliography),6" \n 2-3</w:instrText>
      </w:r>
      <w:r>
        <w:rPr>
          <w:noProof w:val="0"/>
          <w:color w:val="000100"/>
        </w:rPr>
        <w:fldChar w:fldCharType="separate"/>
      </w:r>
      <w:hyperlink w:anchor="_Toc497300805" w:history="1">
        <w:r w:rsidR="0081611A" w:rsidRPr="00E2713F">
          <w:rPr>
            <w:rStyle w:val="Hyperlink"/>
          </w:rPr>
          <w:t>Executive Summary</w:t>
        </w:r>
        <w:r w:rsidR="0081611A">
          <w:tab/>
        </w:r>
        <w:r w:rsidR="0081611A">
          <w:fldChar w:fldCharType="begin"/>
        </w:r>
        <w:r w:rsidR="0081611A">
          <w:instrText xml:space="preserve"> PAGEREF _Toc497300805 \h </w:instrText>
        </w:r>
        <w:r w:rsidR="0081611A">
          <w:fldChar w:fldCharType="separate"/>
        </w:r>
        <w:r w:rsidR="0081611A">
          <w:t>i</w:t>
        </w:r>
        <w:r w:rsidR="0081611A">
          <w:fldChar w:fldCharType="end"/>
        </w:r>
      </w:hyperlink>
    </w:p>
    <w:p w:rsidR="0081611A" w:rsidRDefault="00221158">
      <w:pPr>
        <w:pStyle w:val="TOC1"/>
        <w:rPr>
          <w:rFonts w:asciiTheme="minorHAnsi" w:eastAsiaTheme="minorEastAsia" w:hAnsiTheme="minorHAnsi" w:cstheme="minorBidi"/>
          <w:caps w:val="0"/>
          <w:sz w:val="22"/>
          <w:lang w:eastAsia="en-AU"/>
        </w:rPr>
      </w:pPr>
      <w:hyperlink w:anchor="_Toc497300806" w:history="1">
        <w:r w:rsidR="0081611A" w:rsidRPr="00E2713F">
          <w:rPr>
            <w:rStyle w:val="Hyperlink"/>
          </w:rPr>
          <w:t>GlossAry of terms</w:t>
        </w:r>
        <w:r w:rsidR="0081611A">
          <w:tab/>
        </w:r>
        <w:r w:rsidR="0081611A">
          <w:fldChar w:fldCharType="begin"/>
        </w:r>
        <w:r w:rsidR="0081611A">
          <w:instrText xml:space="preserve"> PAGEREF _Toc497300806 \h </w:instrText>
        </w:r>
        <w:r w:rsidR="0081611A">
          <w:fldChar w:fldCharType="separate"/>
        </w:r>
        <w:r w:rsidR="0081611A">
          <w:t>vii</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07" w:history="1">
        <w:r w:rsidR="0081611A" w:rsidRPr="00E2713F">
          <w:rPr>
            <w:rStyle w:val="Hyperlink"/>
          </w:rPr>
          <w:t>1</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08" w:history="1">
        <w:r w:rsidR="0081611A" w:rsidRPr="00E2713F">
          <w:rPr>
            <w:rStyle w:val="Hyperlink"/>
          </w:rPr>
          <w:t>Introduction</w:t>
        </w:r>
        <w:r w:rsidR="0081611A">
          <w:tab/>
        </w:r>
        <w:r w:rsidR="0081611A">
          <w:fldChar w:fldCharType="begin"/>
        </w:r>
        <w:r w:rsidR="0081611A">
          <w:instrText xml:space="preserve"> PAGEREF _Toc497300808 \h </w:instrText>
        </w:r>
        <w:r w:rsidR="0081611A">
          <w:fldChar w:fldCharType="separate"/>
        </w:r>
        <w:r w:rsidR="0081611A">
          <w:t>1</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09" w:history="1">
        <w:r w:rsidR="0081611A" w:rsidRPr="00E2713F">
          <w:rPr>
            <w:rStyle w:val="Hyperlink"/>
          </w:rPr>
          <w:t>1.1</w:t>
        </w:r>
        <w:r w:rsidR="0081611A">
          <w:rPr>
            <w:rFonts w:asciiTheme="minorHAnsi" w:eastAsiaTheme="minorEastAsia" w:hAnsiTheme="minorHAnsi" w:cstheme="minorBidi"/>
            <w:color w:val="auto"/>
            <w:spacing w:val="0"/>
            <w:sz w:val="22"/>
            <w:lang w:eastAsia="en-AU"/>
          </w:rPr>
          <w:tab/>
        </w:r>
        <w:r w:rsidR="0081611A" w:rsidRPr="00E2713F">
          <w:rPr>
            <w:rStyle w:val="Hyperlink"/>
          </w:rPr>
          <w:t>Background</w:t>
        </w:r>
        <w:r w:rsidR="0081611A">
          <w:tab/>
        </w:r>
        <w:r w:rsidR="0081611A">
          <w:fldChar w:fldCharType="begin"/>
        </w:r>
        <w:r w:rsidR="0081611A">
          <w:instrText xml:space="preserve"> PAGEREF _Toc497300809 \h </w:instrText>
        </w:r>
        <w:r w:rsidR="0081611A">
          <w:fldChar w:fldCharType="separate"/>
        </w:r>
        <w:r w:rsidR="0081611A">
          <w:t>1</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0" w:history="1">
        <w:r w:rsidR="0081611A" w:rsidRPr="00E2713F">
          <w:rPr>
            <w:rStyle w:val="Hyperlink"/>
          </w:rPr>
          <w:t>1.2</w:t>
        </w:r>
        <w:r w:rsidR="0081611A">
          <w:rPr>
            <w:rFonts w:asciiTheme="minorHAnsi" w:eastAsiaTheme="minorEastAsia" w:hAnsiTheme="minorHAnsi" w:cstheme="minorBidi"/>
            <w:color w:val="auto"/>
            <w:spacing w:val="0"/>
            <w:sz w:val="22"/>
            <w:lang w:eastAsia="en-AU"/>
          </w:rPr>
          <w:tab/>
        </w:r>
        <w:r w:rsidR="0081611A" w:rsidRPr="00E2713F">
          <w:rPr>
            <w:rStyle w:val="Hyperlink"/>
          </w:rPr>
          <w:t>Objectives of the study</w:t>
        </w:r>
        <w:r w:rsidR="0081611A">
          <w:tab/>
        </w:r>
        <w:r w:rsidR="0081611A">
          <w:fldChar w:fldCharType="begin"/>
        </w:r>
        <w:r w:rsidR="0081611A">
          <w:instrText xml:space="preserve"> PAGEREF _Toc497300810 \h </w:instrText>
        </w:r>
        <w:r w:rsidR="0081611A">
          <w:fldChar w:fldCharType="separate"/>
        </w:r>
        <w:r w:rsidR="0081611A">
          <w:t>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1" w:history="1">
        <w:r w:rsidR="0081611A" w:rsidRPr="00E2713F">
          <w:rPr>
            <w:rStyle w:val="Hyperlink"/>
          </w:rPr>
          <w:t>1.3</w:t>
        </w:r>
        <w:r w:rsidR="0081611A">
          <w:rPr>
            <w:rFonts w:asciiTheme="minorHAnsi" w:eastAsiaTheme="minorEastAsia" w:hAnsiTheme="minorHAnsi" w:cstheme="minorBidi"/>
            <w:color w:val="auto"/>
            <w:spacing w:val="0"/>
            <w:sz w:val="22"/>
            <w:lang w:eastAsia="en-AU"/>
          </w:rPr>
          <w:tab/>
        </w:r>
        <w:r w:rsidR="0081611A" w:rsidRPr="00E2713F">
          <w:rPr>
            <w:rStyle w:val="Hyperlink"/>
          </w:rPr>
          <w:t>Our approach</w:t>
        </w:r>
        <w:r w:rsidR="0081611A">
          <w:tab/>
        </w:r>
        <w:r w:rsidR="0081611A">
          <w:fldChar w:fldCharType="begin"/>
        </w:r>
        <w:r w:rsidR="0081611A">
          <w:instrText xml:space="preserve"> PAGEREF _Toc497300811 \h </w:instrText>
        </w:r>
        <w:r w:rsidR="0081611A">
          <w:fldChar w:fldCharType="separate"/>
        </w:r>
        <w:r w:rsidR="0081611A">
          <w:t>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2" w:history="1">
        <w:r w:rsidR="0081611A" w:rsidRPr="00E2713F">
          <w:rPr>
            <w:rStyle w:val="Hyperlink"/>
          </w:rPr>
          <w:t>1.4</w:t>
        </w:r>
        <w:r w:rsidR="0081611A">
          <w:rPr>
            <w:rFonts w:asciiTheme="minorHAnsi" w:eastAsiaTheme="minorEastAsia" w:hAnsiTheme="minorHAnsi" w:cstheme="minorBidi"/>
            <w:color w:val="auto"/>
            <w:spacing w:val="0"/>
            <w:sz w:val="22"/>
            <w:lang w:eastAsia="en-AU"/>
          </w:rPr>
          <w:tab/>
        </w:r>
        <w:r w:rsidR="0081611A" w:rsidRPr="00E2713F">
          <w:rPr>
            <w:rStyle w:val="Hyperlink"/>
          </w:rPr>
          <w:t>Structure of the report</w:t>
        </w:r>
        <w:r w:rsidR="0081611A">
          <w:tab/>
        </w:r>
        <w:r w:rsidR="0081611A">
          <w:fldChar w:fldCharType="begin"/>
        </w:r>
        <w:r w:rsidR="0081611A">
          <w:instrText xml:space="preserve"> PAGEREF _Toc497300812 \h </w:instrText>
        </w:r>
        <w:r w:rsidR="0081611A">
          <w:fldChar w:fldCharType="separate"/>
        </w:r>
        <w:r w:rsidR="0081611A">
          <w:t>4</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13" w:history="1">
        <w:r w:rsidR="0081611A" w:rsidRPr="00E2713F">
          <w:rPr>
            <w:rStyle w:val="Hyperlink"/>
          </w:rPr>
          <w:t>2</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14" w:history="1">
        <w:r w:rsidR="0081611A" w:rsidRPr="00E2713F">
          <w:rPr>
            <w:rStyle w:val="Hyperlink"/>
          </w:rPr>
          <w:t>Characteristics and features of agvet chemical markets</w:t>
        </w:r>
        <w:r w:rsidR="0081611A">
          <w:tab/>
        </w:r>
        <w:r w:rsidR="0081611A">
          <w:fldChar w:fldCharType="begin"/>
        </w:r>
        <w:r w:rsidR="0081611A">
          <w:instrText xml:space="preserve"> PAGEREF _Toc497300814 \h </w:instrText>
        </w:r>
        <w:r w:rsidR="0081611A">
          <w:fldChar w:fldCharType="separate"/>
        </w:r>
        <w:r w:rsidR="0081611A">
          <w:t>5</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5" w:history="1">
        <w:r w:rsidR="0081611A" w:rsidRPr="00E2713F">
          <w:rPr>
            <w:rStyle w:val="Hyperlink"/>
          </w:rPr>
          <w:t>2.1</w:t>
        </w:r>
        <w:r w:rsidR="0081611A">
          <w:rPr>
            <w:rFonts w:asciiTheme="minorHAnsi" w:eastAsiaTheme="minorEastAsia" w:hAnsiTheme="minorHAnsi" w:cstheme="minorBidi"/>
            <w:color w:val="auto"/>
            <w:spacing w:val="0"/>
            <w:sz w:val="22"/>
            <w:lang w:eastAsia="en-AU"/>
          </w:rPr>
          <w:tab/>
        </w:r>
        <w:r w:rsidR="0081611A" w:rsidRPr="00E2713F">
          <w:rPr>
            <w:rStyle w:val="Hyperlink"/>
          </w:rPr>
          <w:t>Key features of agvet chemical markets</w:t>
        </w:r>
        <w:r w:rsidR="0081611A">
          <w:tab/>
        </w:r>
        <w:r w:rsidR="0081611A">
          <w:fldChar w:fldCharType="begin"/>
        </w:r>
        <w:r w:rsidR="0081611A">
          <w:instrText xml:space="preserve"> PAGEREF _Toc497300815 \h </w:instrText>
        </w:r>
        <w:r w:rsidR="0081611A">
          <w:fldChar w:fldCharType="separate"/>
        </w:r>
        <w:r w:rsidR="0081611A">
          <w:t>5</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6" w:history="1">
        <w:r w:rsidR="0081611A" w:rsidRPr="00E2713F">
          <w:rPr>
            <w:rStyle w:val="Hyperlink"/>
          </w:rPr>
          <w:t>2.2</w:t>
        </w:r>
        <w:r w:rsidR="0081611A">
          <w:rPr>
            <w:rFonts w:asciiTheme="minorHAnsi" w:eastAsiaTheme="minorEastAsia" w:hAnsiTheme="minorHAnsi" w:cstheme="minorBidi"/>
            <w:color w:val="auto"/>
            <w:spacing w:val="0"/>
            <w:sz w:val="22"/>
            <w:lang w:eastAsia="en-AU"/>
          </w:rPr>
          <w:tab/>
        </w:r>
        <w:r w:rsidR="0081611A" w:rsidRPr="00E2713F">
          <w:rPr>
            <w:rStyle w:val="Hyperlink"/>
          </w:rPr>
          <w:t>Australian market</w:t>
        </w:r>
        <w:r w:rsidR="0081611A">
          <w:tab/>
        </w:r>
        <w:r w:rsidR="0081611A">
          <w:fldChar w:fldCharType="begin"/>
        </w:r>
        <w:r w:rsidR="0081611A">
          <w:instrText xml:space="preserve"> PAGEREF _Toc497300816 \h </w:instrText>
        </w:r>
        <w:r w:rsidR="0081611A">
          <w:fldChar w:fldCharType="separate"/>
        </w:r>
        <w:r w:rsidR="0081611A">
          <w:t>9</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7" w:history="1">
        <w:r w:rsidR="0081611A" w:rsidRPr="00E2713F">
          <w:rPr>
            <w:rStyle w:val="Hyperlink"/>
          </w:rPr>
          <w:t>2.3</w:t>
        </w:r>
        <w:r w:rsidR="0081611A">
          <w:rPr>
            <w:rFonts w:asciiTheme="minorHAnsi" w:eastAsiaTheme="minorEastAsia" w:hAnsiTheme="minorHAnsi" w:cstheme="minorBidi"/>
            <w:color w:val="auto"/>
            <w:spacing w:val="0"/>
            <w:sz w:val="22"/>
            <w:lang w:eastAsia="en-AU"/>
          </w:rPr>
          <w:tab/>
        </w:r>
        <w:r w:rsidR="0081611A" w:rsidRPr="00E2713F">
          <w:rPr>
            <w:rStyle w:val="Hyperlink"/>
          </w:rPr>
          <w:t>UK market</w:t>
        </w:r>
        <w:r w:rsidR="0081611A">
          <w:tab/>
        </w:r>
        <w:r w:rsidR="0081611A">
          <w:fldChar w:fldCharType="begin"/>
        </w:r>
        <w:r w:rsidR="0081611A">
          <w:instrText xml:space="preserve"> PAGEREF _Toc497300817 \h </w:instrText>
        </w:r>
        <w:r w:rsidR="0081611A">
          <w:fldChar w:fldCharType="separate"/>
        </w:r>
        <w:r w:rsidR="0081611A">
          <w:t>16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8" w:history="1">
        <w:r w:rsidR="0081611A" w:rsidRPr="00E2713F">
          <w:rPr>
            <w:rStyle w:val="Hyperlink"/>
          </w:rPr>
          <w:t>2.4</w:t>
        </w:r>
        <w:r w:rsidR="0081611A">
          <w:rPr>
            <w:rFonts w:asciiTheme="minorHAnsi" w:eastAsiaTheme="minorEastAsia" w:hAnsiTheme="minorHAnsi" w:cstheme="minorBidi"/>
            <w:color w:val="auto"/>
            <w:spacing w:val="0"/>
            <w:sz w:val="22"/>
            <w:lang w:eastAsia="en-AU"/>
          </w:rPr>
          <w:tab/>
        </w:r>
        <w:r w:rsidR="0081611A" w:rsidRPr="00E2713F">
          <w:rPr>
            <w:rStyle w:val="Hyperlink"/>
          </w:rPr>
          <w:t>US market</w:t>
        </w:r>
        <w:r w:rsidR="0081611A">
          <w:tab/>
        </w:r>
        <w:r w:rsidR="0081611A">
          <w:fldChar w:fldCharType="begin"/>
        </w:r>
        <w:r w:rsidR="0081611A">
          <w:instrText xml:space="preserve"> PAGEREF _Toc497300818 \h </w:instrText>
        </w:r>
        <w:r w:rsidR="0081611A">
          <w:fldChar w:fldCharType="separate"/>
        </w:r>
        <w:r w:rsidR="0081611A">
          <w:t>16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19" w:history="1">
        <w:r w:rsidR="0081611A" w:rsidRPr="00E2713F">
          <w:rPr>
            <w:rStyle w:val="Hyperlink"/>
          </w:rPr>
          <w:t>2.5</w:t>
        </w:r>
        <w:r w:rsidR="0081611A">
          <w:rPr>
            <w:rFonts w:asciiTheme="minorHAnsi" w:eastAsiaTheme="minorEastAsia" w:hAnsiTheme="minorHAnsi" w:cstheme="minorBidi"/>
            <w:color w:val="auto"/>
            <w:spacing w:val="0"/>
            <w:sz w:val="22"/>
            <w:lang w:eastAsia="en-AU"/>
          </w:rPr>
          <w:tab/>
        </w:r>
        <w:r w:rsidR="0081611A" w:rsidRPr="00E2713F">
          <w:rPr>
            <w:rStyle w:val="Hyperlink"/>
          </w:rPr>
          <w:t>Canadian market</w:t>
        </w:r>
        <w:r w:rsidR="0081611A">
          <w:tab/>
        </w:r>
        <w:r w:rsidR="0081611A">
          <w:fldChar w:fldCharType="begin"/>
        </w:r>
        <w:r w:rsidR="0081611A">
          <w:instrText xml:space="preserve"> PAGEREF _Toc497300819 \h </w:instrText>
        </w:r>
        <w:r w:rsidR="0081611A">
          <w:fldChar w:fldCharType="separate"/>
        </w:r>
        <w:r w:rsidR="0081611A">
          <w:t>18</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0" w:history="1">
        <w:r w:rsidR="0081611A" w:rsidRPr="00E2713F">
          <w:rPr>
            <w:rStyle w:val="Hyperlink"/>
          </w:rPr>
          <w:t>2.6</w:t>
        </w:r>
        <w:r w:rsidR="0081611A">
          <w:rPr>
            <w:rFonts w:asciiTheme="minorHAnsi" w:eastAsiaTheme="minorEastAsia" w:hAnsiTheme="minorHAnsi" w:cstheme="minorBidi"/>
            <w:color w:val="auto"/>
            <w:spacing w:val="0"/>
            <w:sz w:val="22"/>
            <w:lang w:eastAsia="en-AU"/>
          </w:rPr>
          <w:tab/>
        </w:r>
        <w:r w:rsidR="0081611A" w:rsidRPr="00E2713F">
          <w:rPr>
            <w:rStyle w:val="Hyperlink"/>
          </w:rPr>
          <w:t>New Zealand market</w:t>
        </w:r>
        <w:r w:rsidR="0081611A">
          <w:tab/>
        </w:r>
        <w:r w:rsidR="0081611A">
          <w:fldChar w:fldCharType="begin"/>
        </w:r>
        <w:r w:rsidR="0081611A">
          <w:instrText xml:space="preserve"> PAGEREF _Toc497300820 \h </w:instrText>
        </w:r>
        <w:r w:rsidR="0081611A">
          <w:fldChar w:fldCharType="separate"/>
        </w:r>
        <w:r w:rsidR="0081611A">
          <w:t>20</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1" w:history="1">
        <w:r w:rsidR="0081611A" w:rsidRPr="00E2713F">
          <w:rPr>
            <w:rStyle w:val="Hyperlink"/>
          </w:rPr>
          <w:t>2.7</w:t>
        </w:r>
        <w:r w:rsidR="0081611A">
          <w:rPr>
            <w:rFonts w:asciiTheme="minorHAnsi" w:eastAsiaTheme="minorEastAsia" w:hAnsiTheme="minorHAnsi" w:cstheme="minorBidi"/>
            <w:color w:val="auto"/>
            <w:spacing w:val="0"/>
            <w:sz w:val="22"/>
            <w:lang w:eastAsia="en-AU"/>
          </w:rPr>
          <w:tab/>
        </w:r>
        <w:r w:rsidR="0081611A" w:rsidRPr="00E2713F">
          <w:rPr>
            <w:rStyle w:val="Hyperlink"/>
          </w:rPr>
          <w:t>The Australian market in context</w:t>
        </w:r>
        <w:r w:rsidR="0081611A">
          <w:tab/>
        </w:r>
        <w:r w:rsidR="0081611A">
          <w:fldChar w:fldCharType="begin"/>
        </w:r>
        <w:r w:rsidR="0081611A">
          <w:instrText xml:space="preserve"> PAGEREF _Toc497300821 \h </w:instrText>
        </w:r>
        <w:r w:rsidR="0081611A">
          <w:fldChar w:fldCharType="separate"/>
        </w:r>
        <w:r w:rsidR="0081611A">
          <w:t>20</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2" w:history="1">
        <w:r w:rsidR="0081611A" w:rsidRPr="00E2713F">
          <w:rPr>
            <w:rStyle w:val="Hyperlink"/>
          </w:rPr>
          <w:t>2.8</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_Toc497300822 \h </w:instrText>
        </w:r>
        <w:r w:rsidR="0081611A">
          <w:fldChar w:fldCharType="separate"/>
        </w:r>
        <w:r w:rsidR="0081611A">
          <w:t>21</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23" w:history="1">
        <w:r w:rsidR="0081611A" w:rsidRPr="00E2713F">
          <w:rPr>
            <w:rStyle w:val="Hyperlink"/>
          </w:rPr>
          <w:t>3</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24" w:history="1">
        <w:r w:rsidR="0081611A" w:rsidRPr="00E2713F">
          <w:rPr>
            <w:rStyle w:val="Hyperlink"/>
          </w:rPr>
          <w:t>Agvet chemical product IP and data protection</w:t>
        </w:r>
        <w:r w:rsidR="0081611A">
          <w:tab/>
        </w:r>
        <w:r w:rsidR="0081611A">
          <w:fldChar w:fldCharType="begin"/>
        </w:r>
        <w:r w:rsidR="0081611A">
          <w:instrText xml:space="preserve"> PAGEREF _Toc497300824 \h </w:instrText>
        </w:r>
        <w:r w:rsidR="0081611A">
          <w:fldChar w:fldCharType="separate"/>
        </w:r>
        <w:r w:rsidR="0081611A">
          <w:t>22</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5" w:history="1">
        <w:r w:rsidR="0081611A" w:rsidRPr="00E2713F">
          <w:rPr>
            <w:rStyle w:val="Hyperlink"/>
          </w:rPr>
          <w:t>3.1</w:t>
        </w:r>
        <w:r w:rsidR="0081611A">
          <w:rPr>
            <w:rFonts w:asciiTheme="minorHAnsi" w:eastAsiaTheme="minorEastAsia" w:hAnsiTheme="minorHAnsi" w:cstheme="minorBidi"/>
            <w:color w:val="auto"/>
            <w:spacing w:val="0"/>
            <w:sz w:val="22"/>
            <w:lang w:eastAsia="en-AU"/>
          </w:rPr>
          <w:tab/>
        </w:r>
        <w:r w:rsidR="0081611A" w:rsidRPr="00E2713F">
          <w:rPr>
            <w:rStyle w:val="Hyperlink"/>
          </w:rPr>
          <w:t>Context</w:t>
        </w:r>
        <w:r w:rsidR="0081611A">
          <w:tab/>
        </w:r>
        <w:r w:rsidR="0081611A">
          <w:fldChar w:fldCharType="begin"/>
        </w:r>
        <w:r w:rsidR="0081611A">
          <w:instrText xml:space="preserve"> PAGEREF _Toc497300825 \h </w:instrText>
        </w:r>
        <w:r w:rsidR="0081611A">
          <w:fldChar w:fldCharType="separate"/>
        </w:r>
        <w:r w:rsidR="0081611A">
          <w:t>22</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6" w:history="1">
        <w:r w:rsidR="0081611A" w:rsidRPr="00E2713F">
          <w:rPr>
            <w:rStyle w:val="Hyperlink"/>
          </w:rPr>
          <w:t>3.2</w:t>
        </w:r>
        <w:r w:rsidR="0081611A">
          <w:rPr>
            <w:rFonts w:asciiTheme="minorHAnsi" w:eastAsiaTheme="minorEastAsia" w:hAnsiTheme="minorHAnsi" w:cstheme="minorBidi"/>
            <w:color w:val="auto"/>
            <w:spacing w:val="0"/>
            <w:sz w:val="22"/>
            <w:lang w:eastAsia="en-AU"/>
          </w:rPr>
          <w:tab/>
        </w:r>
        <w:r w:rsidR="0081611A" w:rsidRPr="00E2713F">
          <w:rPr>
            <w:rStyle w:val="Hyperlink"/>
          </w:rPr>
          <w:t>Patent protection in selected countries</w:t>
        </w:r>
        <w:r w:rsidR="0081611A">
          <w:tab/>
        </w:r>
        <w:r w:rsidR="0081611A">
          <w:fldChar w:fldCharType="begin"/>
        </w:r>
        <w:r w:rsidR="0081611A">
          <w:instrText xml:space="preserve"> PAGEREF _Toc497300826 \h </w:instrText>
        </w:r>
        <w:r w:rsidR="0081611A">
          <w:fldChar w:fldCharType="separate"/>
        </w:r>
        <w:r w:rsidR="0081611A">
          <w:t>23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7" w:history="1">
        <w:r w:rsidR="0081611A" w:rsidRPr="00E2713F">
          <w:rPr>
            <w:rStyle w:val="Hyperlink"/>
          </w:rPr>
          <w:t>3.3</w:t>
        </w:r>
        <w:r w:rsidR="0081611A">
          <w:rPr>
            <w:rFonts w:asciiTheme="minorHAnsi" w:eastAsiaTheme="minorEastAsia" w:hAnsiTheme="minorHAnsi" w:cstheme="minorBidi"/>
            <w:color w:val="auto"/>
            <w:spacing w:val="0"/>
            <w:sz w:val="22"/>
            <w:lang w:eastAsia="en-AU"/>
          </w:rPr>
          <w:tab/>
        </w:r>
        <w:r w:rsidR="0081611A" w:rsidRPr="00E2713F">
          <w:rPr>
            <w:rStyle w:val="Hyperlink"/>
          </w:rPr>
          <w:t>IP-related provisions</w:t>
        </w:r>
        <w:r w:rsidR="0081611A">
          <w:tab/>
        </w:r>
        <w:r w:rsidR="0081611A">
          <w:fldChar w:fldCharType="begin"/>
        </w:r>
        <w:r w:rsidR="0081611A">
          <w:instrText xml:space="preserve"> PAGEREF _Toc497300827 \h </w:instrText>
        </w:r>
        <w:r w:rsidR="0081611A">
          <w:fldChar w:fldCharType="separate"/>
        </w:r>
        <w:r w:rsidR="0081611A">
          <w:t>28</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8" w:history="1">
        <w:r w:rsidR="0081611A" w:rsidRPr="00E2713F">
          <w:rPr>
            <w:rStyle w:val="Hyperlink"/>
          </w:rPr>
          <w:t>3.4</w:t>
        </w:r>
        <w:r w:rsidR="0081611A">
          <w:rPr>
            <w:rFonts w:asciiTheme="minorHAnsi" w:eastAsiaTheme="minorEastAsia" w:hAnsiTheme="minorHAnsi" w:cstheme="minorBidi"/>
            <w:color w:val="auto"/>
            <w:spacing w:val="0"/>
            <w:sz w:val="22"/>
            <w:lang w:eastAsia="en-AU"/>
          </w:rPr>
          <w:tab/>
        </w:r>
        <w:r w:rsidR="0081611A" w:rsidRPr="00E2713F">
          <w:rPr>
            <w:rStyle w:val="Hyperlink"/>
          </w:rPr>
          <w:t>Regulatory data protection in selected countries</w:t>
        </w:r>
        <w:r w:rsidR="0081611A">
          <w:tab/>
        </w:r>
        <w:r w:rsidR="0081611A">
          <w:fldChar w:fldCharType="begin"/>
        </w:r>
        <w:r w:rsidR="0081611A">
          <w:instrText xml:space="preserve"> PAGEREF _Toc497300828 \h </w:instrText>
        </w:r>
        <w:r w:rsidR="0081611A">
          <w:fldChar w:fldCharType="separate"/>
        </w:r>
        <w:r w:rsidR="0081611A">
          <w:t>30</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29" w:history="1">
        <w:r w:rsidR="0081611A" w:rsidRPr="00E2713F">
          <w:rPr>
            <w:rStyle w:val="Hyperlink"/>
          </w:rPr>
          <w:t>3.5</w:t>
        </w:r>
        <w:r w:rsidR="0081611A">
          <w:rPr>
            <w:rFonts w:asciiTheme="minorHAnsi" w:eastAsiaTheme="minorEastAsia" w:hAnsiTheme="minorHAnsi" w:cstheme="minorBidi"/>
            <w:color w:val="auto"/>
            <w:spacing w:val="0"/>
            <w:sz w:val="22"/>
            <w:lang w:eastAsia="en-AU"/>
          </w:rPr>
          <w:tab/>
        </w:r>
        <w:r w:rsidR="0081611A" w:rsidRPr="00E2713F">
          <w:rPr>
            <w:rStyle w:val="Hyperlink"/>
          </w:rPr>
          <w:t>Confidential commercial information in selected countries</w:t>
        </w:r>
        <w:r w:rsidR="0081611A">
          <w:tab/>
        </w:r>
        <w:r w:rsidR="0081611A">
          <w:fldChar w:fldCharType="begin"/>
        </w:r>
        <w:r w:rsidR="0081611A">
          <w:instrText xml:space="preserve"> PAGEREF _Toc497300829 \h </w:instrText>
        </w:r>
        <w:r w:rsidR="0081611A">
          <w:fldChar w:fldCharType="separate"/>
        </w:r>
        <w:r w:rsidR="0081611A">
          <w:t>32</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0" w:history="1">
        <w:r w:rsidR="0081611A" w:rsidRPr="00E2713F">
          <w:rPr>
            <w:rStyle w:val="Hyperlink"/>
          </w:rPr>
          <w:t>3.6</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_Toc497300830 \h </w:instrText>
        </w:r>
        <w:r w:rsidR="0081611A">
          <w:fldChar w:fldCharType="separate"/>
        </w:r>
        <w:r w:rsidR="0081611A">
          <w:t>35</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31" w:history="1">
        <w:r w:rsidR="0081611A" w:rsidRPr="00E2713F">
          <w:rPr>
            <w:rStyle w:val="Hyperlink"/>
          </w:rPr>
          <w:t>4</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32" w:history="1">
        <w:r w:rsidR="0081611A" w:rsidRPr="00E2713F">
          <w:rPr>
            <w:rStyle w:val="Hyperlink"/>
          </w:rPr>
          <w:t>Agvet chemical product registration processes</w:t>
        </w:r>
        <w:r w:rsidR="0081611A">
          <w:tab/>
        </w:r>
        <w:r w:rsidR="0081611A">
          <w:fldChar w:fldCharType="begin"/>
        </w:r>
        <w:r w:rsidR="0081611A">
          <w:instrText xml:space="preserve"> PAGEREF _Toc497300832 \h </w:instrText>
        </w:r>
        <w:r w:rsidR="0081611A">
          <w:fldChar w:fldCharType="separate"/>
        </w:r>
        <w:r w:rsidR="0081611A">
          <w:t>38</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3" w:history="1">
        <w:r w:rsidR="0081611A" w:rsidRPr="00E2713F">
          <w:rPr>
            <w:rStyle w:val="Hyperlink"/>
          </w:rPr>
          <w:t>4.1</w:t>
        </w:r>
        <w:r w:rsidR="0081611A">
          <w:rPr>
            <w:rFonts w:asciiTheme="minorHAnsi" w:eastAsiaTheme="minorEastAsia" w:hAnsiTheme="minorHAnsi" w:cstheme="minorBidi"/>
            <w:color w:val="auto"/>
            <w:spacing w:val="0"/>
            <w:sz w:val="22"/>
            <w:lang w:eastAsia="en-AU"/>
          </w:rPr>
          <w:tab/>
        </w:r>
        <w:r w:rsidR="0081611A" w:rsidRPr="00E2713F">
          <w:rPr>
            <w:rStyle w:val="Hyperlink"/>
          </w:rPr>
          <w:t>Australian registration processes</w:t>
        </w:r>
        <w:r w:rsidR="0081611A">
          <w:tab/>
        </w:r>
        <w:r w:rsidR="0081611A">
          <w:fldChar w:fldCharType="begin"/>
        </w:r>
        <w:r w:rsidR="0081611A">
          <w:instrText xml:space="preserve"> PAGEREF _Toc497300833 \h </w:instrText>
        </w:r>
        <w:r w:rsidR="0081611A">
          <w:fldChar w:fldCharType="separate"/>
        </w:r>
        <w:r w:rsidR="0081611A">
          <w:t>40</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4" w:history="1">
        <w:r w:rsidR="0081611A" w:rsidRPr="00E2713F">
          <w:rPr>
            <w:rStyle w:val="Hyperlink"/>
          </w:rPr>
          <w:t>4.2</w:t>
        </w:r>
        <w:r w:rsidR="0081611A">
          <w:rPr>
            <w:rFonts w:asciiTheme="minorHAnsi" w:eastAsiaTheme="minorEastAsia" w:hAnsiTheme="minorHAnsi" w:cstheme="minorBidi"/>
            <w:color w:val="auto"/>
            <w:spacing w:val="0"/>
            <w:sz w:val="22"/>
            <w:lang w:eastAsia="en-AU"/>
          </w:rPr>
          <w:tab/>
        </w:r>
        <w:r w:rsidR="0081611A" w:rsidRPr="00E2713F">
          <w:rPr>
            <w:rStyle w:val="Hyperlink"/>
          </w:rPr>
          <w:t>European Union registration processes</w:t>
        </w:r>
        <w:r w:rsidR="0081611A">
          <w:tab/>
        </w:r>
        <w:r w:rsidR="0081611A">
          <w:fldChar w:fldCharType="begin"/>
        </w:r>
        <w:r w:rsidR="0081611A">
          <w:instrText xml:space="preserve"> PAGEREF _Toc497300834 \h </w:instrText>
        </w:r>
        <w:r w:rsidR="0081611A">
          <w:fldChar w:fldCharType="separate"/>
        </w:r>
        <w:r w:rsidR="0081611A">
          <w:t>48</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5" w:history="1">
        <w:r w:rsidR="0081611A" w:rsidRPr="00E2713F">
          <w:rPr>
            <w:rStyle w:val="Hyperlink"/>
          </w:rPr>
          <w:t>4.3</w:t>
        </w:r>
        <w:r w:rsidR="0081611A">
          <w:rPr>
            <w:rFonts w:asciiTheme="minorHAnsi" w:eastAsiaTheme="minorEastAsia" w:hAnsiTheme="minorHAnsi" w:cstheme="minorBidi"/>
            <w:color w:val="auto"/>
            <w:spacing w:val="0"/>
            <w:sz w:val="22"/>
            <w:lang w:eastAsia="en-AU"/>
          </w:rPr>
          <w:tab/>
        </w:r>
        <w:r w:rsidR="0081611A" w:rsidRPr="00E2713F">
          <w:rPr>
            <w:rStyle w:val="Hyperlink"/>
          </w:rPr>
          <w:t>UK registration processes</w:t>
        </w:r>
        <w:r w:rsidR="0081611A">
          <w:tab/>
        </w:r>
        <w:r w:rsidR="0081611A">
          <w:fldChar w:fldCharType="begin"/>
        </w:r>
        <w:r w:rsidR="0081611A">
          <w:instrText xml:space="preserve"> PAGEREF _Toc497300835 \h </w:instrText>
        </w:r>
        <w:r w:rsidR="0081611A">
          <w:fldChar w:fldCharType="separate"/>
        </w:r>
        <w:r w:rsidR="0081611A">
          <w:t>52</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6" w:history="1">
        <w:r w:rsidR="0081611A" w:rsidRPr="00E2713F">
          <w:rPr>
            <w:rStyle w:val="Hyperlink"/>
          </w:rPr>
          <w:t>4.4</w:t>
        </w:r>
        <w:r w:rsidR="0081611A">
          <w:rPr>
            <w:rFonts w:asciiTheme="minorHAnsi" w:eastAsiaTheme="minorEastAsia" w:hAnsiTheme="minorHAnsi" w:cstheme="minorBidi"/>
            <w:color w:val="auto"/>
            <w:spacing w:val="0"/>
            <w:sz w:val="22"/>
            <w:lang w:eastAsia="en-AU"/>
          </w:rPr>
          <w:tab/>
        </w:r>
        <w:r w:rsidR="0081611A" w:rsidRPr="00E2713F">
          <w:rPr>
            <w:rStyle w:val="Hyperlink"/>
          </w:rPr>
          <w:t>US registration processes</w:t>
        </w:r>
        <w:r w:rsidR="0081611A">
          <w:tab/>
        </w:r>
        <w:r w:rsidR="0081611A">
          <w:fldChar w:fldCharType="begin"/>
        </w:r>
        <w:r w:rsidR="0081611A">
          <w:instrText xml:space="preserve"> PAGEREF _Toc497300836 \h </w:instrText>
        </w:r>
        <w:r w:rsidR="0081611A">
          <w:fldChar w:fldCharType="separate"/>
        </w:r>
        <w:r w:rsidR="0081611A">
          <w:t>53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7" w:history="1">
        <w:r w:rsidR="0081611A" w:rsidRPr="00E2713F">
          <w:rPr>
            <w:rStyle w:val="Hyperlink"/>
          </w:rPr>
          <w:t>4.5</w:t>
        </w:r>
        <w:r w:rsidR="0081611A">
          <w:rPr>
            <w:rFonts w:asciiTheme="minorHAnsi" w:eastAsiaTheme="minorEastAsia" w:hAnsiTheme="minorHAnsi" w:cstheme="minorBidi"/>
            <w:color w:val="auto"/>
            <w:spacing w:val="0"/>
            <w:sz w:val="22"/>
            <w:lang w:eastAsia="en-AU"/>
          </w:rPr>
          <w:tab/>
        </w:r>
        <w:r w:rsidR="0081611A" w:rsidRPr="00E2713F">
          <w:rPr>
            <w:rStyle w:val="Hyperlink"/>
          </w:rPr>
          <w:t>Canadian registration processes</w:t>
        </w:r>
        <w:r w:rsidR="0081611A">
          <w:tab/>
        </w:r>
        <w:r w:rsidR="0081611A">
          <w:fldChar w:fldCharType="begin"/>
        </w:r>
        <w:r w:rsidR="0081611A">
          <w:instrText xml:space="preserve"> PAGEREF _Toc497300837 \h </w:instrText>
        </w:r>
        <w:r w:rsidR="0081611A">
          <w:fldChar w:fldCharType="separate"/>
        </w:r>
        <w:r w:rsidR="0081611A">
          <w:t>56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8" w:history="1">
        <w:r w:rsidR="0081611A" w:rsidRPr="00E2713F">
          <w:rPr>
            <w:rStyle w:val="Hyperlink"/>
          </w:rPr>
          <w:t>4.6</w:t>
        </w:r>
        <w:r w:rsidR="0081611A">
          <w:rPr>
            <w:rFonts w:asciiTheme="minorHAnsi" w:eastAsiaTheme="minorEastAsia" w:hAnsiTheme="minorHAnsi" w:cstheme="minorBidi"/>
            <w:color w:val="auto"/>
            <w:spacing w:val="0"/>
            <w:sz w:val="22"/>
            <w:lang w:eastAsia="en-AU"/>
          </w:rPr>
          <w:tab/>
        </w:r>
        <w:r w:rsidR="0081611A" w:rsidRPr="00E2713F">
          <w:rPr>
            <w:rStyle w:val="Hyperlink"/>
          </w:rPr>
          <w:t>New Zealand registration processes</w:t>
        </w:r>
        <w:r w:rsidR="0081611A">
          <w:tab/>
        </w:r>
        <w:r w:rsidR="0081611A">
          <w:fldChar w:fldCharType="begin"/>
        </w:r>
        <w:r w:rsidR="0081611A">
          <w:instrText xml:space="preserve"> PAGEREF _Toc497300838 \h </w:instrText>
        </w:r>
        <w:r w:rsidR="0081611A">
          <w:fldChar w:fldCharType="separate"/>
        </w:r>
        <w:r w:rsidR="0081611A">
          <w:t>56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39" w:history="1">
        <w:r w:rsidR="0081611A" w:rsidRPr="00E2713F">
          <w:rPr>
            <w:rStyle w:val="Hyperlink"/>
          </w:rPr>
          <w:t>4.7</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_Toc497300839 \h </w:instrText>
        </w:r>
        <w:r w:rsidR="0081611A">
          <w:fldChar w:fldCharType="separate"/>
        </w:r>
        <w:r w:rsidR="0081611A">
          <w:t>58</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40" w:history="1">
        <w:r w:rsidR="0081611A" w:rsidRPr="00E2713F">
          <w:rPr>
            <w:rStyle w:val="Hyperlink"/>
          </w:rPr>
          <w:t>5</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41" w:history="1">
        <w:r w:rsidR="0081611A" w:rsidRPr="00E2713F">
          <w:rPr>
            <w:rStyle w:val="Hyperlink"/>
          </w:rPr>
          <w:t>Time and costs for agvet chemical product registration</w:t>
        </w:r>
        <w:r w:rsidR="0081611A">
          <w:tab/>
        </w:r>
        <w:r w:rsidR="0081611A">
          <w:fldChar w:fldCharType="begin"/>
        </w:r>
        <w:r w:rsidR="0081611A">
          <w:instrText xml:space="preserve"> PAGEREF _Toc497300841 \h </w:instrText>
        </w:r>
        <w:r w:rsidR="0081611A">
          <w:fldChar w:fldCharType="separate"/>
        </w:r>
        <w:r w:rsidR="0081611A">
          <w:t>59</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2" w:history="1">
        <w:r w:rsidR="0081611A" w:rsidRPr="00E2713F">
          <w:rPr>
            <w:rStyle w:val="Hyperlink"/>
          </w:rPr>
          <w:t>5.1</w:t>
        </w:r>
        <w:r w:rsidR="0081611A">
          <w:rPr>
            <w:rFonts w:asciiTheme="minorHAnsi" w:eastAsiaTheme="minorEastAsia" w:hAnsiTheme="minorHAnsi" w:cstheme="minorBidi"/>
            <w:color w:val="auto"/>
            <w:spacing w:val="0"/>
            <w:sz w:val="22"/>
            <w:lang w:eastAsia="en-AU"/>
          </w:rPr>
          <w:tab/>
        </w:r>
        <w:r w:rsidR="0081611A" w:rsidRPr="00E2713F">
          <w:rPr>
            <w:rStyle w:val="Hyperlink"/>
          </w:rPr>
          <w:t>Australia</w:t>
        </w:r>
        <w:r w:rsidR="0081611A">
          <w:tab/>
        </w:r>
        <w:r w:rsidR="0081611A">
          <w:fldChar w:fldCharType="begin"/>
        </w:r>
        <w:r w:rsidR="0081611A">
          <w:instrText xml:space="preserve"> PAGEREF _Toc497300842 \h </w:instrText>
        </w:r>
        <w:r w:rsidR="0081611A">
          <w:fldChar w:fldCharType="separate"/>
        </w:r>
        <w:r w:rsidR="0081611A">
          <w:t>59</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3" w:history="1">
        <w:r w:rsidR="0081611A" w:rsidRPr="00E2713F">
          <w:rPr>
            <w:rStyle w:val="Hyperlink"/>
          </w:rPr>
          <w:t>5.2</w:t>
        </w:r>
        <w:r w:rsidR="0081611A">
          <w:rPr>
            <w:rFonts w:asciiTheme="minorHAnsi" w:eastAsiaTheme="minorEastAsia" w:hAnsiTheme="minorHAnsi" w:cstheme="minorBidi"/>
            <w:color w:val="auto"/>
            <w:spacing w:val="0"/>
            <w:sz w:val="22"/>
            <w:lang w:eastAsia="en-AU"/>
          </w:rPr>
          <w:tab/>
        </w:r>
        <w:r w:rsidR="0081611A" w:rsidRPr="00E2713F">
          <w:rPr>
            <w:rStyle w:val="Hyperlink"/>
          </w:rPr>
          <w:t>United Kingdom</w:t>
        </w:r>
        <w:r w:rsidR="0081611A">
          <w:tab/>
        </w:r>
        <w:r w:rsidR="0081611A">
          <w:fldChar w:fldCharType="begin"/>
        </w:r>
        <w:r w:rsidR="0081611A">
          <w:instrText xml:space="preserve"> PAGEREF _Toc497300843 \h </w:instrText>
        </w:r>
        <w:r w:rsidR="0081611A">
          <w:fldChar w:fldCharType="separate"/>
        </w:r>
        <w:r w:rsidR="0081611A">
          <w:t>63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4" w:history="1">
        <w:r w:rsidR="0081611A" w:rsidRPr="00E2713F">
          <w:rPr>
            <w:rStyle w:val="Hyperlink"/>
          </w:rPr>
          <w:t>5.3</w:t>
        </w:r>
        <w:r w:rsidR="0081611A">
          <w:rPr>
            <w:rFonts w:asciiTheme="minorHAnsi" w:eastAsiaTheme="minorEastAsia" w:hAnsiTheme="minorHAnsi" w:cstheme="minorBidi"/>
            <w:color w:val="auto"/>
            <w:spacing w:val="0"/>
            <w:sz w:val="22"/>
            <w:lang w:eastAsia="en-AU"/>
          </w:rPr>
          <w:tab/>
        </w:r>
        <w:r w:rsidR="0081611A" w:rsidRPr="00E2713F">
          <w:rPr>
            <w:rStyle w:val="Hyperlink"/>
          </w:rPr>
          <w:t>United States of America</w:t>
        </w:r>
        <w:r w:rsidR="0081611A">
          <w:tab/>
        </w:r>
        <w:r w:rsidR="0081611A">
          <w:fldChar w:fldCharType="begin"/>
        </w:r>
        <w:r w:rsidR="0081611A">
          <w:instrText xml:space="preserve"> PAGEREF _Toc497300844 \h </w:instrText>
        </w:r>
        <w:r w:rsidR="0081611A">
          <w:fldChar w:fldCharType="separate"/>
        </w:r>
        <w:r w:rsidR="0081611A">
          <w:t>63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5" w:history="1">
        <w:r w:rsidR="0081611A" w:rsidRPr="00E2713F">
          <w:rPr>
            <w:rStyle w:val="Hyperlink"/>
          </w:rPr>
          <w:t>5.4</w:t>
        </w:r>
        <w:r w:rsidR="0081611A">
          <w:rPr>
            <w:rFonts w:asciiTheme="minorHAnsi" w:eastAsiaTheme="minorEastAsia" w:hAnsiTheme="minorHAnsi" w:cstheme="minorBidi"/>
            <w:color w:val="auto"/>
            <w:spacing w:val="0"/>
            <w:sz w:val="22"/>
            <w:lang w:eastAsia="en-AU"/>
          </w:rPr>
          <w:tab/>
        </w:r>
        <w:r w:rsidR="0081611A" w:rsidRPr="00E2713F">
          <w:rPr>
            <w:rStyle w:val="Hyperlink"/>
          </w:rPr>
          <w:t>Canada</w:t>
        </w:r>
        <w:r w:rsidR="0081611A">
          <w:tab/>
        </w:r>
        <w:r w:rsidR="0081611A">
          <w:fldChar w:fldCharType="begin"/>
        </w:r>
        <w:r w:rsidR="0081611A">
          <w:instrText xml:space="preserve"> PAGEREF _Toc497300845 \h </w:instrText>
        </w:r>
        <w:r w:rsidR="0081611A">
          <w:fldChar w:fldCharType="separate"/>
        </w:r>
        <w:r w:rsidR="0081611A">
          <w:t>65</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6" w:history="1">
        <w:r w:rsidR="0081611A" w:rsidRPr="00E2713F">
          <w:rPr>
            <w:rStyle w:val="Hyperlink"/>
          </w:rPr>
          <w:t>5.5</w:t>
        </w:r>
        <w:r w:rsidR="0081611A">
          <w:rPr>
            <w:rFonts w:asciiTheme="minorHAnsi" w:eastAsiaTheme="minorEastAsia" w:hAnsiTheme="minorHAnsi" w:cstheme="minorBidi"/>
            <w:color w:val="auto"/>
            <w:spacing w:val="0"/>
            <w:sz w:val="22"/>
            <w:lang w:eastAsia="en-AU"/>
          </w:rPr>
          <w:tab/>
        </w:r>
        <w:r w:rsidR="0081611A" w:rsidRPr="00E2713F">
          <w:rPr>
            <w:rStyle w:val="Hyperlink"/>
          </w:rPr>
          <w:t>New Zealand</w:t>
        </w:r>
        <w:r w:rsidR="0081611A">
          <w:tab/>
        </w:r>
        <w:r w:rsidR="0081611A">
          <w:fldChar w:fldCharType="begin"/>
        </w:r>
        <w:r w:rsidR="0081611A">
          <w:instrText xml:space="preserve"> PAGEREF _Toc497300846 \h </w:instrText>
        </w:r>
        <w:r w:rsidR="0081611A">
          <w:fldChar w:fldCharType="separate"/>
        </w:r>
        <w:r w:rsidR="0081611A">
          <w:t>65</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7" w:history="1">
        <w:r w:rsidR="0081611A" w:rsidRPr="00E2713F">
          <w:rPr>
            <w:rStyle w:val="Hyperlink"/>
          </w:rPr>
          <w:t>5.6</w:t>
        </w:r>
        <w:r w:rsidR="0081611A">
          <w:rPr>
            <w:rFonts w:asciiTheme="minorHAnsi" w:eastAsiaTheme="minorEastAsia" w:hAnsiTheme="minorHAnsi" w:cstheme="minorBidi"/>
            <w:color w:val="auto"/>
            <w:spacing w:val="0"/>
            <w:sz w:val="22"/>
            <w:lang w:eastAsia="en-AU"/>
          </w:rPr>
          <w:tab/>
        </w:r>
        <w:r w:rsidR="0081611A" w:rsidRPr="00E2713F">
          <w:rPr>
            <w:rStyle w:val="Hyperlink"/>
          </w:rPr>
          <w:t>Summary of timeframes and costs</w:t>
        </w:r>
        <w:r w:rsidR="0081611A">
          <w:tab/>
        </w:r>
        <w:r w:rsidR="0081611A">
          <w:fldChar w:fldCharType="begin"/>
        </w:r>
        <w:r w:rsidR="0081611A">
          <w:instrText xml:space="preserve"> PAGEREF _Toc497300847 \h </w:instrText>
        </w:r>
        <w:r w:rsidR="0081611A">
          <w:fldChar w:fldCharType="separate"/>
        </w:r>
        <w:r w:rsidR="0081611A">
          <w:t>66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48" w:history="1">
        <w:r w:rsidR="0081611A" w:rsidRPr="00E2713F">
          <w:rPr>
            <w:rStyle w:val="Hyperlink"/>
          </w:rPr>
          <w:t>5.7</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_Toc497300848 \h </w:instrText>
        </w:r>
        <w:r w:rsidR="0081611A">
          <w:fldChar w:fldCharType="separate"/>
        </w:r>
        <w:r w:rsidR="0081611A">
          <w:t>66</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49" w:history="1">
        <w:r w:rsidR="0081611A" w:rsidRPr="00E2713F">
          <w:rPr>
            <w:rStyle w:val="Hyperlink"/>
          </w:rPr>
          <w:t>6</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50" w:history="1">
        <w:r w:rsidR="0081611A" w:rsidRPr="00E2713F">
          <w:rPr>
            <w:rStyle w:val="Hyperlink"/>
          </w:rPr>
          <w:t>Agvet chemical minor uses</w:t>
        </w:r>
        <w:r w:rsidR="0081611A">
          <w:tab/>
        </w:r>
        <w:r w:rsidR="0081611A">
          <w:fldChar w:fldCharType="begin"/>
        </w:r>
        <w:r w:rsidR="0081611A">
          <w:instrText xml:space="preserve"> PAGEREF _Toc497300850 \h </w:instrText>
        </w:r>
        <w:r w:rsidR="0081611A">
          <w:fldChar w:fldCharType="separate"/>
        </w:r>
        <w:r w:rsidR="0081611A">
          <w:t>67</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1" w:history="1">
        <w:r w:rsidR="0081611A" w:rsidRPr="00E2713F">
          <w:rPr>
            <w:rStyle w:val="Hyperlink"/>
          </w:rPr>
          <w:t>6.1</w:t>
        </w:r>
        <w:r w:rsidR="0081611A">
          <w:rPr>
            <w:rFonts w:asciiTheme="minorHAnsi" w:eastAsiaTheme="minorEastAsia" w:hAnsiTheme="minorHAnsi" w:cstheme="minorBidi"/>
            <w:color w:val="auto"/>
            <w:spacing w:val="0"/>
            <w:sz w:val="22"/>
            <w:lang w:eastAsia="en-AU"/>
          </w:rPr>
          <w:tab/>
        </w:r>
        <w:r w:rsidR="0081611A" w:rsidRPr="00E2713F">
          <w:rPr>
            <w:rStyle w:val="Hyperlink"/>
          </w:rPr>
          <w:t>Minor use definitions</w:t>
        </w:r>
        <w:r w:rsidR="0081611A">
          <w:tab/>
        </w:r>
        <w:r w:rsidR="0081611A">
          <w:fldChar w:fldCharType="begin"/>
        </w:r>
        <w:r w:rsidR="0081611A">
          <w:instrText xml:space="preserve"> PAGEREF _Toc497300851 \h </w:instrText>
        </w:r>
        <w:r w:rsidR="0081611A">
          <w:fldChar w:fldCharType="separate"/>
        </w:r>
        <w:r w:rsidR="0081611A">
          <w:t>67</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2" w:history="1">
        <w:r w:rsidR="0081611A" w:rsidRPr="00E2713F">
          <w:rPr>
            <w:rStyle w:val="Hyperlink"/>
          </w:rPr>
          <w:t>6.2</w:t>
        </w:r>
        <w:r w:rsidR="0081611A">
          <w:rPr>
            <w:rFonts w:asciiTheme="minorHAnsi" w:eastAsiaTheme="minorEastAsia" w:hAnsiTheme="minorHAnsi" w:cstheme="minorBidi"/>
            <w:color w:val="auto"/>
            <w:spacing w:val="0"/>
            <w:sz w:val="22"/>
            <w:lang w:eastAsia="en-AU"/>
          </w:rPr>
          <w:tab/>
        </w:r>
        <w:r w:rsidR="0081611A" w:rsidRPr="00E2713F">
          <w:rPr>
            <w:rStyle w:val="Hyperlink"/>
          </w:rPr>
          <w:t>Incentives to encourage minor use registration</w:t>
        </w:r>
        <w:r w:rsidR="0081611A">
          <w:tab/>
        </w:r>
        <w:r w:rsidR="0081611A">
          <w:fldChar w:fldCharType="begin"/>
        </w:r>
        <w:r w:rsidR="0081611A">
          <w:instrText xml:space="preserve"> PAGEREF _Toc497300852 \h </w:instrText>
        </w:r>
        <w:r w:rsidR="0081611A">
          <w:fldChar w:fldCharType="separate"/>
        </w:r>
        <w:r w:rsidR="0081611A">
          <w:t>70</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3" w:history="1">
        <w:r w:rsidR="0081611A" w:rsidRPr="00E2713F">
          <w:rPr>
            <w:rStyle w:val="Hyperlink"/>
          </w:rPr>
          <w:t>6.3</w:t>
        </w:r>
        <w:r w:rsidR="0081611A">
          <w:rPr>
            <w:rFonts w:asciiTheme="minorHAnsi" w:eastAsiaTheme="minorEastAsia" w:hAnsiTheme="minorHAnsi" w:cstheme="minorBidi"/>
            <w:color w:val="auto"/>
            <w:spacing w:val="0"/>
            <w:sz w:val="22"/>
            <w:lang w:eastAsia="en-AU"/>
          </w:rPr>
          <w:tab/>
        </w:r>
        <w:r w:rsidR="0081611A" w:rsidRPr="00E2713F">
          <w:rPr>
            <w:rStyle w:val="Hyperlink"/>
          </w:rPr>
          <w:t>Australian measures to address minor uses</w:t>
        </w:r>
        <w:r w:rsidR="0081611A">
          <w:tab/>
        </w:r>
        <w:r w:rsidR="0081611A">
          <w:fldChar w:fldCharType="begin"/>
        </w:r>
        <w:r w:rsidR="0081611A">
          <w:instrText xml:space="preserve"> PAGEREF _Toc497300853 \h </w:instrText>
        </w:r>
        <w:r w:rsidR="0081611A">
          <w:fldChar w:fldCharType="separate"/>
        </w:r>
        <w:r w:rsidR="0081611A">
          <w:t>73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4" w:history="1">
        <w:r w:rsidR="0081611A" w:rsidRPr="00E2713F">
          <w:rPr>
            <w:rStyle w:val="Hyperlink"/>
          </w:rPr>
          <w:t>6.4</w:t>
        </w:r>
        <w:r w:rsidR="0081611A">
          <w:rPr>
            <w:rFonts w:asciiTheme="minorHAnsi" w:eastAsiaTheme="minorEastAsia" w:hAnsiTheme="minorHAnsi" w:cstheme="minorBidi"/>
            <w:color w:val="auto"/>
            <w:spacing w:val="0"/>
            <w:sz w:val="22"/>
            <w:lang w:eastAsia="en-AU"/>
          </w:rPr>
          <w:tab/>
        </w:r>
        <w:r w:rsidR="0081611A" w:rsidRPr="00E2713F">
          <w:rPr>
            <w:rStyle w:val="Hyperlink"/>
          </w:rPr>
          <w:t>Summary comparison of minor use incentives in selected countries</w:t>
        </w:r>
        <w:r w:rsidR="0081611A">
          <w:tab/>
        </w:r>
        <w:r w:rsidR="0081611A">
          <w:fldChar w:fldCharType="begin"/>
        </w:r>
        <w:r w:rsidR="0081611A">
          <w:instrText xml:space="preserve"> PAGEREF _Toc497300854 \h </w:instrText>
        </w:r>
        <w:r w:rsidR="0081611A">
          <w:fldChar w:fldCharType="separate"/>
        </w:r>
        <w:r w:rsidR="0081611A">
          <w:t>74</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5" w:history="1">
        <w:r w:rsidR="0081611A" w:rsidRPr="00E2713F">
          <w:rPr>
            <w:rStyle w:val="Hyperlink"/>
          </w:rPr>
          <w:t>6.5</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_Toc497300855 \h </w:instrText>
        </w:r>
        <w:r w:rsidR="0081611A">
          <w:fldChar w:fldCharType="separate"/>
        </w:r>
        <w:r w:rsidR="0081611A">
          <w:t>75</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56" w:history="1">
        <w:r w:rsidR="0081611A" w:rsidRPr="00E2713F">
          <w:rPr>
            <w:rStyle w:val="Hyperlink"/>
          </w:rPr>
          <w:t>7</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57" w:history="1">
        <w:r w:rsidR="0081611A" w:rsidRPr="00E2713F">
          <w:rPr>
            <w:rStyle w:val="Hyperlink"/>
          </w:rPr>
          <w:t>Veterinary and human pharmaceutical arrangements compared</w:t>
        </w:r>
        <w:r w:rsidR="0081611A">
          <w:tab/>
        </w:r>
        <w:r w:rsidR="0081611A">
          <w:fldChar w:fldCharType="begin"/>
        </w:r>
        <w:r w:rsidR="0081611A">
          <w:instrText xml:space="preserve"> PAGEREF _Toc497300857 \h </w:instrText>
        </w:r>
        <w:r w:rsidR="0081611A">
          <w:fldChar w:fldCharType="separate"/>
        </w:r>
        <w:r w:rsidR="0081611A">
          <w:t>76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8" w:history="1">
        <w:r w:rsidR="0081611A" w:rsidRPr="00E2713F">
          <w:rPr>
            <w:rStyle w:val="Hyperlink"/>
          </w:rPr>
          <w:t>7.1</w:t>
        </w:r>
        <w:r w:rsidR="0081611A">
          <w:rPr>
            <w:rFonts w:asciiTheme="minorHAnsi" w:eastAsiaTheme="minorEastAsia" w:hAnsiTheme="minorHAnsi" w:cstheme="minorBidi"/>
            <w:color w:val="auto"/>
            <w:spacing w:val="0"/>
            <w:sz w:val="22"/>
            <w:lang w:eastAsia="en-AU"/>
          </w:rPr>
          <w:tab/>
        </w:r>
        <w:r w:rsidR="0081611A" w:rsidRPr="00E2713F">
          <w:rPr>
            <w:rStyle w:val="Hyperlink"/>
          </w:rPr>
          <w:t>Legislative frameworks</w:t>
        </w:r>
        <w:r w:rsidR="0081611A">
          <w:tab/>
        </w:r>
        <w:r w:rsidR="0081611A">
          <w:fldChar w:fldCharType="begin"/>
        </w:r>
        <w:r w:rsidR="0081611A">
          <w:instrText xml:space="preserve"> PAGEREF _Toc497300858 \h </w:instrText>
        </w:r>
        <w:r w:rsidR="0081611A">
          <w:fldChar w:fldCharType="separate"/>
        </w:r>
        <w:r w:rsidR="0081611A">
          <w:t>76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59" w:history="1">
        <w:r w:rsidR="0081611A" w:rsidRPr="00E2713F">
          <w:rPr>
            <w:rStyle w:val="Hyperlink"/>
          </w:rPr>
          <w:t>7.2</w:t>
        </w:r>
        <w:r w:rsidR="0081611A">
          <w:rPr>
            <w:rFonts w:asciiTheme="minorHAnsi" w:eastAsiaTheme="minorEastAsia" w:hAnsiTheme="minorHAnsi" w:cstheme="minorBidi"/>
            <w:color w:val="auto"/>
            <w:spacing w:val="0"/>
            <w:sz w:val="22"/>
            <w:lang w:eastAsia="en-AU"/>
          </w:rPr>
          <w:tab/>
        </w:r>
        <w:r w:rsidR="0081611A" w:rsidRPr="00E2713F">
          <w:rPr>
            <w:rStyle w:val="Hyperlink"/>
          </w:rPr>
          <w:t>Patent term restoration or extensions</w:t>
        </w:r>
        <w:r w:rsidR="0081611A">
          <w:tab/>
        </w:r>
        <w:r w:rsidR="0081611A">
          <w:fldChar w:fldCharType="begin"/>
        </w:r>
        <w:r w:rsidR="0081611A">
          <w:instrText xml:space="preserve"> PAGEREF _Toc497300859 \h </w:instrText>
        </w:r>
        <w:r w:rsidR="0081611A">
          <w:fldChar w:fldCharType="separate"/>
        </w:r>
        <w:r w:rsidR="0081611A">
          <w:t>77</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0" w:history="1">
        <w:r w:rsidR="0081611A" w:rsidRPr="00E2713F">
          <w:rPr>
            <w:rStyle w:val="Hyperlink"/>
          </w:rPr>
          <w:t>7.3</w:t>
        </w:r>
        <w:r w:rsidR="0081611A">
          <w:rPr>
            <w:rFonts w:asciiTheme="minorHAnsi" w:eastAsiaTheme="minorEastAsia" w:hAnsiTheme="minorHAnsi" w:cstheme="minorBidi"/>
            <w:color w:val="auto"/>
            <w:spacing w:val="0"/>
            <w:sz w:val="22"/>
            <w:lang w:eastAsia="en-AU"/>
          </w:rPr>
          <w:tab/>
        </w:r>
        <w:r w:rsidR="0081611A" w:rsidRPr="00E2713F">
          <w:rPr>
            <w:rStyle w:val="Hyperlink"/>
          </w:rPr>
          <w:t>Regulatory data protection</w:t>
        </w:r>
        <w:r w:rsidR="0081611A">
          <w:tab/>
        </w:r>
        <w:r w:rsidR="0081611A">
          <w:fldChar w:fldCharType="begin"/>
        </w:r>
        <w:r w:rsidR="0081611A">
          <w:instrText xml:space="preserve"> PAGEREF _Toc497300860 \h </w:instrText>
        </w:r>
        <w:r w:rsidR="0081611A">
          <w:fldChar w:fldCharType="separate"/>
        </w:r>
        <w:r w:rsidR="0081611A">
          <w:t>78</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1" w:history="1">
        <w:r w:rsidR="0081611A" w:rsidRPr="00E2713F">
          <w:rPr>
            <w:rStyle w:val="Hyperlink"/>
          </w:rPr>
          <w:t>7.4</w:t>
        </w:r>
        <w:r w:rsidR="0081611A">
          <w:rPr>
            <w:rFonts w:asciiTheme="minorHAnsi" w:eastAsiaTheme="minorEastAsia" w:hAnsiTheme="minorHAnsi" w:cstheme="minorBidi"/>
            <w:color w:val="auto"/>
            <w:spacing w:val="0"/>
            <w:sz w:val="22"/>
            <w:lang w:eastAsia="en-AU"/>
          </w:rPr>
          <w:tab/>
        </w:r>
        <w:r w:rsidR="0081611A" w:rsidRPr="00E2713F">
          <w:rPr>
            <w:rStyle w:val="Hyperlink"/>
          </w:rPr>
          <w:t>Springboarding</w:t>
        </w:r>
        <w:r w:rsidR="0081611A">
          <w:tab/>
        </w:r>
        <w:r w:rsidR="0081611A">
          <w:fldChar w:fldCharType="begin"/>
        </w:r>
        <w:r w:rsidR="0081611A">
          <w:instrText xml:space="preserve"> PAGEREF _Toc497300861 \h </w:instrText>
        </w:r>
        <w:r w:rsidR="0081611A">
          <w:fldChar w:fldCharType="separate"/>
        </w:r>
        <w:r w:rsidR="0081611A">
          <w:t>81</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2" w:history="1">
        <w:r w:rsidR="0081611A" w:rsidRPr="00E2713F">
          <w:rPr>
            <w:rStyle w:val="Hyperlink"/>
          </w:rPr>
          <w:t>7.5</w:t>
        </w:r>
        <w:r w:rsidR="0081611A">
          <w:rPr>
            <w:rFonts w:asciiTheme="minorHAnsi" w:eastAsiaTheme="minorEastAsia" w:hAnsiTheme="minorHAnsi" w:cstheme="minorBidi"/>
            <w:color w:val="auto"/>
            <w:spacing w:val="0"/>
            <w:sz w:val="22"/>
            <w:lang w:eastAsia="en-AU"/>
          </w:rPr>
          <w:tab/>
        </w:r>
        <w:r w:rsidR="0081611A" w:rsidRPr="00E2713F">
          <w:rPr>
            <w:rStyle w:val="Hyperlink"/>
          </w:rPr>
          <w:t>Conclusions</w:t>
        </w:r>
        <w:r w:rsidR="0081611A">
          <w:tab/>
        </w:r>
        <w:r w:rsidR="0081611A">
          <w:fldChar w:fldCharType="begin"/>
        </w:r>
        <w:r w:rsidR="0081611A">
          <w:instrText xml:space="preserve"> PAGEREF _Toc497300862 \h </w:instrText>
        </w:r>
        <w:r w:rsidR="0081611A">
          <w:fldChar w:fldCharType="separate"/>
        </w:r>
        <w:r w:rsidR="0081611A">
          <w:t>82</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63" w:history="1">
        <w:r w:rsidR="0081611A" w:rsidRPr="00E2713F">
          <w:rPr>
            <w:rStyle w:val="Hyperlink"/>
          </w:rPr>
          <w:t>8</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64" w:history="1">
        <w:r w:rsidR="0081611A" w:rsidRPr="00E2713F">
          <w:rPr>
            <w:rStyle w:val="Hyperlink"/>
          </w:rPr>
          <w:t>Policy considerations</w:t>
        </w:r>
        <w:r w:rsidR="0081611A">
          <w:tab/>
        </w:r>
        <w:r w:rsidR="0081611A">
          <w:fldChar w:fldCharType="begin"/>
        </w:r>
        <w:r w:rsidR="0081611A">
          <w:instrText xml:space="preserve"> PAGEREF _Toc497300864 \h </w:instrText>
        </w:r>
        <w:r w:rsidR="0081611A">
          <w:fldChar w:fldCharType="separate"/>
        </w:r>
        <w:r w:rsidR="0081611A">
          <w:t>83</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5" w:history="1">
        <w:r w:rsidR="0081611A" w:rsidRPr="00E2713F">
          <w:rPr>
            <w:rStyle w:val="Hyperlink"/>
          </w:rPr>
          <w:t>8.1</w:t>
        </w:r>
        <w:r w:rsidR="0081611A">
          <w:rPr>
            <w:rFonts w:asciiTheme="minorHAnsi" w:eastAsiaTheme="minorEastAsia" w:hAnsiTheme="minorHAnsi" w:cstheme="minorBidi"/>
            <w:color w:val="auto"/>
            <w:spacing w:val="0"/>
            <w:sz w:val="22"/>
            <w:lang w:eastAsia="en-AU"/>
          </w:rPr>
          <w:tab/>
        </w:r>
        <w:r w:rsidR="0081611A" w:rsidRPr="00E2713F">
          <w:rPr>
            <w:rStyle w:val="Hyperlink"/>
          </w:rPr>
          <w:t>IP, data protection, CCI and minor uses</w:t>
        </w:r>
        <w:r w:rsidR="0081611A">
          <w:tab/>
        </w:r>
        <w:r w:rsidR="0081611A">
          <w:fldChar w:fldCharType="begin"/>
        </w:r>
        <w:r w:rsidR="0081611A">
          <w:instrText xml:space="preserve"> PAGEREF _Toc497300865 \h </w:instrText>
        </w:r>
        <w:r w:rsidR="0081611A">
          <w:fldChar w:fldCharType="separate"/>
        </w:r>
        <w:r w:rsidR="0081611A">
          <w:t>84</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6" w:history="1">
        <w:r w:rsidR="0081611A" w:rsidRPr="00E2713F">
          <w:rPr>
            <w:rStyle w:val="Hyperlink"/>
          </w:rPr>
          <w:t>8.2</w:t>
        </w:r>
        <w:r w:rsidR="0081611A">
          <w:rPr>
            <w:rFonts w:asciiTheme="minorHAnsi" w:eastAsiaTheme="minorEastAsia" w:hAnsiTheme="minorHAnsi" w:cstheme="minorBidi"/>
            <w:color w:val="auto"/>
            <w:spacing w:val="0"/>
            <w:sz w:val="22"/>
            <w:lang w:eastAsia="en-AU"/>
          </w:rPr>
          <w:tab/>
        </w:r>
        <w:r w:rsidR="0081611A" w:rsidRPr="00E2713F">
          <w:rPr>
            <w:rStyle w:val="Hyperlink"/>
          </w:rPr>
          <w:t>Registration processes</w:t>
        </w:r>
        <w:r w:rsidR="0081611A">
          <w:tab/>
        </w:r>
        <w:r w:rsidR="0081611A">
          <w:fldChar w:fldCharType="begin"/>
        </w:r>
        <w:r w:rsidR="0081611A">
          <w:instrText xml:space="preserve"> PAGEREF _Toc497300866 \h </w:instrText>
        </w:r>
        <w:r w:rsidR="0081611A">
          <w:fldChar w:fldCharType="separate"/>
        </w:r>
        <w:r w:rsidR="0081611A">
          <w:t>86</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67" w:history="1">
        <w:r w:rsidR="0081611A" w:rsidRPr="00E2713F">
          <w:rPr>
            <w:rStyle w:val="Hyperlink"/>
            <w:lang w:val="en-US"/>
          </w:rPr>
          <w:t>8.3</w:t>
        </w:r>
        <w:r w:rsidR="0081611A">
          <w:rPr>
            <w:rFonts w:asciiTheme="minorHAnsi" w:eastAsiaTheme="minorEastAsia" w:hAnsiTheme="minorHAnsi" w:cstheme="minorBidi"/>
            <w:color w:val="auto"/>
            <w:spacing w:val="0"/>
            <w:sz w:val="22"/>
            <w:lang w:eastAsia="en-AU"/>
          </w:rPr>
          <w:tab/>
        </w:r>
        <w:r w:rsidR="0081611A" w:rsidRPr="00E2713F">
          <w:rPr>
            <w:rStyle w:val="Hyperlink"/>
            <w:lang w:val="en-US"/>
          </w:rPr>
          <w:t>Other considerations</w:t>
        </w:r>
        <w:r w:rsidR="0081611A">
          <w:tab/>
        </w:r>
        <w:r w:rsidR="0081611A">
          <w:fldChar w:fldCharType="begin"/>
        </w:r>
        <w:r w:rsidR="0081611A">
          <w:instrText xml:space="preserve"> PAGEREF _Toc497300867 \h </w:instrText>
        </w:r>
        <w:r w:rsidR="0081611A">
          <w:fldChar w:fldCharType="separate"/>
        </w:r>
        <w:r w:rsidR="0081611A">
          <w:t>87</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68" w:history="1">
        <w:r w:rsidR="0081611A" w:rsidRPr="00E2713F">
          <w:rPr>
            <w:rStyle w:val="Hyperlink"/>
          </w:rPr>
          <w:t>A</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69" w:history="1">
        <w:r w:rsidR="0081611A" w:rsidRPr="00E2713F">
          <w:rPr>
            <w:rStyle w:val="Hyperlink"/>
          </w:rPr>
          <w:t>Consultations with stakeholders</w:t>
        </w:r>
        <w:r w:rsidR="0081611A">
          <w:tab/>
        </w:r>
        <w:r w:rsidR="0081611A">
          <w:fldChar w:fldCharType="begin"/>
        </w:r>
        <w:r w:rsidR="0081611A">
          <w:instrText xml:space="preserve"> PAGEREF _Toc497300869 \h </w:instrText>
        </w:r>
        <w:r w:rsidR="0081611A">
          <w:fldChar w:fldCharType="separate"/>
        </w:r>
        <w:r w:rsidR="0081611A">
          <w:t>A–1</w:t>
        </w:r>
        <w:r w:rsidR="0081611A">
          <w:fldChar w:fldCharType="end"/>
        </w:r>
      </w:hyperlink>
    </w:p>
    <w:p w:rsidR="0081611A" w:rsidRDefault="00221158">
      <w:pPr>
        <w:pStyle w:val="TOC3"/>
        <w:rPr>
          <w:rFonts w:asciiTheme="minorHAnsi" w:eastAsiaTheme="minorEastAsia" w:hAnsiTheme="minorHAnsi" w:cstheme="minorBidi"/>
          <w:color w:val="auto"/>
          <w:position w:val="0"/>
          <w:sz w:val="22"/>
          <w:lang w:eastAsia="en-AU"/>
        </w:rPr>
      </w:pPr>
      <w:hyperlink w:anchor="_Toc497300870" w:history="1">
        <w:r w:rsidR="0081611A" w:rsidRPr="00E2713F">
          <w:rPr>
            <w:rStyle w:val="Hyperlink"/>
          </w:rPr>
          <w:t>B</w:t>
        </w:r>
      </w:hyperlink>
    </w:p>
    <w:p w:rsidR="0081611A" w:rsidRDefault="00221158">
      <w:pPr>
        <w:pStyle w:val="TOC4"/>
        <w:rPr>
          <w:rFonts w:asciiTheme="minorHAnsi" w:eastAsiaTheme="minorEastAsia" w:hAnsiTheme="minorHAnsi" w:cstheme="minorBidi"/>
          <w:i w:val="0"/>
          <w:color w:val="auto"/>
          <w:sz w:val="22"/>
          <w:lang w:eastAsia="en-AU"/>
        </w:rPr>
      </w:pPr>
      <w:hyperlink w:anchor="_Toc497300871" w:history="1">
        <w:r w:rsidR="0081611A" w:rsidRPr="00E2713F">
          <w:rPr>
            <w:rStyle w:val="Hyperlink"/>
          </w:rPr>
          <w:t>APVMA timeframes and fees</w:t>
        </w:r>
        <w:r w:rsidR="0081611A">
          <w:tab/>
        </w:r>
        <w:r w:rsidR="0081611A">
          <w:fldChar w:fldCharType="begin"/>
        </w:r>
        <w:r w:rsidR="0081611A">
          <w:instrText xml:space="preserve"> PAGEREF _Toc497300871 \h </w:instrText>
        </w:r>
        <w:r w:rsidR="0081611A">
          <w:fldChar w:fldCharType="separate"/>
        </w:r>
        <w:r w:rsidR="0081611A">
          <w:t>B–1</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72" w:history="1">
        <w:r w:rsidR="0081611A" w:rsidRPr="00E2713F">
          <w:rPr>
            <w:rStyle w:val="Hyperlink"/>
          </w:rPr>
          <w:t>B.1</w:t>
        </w:r>
        <w:r w:rsidR="0081611A">
          <w:rPr>
            <w:rFonts w:asciiTheme="minorHAnsi" w:eastAsiaTheme="minorEastAsia" w:hAnsiTheme="minorHAnsi" w:cstheme="minorBidi"/>
            <w:color w:val="auto"/>
            <w:spacing w:val="0"/>
            <w:sz w:val="22"/>
            <w:lang w:eastAsia="en-AU"/>
          </w:rPr>
          <w:tab/>
        </w:r>
        <w:r w:rsidR="0081611A" w:rsidRPr="00E2713F">
          <w:rPr>
            <w:rStyle w:val="Hyperlink"/>
          </w:rPr>
          <w:t>Introduction</w:t>
        </w:r>
        <w:r w:rsidR="0081611A">
          <w:tab/>
        </w:r>
        <w:r w:rsidR="0081611A">
          <w:fldChar w:fldCharType="begin"/>
        </w:r>
        <w:r w:rsidR="0081611A">
          <w:instrText xml:space="preserve"> PAGEREF _Toc497300872 \h </w:instrText>
        </w:r>
        <w:r w:rsidR="0081611A">
          <w:fldChar w:fldCharType="separate"/>
        </w:r>
        <w:r w:rsidR="0081611A">
          <w:t>B–1</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73" w:history="1">
        <w:r w:rsidR="0081611A" w:rsidRPr="00E2713F">
          <w:rPr>
            <w:rStyle w:val="Hyperlink"/>
          </w:rPr>
          <w:t>B.2</w:t>
        </w:r>
        <w:r w:rsidR="0081611A">
          <w:rPr>
            <w:rFonts w:asciiTheme="minorHAnsi" w:eastAsiaTheme="minorEastAsia" w:hAnsiTheme="minorHAnsi" w:cstheme="minorBidi"/>
            <w:color w:val="auto"/>
            <w:spacing w:val="0"/>
            <w:sz w:val="22"/>
            <w:lang w:eastAsia="en-AU"/>
          </w:rPr>
          <w:tab/>
        </w:r>
        <w:r w:rsidR="0081611A" w:rsidRPr="00E2713F">
          <w:rPr>
            <w:rStyle w:val="Hyperlink"/>
          </w:rPr>
          <w:t>Assessment periods and fees</w:t>
        </w:r>
        <w:r w:rsidR="0081611A">
          <w:tab/>
        </w:r>
        <w:r w:rsidR="0081611A">
          <w:fldChar w:fldCharType="begin"/>
        </w:r>
        <w:r w:rsidR="0081611A">
          <w:instrText xml:space="preserve"> PAGEREF _Toc497300873 \h </w:instrText>
        </w:r>
        <w:r w:rsidR="0081611A">
          <w:fldChar w:fldCharType="separate"/>
        </w:r>
        <w:r w:rsidR="0081611A">
          <w:t>B–2</w:t>
        </w:r>
        <w:r w:rsidR="0081611A">
          <w:fldChar w:fldCharType="end"/>
        </w:r>
      </w:hyperlink>
    </w:p>
    <w:p w:rsidR="0081611A" w:rsidRDefault="00221158">
      <w:pPr>
        <w:pStyle w:val="TOC5"/>
        <w:rPr>
          <w:rFonts w:asciiTheme="minorHAnsi" w:eastAsiaTheme="minorEastAsia" w:hAnsiTheme="minorHAnsi" w:cstheme="minorBidi"/>
          <w:color w:val="auto"/>
          <w:spacing w:val="0"/>
          <w:sz w:val="22"/>
          <w:lang w:eastAsia="en-AU"/>
        </w:rPr>
      </w:pPr>
      <w:hyperlink w:anchor="_Toc497300874" w:history="1">
        <w:r w:rsidR="0081611A" w:rsidRPr="00E2713F">
          <w:rPr>
            <w:rStyle w:val="Hyperlink"/>
          </w:rPr>
          <w:t>B.3</w:t>
        </w:r>
        <w:r w:rsidR="0081611A">
          <w:rPr>
            <w:rFonts w:asciiTheme="minorHAnsi" w:eastAsiaTheme="minorEastAsia" w:hAnsiTheme="minorHAnsi" w:cstheme="minorBidi"/>
            <w:color w:val="auto"/>
            <w:spacing w:val="0"/>
            <w:sz w:val="22"/>
            <w:lang w:eastAsia="en-AU"/>
          </w:rPr>
          <w:tab/>
        </w:r>
        <w:r w:rsidR="0081611A" w:rsidRPr="00E2713F">
          <w:rPr>
            <w:rStyle w:val="Hyperlink"/>
          </w:rPr>
          <w:t>Permit fees</w:t>
        </w:r>
        <w:r w:rsidR="0081611A">
          <w:tab/>
        </w:r>
        <w:r w:rsidR="0081611A">
          <w:fldChar w:fldCharType="begin"/>
        </w:r>
        <w:r w:rsidR="0081611A">
          <w:instrText xml:space="preserve"> PAGEREF _Toc497300874 \h </w:instrText>
        </w:r>
        <w:r w:rsidR="0081611A">
          <w:fldChar w:fldCharType="separate"/>
        </w:r>
        <w:r w:rsidR="0081611A">
          <w:t>B–5</w:t>
        </w:r>
        <w:r w:rsidR="0081611A">
          <w:fldChar w:fldCharType="end"/>
        </w:r>
      </w:hyperlink>
    </w:p>
    <w:p w:rsidR="00D95E58" w:rsidRDefault="00D95E58" w:rsidP="004C7363">
      <w:pPr>
        <w:pStyle w:val="TOCGeneral"/>
        <w:keepNext/>
        <w:keepLines/>
        <w:rPr>
          <w:noProof/>
        </w:rPr>
      </w:pPr>
      <w:r>
        <w:rPr>
          <w:noProof/>
        </w:rPr>
        <w:fldChar w:fldCharType="end"/>
      </w:r>
    </w:p>
    <w:p w:rsidR="00D95E58" w:rsidRDefault="00D95E58" w:rsidP="004C7363">
      <w:pPr>
        <w:pStyle w:val="TOCGeneral"/>
        <w:keepNext/>
        <w:keepLines/>
        <w:rPr>
          <w:noProof/>
        </w:rPr>
      </w:pPr>
    </w:p>
    <w:p w:rsidR="00D95E58" w:rsidRDefault="00D95E58" w:rsidP="004C7363">
      <w:pPr>
        <w:pStyle w:val="TOCGeneral"/>
        <w:keepNext/>
        <w:keepLines/>
        <w:rPr>
          <w:noProof/>
        </w:rPr>
      </w:pPr>
    </w:p>
    <w:p w:rsidR="00D95E58" w:rsidRDefault="00D95E58" w:rsidP="004C7363">
      <w:pPr>
        <w:pStyle w:val="TOCGeneral"/>
        <w:keepNext/>
        <w:keepLines/>
      </w:pPr>
    </w:p>
    <w:p w:rsidR="00D95E58" w:rsidRPr="000715A3" w:rsidRDefault="00D95E58" w:rsidP="004C7363">
      <w:pPr>
        <w:pStyle w:val="TOC7"/>
        <w:keepLines/>
      </w:pPr>
      <w:r w:rsidRPr="000715A3">
        <w:t>Figures</w:t>
      </w:r>
    </w:p>
    <w:p w:rsidR="00AB7D7B" w:rsidRDefault="00D95E58" w:rsidP="004C7363">
      <w:pPr>
        <w:pStyle w:val="TOCGeneral"/>
        <w:keepNext/>
        <w:keepLines/>
        <w:rPr>
          <w:noProof/>
        </w:rPr>
      </w:pPr>
      <w:r w:rsidRPr="009C48A8">
        <w:fldChar w:fldCharType="begin"/>
      </w:r>
      <w:r w:rsidRPr="009C48A8">
        <w:instrText xml:space="preserve"> TOC </w:instrText>
      </w:r>
      <w:r>
        <w:instrText xml:space="preserve">\h </w:instrText>
      </w:r>
      <w:r w:rsidRPr="009C48A8">
        <w:instrText xml:space="preserve">\c "Figure ES" </w:instrText>
      </w:r>
      <w:r w:rsidRPr="009C48A8">
        <w:fldChar w:fldCharType="separate"/>
      </w:r>
      <w:r w:rsidR="007134DE">
        <w:rPr>
          <w:b/>
          <w:bCs/>
          <w:noProof/>
          <w:lang w:val="en-US"/>
        </w:rPr>
        <w:t>No table of figures entries found.</w:t>
      </w:r>
      <w:r w:rsidRPr="009C48A8">
        <w:fldChar w:fldCharType="end"/>
      </w:r>
      <w:r w:rsidRPr="009C48A8">
        <w:fldChar w:fldCharType="begin"/>
      </w:r>
      <w:r w:rsidRPr="009C48A8">
        <w:instrText xml:space="preserve"> TOC </w:instrText>
      </w:r>
      <w:r>
        <w:instrText xml:space="preserve">\h </w:instrText>
      </w:r>
      <w:r w:rsidRPr="009C48A8">
        <w:instrText xml:space="preserve">\c "Figure" </w:instrText>
      </w:r>
      <w:r w:rsidRPr="009C48A8">
        <w:fldChar w:fldCharType="separate"/>
      </w:r>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4" w:history="1">
        <w:r w:rsidR="00AB7D7B" w:rsidRPr="00577A05">
          <w:rPr>
            <w:rStyle w:val="Hyperlink"/>
            <w:b/>
            <w:noProof/>
          </w:rPr>
          <w:t>Figure 2.1</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Discovery and development costs of new crop protection products (current prices), 1995, 2000, 2005-08 and 2010-14</w:t>
        </w:r>
        <w:r w:rsidR="00AB7D7B">
          <w:rPr>
            <w:noProof/>
          </w:rPr>
          <w:tab/>
        </w:r>
        <w:r w:rsidR="00AB7D7B">
          <w:rPr>
            <w:noProof/>
          </w:rPr>
          <w:fldChar w:fldCharType="begin"/>
        </w:r>
        <w:r w:rsidR="00AB7D7B">
          <w:rPr>
            <w:noProof/>
          </w:rPr>
          <w:instrText xml:space="preserve"> PAGEREF _Toc497298084 \h </w:instrText>
        </w:r>
        <w:r w:rsidR="00AB7D7B">
          <w:rPr>
            <w:noProof/>
          </w:rPr>
        </w:r>
        <w:r w:rsidR="00AB7D7B">
          <w:rPr>
            <w:noProof/>
          </w:rPr>
          <w:fldChar w:fldCharType="separate"/>
        </w:r>
        <w:r w:rsidR="0087688C">
          <w:rPr>
            <w:noProof/>
          </w:rPr>
          <w:t>8</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5" w:history="1">
        <w:r w:rsidR="00AB7D7B" w:rsidRPr="00577A05">
          <w:rPr>
            <w:rStyle w:val="Hyperlink"/>
            <w:b/>
            <w:noProof/>
          </w:rPr>
          <w:t>Figure 2.2</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Product discovery and development lead time, 1995 – 2010-14</w:t>
        </w:r>
        <w:r w:rsidR="00AB7D7B">
          <w:rPr>
            <w:noProof/>
          </w:rPr>
          <w:tab/>
        </w:r>
        <w:r w:rsidR="00AB7D7B">
          <w:rPr>
            <w:noProof/>
          </w:rPr>
          <w:fldChar w:fldCharType="begin"/>
        </w:r>
        <w:r w:rsidR="00AB7D7B">
          <w:rPr>
            <w:noProof/>
          </w:rPr>
          <w:instrText xml:space="preserve"> PAGEREF _Toc497298085 \h </w:instrText>
        </w:r>
        <w:r w:rsidR="00AB7D7B">
          <w:rPr>
            <w:noProof/>
          </w:rPr>
        </w:r>
        <w:r w:rsidR="00AB7D7B">
          <w:rPr>
            <w:noProof/>
          </w:rPr>
          <w:fldChar w:fldCharType="separate"/>
        </w:r>
        <w:r w:rsidR="0087688C">
          <w:rPr>
            <w:noProof/>
          </w:rPr>
          <w:t>8</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6" w:history="1">
        <w:r w:rsidR="00AB7D7B" w:rsidRPr="00577A05">
          <w:rPr>
            <w:rStyle w:val="Hyperlink"/>
            <w:b/>
            <w:noProof/>
          </w:rPr>
          <w:t>Figure 2.3</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Australian sales and prices of agricultural chemicals, by product type (Nominal prices), 2004-05 –2014-15</w:t>
        </w:r>
        <w:r w:rsidR="00AB7D7B">
          <w:rPr>
            <w:noProof/>
          </w:rPr>
          <w:tab/>
        </w:r>
        <w:r w:rsidR="00AB7D7B">
          <w:rPr>
            <w:noProof/>
          </w:rPr>
          <w:fldChar w:fldCharType="begin"/>
        </w:r>
        <w:r w:rsidR="00AB7D7B">
          <w:rPr>
            <w:noProof/>
          </w:rPr>
          <w:instrText xml:space="preserve"> PAGEREF _Toc497298086 \h </w:instrText>
        </w:r>
        <w:r w:rsidR="00AB7D7B">
          <w:rPr>
            <w:noProof/>
          </w:rPr>
        </w:r>
        <w:r w:rsidR="00AB7D7B">
          <w:rPr>
            <w:noProof/>
          </w:rPr>
          <w:fldChar w:fldCharType="separate"/>
        </w:r>
        <w:r w:rsidR="0087688C">
          <w:rPr>
            <w:noProof/>
          </w:rPr>
          <w:t>9</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7" w:history="1">
        <w:r w:rsidR="00AB7D7B" w:rsidRPr="00577A05">
          <w:rPr>
            <w:rStyle w:val="Hyperlink"/>
            <w:b/>
            <w:noProof/>
          </w:rPr>
          <w:t>Figure 2.4</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Major agvet chemical manufAcTurers in Australia and their market share in terms of revenue, 2015-16</w:t>
        </w:r>
        <w:r w:rsidR="00AB7D7B">
          <w:rPr>
            <w:noProof/>
          </w:rPr>
          <w:tab/>
        </w:r>
        <w:r w:rsidR="00AB7D7B">
          <w:rPr>
            <w:noProof/>
          </w:rPr>
          <w:fldChar w:fldCharType="begin"/>
        </w:r>
        <w:r w:rsidR="00AB7D7B">
          <w:rPr>
            <w:noProof/>
          </w:rPr>
          <w:instrText xml:space="preserve"> PAGEREF _Toc497298087 \h </w:instrText>
        </w:r>
        <w:r w:rsidR="00AB7D7B">
          <w:rPr>
            <w:noProof/>
          </w:rPr>
        </w:r>
        <w:r w:rsidR="00AB7D7B">
          <w:rPr>
            <w:noProof/>
          </w:rPr>
          <w:fldChar w:fldCharType="separate"/>
        </w:r>
        <w:r w:rsidR="0087688C">
          <w:rPr>
            <w:noProof/>
          </w:rPr>
          <w:t>11</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8" w:history="1">
        <w:r w:rsidR="00AB7D7B" w:rsidRPr="00577A05">
          <w:rPr>
            <w:rStyle w:val="Hyperlink"/>
            <w:b/>
            <w:noProof/>
          </w:rPr>
          <w:t>Figure 2.5</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Cost structure, 2015-16</w:t>
        </w:r>
        <w:r w:rsidR="00AB7D7B">
          <w:rPr>
            <w:noProof/>
          </w:rPr>
          <w:tab/>
        </w:r>
        <w:r w:rsidR="00AB7D7B">
          <w:rPr>
            <w:noProof/>
          </w:rPr>
          <w:fldChar w:fldCharType="begin"/>
        </w:r>
        <w:r w:rsidR="00AB7D7B">
          <w:rPr>
            <w:noProof/>
          </w:rPr>
          <w:instrText xml:space="preserve"> PAGEREF _Toc497298088 \h </w:instrText>
        </w:r>
        <w:r w:rsidR="00AB7D7B">
          <w:rPr>
            <w:noProof/>
          </w:rPr>
        </w:r>
        <w:r w:rsidR="00AB7D7B">
          <w:rPr>
            <w:noProof/>
          </w:rPr>
          <w:fldChar w:fldCharType="separate"/>
        </w:r>
        <w:r w:rsidR="0087688C">
          <w:rPr>
            <w:noProof/>
          </w:rPr>
          <w:t>12</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89" w:history="1">
        <w:r w:rsidR="00AB7D7B" w:rsidRPr="00577A05">
          <w:rPr>
            <w:rStyle w:val="Hyperlink"/>
            <w:b/>
            <w:noProof/>
          </w:rPr>
          <w:t>Figure 2.6</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Number of agvet chemical products registered in Australia, 2011-12 to 2015-16</w:t>
        </w:r>
        <w:r w:rsidR="00AB7D7B">
          <w:rPr>
            <w:noProof/>
          </w:rPr>
          <w:tab/>
        </w:r>
        <w:r w:rsidR="00AB7D7B">
          <w:rPr>
            <w:noProof/>
          </w:rPr>
          <w:fldChar w:fldCharType="begin"/>
        </w:r>
        <w:r w:rsidR="00AB7D7B">
          <w:rPr>
            <w:noProof/>
          </w:rPr>
          <w:instrText xml:space="preserve"> PAGEREF _Toc497298089 \h </w:instrText>
        </w:r>
        <w:r w:rsidR="00AB7D7B">
          <w:rPr>
            <w:noProof/>
          </w:rPr>
        </w:r>
        <w:r w:rsidR="00AB7D7B">
          <w:rPr>
            <w:noProof/>
          </w:rPr>
          <w:fldChar w:fldCharType="separate"/>
        </w:r>
        <w:r w:rsidR="0087688C">
          <w:rPr>
            <w:noProof/>
          </w:rPr>
          <w:t>15</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0" w:history="1">
        <w:r w:rsidR="00AB7D7B" w:rsidRPr="00577A05">
          <w:rPr>
            <w:rStyle w:val="Hyperlink"/>
            <w:b/>
            <w:noProof/>
          </w:rPr>
          <w:t>Figure 2.7</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average US roundup price US$ / gallon, 2001-14</w:t>
        </w:r>
        <w:r w:rsidR="00AB7D7B">
          <w:rPr>
            <w:noProof/>
          </w:rPr>
          <w:tab/>
        </w:r>
        <w:r w:rsidR="00AB7D7B">
          <w:rPr>
            <w:noProof/>
          </w:rPr>
          <w:fldChar w:fldCharType="begin"/>
        </w:r>
        <w:r w:rsidR="00AB7D7B">
          <w:rPr>
            <w:noProof/>
          </w:rPr>
          <w:instrText xml:space="preserve"> PAGEREF _Toc497298090 \h </w:instrText>
        </w:r>
        <w:r w:rsidR="00AB7D7B">
          <w:rPr>
            <w:noProof/>
          </w:rPr>
        </w:r>
        <w:r w:rsidR="00AB7D7B">
          <w:rPr>
            <w:noProof/>
          </w:rPr>
          <w:fldChar w:fldCharType="separate"/>
        </w:r>
        <w:r w:rsidR="0087688C">
          <w:rPr>
            <w:noProof/>
          </w:rPr>
          <w:t>17</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1" w:history="1">
        <w:r w:rsidR="00AB7D7B" w:rsidRPr="00577A05">
          <w:rPr>
            <w:rStyle w:val="Hyperlink"/>
            <w:b/>
            <w:noProof/>
          </w:rPr>
          <w:t>Figure 2.8</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Number of plant protection products registered in Canada, 2011-12 to 2015-16</w:t>
        </w:r>
        <w:r w:rsidR="00AB7D7B">
          <w:rPr>
            <w:noProof/>
          </w:rPr>
          <w:tab/>
        </w:r>
        <w:r w:rsidR="00AB7D7B">
          <w:rPr>
            <w:noProof/>
          </w:rPr>
          <w:fldChar w:fldCharType="begin"/>
        </w:r>
        <w:r w:rsidR="00AB7D7B">
          <w:rPr>
            <w:noProof/>
          </w:rPr>
          <w:instrText xml:space="preserve"> PAGEREF _Toc497298091 \h </w:instrText>
        </w:r>
        <w:r w:rsidR="00AB7D7B">
          <w:rPr>
            <w:noProof/>
          </w:rPr>
        </w:r>
        <w:r w:rsidR="00AB7D7B">
          <w:rPr>
            <w:noProof/>
          </w:rPr>
          <w:fldChar w:fldCharType="separate"/>
        </w:r>
        <w:r w:rsidR="0087688C">
          <w:rPr>
            <w:noProof/>
          </w:rPr>
          <w:t>18</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2" w:history="1">
        <w:r w:rsidR="00AB7D7B" w:rsidRPr="00577A05">
          <w:rPr>
            <w:rStyle w:val="Hyperlink"/>
            <w:b/>
            <w:noProof/>
          </w:rPr>
          <w:t>Figure 2.9</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Number of AGVET chemical products Registered in New Zealand, 2011–2016</w:t>
        </w:r>
        <w:r w:rsidR="00AB7D7B">
          <w:rPr>
            <w:noProof/>
          </w:rPr>
          <w:tab/>
        </w:r>
        <w:r w:rsidR="00AB7D7B">
          <w:rPr>
            <w:noProof/>
          </w:rPr>
          <w:fldChar w:fldCharType="begin"/>
        </w:r>
        <w:r w:rsidR="00AB7D7B">
          <w:rPr>
            <w:noProof/>
          </w:rPr>
          <w:instrText xml:space="preserve"> PAGEREF _Toc497298092 \h </w:instrText>
        </w:r>
        <w:r w:rsidR="00AB7D7B">
          <w:rPr>
            <w:noProof/>
          </w:rPr>
        </w:r>
        <w:r w:rsidR="00AB7D7B">
          <w:rPr>
            <w:noProof/>
          </w:rPr>
          <w:fldChar w:fldCharType="separate"/>
        </w:r>
        <w:r w:rsidR="0087688C">
          <w:rPr>
            <w:noProof/>
          </w:rPr>
          <w:t>20</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3" w:history="1">
        <w:r w:rsidR="00AB7D7B" w:rsidRPr="00577A05">
          <w:rPr>
            <w:rStyle w:val="Hyperlink"/>
            <w:b/>
            <w:noProof/>
          </w:rPr>
          <w:t>Figure 4.1</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APVMA registration process in Australia</w:t>
        </w:r>
        <w:r w:rsidR="00AB7D7B">
          <w:rPr>
            <w:noProof/>
          </w:rPr>
          <w:tab/>
        </w:r>
        <w:r w:rsidR="00AB7D7B">
          <w:rPr>
            <w:noProof/>
          </w:rPr>
          <w:fldChar w:fldCharType="begin"/>
        </w:r>
        <w:r w:rsidR="00AB7D7B">
          <w:rPr>
            <w:noProof/>
          </w:rPr>
          <w:instrText xml:space="preserve"> PAGEREF _Toc497298093 \h </w:instrText>
        </w:r>
        <w:r w:rsidR="00AB7D7B">
          <w:rPr>
            <w:noProof/>
          </w:rPr>
        </w:r>
        <w:r w:rsidR="00AB7D7B">
          <w:rPr>
            <w:noProof/>
          </w:rPr>
          <w:fldChar w:fldCharType="separate"/>
        </w:r>
        <w:r w:rsidR="0087688C">
          <w:rPr>
            <w:noProof/>
          </w:rPr>
          <w:t>44</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4" w:history="1">
        <w:r w:rsidR="00AB7D7B" w:rsidRPr="00577A05">
          <w:rPr>
            <w:rStyle w:val="Hyperlink"/>
            <w:b/>
            <w:noProof/>
          </w:rPr>
          <w:t>Figure 4.2</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Australian registration process with IP related provisions</w:t>
        </w:r>
        <w:r w:rsidR="00AB7D7B">
          <w:rPr>
            <w:noProof/>
          </w:rPr>
          <w:tab/>
        </w:r>
        <w:r w:rsidR="00AB7D7B">
          <w:rPr>
            <w:noProof/>
          </w:rPr>
          <w:fldChar w:fldCharType="begin"/>
        </w:r>
        <w:r w:rsidR="00AB7D7B">
          <w:rPr>
            <w:noProof/>
          </w:rPr>
          <w:instrText xml:space="preserve"> PAGEREF _Toc497298094 \h </w:instrText>
        </w:r>
        <w:r w:rsidR="00AB7D7B">
          <w:rPr>
            <w:noProof/>
          </w:rPr>
        </w:r>
        <w:r w:rsidR="00AB7D7B">
          <w:rPr>
            <w:noProof/>
          </w:rPr>
          <w:fldChar w:fldCharType="separate"/>
        </w:r>
        <w:r w:rsidR="0087688C">
          <w:rPr>
            <w:noProof/>
          </w:rPr>
          <w:t>47</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5" w:history="1">
        <w:r w:rsidR="00AB7D7B" w:rsidRPr="00577A05">
          <w:rPr>
            <w:rStyle w:val="Hyperlink"/>
            <w:b/>
            <w:noProof/>
          </w:rPr>
          <w:t>Figure 4.3</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EU new active substance approval procedure</w:t>
        </w:r>
        <w:r w:rsidR="00AB7D7B">
          <w:rPr>
            <w:noProof/>
          </w:rPr>
          <w:tab/>
        </w:r>
        <w:r w:rsidR="00AB7D7B">
          <w:rPr>
            <w:noProof/>
          </w:rPr>
          <w:fldChar w:fldCharType="begin"/>
        </w:r>
        <w:r w:rsidR="00AB7D7B">
          <w:rPr>
            <w:noProof/>
          </w:rPr>
          <w:instrText xml:space="preserve"> PAGEREF _Toc497298095 \h </w:instrText>
        </w:r>
        <w:r w:rsidR="00AB7D7B">
          <w:rPr>
            <w:noProof/>
          </w:rPr>
        </w:r>
        <w:r w:rsidR="00AB7D7B">
          <w:rPr>
            <w:noProof/>
          </w:rPr>
          <w:fldChar w:fldCharType="separate"/>
        </w:r>
        <w:r w:rsidR="0087688C">
          <w:rPr>
            <w:noProof/>
          </w:rPr>
          <w:t>50</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6" w:history="1">
        <w:r w:rsidR="00AB7D7B" w:rsidRPr="00577A05">
          <w:rPr>
            <w:rStyle w:val="Hyperlink"/>
            <w:b/>
            <w:noProof/>
          </w:rPr>
          <w:t>Figure 4.4</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EU registration process with data protection and other IP provisions</w:t>
        </w:r>
        <w:r w:rsidR="00AB7D7B">
          <w:rPr>
            <w:noProof/>
          </w:rPr>
          <w:tab/>
        </w:r>
        <w:r w:rsidR="00AB7D7B">
          <w:rPr>
            <w:noProof/>
          </w:rPr>
          <w:fldChar w:fldCharType="begin"/>
        </w:r>
        <w:r w:rsidR="00AB7D7B">
          <w:rPr>
            <w:noProof/>
          </w:rPr>
          <w:instrText xml:space="preserve"> PAGEREF _Toc497298096 \h </w:instrText>
        </w:r>
        <w:r w:rsidR="00AB7D7B">
          <w:rPr>
            <w:noProof/>
          </w:rPr>
        </w:r>
        <w:r w:rsidR="00AB7D7B">
          <w:rPr>
            <w:noProof/>
          </w:rPr>
          <w:fldChar w:fldCharType="separate"/>
        </w:r>
        <w:r w:rsidR="0087688C">
          <w:rPr>
            <w:noProof/>
          </w:rPr>
          <w:t>51</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7" w:history="1">
        <w:r w:rsidR="00AB7D7B" w:rsidRPr="00577A05">
          <w:rPr>
            <w:rStyle w:val="Hyperlink"/>
            <w:b/>
            <w:noProof/>
          </w:rPr>
          <w:t>Figure 4.5</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US registration process for plant protection products</w:t>
        </w:r>
        <w:r w:rsidR="00AB7D7B">
          <w:rPr>
            <w:noProof/>
          </w:rPr>
          <w:tab/>
        </w:r>
        <w:r w:rsidR="00AB7D7B">
          <w:rPr>
            <w:noProof/>
          </w:rPr>
          <w:fldChar w:fldCharType="begin"/>
        </w:r>
        <w:r w:rsidR="00AB7D7B">
          <w:rPr>
            <w:noProof/>
          </w:rPr>
          <w:instrText xml:space="preserve"> PAGEREF _Toc497298097 \h </w:instrText>
        </w:r>
        <w:r w:rsidR="00AB7D7B">
          <w:rPr>
            <w:noProof/>
          </w:rPr>
        </w:r>
        <w:r w:rsidR="00AB7D7B">
          <w:rPr>
            <w:noProof/>
          </w:rPr>
          <w:fldChar w:fldCharType="separate"/>
        </w:r>
        <w:r w:rsidR="0087688C">
          <w:rPr>
            <w:noProof/>
          </w:rPr>
          <w:t>54</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8" w:history="1">
        <w:r w:rsidR="00AB7D7B" w:rsidRPr="00577A05">
          <w:rPr>
            <w:rStyle w:val="Hyperlink"/>
            <w:b/>
            <w:noProof/>
          </w:rPr>
          <w:t>Figure 4.6</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Canadian registration process for plant protection products</w:t>
        </w:r>
        <w:r w:rsidR="00AB7D7B">
          <w:rPr>
            <w:noProof/>
          </w:rPr>
          <w:tab/>
        </w:r>
        <w:r w:rsidR="00AB7D7B">
          <w:rPr>
            <w:noProof/>
          </w:rPr>
          <w:fldChar w:fldCharType="begin"/>
        </w:r>
        <w:r w:rsidR="00AB7D7B">
          <w:rPr>
            <w:noProof/>
          </w:rPr>
          <w:instrText xml:space="preserve"> PAGEREF _Toc497298098 \h </w:instrText>
        </w:r>
        <w:r w:rsidR="00AB7D7B">
          <w:rPr>
            <w:noProof/>
          </w:rPr>
        </w:r>
        <w:r w:rsidR="00AB7D7B">
          <w:rPr>
            <w:noProof/>
          </w:rPr>
          <w:fldChar w:fldCharType="separate"/>
        </w:r>
        <w:r w:rsidR="0087688C">
          <w:rPr>
            <w:noProof/>
          </w:rPr>
          <w:t>56</w:t>
        </w:r>
        <w:r w:rsidR="00AB7D7B">
          <w:rPr>
            <w:noProof/>
          </w:rPr>
          <w:fldChar w:fldCharType="end"/>
        </w:r>
      </w:hyperlink>
    </w:p>
    <w:p w:rsidR="00AB7D7B" w:rsidRDefault="00221158">
      <w:pPr>
        <w:pStyle w:val="TableofFigures"/>
        <w:rPr>
          <w:rFonts w:asciiTheme="minorHAnsi" w:eastAsiaTheme="minorEastAsia" w:hAnsiTheme="minorHAnsi" w:cstheme="minorBidi"/>
          <w:caps w:val="0"/>
          <w:noProof/>
          <w:spacing w:val="0"/>
          <w:sz w:val="22"/>
          <w:lang w:eastAsia="en-AU"/>
        </w:rPr>
      </w:pPr>
      <w:hyperlink w:anchor="_Toc497298099" w:history="1">
        <w:r w:rsidR="00AB7D7B" w:rsidRPr="00577A05">
          <w:rPr>
            <w:rStyle w:val="Hyperlink"/>
            <w:b/>
            <w:noProof/>
          </w:rPr>
          <w:t>Figure 5.1</w:t>
        </w:r>
        <w:r w:rsidR="00AB7D7B">
          <w:rPr>
            <w:rFonts w:asciiTheme="minorHAnsi" w:eastAsiaTheme="minorEastAsia" w:hAnsiTheme="minorHAnsi" w:cstheme="minorBidi"/>
            <w:caps w:val="0"/>
            <w:noProof/>
            <w:spacing w:val="0"/>
            <w:sz w:val="22"/>
            <w:lang w:eastAsia="en-AU"/>
          </w:rPr>
          <w:tab/>
        </w:r>
        <w:r w:rsidR="00AB7D7B" w:rsidRPr="00577A05">
          <w:rPr>
            <w:rStyle w:val="Hyperlink"/>
            <w:noProof/>
          </w:rPr>
          <w:t>Sources of APVMA income and expenditure, 2015-16</w:t>
        </w:r>
        <w:r w:rsidR="00AB7D7B">
          <w:rPr>
            <w:noProof/>
          </w:rPr>
          <w:tab/>
        </w:r>
        <w:r w:rsidR="00AB7D7B">
          <w:rPr>
            <w:noProof/>
          </w:rPr>
          <w:fldChar w:fldCharType="begin"/>
        </w:r>
        <w:r w:rsidR="00AB7D7B">
          <w:rPr>
            <w:noProof/>
          </w:rPr>
          <w:instrText xml:space="preserve"> PAGEREF _Toc497298099 \h </w:instrText>
        </w:r>
        <w:r w:rsidR="00AB7D7B">
          <w:rPr>
            <w:noProof/>
          </w:rPr>
        </w:r>
        <w:r w:rsidR="00AB7D7B">
          <w:rPr>
            <w:noProof/>
          </w:rPr>
          <w:fldChar w:fldCharType="separate"/>
        </w:r>
        <w:r w:rsidR="0087688C">
          <w:rPr>
            <w:noProof/>
          </w:rPr>
          <w:t>62</w:t>
        </w:r>
        <w:r w:rsidR="00AB7D7B">
          <w:rPr>
            <w:noProof/>
          </w:rPr>
          <w:fldChar w:fldCharType="end"/>
        </w:r>
      </w:hyperlink>
    </w:p>
    <w:p w:rsidR="007134DE" w:rsidRDefault="00D95E58" w:rsidP="004C7363">
      <w:pPr>
        <w:pStyle w:val="TOCGeneral"/>
        <w:keepNext/>
        <w:keepLines/>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"Figure Ap" </w:instrText>
      </w:r>
      <w:r w:rsidRPr="009C48A8">
        <w:fldChar w:fldCharType="separate"/>
      </w:r>
    </w:p>
    <w:p w:rsidR="00D95E58" w:rsidRDefault="007134DE" w:rsidP="00F1413A">
      <w:pPr>
        <w:pStyle w:val="TOCGeneral"/>
      </w:pPr>
      <w:r>
        <w:rPr>
          <w:b/>
          <w:bCs/>
          <w:noProof/>
          <w:lang w:val="en-US"/>
        </w:rPr>
        <w:t>No table of figures entries found.</w:t>
      </w:r>
      <w:r w:rsidR="00D95E58" w:rsidRPr="009C48A8">
        <w:fldChar w:fldCharType="end"/>
      </w:r>
    </w:p>
    <w:p w:rsidR="00D95E58" w:rsidRPr="000715A3" w:rsidRDefault="00D95E58" w:rsidP="00D95E58">
      <w:pPr>
        <w:pStyle w:val="TOC7"/>
      </w:pPr>
      <w:r w:rsidRPr="000715A3">
        <w:t>Tables</w:t>
      </w:r>
    </w:p>
    <w:p w:rsidR="007134DE" w:rsidRDefault="00D95E58">
      <w:pPr>
        <w:pStyle w:val="TableofFigures"/>
        <w:tabs>
          <w:tab w:val="left" w:pos="1450"/>
        </w:tabs>
        <w:rPr>
          <w:rFonts w:asciiTheme="minorHAnsi" w:eastAsiaTheme="minorEastAsia" w:hAnsiTheme="minorHAnsi" w:cstheme="minorBid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"Table ES" </w:instrText>
      </w:r>
      <w:r w:rsidRPr="009C48A8">
        <w:fldChar w:fldCharType="separate"/>
      </w:r>
      <w:hyperlink w:anchor="_Toc497132798" w:history="1">
        <w:r w:rsidR="007134DE" w:rsidRPr="007A304B">
          <w:rPr>
            <w:rStyle w:val="Hyperlink"/>
            <w:b/>
            <w:noProof/>
          </w:rPr>
          <w:t>Table ES 1</w:t>
        </w:r>
        <w:r w:rsidR="007134DE">
          <w:rPr>
            <w:rFonts w:asciiTheme="minorHAnsi" w:eastAsiaTheme="minorEastAsia" w:hAnsiTheme="minorHAnsi" w:cstheme="minorBidi"/>
            <w:caps w:val="0"/>
            <w:noProof/>
            <w:spacing w:val="0"/>
            <w:sz w:val="22"/>
            <w:lang w:eastAsia="en-AU"/>
          </w:rPr>
          <w:tab/>
        </w:r>
        <w:r w:rsidR="007134DE" w:rsidRPr="007A304B">
          <w:rPr>
            <w:rStyle w:val="Hyperlink"/>
            <w:noProof/>
          </w:rPr>
          <w:t>Regulatory data protection comparison for crop protection products</w:t>
        </w:r>
        <w:r w:rsidR="007134DE">
          <w:rPr>
            <w:noProof/>
          </w:rPr>
          <w:tab/>
        </w:r>
        <w:r w:rsidR="007134DE">
          <w:rPr>
            <w:noProof/>
          </w:rPr>
          <w:fldChar w:fldCharType="begin"/>
        </w:r>
        <w:r w:rsidR="007134DE">
          <w:rPr>
            <w:noProof/>
          </w:rPr>
          <w:instrText xml:space="preserve"> PAGEREF _Toc497132798 \h </w:instrText>
        </w:r>
        <w:r w:rsidR="007134DE">
          <w:rPr>
            <w:noProof/>
          </w:rPr>
        </w:r>
        <w:r w:rsidR="007134DE">
          <w:rPr>
            <w:noProof/>
          </w:rPr>
          <w:fldChar w:fldCharType="separate"/>
        </w:r>
        <w:r w:rsidR="0087688C">
          <w:rPr>
            <w:noProof/>
          </w:rPr>
          <w:t>v</w:t>
        </w:r>
        <w:r w:rsidR="007134DE">
          <w:rPr>
            <w:noProof/>
          </w:rPr>
          <w:fldChar w:fldCharType="end"/>
        </w:r>
      </w:hyperlink>
    </w:p>
    <w:p w:rsidR="007134DE" w:rsidRDefault="00221158">
      <w:pPr>
        <w:pStyle w:val="TableofFigures"/>
        <w:tabs>
          <w:tab w:val="left" w:pos="1450"/>
        </w:tabs>
        <w:rPr>
          <w:rFonts w:asciiTheme="minorHAnsi" w:eastAsiaTheme="minorEastAsia" w:hAnsiTheme="minorHAnsi" w:cstheme="minorBidi"/>
          <w:caps w:val="0"/>
          <w:noProof/>
          <w:spacing w:val="0"/>
          <w:sz w:val="22"/>
          <w:lang w:eastAsia="en-AU"/>
        </w:rPr>
      </w:pPr>
      <w:hyperlink w:anchor="_Toc497132799" w:history="1">
        <w:r w:rsidR="007134DE" w:rsidRPr="007A304B">
          <w:rPr>
            <w:rStyle w:val="Hyperlink"/>
            <w:b/>
            <w:noProof/>
          </w:rPr>
          <w:t>Table ES 2</w:t>
        </w:r>
        <w:r w:rsidR="007134DE">
          <w:rPr>
            <w:rFonts w:asciiTheme="minorHAnsi" w:eastAsiaTheme="minorEastAsia" w:hAnsiTheme="minorHAnsi" w:cstheme="minorBidi"/>
            <w:caps w:val="0"/>
            <w:noProof/>
            <w:spacing w:val="0"/>
            <w:sz w:val="22"/>
            <w:lang w:eastAsia="en-AU"/>
          </w:rPr>
          <w:tab/>
        </w:r>
        <w:r w:rsidR="007134DE" w:rsidRPr="007A304B">
          <w:rPr>
            <w:rStyle w:val="Hyperlink"/>
            <w:noProof/>
          </w:rPr>
          <w:t>Regulatory data protection comparison for veterinary chemical products</w:t>
        </w:r>
        <w:r w:rsidR="007134DE">
          <w:rPr>
            <w:noProof/>
          </w:rPr>
          <w:tab/>
        </w:r>
        <w:r w:rsidR="007134DE">
          <w:rPr>
            <w:noProof/>
          </w:rPr>
          <w:fldChar w:fldCharType="begin"/>
        </w:r>
        <w:r w:rsidR="007134DE">
          <w:rPr>
            <w:noProof/>
          </w:rPr>
          <w:instrText xml:space="preserve"> PAGEREF _Toc497132799 \h </w:instrText>
        </w:r>
        <w:r w:rsidR="007134DE">
          <w:rPr>
            <w:noProof/>
          </w:rPr>
        </w:r>
        <w:r w:rsidR="007134DE">
          <w:rPr>
            <w:noProof/>
          </w:rPr>
          <w:fldChar w:fldCharType="separate"/>
        </w:r>
        <w:r w:rsidR="0087688C">
          <w:rPr>
            <w:noProof/>
          </w:rPr>
          <w:t>vi</w:t>
        </w:r>
        <w:r w:rsidR="007134DE">
          <w:rPr>
            <w:noProof/>
          </w:rPr>
          <w:fldChar w:fldCharType="end"/>
        </w:r>
      </w:hyperlink>
    </w:p>
    <w:p w:rsidR="007134DE" w:rsidRDefault="00D95E58" w:rsidP="00F1413A">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"Table" </w:instrText>
      </w:r>
      <w:r w:rsidRPr="009C48A8">
        <w:fldChar w:fldCharType="separate"/>
      </w:r>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0" w:history="1">
        <w:r w:rsidR="007134DE" w:rsidRPr="003D04F6">
          <w:rPr>
            <w:rStyle w:val="Hyperlink"/>
            <w:b/>
            <w:noProof/>
            <w:lang w:val="en-US"/>
          </w:rPr>
          <w:t>Table 2.1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Australian pesticide manufacturing industry, 2007-08 – 2015-16</w:t>
        </w:r>
        <w:r w:rsidR="007134DE">
          <w:rPr>
            <w:noProof/>
          </w:rPr>
          <w:tab/>
        </w:r>
        <w:r w:rsidR="007134DE">
          <w:rPr>
            <w:noProof/>
          </w:rPr>
          <w:fldChar w:fldCharType="begin"/>
        </w:r>
        <w:r w:rsidR="007134DE">
          <w:rPr>
            <w:noProof/>
          </w:rPr>
          <w:instrText xml:space="preserve"> PAGEREF _Toc497132800 \h </w:instrText>
        </w:r>
        <w:r w:rsidR="007134DE">
          <w:rPr>
            <w:noProof/>
          </w:rPr>
        </w:r>
        <w:r w:rsidR="007134DE">
          <w:rPr>
            <w:noProof/>
          </w:rPr>
          <w:fldChar w:fldCharType="separate"/>
        </w:r>
        <w:r w:rsidR="0087688C">
          <w:rPr>
            <w:noProof/>
          </w:rPr>
          <w:t>12</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1" w:history="1">
        <w:r w:rsidR="007134DE" w:rsidRPr="003D04F6">
          <w:rPr>
            <w:rStyle w:val="Hyperlink"/>
            <w:b/>
            <w:noProof/>
            <w:lang w:val="en-US"/>
          </w:rPr>
          <w:t>Table 2.2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Australian veterinary Pharmaceutical manufacturing, 2007-08 – 2015-16</w:t>
        </w:r>
        <w:r w:rsidR="007134DE">
          <w:rPr>
            <w:noProof/>
          </w:rPr>
          <w:tab/>
        </w:r>
        <w:r w:rsidR="007134DE">
          <w:rPr>
            <w:noProof/>
          </w:rPr>
          <w:fldChar w:fldCharType="begin"/>
        </w:r>
        <w:r w:rsidR="007134DE">
          <w:rPr>
            <w:noProof/>
          </w:rPr>
          <w:instrText xml:space="preserve"> PAGEREF _Toc497132801 \h </w:instrText>
        </w:r>
        <w:r w:rsidR="007134DE">
          <w:rPr>
            <w:noProof/>
          </w:rPr>
        </w:r>
        <w:r w:rsidR="007134DE">
          <w:rPr>
            <w:noProof/>
          </w:rPr>
          <w:fldChar w:fldCharType="separate"/>
        </w:r>
        <w:r w:rsidR="0087688C">
          <w:rPr>
            <w:noProof/>
          </w:rPr>
          <w:t>13</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2" w:history="1">
        <w:r w:rsidR="007134DE" w:rsidRPr="003D04F6">
          <w:rPr>
            <w:rStyle w:val="Hyperlink"/>
            <w:b/>
            <w:noProof/>
          </w:rPr>
          <w:t>Table 2.3</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Patent applications filed / granted by IP Australia 2000-16 by country</w:t>
        </w:r>
        <w:r w:rsidR="007134DE">
          <w:rPr>
            <w:noProof/>
          </w:rPr>
          <w:tab/>
        </w:r>
        <w:r w:rsidR="007134DE">
          <w:rPr>
            <w:noProof/>
          </w:rPr>
          <w:fldChar w:fldCharType="begin"/>
        </w:r>
        <w:r w:rsidR="007134DE">
          <w:rPr>
            <w:noProof/>
          </w:rPr>
          <w:instrText xml:space="preserve"> PAGEREF _Toc497132802 \h </w:instrText>
        </w:r>
        <w:r w:rsidR="007134DE">
          <w:rPr>
            <w:noProof/>
          </w:rPr>
        </w:r>
        <w:r w:rsidR="007134DE">
          <w:rPr>
            <w:noProof/>
          </w:rPr>
          <w:fldChar w:fldCharType="separate"/>
        </w:r>
        <w:r w:rsidR="0087688C">
          <w:rPr>
            <w:noProof/>
          </w:rPr>
          <w:t>14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3" w:history="1">
        <w:r w:rsidR="007134DE" w:rsidRPr="003D04F6">
          <w:rPr>
            <w:rStyle w:val="Hyperlink"/>
            <w:b/>
            <w:noProof/>
            <w:lang w:val="en-US"/>
          </w:rPr>
          <w:t>Table 2.4</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Number of registered generic planT protection products in Australia, 2004, 2012, 2017</w:t>
        </w:r>
        <w:r w:rsidR="007134DE">
          <w:rPr>
            <w:noProof/>
          </w:rPr>
          <w:tab/>
        </w:r>
        <w:r w:rsidR="007134DE">
          <w:rPr>
            <w:noProof/>
          </w:rPr>
          <w:fldChar w:fldCharType="begin"/>
        </w:r>
        <w:r w:rsidR="007134DE">
          <w:rPr>
            <w:noProof/>
          </w:rPr>
          <w:instrText xml:space="preserve"> PAGEREF _Toc497132803 \h </w:instrText>
        </w:r>
        <w:r w:rsidR="007134DE">
          <w:rPr>
            <w:noProof/>
          </w:rPr>
        </w:r>
        <w:r w:rsidR="007134DE">
          <w:rPr>
            <w:noProof/>
          </w:rPr>
          <w:fldChar w:fldCharType="separate"/>
        </w:r>
        <w:r w:rsidR="0087688C">
          <w:rPr>
            <w:noProof/>
          </w:rPr>
          <w:t>14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4" w:history="1">
        <w:r w:rsidR="007134DE" w:rsidRPr="003D04F6">
          <w:rPr>
            <w:rStyle w:val="Hyperlink"/>
            <w:b/>
            <w:noProof/>
            <w:lang w:val="en-US"/>
          </w:rPr>
          <w:t>Table 2.5</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UK pesticide and other agrochemical manufacturing industry, 2007-08 – 2015-16</w:t>
        </w:r>
        <w:r w:rsidR="007134DE">
          <w:rPr>
            <w:noProof/>
          </w:rPr>
          <w:tab/>
        </w:r>
        <w:r w:rsidR="007134DE">
          <w:rPr>
            <w:noProof/>
          </w:rPr>
          <w:fldChar w:fldCharType="begin"/>
        </w:r>
        <w:r w:rsidR="007134DE">
          <w:rPr>
            <w:noProof/>
          </w:rPr>
          <w:instrText xml:space="preserve"> PAGEREF _Toc497132804 \h </w:instrText>
        </w:r>
        <w:r w:rsidR="007134DE">
          <w:rPr>
            <w:noProof/>
          </w:rPr>
        </w:r>
        <w:r w:rsidR="007134DE">
          <w:rPr>
            <w:noProof/>
          </w:rPr>
          <w:fldChar w:fldCharType="separate"/>
        </w:r>
        <w:r w:rsidR="0087688C">
          <w:rPr>
            <w:noProof/>
          </w:rPr>
          <w:t>16</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5" w:history="1">
        <w:r w:rsidR="007134DE" w:rsidRPr="003D04F6">
          <w:rPr>
            <w:rStyle w:val="Hyperlink"/>
            <w:b/>
            <w:noProof/>
            <w:lang w:val="en-US"/>
          </w:rPr>
          <w:t>Table 2.6</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US pesticide manufacturing industry, 2008–16</w:t>
        </w:r>
        <w:r w:rsidR="007134DE">
          <w:rPr>
            <w:noProof/>
          </w:rPr>
          <w:tab/>
        </w:r>
        <w:r w:rsidR="007134DE">
          <w:rPr>
            <w:noProof/>
          </w:rPr>
          <w:fldChar w:fldCharType="begin"/>
        </w:r>
        <w:r w:rsidR="007134DE">
          <w:rPr>
            <w:noProof/>
          </w:rPr>
          <w:instrText xml:space="preserve"> PAGEREF _Toc497132805 \h </w:instrText>
        </w:r>
        <w:r w:rsidR="007134DE">
          <w:rPr>
            <w:noProof/>
          </w:rPr>
        </w:r>
        <w:r w:rsidR="007134DE">
          <w:rPr>
            <w:noProof/>
          </w:rPr>
          <w:fldChar w:fldCharType="separate"/>
        </w:r>
        <w:r w:rsidR="0087688C">
          <w:rPr>
            <w:noProof/>
          </w:rPr>
          <w:t>17</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6" w:history="1">
        <w:r w:rsidR="007134DE" w:rsidRPr="003D04F6">
          <w:rPr>
            <w:rStyle w:val="Hyperlink"/>
            <w:b/>
            <w:noProof/>
            <w:lang w:val="en-US"/>
          </w:rPr>
          <w:t>Table 2.7</w:t>
        </w:r>
        <w:r w:rsidR="007134DE">
          <w:rPr>
            <w:rFonts w:asciiTheme="minorHAnsi" w:eastAsiaTheme="minorEastAsia" w:hAnsiTheme="minorHAnsi" w:cstheme="minorBidi"/>
            <w:caps w:val="0"/>
            <w:noProof/>
            <w:spacing w:val="0"/>
            <w:sz w:val="22"/>
            <w:lang w:eastAsia="en-AU"/>
          </w:rPr>
          <w:tab/>
        </w:r>
        <w:r w:rsidR="007134DE" w:rsidRPr="003D04F6">
          <w:rPr>
            <w:rStyle w:val="Hyperlink"/>
            <w:noProof/>
            <w:lang w:val="en-US"/>
          </w:rPr>
          <w:t>Canadian pesticide manufacturing industry, 2008–16</w:t>
        </w:r>
        <w:r w:rsidR="007134DE">
          <w:rPr>
            <w:noProof/>
          </w:rPr>
          <w:tab/>
        </w:r>
        <w:r w:rsidR="007134DE">
          <w:rPr>
            <w:noProof/>
          </w:rPr>
          <w:fldChar w:fldCharType="begin"/>
        </w:r>
        <w:r w:rsidR="007134DE">
          <w:rPr>
            <w:noProof/>
          </w:rPr>
          <w:instrText xml:space="preserve"> PAGEREF _Toc497132806 \h </w:instrText>
        </w:r>
        <w:r w:rsidR="007134DE">
          <w:rPr>
            <w:noProof/>
          </w:rPr>
        </w:r>
        <w:r w:rsidR="007134DE">
          <w:rPr>
            <w:noProof/>
          </w:rPr>
          <w:fldChar w:fldCharType="separate"/>
        </w:r>
        <w:r w:rsidR="0087688C">
          <w:rPr>
            <w:noProof/>
          </w:rPr>
          <w:t>18</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7" w:history="1">
        <w:r w:rsidR="007134DE" w:rsidRPr="003D04F6">
          <w:rPr>
            <w:rStyle w:val="Hyperlink"/>
            <w:b/>
            <w:noProof/>
          </w:rPr>
          <w:t>Table 2.8</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A comparison of plant protection product registrations, AUstralia and canada, 2011-16</w:t>
        </w:r>
        <w:r w:rsidR="007134DE">
          <w:rPr>
            <w:noProof/>
          </w:rPr>
          <w:tab/>
        </w:r>
        <w:r w:rsidR="007134DE">
          <w:rPr>
            <w:noProof/>
          </w:rPr>
          <w:fldChar w:fldCharType="begin"/>
        </w:r>
        <w:r w:rsidR="007134DE">
          <w:rPr>
            <w:noProof/>
          </w:rPr>
          <w:instrText xml:space="preserve"> PAGEREF _Toc497132807 \h </w:instrText>
        </w:r>
        <w:r w:rsidR="007134DE">
          <w:rPr>
            <w:noProof/>
          </w:rPr>
        </w:r>
        <w:r w:rsidR="007134DE">
          <w:rPr>
            <w:noProof/>
          </w:rPr>
          <w:fldChar w:fldCharType="separate"/>
        </w:r>
        <w:r w:rsidR="0087688C">
          <w:rPr>
            <w:noProof/>
          </w:rPr>
          <w:t>21</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8" w:history="1">
        <w:r w:rsidR="007134DE" w:rsidRPr="003D04F6">
          <w:rPr>
            <w:rStyle w:val="Hyperlink"/>
            <w:b/>
            <w:noProof/>
          </w:rPr>
          <w:t>Table 3.1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Regulatory data protection comparison for crop protection products</w:t>
        </w:r>
        <w:r w:rsidR="007134DE">
          <w:rPr>
            <w:noProof/>
          </w:rPr>
          <w:tab/>
        </w:r>
        <w:r w:rsidR="007134DE">
          <w:rPr>
            <w:noProof/>
          </w:rPr>
          <w:fldChar w:fldCharType="begin"/>
        </w:r>
        <w:r w:rsidR="007134DE">
          <w:rPr>
            <w:noProof/>
          </w:rPr>
          <w:instrText xml:space="preserve"> PAGEREF _Toc497132808 \h </w:instrText>
        </w:r>
        <w:r w:rsidR="007134DE">
          <w:rPr>
            <w:noProof/>
          </w:rPr>
        </w:r>
        <w:r w:rsidR="007134DE">
          <w:rPr>
            <w:noProof/>
          </w:rPr>
          <w:fldChar w:fldCharType="separate"/>
        </w:r>
        <w:r w:rsidR="0087688C">
          <w:rPr>
            <w:noProof/>
          </w:rPr>
          <w:t>36</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09" w:history="1">
        <w:r w:rsidR="007134DE" w:rsidRPr="003D04F6">
          <w:rPr>
            <w:rStyle w:val="Hyperlink"/>
            <w:b/>
            <w:noProof/>
          </w:rPr>
          <w:t>Table 3.2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Regulatory data protection comparison for veterinary chemical products</w:t>
        </w:r>
        <w:r w:rsidR="007134DE">
          <w:rPr>
            <w:noProof/>
          </w:rPr>
          <w:tab/>
        </w:r>
        <w:r w:rsidR="007134DE">
          <w:rPr>
            <w:noProof/>
          </w:rPr>
          <w:fldChar w:fldCharType="begin"/>
        </w:r>
        <w:r w:rsidR="007134DE">
          <w:rPr>
            <w:noProof/>
          </w:rPr>
          <w:instrText xml:space="preserve"> PAGEREF _Toc497132809 \h </w:instrText>
        </w:r>
        <w:r w:rsidR="007134DE">
          <w:rPr>
            <w:noProof/>
          </w:rPr>
        </w:r>
        <w:r w:rsidR="007134DE">
          <w:rPr>
            <w:noProof/>
          </w:rPr>
          <w:fldChar w:fldCharType="separate"/>
        </w:r>
        <w:r w:rsidR="0087688C">
          <w:rPr>
            <w:noProof/>
          </w:rPr>
          <w:t>37</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0" w:history="1">
        <w:r w:rsidR="007134DE" w:rsidRPr="003D04F6">
          <w:rPr>
            <w:rStyle w:val="Hyperlink"/>
            <w:b/>
            <w:noProof/>
          </w:rPr>
          <w:t>Table 4.1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Government agvet regulation</w:t>
        </w:r>
        <w:r w:rsidR="007134DE">
          <w:rPr>
            <w:noProof/>
          </w:rPr>
          <w:tab/>
        </w:r>
        <w:r w:rsidR="007134DE">
          <w:rPr>
            <w:noProof/>
          </w:rPr>
          <w:fldChar w:fldCharType="begin"/>
        </w:r>
        <w:r w:rsidR="007134DE">
          <w:rPr>
            <w:noProof/>
          </w:rPr>
          <w:instrText xml:space="preserve"> PAGEREF _Toc497132810 \h </w:instrText>
        </w:r>
        <w:r w:rsidR="007134DE">
          <w:rPr>
            <w:noProof/>
          </w:rPr>
        </w:r>
        <w:r w:rsidR="007134DE">
          <w:rPr>
            <w:noProof/>
          </w:rPr>
          <w:fldChar w:fldCharType="separate"/>
        </w:r>
        <w:r w:rsidR="0087688C">
          <w:rPr>
            <w:noProof/>
          </w:rPr>
          <w:t>39</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1" w:history="1">
        <w:r w:rsidR="007134DE" w:rsidRPr="003D04F6">
          <w:rPr>
            <w:rStyle w:val="Hyperlink"/>
            <w:b/>
            <w:noProof/>
          </w:rPr>
          <w:t>Table 4.2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Limitation periods</w:t>
        </w:r>
        <w:r w:rsidR="007134DE">
          <w:rPr>
            <w:noProof/>
          </w:rPr>
          <w:tab/>
        </w:r>
        <w:r w:rsidR="007134DE">
          <w:rPr>
            <w:noProof/>
          </w:rPr>
          <w:fldChar w:fldCharType="begin"/>
        </w:r>
        <w:r w:rsidR="007134DE">
          <w:rPr>
            <w:noProof/>
          </w:rPr>
          <w:instrText xml:space="preserve"> PAGEREF _Toc497132811 \h </w:instrText>
        </w:r>
        <w:r w:rsidR="007134DE">
          <w:rPr>
            <w:noProof/>
          </w:rPr>
        </w:r>
        <w:r w:rsidR="007134DE">
          <w:rPr>
            <w:noProof/>
          </w:rPr>
          <w:fldChar w:fldCharType="separate"/>
        </w:r>
        <w:r w:rsidR="0087688C">
          <w:rPr>
            <w:noProof/>
          </w:rPr>
          <w:t>46</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2" w:history="1">
        <w:r w:rsidR="007134DE" w:rsidRPr="003D04F6">
          <w:rPr>
            <w:rStyle w:val="Hyperlink"/>
            <w:b/>
            <w:noProof/>
          </w:rPr>
          <w:t>Table 5.1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Applications processed by the APVMA, 2015-16</w:t>
        </w:r>
        <w:r w:rsidR="007134DE">
          <w:rPr>
            <w:noProof/>
          </w:rPr>
          <w:tab/>
        </w:r>
        <w:r w:rsidR="007134DE">
          <w:rPr>
            <w:noProof/>
          </w:rPr>
          <w:fldChar w:fldCharType="begin"/>
        </w:r>
        <w:r w:rsidR="007134DE">
          <w:rPr>
            <w:noProof/>
          </w:rPr>
          <w:instrText xml:space="preserve"> PAGEREF _Toc497132812 \h </w:instrText>
        </w:r>
        <w:r w:rsidR="007134DE">
          <w:rPr>
            <w:noProof/>
          </w:rPr>
        </w:r>
        <w:r w:rsidR="007134DE">
          <w:rPr>
            <w:noProof/>
          </w:rPr>
          <w:fldChar w:fldCharType="separate"/>
        </w:r>
        <w:r w:rsidR="0087688C">
          <w:rPr>
            <w:noProof/>
          </w:rPr>
          <w:t>60</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3" w:history="1">
        <w:r w:rsidR="007134DE" w:rsidRPr="003D04F6">
          <w:rPr>
            <w:rStyle w:val="Hyperlink"/>
            <w:b/>
            <w:noProof/>
          </w:rPr>
          <w:t>Table 5.2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Australian Levy rates by Tier</w:t>
        </w:r>
        <w:r w:rsidR="007134DE">
          <w:rPr>
            <w:noProof/>
          </w:rPr>
          <w:tab/>
        </w:r>
        <w:r w:rsidR="007134DE">
          <w:rPr>
            <w:noProof/>
          </w:rPr>
          <w:fldChar w:fldCharType="begin"/>
        </w:r>
        <w:r w:rsidR="007134DE">
          <w:rPr>
            <w:noProof/>
          </w:rPr>
          <w:instrText xml:space="preserve"> PAGEREF _Toc497132813 \h </w:instrText>
        </w:r>
        <w:r w:rsidR="007134DE">
          <w:rPr>
            <w:noProof/>
          </w:rPr>
        </w:r>
        <w:r w:rsidR="007134DE">
          <w:rPr>
            <w:noProof/>
          </w:rPr>
          <w:fldChar w:fldCharType="separate"/>
        </w:r>
        <w:r w:rsidR="0087688C">
          <w:rPr>
            <w:noProof/>
          </w:rPr>
          <w:t>62</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4" w:history="1">
        <w:r w:rsidR="007134DE" w:rsidRPr="003D04F6">
          <w:rPr>
            <w:rStyle w:val="Hyperlink"/>
            <w:b/>
            <w:noProof/>
          </w:rPr>
          <w:t>Table 5.3</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Timelines for pesticide registration in the UK</w:t>
        </w:r>
        <w:r w:rsidR="007134DE">
          <w:rPr>
            <w:noProof/>
          </w:rPr>
          <w:tab/>
        </w:r>
        <w:r w:rsidR="007134DE">
          <w:rPr>
            <w:noProof/>
          </w:rPr>
          <w:fldChar w:fldCharType="begin"/>
        </w:r>
        <w:r w:rsidR="007134DE">
          <w:rPr>
            <w:noProof/>
          </w:rPr>
          <w:instrText xml:space="preserve"> PAGEREF _Toc497132814 \h </w:instrText>
        </w:r>
        <w:r w:rsidR="007134DE">
          <w:rPr>
            <w:noProof/>
          </w:rPr>
        </w:r>
        <w:r w:rsidR="007134DE">
          <w:rPr>
            <w:noProof/>
          </w:rPr>
          <w:fldChar w:fldCharType="separate"/>
        </w:r>
        <w:r w:rsidR="0087688C">
          <w:rPr>
            <w:noProof/>
          </w:rPr>
          <w:t>63</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5" w:history="1">
        <w:r w:rsidR="007134DE" w:rsidRPr="003D04F6">
          <w:rPr>
            <w:rStyle w:val="Hyperlink"/>
            <w:b/>
            <w:noProof/>
          </w:rPr>
          <w:t>Table 5.4</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New active ingredient pesticide registration decision time and fee</w:t>
        </w:r>
        <w:r w:rsidR="007134DE">
          <w:rPr>
            <w:noProof/>
          </w:rPr>
          <w:tab/>
        </w:r>
        <w:r w:rsidR="007134DE">
          <w:rPr>
            <w:noProof/>
          </w:rPr>
          <w:fldChar w:fldCharType="begin"/>
        </w:r>
        <w:r w:rsidR="007134DE">
          <w:rPr>
            <w:noProof/>
          </w:rPr>
          <w:instrText xml:space="preserve"> PAGEREF _Toc497132815 \h </w:instrText>
        </w:r>
        <w:r w:rsidR="007134DE">
          <w:rPr>
            <w:noProof/>
          </w:rPr>
        </w:r>
        <w:r w:rsidR="007134DE">
          <w:rPr>
            <w:noProof/>
          </w:rPr>
          <w:fldChar w:fldCharType="separate"/>
        </w:r>
        <w:r w:rsidR="0087688C">
          <w:rPr>
            <w:noProof/>
          </w:rPr>
          <w:t>64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6" w:history="1">
        <w:r w:rsidR="007134DE" w:rsidRPr="003D04F6">
          <w:rPr>
            <w:rStyle w:val="Hyperlink"/>
            <w:b/>
            <w:iCs/>
            <w:noProof/>
          </w:rPr>
          <w:t>Table</w:t>
        </w:r>
        <w:r w:rsidR="007134DE" w:rsidRPr="003D04F6">
          <w:rPr>
            <w:rStyle w:val="Hyperlink"/>
            <w:b/>
            <w:noProof/>
          </w:rPr>
          <w:t> 5.5</w:t>
        </w:r>
        <w:r w:rsidR="007134DE">
          <w:rPr>
            <w:rFonts w:asciiTheme="minorHAnsi" w:eastAsiaTheme="minorEastAsia" w:hAnsiTheme="minorHAnsi" w:cstheme="minorBidi"/>
            <w:caps w:val="0"/>
            <w:noProof/>
            <w:spacing w:val="0"/>
            <w:sz w:val="22"/>
            <w:lang w:eastAsia="en-AU"/>
          </w:rPr>
          <w:tab/>
        </w:r>
        <w:r w:rsidR="007134DE" w:rsidRPr="003D04F6">
          <w:rPr>
            <w:rStyle w:val="Hyperlink"/>
            <w:iCs/>
            <w:noProof/>
          </w:rPr>
          <w:t>Animal drugs user fee in the USA, FY2017</w:t>
        </w:r>
        <w:r w:rsidR="007134DE">
          <w:rPr>
            <w:noProof/>
          </w:rPr>
          <w:tab/>
        </w:r>
        <w:r w:rsidR="007134DE">
          <w:rPr>
            <w:noProof/>
          </w:rPr>
          <w:fldChar w:fldCharType="begin"/>
        </w:r>
        <w:r w:rsidR="007134DE">
          <w:rPr>
            <w:noProof/>
          </w:rPr>
          <w:instrText xml:space="preserve"> PAGEREF _Toc497132816 \h </w:instrText>
        </w:r>
        <w:r w:rsidR="007134DE">
          <w:rPr>
            <w:noProof/>
          </w:rPr>
        </w:r>
        <w:r w:rsidR="007134DE">
          <w:rPr>
            <w:noProof/>
          </w:rPr>
          <w:fldChar w:fldCharType="separate"/>
        </w:r>
        <w:r w:rsidR="0087688C">
          <w:rPr>
            <w:noProof/>
          </w:rPr>
          <w:t>64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7" w:history="1">
        <w:r w:rsidR="007134DE" w:rsidRPr="003D04F6">
          <w:rPr>
            <w:rStyle w:val="Hyperlink"/>
            <w:b/>
            <w:noProof/>
          </w:rPr>
          <w:t>Table 5.6</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Estimated fees for agvet chemical registration in New Zealand</w:t>
        </w:r>
        <w:r w:rsidR="007134DE">
          <w:rPr>
            <w:noProof/>
          </w:rPr>
          <w:tab/>
        </w:r>
        <w:r w:rsidR="007134DE">
          <w:rPr>
            <w:noProof/>
          </w:rPr>
          <w:fldChar w:fldCharType="begin"/>
        </w:r>
        <w:r w:rsidR="007134DE">
          <w:rPr>
            <w:noProof/>
          </w:rPr>
          <w:instrText xml:space="preserve"> PAGEREF _Toc497132817 \h </w:instrText>
        </w:r>
        <w:r w:rsidR="007134DE">
          <w:rPr>
            <w:noProof/>
          </w:rPr>
        </w:r>
        <w:r w:rsidR="007134DE">
          <w:rPr>
            <w:noProof/>
          </w:rPr>
          <w:fldChar w:fldCharType="separate"/>
        </w:r>
        <w:r w:rsidR="0087688C">
          <w:rPr>
            <w:noProof/>
          </w:rPr>
          <w:t>65</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8" w:history="1">
        <w:r w:rsidR="007134DE" w:rsidRPr="003D04F6">
          <w:rPr>
            <w:rStyle w:val="Hyperlink"/>
            <w:b/>
            <w:noProof/>
          </w:rPr>
          <w:t>Table 5.7</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Timelines and registration costs for new pesticide products</w:t>
        </w:r>
        <w:r w:rsidR="007134DE">
          <w:rPr>
            <w:noProof/>
          </w:rPr>
          <w:tab/>
        </w:r>
        <w:r w:rsidR="007134DE">
          <w:rPr>
            <w:noProof/>
          </w:rPr>
          <w:fldChar w:fldCharType="begin"/>
        </w:r>
        <w:r w:rsidR="007134DE">
          <w:rPr>
            <w:noProof/>
          </w:rPr>
          <w:instrText xml:space="preserve"> PAGEREF _Toc497132818 \h </w:instrText>
        </w:r>
        <w:r w:rsidR="007134DE">
          <w:rPr>
            <w:noProof/>
          </w:rPr>
        </w:r>
        <w:r w:rsidR="007134DE">
          <w:rPr>
            <w:noProof/>
          </w:rPr>
          <w:fldChar w:fldCharType="separate"/>
        </w:r>
        <w:r w:rsidR="0087688C">
          <w:rPr>
            <w:noProof/>
          </w:rPr>
          <w:t>66</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19" w:history="1">
        <w:r w:rsidR="007134DE" w:rsidRPr="003D04F6">
          <w:rPr>
            <w:rStyle w:val="Hyperlink"/>
            <w:b/>
            <w:noProof/>
          </w:rPr>
          <w:t>Table 6.1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Types of incentives for minor use</w:t>
        </w:r>
        <w:r w:rsidR="007134DE">
          <w:rPr>
            <w:noProof/>
          </w:rPr>
          <w:tab/>
        </w:r>
        <w:r w:rsidR="007134DE">
          <w:rPr>
            <w:noProof/>
          </w:rPr>
          <w:fldChar w:fldCharType="begin"/>
        </w:r>
        <w:r w:rsidR="007134DE">
          <w:rPr>
            <w:noProof/>
          </w:rPr>
          <w:instrText xml:space="preserve"> PAGEREF _Toc497132819 \h </w:instrText>
        </w:r>
        <w:r w:rsidR="007134DE">
          <w:rPr>
            <w:noProof/>
          </w:rPr>
        </w:r>
        <w:r w:rsidR="007134DE">
          <w:rPr>
            <w:noProof/>
          </w:rPr>
          <w:fldChar w:fldCharType="separate"/>
        </w:r>
        <w:r w:rsidR="0087688C">
          <w:rPr>
            <w:noProof/>
          </w:rPr>
          <w:t>70</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0" w:history="1">
        <w:r w:rsidR="007134DE" w:rsidRPr="003D04F6">
          <w:rPr>
            <w:rStyle w:val="Hyperlink"/>
            <w:b/>
            <w:noProof/>
          </w:rPr>
          <w:t>Table 6.2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Minor use incentives in selected countries</w:t>
        </w:r>
        <w:r w:rsidR="007134DE">
          <w:rPr>
            <w:noProof/>
          </w:rPr>
          <w:tab/>
        </w:r>
        <w:r w:rsidR="007134DE">
          <w:rPr>
            <w:noProof/>
          </w:rPr>
          <w:fldChar w:fldCharType="begin"/>
        </w:r>
        <w:r w:rsidR="007134DE">
          <w:rPr>
            <w:noProof/>
          </w:rPr>
          <w:instrText xml:space="preserve"> PAGEREF _Toc497132820 \h </w:instrText>
        </w:r>
        <w:r w:rsidR="007134DE">
          <w:rPr>
            <w:noProof/>
          </w:rPr>
        </w:r>
        <w:r w:rsidR="007134DE">
          <w:rPr>
            <w:noProof/>
          </w:rPr>
          <w:fldChar w:fldCharType="separate"/>
        </w:r>
        <w:r w:rsidR="0087688C">
          <w:rPr>
            <w:noProof/>
          </w:rPr>
          <w:t>75</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1" w:history="1">
        <w:r w:rsidR="007134DE" w:rsidRPr="003D04F6">
          <w:rPr>
            <w:rStyle w:val="Hyperlink"/>
            <w:b/>
            <w:noProof/>
          </w:rPr>
          <w:t>Table 7.1</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Summary of patent extensions</w:t>
        </w:r>
        <w:r w:rsidR="007134DE">
          <w:rPr>
            <w:noProof/>
          </w:rPr>
          <w:tab/>
        </w:r>
        <w:r w:rsidR="007134DE">
          <w:rPr>
            <w:noProof/>
          </w:rPr>
          <w:fldChar w:fldCharType="begin"/>
        </w:r>
        <w:r w:rsidR="007134DE">
          <w:rPr>
            <w:noProof/>
          </w:rPr>
          <w:instrText xml:space="preserve"> PAGEREF _Toc497132821 \h </w:instrText>
        </w:r>
        <w:r w:rsidR="007134DE">
          <w:rPr>
            <w:noProof/>
          </w:rPr>
        </w:r>
        <w:r w:rsidR="007134DE">
          <w:rPr>
            <w:noProof/>
          </w:rPr>
          <w:fldChar w:fldCharType="separate"/>
        </w:r>
        <w:r w:rsidR="0087688C">
          <w:rPr>
            <w:noProof/>
          </w:rPr>
          <w:t>77</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2" w:history="1">
        <w:r w:rsidR="007134DE" w:rsidRPr="003D04F6">
          <w:rPr>
            <w:rStyle w:val="Hyperlink"/>
            <w:b/>
            <w:noProof/>
          </w:rPr>
          <w:t>Table 7.2</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Data protection for new pharMAceutical products</w:t>
        </w:r>
        <w:r w:rsidR="007134DE">
          <w:rPr>
            <w:noProof/>
          </w:rPr>
          <w:tab/>
        </w:r>
        <w:r w:rsidR="007134DE">
          <w:rPr>
            <w:noProof/>
          </w:rPr>
          <w:fldChar w:fldCharType="begin"/>
        </w:r>
        <w:r w:rsidR="007134DE">
          <w:rPr>
            <w:noProof/>
          </w:rPr>
          <w:instrText xml:space="preserve"> PAGEREF _Toc497132822 \h </w:instrText>
        </w:r>
        <w:r w:rsidR="007134DE">
          <w:rPr>
            <w:noProof/>
          </w:rPr>
        </w:r>
        <w:r w:rsidR="007134DE">
          <w:rPr>
            <w:noProof/>
          </w:rPr>
          <w:fldChar w:fldCharType="separate"/>
        </w:r>
        <w:r w:rsidR="0087688C">
          <w:rPr>
            <w:noProof/>
          </w:rPr>
          <w:t>81</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3" w:history="1">
        <w:r w:rsidR="007134DE" w:rsidRPr="003D04F6">
          <w:rPr>
            <w:rStyle w:val="Hyperlink"/>
            <w:b/>
            <w:noProof/>
          </w:rPr>
          <w:t>Table 7.3</w:t>
        </w:r>
        <w:r w:rsidR="007134DE">
          <w:rPr>
            <w:rFonts w:asciiTheme="minorHAnsi" w:eastAsiaTheme="minorEastAsia" w:hAnsiTheme="minorHAnsi" w:cstheme="minorBidi"/>
            <w:caps w:val="0"/>
            <w:noProof/>
            <w:spacing w:val="0"/>
            <w:sz w:val="22"/>
            <w:lang w:eastAsia="en-AU"/>
          </w:rPr>
          <w:tab/>
        </w:r>
        <w:r w:rsidR="007134DE" w:rsidRPr="003D04F6">
          <w:rPr>
            <w:rStyle w:val="Hyperlink"/>
            <w:noProof/>
          </w:rPr>
          <w:t>Springboarding provisions</w:t>
        </w:r>
        <w:r w:rsidR="007134DE">
          <w:rPr>
            <w:noProof/>
          </w:rPr>
          <w:tab/>
        </w:r>
        <w:r w:rsidR="007134DE">
          <w:rPr>
            <w:noProof/>
          </w:rPr>
          <w:fldChar w:fldCharType="begin"/>
        </w:r>
        <w:r w:rsidR="007134DE">
          <w:rPr>
            <w:noProof/>
          </w:rPr>
          <w:instrText xml:space="preserve"> PAGEREF _Toc497132823 \h </w:instrText>
        </w:r>
        <w:r w:rsidR="007134DE">
          <w:rPr>
            <w:noProof/>
          </w:rPr>
        </w:r>
        <w:r w:rsidR="007134DE">
          <w:rPr>
            <w:noProof/>
          </w:rPr>
          <w:fldChar w:fldCharType="separate"/>
        </w:r>
        <w:r w:rsidR="0087688C">
          <w:rPr>
            <w:noProof/>
          </w:rPr>
          <w:t>81</w:t>
        </w:r>
        <w:r w:rsidR="007134DE">
          <w:rPr>
            <w:noProof/>
          </w:rPr>
          <w:fldChar w:fldCharType="end"/>
        </w:r>
      </w:hyperlink>
    </w:p>
    <w:p w:rsidR="007134DE" w:rsidRDefault="00D95E58" w:rsidP="00F1413A">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"Table Ap" </w:instrText>
      </w:r>
      <w:r w:rsidRPr="009C48A8">
        <w:fldChar w:fldCharType="separate"/>
      </w:r>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4" w:history="1">
        <w:r w:rsidR="007134DE" w:rsidRPr="00E52E43">
          <w:rPr>
            <w:rStyle w:val="Hyperlink"/>
            <w:b/>
            <w:noProof/>
          </w:rPr>
          <w:t>Table A.1</w:t>
        </w:r>
        <w:r w:rsidR="007134DE">
          <w:rPr>
            <w:rFonts w:asciiTheme="minorHAnsi" w:eastAsiaTheme="minorEastAsia" w:hAnsiTheme="minorHAnsi" w:cstheme="minorBidi"/>
            <w:caps w:val="0"/>
            <w:noProof/>
            <w:spacing w:val="0"/>
            <w:sz w:val="22"/>
            <w:lang w:eastAsia="en-AU"/>
          </w:rPr>
          <w:tab/>
        </w:r>
        <w:r w:rsidR="007134DE" w:rsidRPr="00E52E43">
          <w:rPr>
            <w:rStyle w:val="Hyperlink"/>
            <w:noProof/>
          </w:rPr>
          <w:t>Consultations</w:t>
        </w:r>
        <w:r w:rsidR="007134DE">
          <w:rPr>
            <w:noProof/>
          </w:rPr>
          <w:tab/>
        </w:r>
        <w:r w:rsidR="007134DE">
          <w:rPr>
            <w:noProof/>
          </w:rPr>
          <w:fldChar w:fldCharType="begin"/>
        </w:r>
        <w:r w:rsidR="007134DE">
          <w:rPr>
            <w:noProof/>
          </w:rPr>
          <w:instrText xml:space="preserve"> PAGEREF _Toc497132824 \h </w:instrText>
        </w:r>
        <w:r w:rsidR="007134DE">
          <w:rPr>
            <w:noProof/>
          </w:rPr>
        </w:r>
        <w:r w:rsidR="007134DE">
          <w:rPr>
            <w:noProof/>
          </w:rPr>
          <w:fldChar w:fldCharType="separate"/>
        </w:r>
        <w:r w:rsidR="0087688C">
          <w:rPr>
            <w:noProof/>
          </w:rPr>
          <w:t>A–1</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5" w:history="1">
        <w:r w:rsidR="007134DE" w:rsidRPr="00E52E43">
          <w:rPr>
            <w:rStyle w:val="Hyperlink"/>
            <w:b/>
            <w:noProof/>
          </w:rPr>
          <w:t>Table B.1</w:t>
        </w:r>
        <w:r w:rsidR="007134DE">
          <w:rPr>
            <w:rFonts w:asciiTheme="minorHAnsi" w:eastAsiaTheme="minorEastAsia" w:hAnsiTheme="minorHAnsi" w:cstheme="minorBidi"/>
            <w:caps w:val="0"/>
            <w:noProof/>
            <w:spacing w:val="0"/>
            <w:sz w:val="22"/>
            <w:lang w:eastAsia="en-AU"/>
          </w:rPr>
          <w:tab/>
        </w:r>
        <w:r w:rsidR="007134DE" w:rsidRPr="00E52E43">
          <w:rPr>
            <w:rStyle w:val="Hyperlink"/>
            <w:noProof/>
          </w:rPr>
          <w:t>Approvals and registrations made under section 10 the agvet code</w:t>
        </w:r>
        <w:r w:rsidR="007134DE">
          <w:rPr>
            <w:noProof/>
          </w:rPr>
          <w:tab/>
        </w:r>
        <w:r w:rsidR="007134DE">
          <w:rPr>
            <w:noProof/>
          </w:rPr>
          <w:fldChar w:fldCharType="begin"/>
        </w:r>
        <w:r w:rsidR="007134DE">
          <w:rPr>
            <w:noProof/>
          </w:rPr>
          <w:instrText xml:space="preserve"> PAGEREF _Toc497132825 \h </w:instrText>
        </w:r>
        <w:r w:rsidR="007134DE">
          <w:rPr>
            <w:noProof/>
          </w:rPr>
        </w:r>
        <w:r w:rsidR="007134DE">
          <w:rPr>
            <w:noProof/>
          </w:rPr>
          <w:fldChar w:fldCharType="separate"/>
        </w:r>
        <w:r w:rsidR="0087688C">
          <w:rPr>
            <w:noProof/>
          </w:rPr>
          <w:t>B–2</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6" w:history="1">
        <w:r w:rsidR="007134DE" w:rsidRPr="00E52E43">
          <w:rPr>
            <w:rStyle w:val="Hyperlink"/>
            <w:b/>
            <w:noProof/>
          </w:rPr>
          <w:t>Table B.2</w:t>
        </w:r>
        <w:r w:rsidR="007134DE">
          <w:rPr>
            <w:rFonts w:asciiTheme="minorHAnsi" w:eastAsiaTheme="minorEastAsia" w:hAnsiTheme="minorHAnsi" w:cstheme="minorBidi"/>
            <w:caps w:val="0"/>
            <w:noProof/>
            <w:spacing w:val="0"/>
            <w:sz w:val="22"/>
            <w:lang w:eastAsia="en-AU"/>
          </w:rPr>
          <w:tab/>
        </w:r>
        <w:r w:rsidR="007134DE" w:rsidRPr="00E52E43">
          <w:rPr>
            <w:rStyle w:val="Hyperlink"/>
            <w:noProof/>
          </w:rPr>
          <w:t>Variations made under section 26B or 27 of the Agvet Code</w:t>
        </w:r>
        <w:r w:rsidR="007134DE">
          <w:rPr>
            <w:noProof/>
          </w:rPr>
          <w:tab/>
        </w:r>
        <w:r w:rsidR="007134DE">
          <w:rPr>
            <w:noProof/>
          </w:rPr>
          <w:fldChar w:fldCharType="begin"/>
        </w:r>
        <w:r w:rsidR="007134DE">
          <w:rPr>
            <w:noProof/>
          </w:rPr>
          <w:instrText xml:space="preserve"> PAGEREF _Toc497132826 \h </w:instrText>
        </w:r>
        <w:r w:rsidR="007134DE">
          <w:rPr>
            <w:noProof/>
          </w:rPr>
        </w:r>
        <w:r w:rsidR="007134DE">
          <w:rPr>
            <w:noProof/>
          </w:rPr>
          <w:fldChar w:fldCharType="separate"/>
        </w:r>
        <w:r w:rsidR="0087688C">
          <w:rPr>
            <w:noProof/>
          </w:rPr>
          <w:t>B–3</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7" w:history="1">
        <w:r w:rsidR="007134DE" w:rsidRPr="00E52E43">
          <w:rPr>
            <w:rStyle w:val="Hyperlink"/>
            <w:b/>
            <w:noProof/>
          </w:rPr>
          <w:t>Table B.3</w:t>
        </w:r>
        <w:r w:rsidR="007134DE">
          <w:rPr>
            <w:rFonts w:asciiTheme="minorHAnsi" w:eastAsiaTheme="minorEastAsia" w:hAnsiTheme="minorHAnsi" w:cstheme="minorBidi"/>
            <w:caps w:val="0"/>
            <w:noProof/>
            <w:spacing w:val="0"/>
            <w:sz w:val="22"/>
            <w:lang w:eastAsia="en-AU"/>
          </w:rPr>
          <w:tab/>
        </w:r>
        <w:r w:rsidR="007134DE" w:rsidRPr="00E52E43">
          <w:rPr>
            <w:rStyle w:val="Hyperlink"/>
            <w:noProof/>
          </w:rPr>
          <w:t>module levels, types, periods for completion and fees</w:t>
        </w:r>
        <w:r w:rsidR="007134DE">
          <w:rPr>
            <w:noProof/>
          </w:rPr>
          <w:tab/>
        </w:r>
        <w:r w:rsidR="007134DE">
          <w:rPr>
            <w:noProof/>
          </w:rPr>
          <w:fldChar w:fldCharType="begin"/>
        </w:r>
        <w:r w:rsidR="007134DE">
          <w:rPr>
            <w:noProof/>
          </w:rPr>
          <w:instrText xml:space="preserve"> PAGEREF _Toc497132827 \h </w:instrText>
        </w:r>
        <w:r w:rsidR="007134DE">
          <w:rPr>
            <w:noProof/>
          </w:rPr>
        </w:r>
        <w:r w:rsidR="007134DE">
          <w:rPr>
            <w:noProof/>
          </w:rPr>
          <w:fldChar w:fldCharType="separate"/>
        </w:r>
        <w:r w:rsidR="0087688C">
          <w:rPr>
            <w:noProof/>
          </w:rPr>
          <w:t>B–4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8" w:history="1">
        <w:r w:rsidR="007134DE" w:rsidRPr="00E52E43">
          <w:rPr>
            <w:rStyle w:val="Hyperlink"/>
            <w:b/>
            <w:noProof/>
          </w:rPr>
          <w:t>Table B.4</w:t>
        </w:r>
        <w:r w:rsidR="007134DE">
          <w:rPr>
            <w:rFonts w:asciiTheme="minorHAnsi" w:eastAsiaTheme="minorEastAsia" w:hAnsiTheme="minorHAnsi" w:cstheme="minorBidi"/>
            <w:caps w:val="0"/>
            <w:noProof/>
            <w:spacing w:val="0"/>
            <w:sz w:val="22"/>
            <w:lang w:eastAsia="en-AU"/>
          </w:rPr>
          <w:tab/>
        </w:r>
        <w:r w:rsidR="007134DE" w:rsidRPr="00E52E43">
          <w:rPr>
            <w:rStyle w:val="Hyperlink"/>
            <w:noProof/>
          </w:rPr>
          <w:t>Permit Approvals made under section 110A or 115(3A) of the agvet code</w:t>
        </w:r>
        <w:r w:rsidR="007134DE">
          <w:rPr>
            <w:noProof/>
          </w:rPr>
          <w:tab/>
        </w:r>
        <w:r w:rsidR="007134DE">
          <w:rPr>
            <w:noProof/>
          </w:rPr>
          <w:fldChar w:fldCharType="begin"/>
        </w:r>
        <w:r w:rsidR="007134DE">
          <w:rPr>
            <w:noProof/>
          </w:rPr>
          <w:instrText xml:space="preserve"> PAGEREF _Toc497132828 \h </w:instrText>
        </w:r>
        <w:r w:rsidR="007134DE">
          <w:rPr>
            <w:noProof/>
          </w:rPr>
        </w:r>
        <w:r w:rsidR="007134DE">
          <w:rPr>
            <w:noProof/>
          </w:rPr>
          <w:fldChar w:fldCharType="separate"/>
        </w:r>
        <w:r w:rsidR="0087688C">
          <w:rPr>
            <w:noProof/>
          </w:rPr>
          <w:t>B–5</w:t>
        </w:r>
        <w:r w:rsidR="007134DE">
          <w:rPr>
            <w:noProof/>
          </w:rPr>
          <w:fldChar w:fldCharType="end"/>
        </w:r>
      </w:hyperlink>
    </w:p>
    <w:p w:rsidR="00D95E58" w:rsidRDefault="00D95E58" w:rsidP="00F1413A">
      <w:pPr>
        <w:pStyle w:val="TOCGeneral"/>
      </w:pPr>
      <w:r w:rsidRPr="009C48A8">
        <w:fldChar w:fldCharType="end"/>
      </w:r>
    </w:p>
    <w:p w:rsidR="00D95E58" w:rsidRPr="000715A3" w:rsidRDefault="00D95E58" w:rsidP="00385D33">
      <w:pPr>
        <w:pStyle w:val="TOC7"/>
        <w:spacing w:line="240" w:lineRule="auto"/>
      </w:pPr>
      <w:r w:rsidRPr="000715A3">
        <w:t>Boxes</w:t>
      </w:r>
    </w:p>
    <w:p w:rsidR="007134DE" w:rsidRDefault="00D95E58" w:rsidP="00385D33">
      <w:pPr>
        <w:pStyle w:val="TOCGeneral"/>
        <w:keepNext/>
        <w:keepLines/>
        <w:rPr>
          <w:noProof/>
        </w:rPr>
      </w:pPr>
      <w:r w:rsidRPr="009C48A8">
        <w:fldChar w:fldCharType="begin"/>
      </w:r>
      <w:r w:rsidRPr="009C48A8">
        <w:instrText xml:space="preserve"> TOC </w:instrText>
      </w:r>
      <w:r>
        <w:instrText xml:space="preserve">\h </w:instrText>
      </w:r>
      <w:r w:rsidRPr="009C48A8">
        <w:instrText xml:space="preserve">\c "Box ES" </w:instrText>
      </w:r>
      <w:r w:rsidRPr="009C48A8">
        <w:fldChar w:fldCharType="separate"/>
      </w:r>
      <w:r w:rsidR="007134DE">
        <w:rPr>
          <w:b/>
          <w:bCs/>
          <w:noProof/>
          <w:lang w:val="en-US"/>
        </w:rPr>
        <w:t>No table of figures entries found.</w:t>
      </w:r>
      <w:r w:rsidRPr="009C48A8">
        <w:fldChar w:fldCharType="end"/>
      </w:r>
      <w:r w:rsidRPr="009C48A8">
        <w:fldChar w:fldCharType="begin"/>
      </w:r>
      <w:r w:rsidRPr="009C48A8">
        <w:instrText xml:space="preserve"> TOC </w:instrText>
      </w:r>
      <w:r>
        <w:instrText xml:space="preserve">\h </w:instrText>
      </w:r>
      <w:r w:rsidRPr="009C48A8">
        <w:instrText xml:space="preserve">\c "Box" </w:instrText>
      </w:r>
      <w:r w:rsidRPr="009C48A8">
        <w:fldChar w:fldCharType="separate"/>
      </w:r>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29" w:history="1">
        <w:r w:rsidR="007134DE" w:rsidRPr="00C1415C">
          <w:rPr>
            <w:rStyle w:val="Hyperlink"/>
            <w:b/>
            <w:noProof/>
          </w:rPr>
          <w:t>Box 1.1</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Issues related to Australian IP arrangements</w:t>
        </w:r>
        <w:r w:rsidR="007134DE">
          <w:rPr>
            <w:noProof/>
          </w:rPr>
          <w:tab/>
        </w:r>
        <w:r w:rsidR="007134DE">
          <w:rPr>
            <w:noProof/>
          </w:rPr>
          <w:fldChar w:fldCharType="begin"/>
        </w:r>
        <w:r w:rsidR="007134DE">
          <w:rPr>
            <w:noProof/>
          </w:rPr>
          <w:instrText xml:space="preserve"> PAGEREF _Toc497132829 \h </w:instrText>
        </w:r>
        <w:r w:rsidR="007134DE">
          <w:rPr>
            <w:noProof/>
          </w:rPr>
        </w:r>
        <w:r w:rsidR="007134DE">
          <w:rPr>
            <w:noProof/>
          </w:rPr>
          <w:fldChar w:fldCharType="separate"/>
        </w:r>
        <w:r w:rsidR="0087688C">
          <w:rPr>
            <w:noProof/>
          </w:rPr>
          <w:t>2</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0" w:history="1">
        <w:r w:rsidR="007134DE" w:rsidRPr="00C1415C">
          <w:rPr>
            <w:rStyle w:val="Hyperlink"/>
            <w:b/>
            <w:noProof/>
          </w:rPr>
          <w:t>Box 2.1</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Data protection and exclusivity</w:t>
        </w:r>
        <w:r w:rsidR="007134DE">
          <w:rPr>
            <w:noProof/>
          </w:rPr>
          <w:tab/>
        </w:r>
        <w:r w:rsidR="007134DE">
          <w:rPr>
            <w:noProof/>
          </w:rPr>
          <w:fldChar w:fldCharType="begin"/>
        </w:r>
        <w:r w:rsidR="007134DE">
          <w:rPr>
            <w:noProof/>
          </w:rPr>
          <w:instrText xml:space="preserve"> PAGEREF _Toc497132830 \h </w:instrText>
        </w:r>
        <w:r w:rsidR="007134DE">
          <w:rPr>
            <w:noProof/>
          </w:rPr>
        </w:r>
        <w:r w:rsidR="007134DE">
          <w:rPr>
            <w:noProof/>
          </w:rPr>
          <w:fldChar w:fldCharType="separate"/>
        </w:r>
        <w:r w:rsidR="0087688C">
          <w:rPr>
            <w:noProof/>
          </w:rPr>
          <w:t>6</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1" w:history="1">
        <w:r w:rsidR="007134DE" w:rsidRPr="00C1415C">
          <w:rPr>
            <w:rStyle w:val="Hyperlink"/>
            <w:b/>
            <w:noProof/>
          </w:rPr>
          <w:t>Box 3.1</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European Union Supplementary Protection Certificate</w:t>
        </w:r>
        <w:r w:rsidR="007134DE">
          <w:rPr>
            <w:noProof/>
          </w:rPr>
          <w:tab/>
        </w:r>
        <w:r w:rsidR="007134DE">
          <w:rPr>
            <w:noProof/>
          </w:rPr>
          <w:fldChar w:fldCharType="begin"/>
        </w:r>
        <w:r w:rsidR="007134DE">
          <w:rPr>
            <w:noProof/>
          </w:rPr>
          <w:instrText xml:space="preserve"> PAGEREF _Toc497132831 \h </w:instrText>
        </w:r>
        <w:r w:rsidR="007134DE">
          <w:rPr>
            <w:noProof/>
          </w:rPr>
        </w:r>
        <w:r w:rsidR="007134DE">
          <w:rPr>
            <w:noProof/>
          </w:rPr>
          <w:fldChar w:fldCharType="separate"/>
        </w:r>
        <w:r w:rsidR="0087688C">
          <w:rPr>
            <w:noProof/>
          </w:rPr>
          <w:t>25</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2" w:history="1">
        <w:r w:rsidR="007134DE" w:rsidRPr="00C1415C">
          <w:rPr>
            <w:rStyle w:val="Hyperlink"/>
            <w:b/>
            <w:noProof/>
          </w:rPr>
          <w:t>Box 3.2</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Confidential commercial information in Australia</w:t>
        </w:r>
        <w:r w:rsidR="007134DE">
          <w:rPr>
            <w:noProof/>
          </w:rPr>
          <w:tab/>
        </w:r>
        <w:r w:rsidR="007134DE">
          <w:rPr>
            <w:noProof/>
          </w:rPr>
          <w:fldChar w:fldCharType="begin"/>
        </w:r>
        <w:r w:rsidR="007134DE">
          <w:rPr>
            <w:noProof/>
          </w:rPr>
          <w:instrText xml:space="preserve"> PAGEREF _Toc497132832 \h </w:instrText>
        </w:r>
        <w:r w:rsidR="007134DE">
          <w:rPr>
            <w:noProof/>
          </w:rPr>
        </w:r>
        <w:r w:rsidR="007134DE">
          <w:rPr>
            <w:noProof/>
          </w:rPr>
          <w:fldChar w:fldCharType="separate"/>
        </w:r>
        <w:r w:rsidR="0087688C">
          <w:rPr>
            <w:noProof/>
          </w:rPr>
          <w:t>33</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3" w:history="1">
        <w:r w:rsidR="007134DE" w:rsidRPr="00C1415C">
          <w:rPr>
            <w:rStyle w:val="Hyperlink"/>
            <w:b/>
            <w:noProof/>
          </w:rPr>
          <w:t>Box 3.3</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Confidential commercial information in the USA</w:t>
        </w:r>
        <w:r w:rsidR="007134DE">
          <w:rPr>
            <w:noProof/>
          </w:rPr>
          <w:tab/>
        </w:r>
        <w:r w:rsidR="007134DE">
          <w:rPr>
            <w:noProof/>
          </w:rPr>
          <w:fldChar w:fldCharType="begin"/>
        </w:r>
        <w:r w:rsidR="007134DE">
          <w:rPr>
            <w:noProof/>
          </w:rPr>
          <w:instrText xml:space="preserve"> PAGEREF _Toc497132833 \h </w:instrText>
        </w:r>
        <w:r w:rsidR="007134DE">
          <w:rPr>
            <w:noProof/>
          </w:rPr>
        </w:r>
        <w:r w:rsidR="007134DE">
          <w:rPr>
            <w:noProof/>
          </w:rPr>
          <w:fldChar w:fldCharType="separate"/>
        </w:r>
        <w:r w:rsidR="0087688C">
          <w:rPr>
            <w:noProof/>
          </w:rPr>
          <w:t>34</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4" w:history="1">
        <w:r w:rsidR="007134DE" w:rsidRPr="00C1415C">
          <w:rPr>
            <w:rStyle w:val="Hyperlink"/>
            <w:b/>
            <w:noProof/>
          </w:rPr>
          <w:t>Box 6.1</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Approaches to minor use and conflicting objectives</w:t>
        </w:r>
        <w:r w:rsidR="007134DE">
          <w:rPr>
            <w:noProof/>
          </w:rPr>
          <w:tab/>
        </w:r>
        <w:r w:rsidR="007134DE">
          <w:rPr>
            <w:noProof/>
          </w:rPr>
          <w:fldChar w:fldCharType="begin"/>
        </w:r>
        <w:r w:rsidR="007134DE">
          <w:rPr>
            <w:noProof/>
          </w:rPr>
          <w:instrText xml:space="preserve"> PAGEREF _Toc497132834 \h </w:instrText>
        </w:r>
        <w:r w:rsidR="007134DE">
          <w:rPr>
            <w:noProof/>
          </w:rPr>
        </w:r>
        <w:r w:rsidR="007134DE">
          <w:rPr>
            <w:noProof/>
          </w:rPr>
          <w:fldChar w:fldCharType="separate"/>
        </w:r>
        <w:r w:rsidR="0087688C">
          <w:rPr>
            <w:noProof/>
          </w:rPr>
          <w:t>68</w:t>
        </w:r>
        <w:r w:rsidR="007134DE">
          <w:rPr>
            <w:noProof/>
          </w:rPr>
          <w:fldChar w:fldCharType="end"/>
        </w:r>
      </w:hyperlink>
    </w:p>
    <w:p w:rsidR="007134DE" w:rsidRDefault="00221158">
      <w:pPr>
        <w:pStyle w:val="TableofFigures"/>
        <w:rPr>
          <w:rFonts w:asciiTheme="minorHAnsi" w:eastAsiaTheme="minorEastAsia" w:hAnsiTheme="minorHAnsi" w:cstheme="minorBidi"/>
          <w:caps w:val="0"/>
          <w:noProof/>
          <w:spacing w:val="0"/>
          <w:sz w:val="22"/>
          <w:lang w:eastAsia="en-AU"/>
        </w:rPr>
      </w:pPr>
      <w:hyperlink w:anchor="_Toc497132835" w:history="1">
        <w:r w:rsidR="007134DE" w:rsidRPr="00C1415C">
          <w:rPr>
            <w:rStyle w:val="Hyperlink"/>
            <w:b/>
            <w:noProof/>
          </w:rPr>
          <w:t>Box 6.2</w:t>
        </w:r>
        <w:r w:rsidR="007134DE">
          <w:rPr>
            <w:rFonts w:asciiTheme="minorHAnsi" w:eastAsiaTheme="minorEastAsia" w:hAnsiTheme="minorHAnsi" w:cstheme="minorBidi"/>
            <w:caps w:val="0"/>
            <w:noProof/>
            <w:spacing w:val="0"/>
            <w:sz w:val="22"/>
            <w:lang w:eastAsia="en-AU"/>
          </w:rPr>
          <w:tab/>
        </w:r>
        <w:r w:rsidR="007134DE" w:rsidRPr="00C1415C">
          <w:rPr>
            <w:rStyle w:val="Hyperlink"/>
            <w:noProof/>
          </w:rPr>
          <w:t>US IR-4 Program</w:t>
        </w:r>
        <w:r w:rsidR="007134DE">
          <w:rPr>
            <w:noProof/>
          </w:rPr>
          <w:tab/>
        </w:r>
        <w:r w:rsidR="007134DE">
          <w:rPr>
            <w:noProof/>
          </w:rPr>
          <w:fldChar w:fldCharType="begin"/>
        </w:r>
        <w:r w:rsidR="007134DE">
          <w:rPr>
            <w:noProof/>
          </w:rPr>
          <w:instrText xml:space="preserve"> PAGEREF _Toc497132835 \h </w:instrText>
        </w:r>
        <w:r w:rsidR="007134DE">
          <w:rPr>
            <w:noProof/>
          </w:rPr>
        </w:r>
        <w:r w:rsidR="007134DE">
          <w:rPr>
            <w:noProof/>
          </w:rPr>
          <w:fldChar w:fldCharType="separate"/>
        </w:r>
        <w:r w:rsidR="0087688C">
          <w:rPr>
            <w:noProof/>
          </w:rPr>
          <w:t>72</w:t>
        </w:r>
        <w:r w:rsidR="007134DE">
          <w:rPr>
            <w:noProof/>
          </w:rPr>
          <w:fldChar w:fldCharType="end"/>
        </w:r>
      </w:hyperlink>
    </w:p>
    <w:p w:rsidR="007134DE" w:rsidRDefault="00D95E58" w:rsidP="00F1413A">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"Box Ap" </w:instrText>
      </w:r>
      <w:r w:rsidRPr="009C48A8">
        <w:fldChar w:fldCharType="separate"/>
      </w:r>
    </w:p>
    <w:p w:rsidR="00D95E58" w:rsidRDefault="007134DE" w:rsidP="00F1413A">
      <w:pPr>
        <w:pStyle w:val="TOCGeneral"/>
      </w:pPr>
      <w:r>
        <w:rPr>
          <w:b/>
          <w:bCs/>
          <w:noProof/>
          <w:lang w:val="en-US"/>
        </w:rPr>
        <w:t>No table of figures entries found.</w:t>
      </w:r>
      <w:r w:rsidR="00D95E58" w:rsidRPr="009C48A8">
        <w:fldChar w:fldCharType="end"/>
      </w:r>
    </w:p>
    <w:p w:rsidR="00D95E58" w:rsidRDefault="00D95E58" w:rsidP="00F1413A">
      <w:pPr>
        <w:pStyle w:val="TOCGeneral"/>
      </w:pPr>
    </w:p>
    <w:p w:rsidR="00D95E58" w:rsidRDefault="00D95E58" w:rsidP="00F1413A">
      <w:pPr>
        <w:pStyle w:val="TOCGeneral"/>
      </w:pPr>
    </w:p>
    <w:p w:rsidR="00D95E58" w:rsidRDefault="00D95E58" w:rsidP="00F1413A"/>
    <w:p w:rsidR="00F371E4" w:rsidRDefault="00F371E4" w:rsidP="00F1413A"/>
    <w:p w:rsidR="00F371E4" w:rsidRDefault="00F371E4" w:rsidP="00F1413A"/>
    <w:p w:rsidR="00F371E4" w:rsidRDefault="00F371E4" w:rsidP="00F1413A"/>
    <w:p w:rsidR="00F371E4" w:rsidRDefault="00F371E4" w:rsidP="00F1413A">
      <w:pPr>
        <w:sectPr w:rsidR="00F371E4" w:rsidSect="00C4180B">
          <w:headerReference w:type="even" r:id="rId16"/>
          <w:headerReference w:type="default" r:id="rId17"/>
          <w:footerReference w:type="even" r:id="rId18"/>
          <w:footerReference w:type="default" r:id="rId19"/>
          <w:headerReference w:type="first" r:id="rId20"/>
          <w:footerReference w:type="first" r:id="rId21"/>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Exec"/>
      </w:tblPr>
      <w:tblGrid>
        <w:gridCol w:w="4738"/>
        <w:gridCol w:w="3430"/>
      </w:tblGrid>
      <w:tr w:rsidR="004F5B92" w:rsidTr="00D15BAD">
        <w:trPr>
          <w:trHeight w:hRule="exact" w:val="382"/>
        </w:trPr>
        <w:tc>
          <w:tcPr>
            <w:tcW w:w="4738" w:type="dxa"/>
            <w:shd w:val="clear" w:color="auto" w:fill="9D57A6"/>
          </w:tcPr>
          <w:p w:rsidR="004F5B92" w:rsidRDefault="004F5B92" w:rsidP="00D15BAD">
            <w:pPr>
              <w:pStyle w:val="tagexecBanner"/>
            </w:pPr>
            <w:r>
              <w:rPr>
                <w:noProof/>
                <w:lang w:eastAsia="en-AU"/>
              </w:rPr>
              <mc:AlternateContent>
                <mc:Choice Requires="wps">
                  <w:drawing>
                    <wp:anchor distT="0" distB="0" distL="114300" distR="114300" simplePos="0" relativeHeight="251961344" behindDoc="0" locked="1" layoutInCell="1" allowOverlap="1" wp14:anchorId="2C0B47AF" wp14:editId="47C9DB1E">
                      <wp:simplePos x="0" y="0"/>
                      <wp:positionH relativeFrom="page">
                        <wp:posOffset>158750</wp:posOffset>
                      </wp:positionH>
                      <wp:positionV relativeFrom="page">
                        <wp:posOffset>6350</wp:posOffset>
                      </wp:positionV>
                      <wp:extent cx="439560" cy="215280"/>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6B7FBF" id="Freeform 5" o:spid="_x0000_s1026" style="position:absolute;margin-left:12.5pt;margin-top:.5pt;width:34.6pt;height:16.9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DEiffZ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4F5B92" w:rsidRDefault="004F5B92" w:rsidP="00D15BAD">
            <w:pPr>
              <w:pStyle w:val="spacer"/>
            </w:pPr>
          </w:p>
        </w:tc>
      </w:tr>
      <w:tr w:rsidR="004F5B92" w:rsidTr="00D15BAD">
        <w:trPr>
          <w:trHeight w:hRule="exact" w:val="3665"/>
        </w:trPr>
        <w:tc>
          <w:tcPr>
            <w:tcW w:w="4738" w:type="dxa"/>
            <w:shd w:val="clear" w:color="auto" w:fill="9D57A6"/>
            <w:tcMar>
              <w:left w:w="0" w:type="dxa"/>
            </w:tcMar>
            <w:vAlign w:val="bottom"/>
          </w:tcPr>
          <w:p w:rsidR="004F5B92" w:rsidRPr="00DA74C0" w:rsidRDefault="004F5B92" w:rsidP="004F5B92">
            <w:pPr>
              <w:pStyle w:val="Exec-HeadingBanner"/>
            </w:pPr>
            <w:bookmarkStart w:id="1" w:name="_Toc408649189"/>
            <w:bookmarkStart w:id="2" w:name="_Toc408655752"/>
            <w:bookmarkStart w:id="3" w:name="_Toc404971734"/>
            <w:bookmarkStart w:id="4" w:name="_Toc406666847"/>
            <w:bookmarkStart w:id="5" w:name="_Toc408644059"/>
            <w:bookmarkStart w:id="6" w:name="_Toc412810397"/>
            <w:bookmarkStart w:id="7" w:name="_Toc497300805"/>
            <w:r w:rsidRPr="003450CF">
              <w:t>Executive Summary</w:t>
            </w:r>
            <w:bookmarkEnd w:id="1"/>
            <w:bookmarkEnd w:id="2"/>
            <w:bookmarkEnd w:id="3"/>
            <w:bookmarkEnd w:id="4"/>
            <w:bookmarkEnd w:id="5"/>
            <w:bookmarkEnd w:id="6"/>
            <w:bookmarkEnd w:id="7"/>
          </w:p>
        </w:tc>
        <w:tc>
          <w:tcPr>
            <w:tcW w:w="3430" w:type="dxa"/>
            <w:shd w:val="clear" w:color="auto" w:fill="9D57A6"/>
            <w:tcMar>
              <w:right w:w="344" w:type="dxa"/>
            </w:tcMar>
          </w:tcPr>
          <w:p w:rsidR="004F5B92" w:rsidRPr="003450CF" w:rsidRDefault="004F5B92" w:rsidP="00D15BAD">
            <w:pPr>
              <w:pStyle w:val="Normal-nospace"/>
              <w:rPr>
                <w:noProof/>
              </w:rPr>
            </w:pPr>
          </w:p>
        </w:tc>
      </w:tr>
      <w:tr w:rsidR="004F5B92" w:rsidTr="00D15BAD">
        <w:trPr>
          <w:trHeight w:hRule="exact" w:val="232"/>
        </w:trPr>
        <w:tc>
          <w:tcPr>
            <w:tcW w:w="4738" w:type="dxa"/>
            <w:shd w:val="clear" w:color="auto" w:fill="9D57A6"/>
            <w:tcMar>
              <w:left w:w="0" w:type="dxa"/>
            </w:tcMar>
          </w:tcPr>
          <w:p w:rsidR="004F5B92" w:rsidRDefault="004F5B92" w:rsidP="00D15BAD">
            <w:pPr>
              <w:pStyle w:val="spacer"/>
            </w:pPr>
          </w:p>
        </w:tc>
        <w:tc>
          <w:tcPr>
            <w:tcW w:w="3430" w:type="dxa"/>
            <w:shd w:val="clear" w:color="auto" w:fill="9D57A6"/>
            <w:tcMar>
              <w:right w:w="344" w:type="dxa"/>
            </w:tcMar>
          </w:tcPr>
          <w:p w:rsidR="004F5B92" w:rsidRDefault="004F5B92" w:rsidP="00D15BAD">
            <w:pPr>
              <w:pStyle w:val="spacer"/>
              <w:rPr>
                <w:noProof/>
              </w:rPr>
            </w:pPr>
          </w:p>
        </w:tc>
      </w:tr>
      <w:tr w:rsidR="004F5B92" w:rsidTr="00D15BAD">
        <w:trPr>
          <w:trHeight w:hRule="exact" w:val="228"/>
        </w:trPr>
        <w:tc>
          <w:tcPr>
            <w:tcW w:w="4738" w:type="dxa"/>
            <w:tcBorders>
              <w:top w:val="single" w:sz="4" w:space="0" w:color="9D57A6"/>
            </w:tcBorders>
            <w:shd w:val="clear" w:color="auto" w:fill="auto"/>
          </w:tcPr>
          <w:p w:rsidR="004F5B92" w:rsidRDefault="004F5B92" w:rsidP="00D15BAD">
            <w:pPr>
              <w:pStyle w:val="spacer"/>
            </w:pPr>
          </w:p>
        </w:tc>
        <w:tc>
          <w:tcPr>
            <w:tcW w:w="3430" w:type="dxa"/>
            <w:tcBorders>
              <w:top w:val="single" w:sz="4" w:space="0" w:color="9D57A6"/>
            </w:tcBorders>
            <w:shd w:val="clear" w:color="auto" w:fill="auto"/>
          </w:tcPr>
          <w:p w:rsidR="004F5B92" w:rsidRDefault="004F5B92" w:rsidP="00D15BAD">
            <w:pPr>
              <w:pStyle w:val="spacer"/>
            </w:pPr>
          </w:p>
        </w:tc>
      </w:tr>
    </w:tbl>
    <w:p w:rsidR="00BB7BA6" w:rsidRDefault="0061720A" w:rsidP="00385D33">
      <w:pPr>
        <w:pStyle w:val="BodyText"/>
      </w:pPr>
      <w:r>
        <w:t xml:space="preserve">This study has examined intellectual property </w:t>
      </w:r>
      <w:r w:rsidR="00C67738">
        <w:t xml:space="preserve">(IP) </w:t>
      </w:r>
      <w:r>
        <w:t>settings and registration arrangements as they relate to agricultural and veterinary (agvet) chemical markets across selected OECD countries, including Australia. The purpose was to review the evidence and propose changes, where appropriate, to improve Australian agricultural producers’ access (through registration by the Australian Pesticides and Veterinary Medicines Authority), to innovative agvet chemicals while also supporting access to generic agvet chemicals.</w:t>
      </w:r>
      <w:r w:rsidR="00BB7BA6">
        <w:t xml:space="preserve"> Key insights from the study follow.</w:t>
      </w:r>
    </w:p>
    <w:p w:rsidR="002E3BAB" w:rsidRDefault="00C67738" w:rsidP="00385D33">
      <w:pPr>
        <w:pStyle w:val="BodyText"/>
      </w:pPr>
      <w:r>
        <w:t xml:space="preserve">The overall conclusion is that </w:t>
      </w:r>
      <w:r w:rsidR="002E3BAB">
        <w:t>Australia’s IP and broad data protection settings are internationally competitive given the size of our market and should remain unchanged beyond maintaining international alignment. Efforts to improve Australian farmers’ access to agvet chemicals through increased registrations would be better focussed on the registration process.</w:t>
      </w:r>
    </w:p>
    <w:p w:rsidR="00BB7BA6" w:rsidRDefault="00BB7BA6" w:rsidP="00F371E4">
      <w:pPr>
        <w:pStyle w:val="Heading5nonumber"/>
      </w:pPr>
      <w:r>
        <w:t>Agvet chemical markets</w:t>
      </w:r>
    </w:p>
    <w:p w:rsidR="003F7CC3" w:rsidRDefault="0061720A" w:rsidP="00385D33">
      <w:pPr>
        <w:pStyle w:val="BodyText"/>
      </w:pPr>
      <w:r>
        <w:t xml:space="preserve">The major markets for agvet chemical products are North America and the EU. Both of these markets are home to major producers of agvet chemical products. Australia, by contrast, is a very small market on the other side of the world (less than </w:t>
      </w:r>
      <w:r w:rsidRPr="00EA78C5">
        <w:t>1.5 per cent</w:t>
      </w:r>
      <w:r>
        <w:t xml:space="preserve"> of the world agvet chemical market). </w:t>
      </w:r>
      <w:r w:rsidR="003F7CC3">
        <w:t>Australia</w:t>
      </w:r>
      <w:r w:rsidR="002E615C">
        <w:t>’s</w:t>
      </w:r>
      <w:r w:rsidR="003F7CC3">
        <w:t xml:space="preserve"> pesticide manufacturing industry is highly concentrated, with the top four </w:t>
      </w:r>
      <w:r w:rsidR="002E615C">
        <w:t>manufacturers</w:t>
      </w:r>
      <w:r w:rsidR="003F7CC3">
        <w:t xml:space="preserve"> estimated to account for more than 97 per cent </w:t>
      </w:r>
      <w:r w:rsidR="00766BD9">
        <w:t xml:space="preserve">of </w:t>
      </w:r>
      <w:r w:rsidR="003F7CC3">
        <w:t>total industry revenue in 2015-16. Nufarm is the largest</w:t>
      </w:r>
      <w:r w:rsidR="00580CF7">
        <w:t>,</w:t>
      </w:r>
      <w:r w:rsidR="003F7CC3">
        <w:t xml:space="preserve"> </w:t>
      </w:r>
      <w:r w:rsidR="00FE7401">
        <w:t xml:space="preserve">and </w:t>
      </w:r>
      <w:r w:rsidR="00580CF7">
        <w:t xml:space="preserve">is </w:t>
      </w:r>
      <w:r w:rsidR="00FE7401">
        <w:t xml:space="preserve">a </w:t>
      </w:r>
      <w:r w:rsidR="003F7CC3">
        <w:t>generic</w:t>
      </w:r>
      <w:r w:rsidR="00FE7401">
        <w:t xml:space="preserve"> chemical</w:t>
      </w:r>
      <w:r w:rsidR="003F7CC3">
        <w:t xml:space="preserve"> producer.</w:t>
      </w:r>
    </w:p>
    <w:p w:rsidR="0061720A" w:rsidRDefault="0061720A" w:rsidP="00385D33">
      <w:pPr>
        <w:pStyle w:val="BodyText"/>
      </w:pPr>
      <w:r>
        <w:t>The small size of the Australian market means it can provide only limited returns to agvet chemical manufacturers. If Australia wants fast, or faster, access to agvet chemical products, it has to operate a regulatory regime that recognises this market reality. Therefore, Australian agvet chemical regulation needs to be internationally competitive in relation to costs, administrative hurdles,</w:t>
      </w:r>
      <w:r w:rsidR="00DC77BF">
        <w:t xml:space="preserve"> application processing time,</w:t>
      </w:r>
      <w:r>
        <w:t xml:space="preserve"> intellectual property and data protection, and incentives</w:t>
      </w:r>
      <w:r w:rsidR="00B9782A">
        <w:t xml:space="preserve">. </w:t>
      </w:r>
      <w:r w:rsidR="00514494">
        <w:t xml:space="preserve">In </w:t>
      </w:r>
      <w:r w:rsidR="00166815">
        <w:t xml:space="preserve">several </w:t>
      </w:r>
      <w:r w:rsidR="00270CD1">
        <w:t xml:space="preserve">of </w:t>
      </w:r>
      <w:r w:rsidR="00514494">
        <w:t>these areas Australia</w:t>
      </w:r>
      <w:r w:rsidR="001B02D6">
        <w:t xml:space="preserve">’s arrangements are internationally competitive. </w:t>
      </w:r>
      <w:r w:rsidR="00514494">
        <w:t xml:space="preserve">  </w:t>
      </w:r>
    </w:p>
    <w:p w:rsidR="0061720A" w:rsidRDefault="0061720A" w:rsidP="00385D33">
      <w:pPr>
        <w:pStyle w:val="BodyText"/>
      </w:pPr>
      <w:r w:rsidRPr="00704DC9">
        <w:t xml:space="preserve">The global market for agvet chemicals </w:t>
      </w:r>
      <w:r>
        <w:t xml:space="preserve">was </w:t>
      </w:r>
      <w:r w:rsidRPr="00704DC9">
        <w:t>dominated</w:t>
      </w:r>
      <w:r>
        <w:t xml:space="preserve"> in the 1980s</w:t>
      </w:r>
      <w:r w:rsidRPr="00704DC9">
        <w:t xml:space="preserve"> by patent</w:t>
      </w:r>
      <w:r w:rsidR="00AA2B86">
        <w:t>-</w:t>
      </w:r>
      <w:r w:rsidRPr="00704DC9">
        <w:t xml:space="preserve">protected products. </w:t>
      </w:r>
      <w:r>
        <w:t>However, new patented active ingredient introductions have been declining since then because of increasing research and development costs and time and effort required to satisfy regulators. A</w:t>
      </w:r>
      <w:r w:rsidRPr="00704DC9">
        <w:t xml:space="preserve">s active ingredient patents </w:t>
      </w:r>
      <w:r>
        <w:t>and data protection expire</w:t>
      </w:r>
      <w:r w:rsidR="00DC77BF">
        <w:t>d</w:t>
      </w:r>
      <w:r w:rsidRPr="00704DC9">
        <w:t xml:space="preserve">, the use of off-patent, or generic agvet chemical products, has grown </w:t>
      </w:r>
      <w:r>
        <w:t>significantly</w:t>
      </w:r>
      <w:r w:rsidRPr="00704DC9">
        <w:t>.</w:t>
      </w:r>
      <w:r>
        <w:t xml:space="preserve"> </w:t>
      </w:r>
    </w:p>
    <w:p w:rsidR="0061720A" w:rsidRDefault="0061720A" w:rsidP="00C43B4B">
      <w:pPr>
        <w:pStyle w:val="BodyText"/>
      </w:pPr>
      <w:r>
        <w:t>Australia, mirroring the global market, has also seen a dramatic increase in the supply of generic agvet chemical products over recent decades. However, as a comparatively small agvet chemical market, i</w:t>
      </w:r>
      <w:r w:rsidRPr="00A96CCF">
        <w:t>mports pla</w:t>
      </w:r>
      <w:r>
        <w:t>y</w:t>
      </w:r>
      <w:r w:rsidRPr="00A96CCF">
        <w:t xml:space="preserve"> a significant role in meeting Australian demand for pesticides. </w:t>
      </w:r>
      <w:r>
        <w:t xml:space="preserve">The situation for veterinary </w:t>
      </w:r>
      <w:r w:rsidRPr="005D6E3C">
        <w:t>chemicals/pharmaceuticals</w:t>
      </w:r>
      <w:r w:rsidRPr="001F093F">
        <w:t xml:space="preserve"> </w:t>
      </w:r>
      <w:r>
        <w:t xml:space="preserve">is different. Given that Australia has many more manufacturers of </w:t>
      </w:r>
      <w:r w:rsidR="006E2AAF">
        <w:t>veterinary</w:t>
      </w:r>
      <w:r>
        <w:t xml:space="preserve"> products, </w:t>
      </w:r>
      <w:r w:rsidRPr="00A96CCF">
        <w:t xml:space="preserve">imports only play a small role in meeting </w:t>
      </w:r>
      <w:r>
        <w:t>local</w:t>
      </w:r>
      <w:r w:rsidRPr="00A96CCF">
        <w:t xml:space="preserve"> demand</w:t>
      </w:r>
      <w:r w:rsidR="006E2AAF">
        <w:t xml:space="preserve"> in this area</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960C7B" w:rsidRPr="0022286A" w:rsidTr="00960C7B">
        <w:trPr>
          <w:cantSplit/>
        </w:trPr>
        <w:tc>
          <w:tcPr>
            <w:tcW w:w="8614" w:type="dxa"/>
            <w:shd w:val="clear" w:color="auto" w:fill="auto"/>
            <w:tcMar>
              <w:top w:w="160" w:type="dxa"/>
              <w:left w:w="446" w:type="dxa"/>
            </w:tcMar>
          </w:tcPr>
          <w:p w:rsidR="00960C7B" w:rsidRPr="003006F4" w:rsidRDefault="00960C7B" w:rsidP="00D15BAD">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7688C">
              <w:rPr>
                <w:rStyle w:val="CaptionLabel"/>
                <w:noProof/>
              </w:rPr>
              <w:t>1</w:t>
            </w:r>
            <w:r w:rsidRPr="004D3806">
              <w:rPr>
                <w:rStyle w:val="CaptionLabel"/>
              </w:rPr>
              <w:fldChar w:fldCharType="end"/>
            </w:r>
            <w:r>
              <w:tab/>
              <w:t>An internationally competitive agvet regulatory system</w:t>
            </w:r>
          </w:p>
        </w:tc>
      </w:tr>
      <w:tr w:rsidR="00960C7B" w:rsidTr="00960C7B">
        <w:trPr>
          <w:cantSplit/>
        </w:trPr>
        <w:tc>
          <w:tcPr>
            <w:tcW w:w="8614" w:type="dxa"/>
            <w:shd w:val="clear" w:color="auto" w:fill="E4E0DD"/>
            <w:tcMar>
              <w:top w:w="276" w:type="dxa"/>
              <w:bottom w:w="0" w:type="dxa"/>
              <w:right w:w="120" w:type="dxa"/>
            </w:tcMar>
          </w:tcPr>
          <w:p w:rsidR="00960C7B" w:rsidRDefault="00960C7B" w:rsidP="0081611A">
            <w:pPr>
              <w:pStyle w:val="BoxText"/>
            </w:pPr>
            <w:r>
              <w:t xml:space="preserve">In order for Australia’s agriculture sector to be internationally competitive, </w:t>
            </w:r>
            <w:r w:rsidRPr="009A4747">
              <w:t>fast access to agvet chemicals</w:t>
            </w:r>
            <w:r>
              <w:t xml:space="preserve"> is essential. To achieve this, t</w:t>
            </w:r>
            <w:r w:rsidRPr="009A4747">
              <w:t>he relevant regulation needs to be internationally competitive in relation to costs, administrative hurdles, application processing time, intellectual property and data protection, and incentives.</w:t>
            </w:r>
            <w:r w:rsidR="0021563F">
              <w:t xml:space="preserve"> Overall, the analysis has found that Australia’s arrangements are internationally competitive in </w:t>
            </w:r>
            <w:r w:rsidR="00166815">
              <w:t xml:space="preserve">several of these </w:t>
            </w:r>
            <w:r w:rsidR="0021563F">
              <w:t>areas.</w:t>
            </w:r>
          </w:p>
        </w:tc>
      </w:tr>
      <w:tr w:rsidR="00960C7B" w:rsidRPr="008B3E19" w:rsidTr="00960C7B">
        <w:trPr>
          <w:cantSplit/>
          <w:trHeight w:hRule="exact" w:val="376"/>
        </w:trPr>
        <w:tc>
          <w:tcPr>
            <w:tcW w:w="8614" w:type="dxa"/>
            <w:shd w:val="clear" w:color="auto" w:fill="E4E0DD"/>
            <w:tcMar>
              <w:top w:w="0" w:type="dxa"/>
              <w:bottom w:w="0" w:type="dxa"/>
              <w:right w:w="0" w:type="dxa"/>
            </w:tcMar>
          </w:tcPr>
          <w:p w:rsidR="00960C7B" w:rsidRPr="008B3E19" w:rsidRDefault="00960C7B" w:rsidP="00D15BAD">
            <w:pPr>
              <w:pStyle w:val="spacer"/>
            </w:pPr>
          </w:p>
        </w:tc>
      </w:tr>
      <w:tr w:rsidR="00960C7B" w:rsidRPr="008B3E19" w:rsidTr="00960C7B">
        <w:trPr>
          <w:cantSplit/>
          <w:trHeight w:hRule="exact" w:val="180"/>
        </w:trPr>
        <w:tc>
          <w:tcPr>
            <w:tcW w:w="8614" w:type="dxa"/>
            <w:shd w:val="clear" w:color="auto" w:fill="auto"/>
            <w:tcMar>
              <w:top w:w="0" w:type="dxa"/>
              <w:left w:w="446" w:type="dxa"/>
              <w:bottom w:w="0" w:type="dxa"/>
            </w:tcMar>
          </w:tcPr>
          <w:p w:rsidR="00960C7B" w:rsidRPr="008B3E19" w:rsidRDefault="00960C7B" w:rsidP="00D15BAD">
            <w:pPr>
              <w:pStyle w:val="spacertbl"/>
            </w:pPr>
            <w:r w:rsidRPr="008B3E19">
              <w:rPr>
                <w:noProof/>
                <w:lang w:eastAsia="en-AU"/>
              </w:rPr>
              <mc:AlternateContent>
                <mc:Choice Requires="wps">
                  <w:drawing>
                    <wp:anchor distT="0" distB="0" distL="114300" distR="114300" simplePos="0" relativeHeight="251965440" behindDoc="0" locked="1" layoutInCell="1" allowOverlap="1" wp14:anchorId="545077F0" wp14:editId="2E161F6F">
                      <wp:simplePos x="0" y="0"/>
                      <wp:positionH relativeFrom="rightMargin">
                        <wp:posOffset>-772795</wp:posOffset>
                      </wp:positionH>
                      <wp:positionV relativeFrom="page">
                        <wp:posOffset>-237490</wp:posOffset>
                      </wp:positionV>
                      <wp:extent cx="436880" cy="213360"/>
                      <wp:effectExtent l="0" t="0" r="1270" b="0"/>
                      <wp:wrapNone/>
                      <wp:docPr id="12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70BEEC" id="Freeform 5" o:spid="_x0000_s1026" style="position:absolute;margin-left:-60.85pt;margin-top:-18.7pt;width:34.4pt;height:16.8pt;z-index:251965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C/IKrM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BB7BA6" w:rsidRDefault="00A95734" w:rsidP="00F371E4">
      <w:pPr>
        <w:pStyle w:val="Heading5nonumber"/>
      </w:pPr>
      <w:r>
        <w:t>Intellectual property</w:t>
      </w:r>
      <w:r w:rsidR="002E3BAB">
        <w:t xml:space="preserve"> and data protection</w:t>
      </w:r>
    </w:p>
    <w:p w:rsidR="008C1509" w:rsidRDefault="008C1509" w:rsidP="00C43B4B">
      <w:pPr>
        <w:pStyle w:val="BodyText"/>
      </w:pPr>
      <w:r w:rsidRPr="00B11614">
        <w:t xml:space="preserve">Patents are a core feature of the market for agvet </w:t>
      </w:r>
      <w:r>
        <w:t xml:space="preserve">chemical </w:t>
      </w:r>
      <w:r w:rsidRPr="00B11614">
        <w:t xml:space="preserve">products. Patent laws in Australia, the EU including the UK and Germany, the </w:t>
      </w:r>
      <w:r>
        <w:t>USA</w:t>
      </w:r>
      <w:r w:rsidRPr="00B11614">
        <w:t>, Canada and New Zealand all provide standard patent terms of twenty years.</w:t>
      </w:r>
    </w:p>
    <w:p w:rsidR="00DC77BF" w:rsidRDefault="00DC77BF" w:rsidP="00C43B4B">
      <w:pPr>
        <w:pStyle w:val="BodyText"/>
      </w:pPr>
      <w:r>
        <w:t xml:space="preserve">Patent term extensions are not available for agvet chemicals in Australia. They are available for human pharmaceuticals, however, the Productivity Commission has found that these arrangements have not proven effective. </w:t>
      </w:r>
    </w:p>
    <w:p w:rsidR="0061720A" w:rsidRDefault="0061720A" w:rsidP="00C43B4B">
      <w:pPr>
        <w:pStyle w:val="BodyText"/>
      </w:pPr>
      <w:r>
        <w:t xml:space="preserve">Data protection is where regulators protect the data related to studies and tests undertaken to demonstrate the safety and efficacy of agvet chemicals. </w:t>
      </w:r>
      <w:r w:rsidR="0021563F">
        <w:t xml:space="preserve">Data protection </w:t>
      </w:r>
      <w:r>
        <w:t xml:space="preserve">is meant to </w:t>
      </w:r>
      <w:r w:rsidR="00DC77BF">
        <w:t>protect the property rights of the owner</w:t>
      </w:r>
      <w:r w:rsidR="0021563F">
        <w:t>s</w:t>
      </w:r>
      <w:r w:rsidR="00DC77BF">
        <w:t xml:space="preserve"> of new agvet chemicals.</w:t>
      </w:r>
      <w:r>
        <w:t xml:space="preserve"> Data protection provisions differ across the selected countries</w:t>
      </w:r>
      <w:r w:rsidR="00DC77BF">
        <w:t>. H</w:t>
      </w:r>
      <w:r>
        <w:t>owever</w:t>
      </w:r>
      <w:r w:rsidR="003902B8">
        <w:t>,</w:t>
      </w:r>
      <w:r>
        <w:t xml:space="preserve"> the </w:t>
      </w:r>
      <w:r w:rsidR="00DC77BF">
        <w:t xml:space="preserve">data </w:t>
      </w:r>
      <w:r>
        <w:t xml:space="preserve">protection period for a new active ingredient is generally ten years. </w:t>
      </w:r>
    </w:p>
    <w:p w:rsidR="0061720A" w:rsidRDefault="0061720A" w:rsidP="00C43B4B">
      <w:pPr>
        <w:pStyle w:val="BodyText"/>
      </w:pPr>
      <w:r w:rsidRPr="00FC3E44">
        <w:t xml:space="preserve">Patents and regulatory data protection </w:t>
      </w:r>
      <w:r>
        <w:t>provide similar benefits for the manufacturers of original products,</w:t>
      </w:r>
      <w:r w:rsidRPr="00FC3E44">
        <w:t xml:space="preserve"> but are distinct from one another. Periods of regulatory data protection and patent terms may or may not run concurrently. Patents can be issued or expire </w:t>
      </w:r>
      <w:r w:rsidR="0091006E">
        <w:t xml:space="preserve">independent </w:t>
      </w:r>
      <w:r w:rsidRPr="00FC3E44">
        <w:t>of the approval status of the chemicals. Regulatory data protection periods generally commence when a chemical product is approved for use. Some chemicals have both patent and regulatory data protection simultaneously while others have just one or the other.</w:t>
      </w:r>
    </w:p>
    <w:p w:rsidR="0061720A" w:rsidRDefault="00F3795F" w:rsidP="00C43B4B">
      <w:pPr>
        <w:pStyle w:val="BodyText"/>
        <w:rPr>
          <w:shd w:val="clear" w:color="auto" w:fill="FFFFFF"/>
        </w:rPr>
      </w:pPr>
      <w:r>
        <w:rPr>
          <w:shd w:val="clear" w:color="auto" w:fill="FFFFFF"/>
        </w:rPr>
        <w:t>In Australia, s</w:t>
      </w:r>
      <w:r w:rsidR="0061720A">
        <w:rPr>
          <w:shd w:val="clear" w:color="auto" w:fill="FFFFFF"/>
        </w:rPr>
        <w:t>pringboarding became possible for agvet chemicals</w:t>
      </w:r>
      <w:r>
        <w:rPr>
          <w:shd w:val="clear" w:color="auto" w:fill="FFFFFF"/>
        </w:rPr>
        <w:t>, and all other technologies,</w:t>
      </w:r>
      <w:r w:rsidR="0061720A">
        <w:rPr>
          <w:shd w:val="clear" w:color="auto" w:fill="FFFFFF"/>
        </w:rPr>
        <w:t xml:space="preserve"> in 2012. This allows a generic manufacturer to seek and obtain regulatory approval of their generic version of a patented agvet chemical while the patent is </w:t>
      </w:r>
      <w:r w:rsidR="00DC77BF">
        <w:rPr>
          <w:shd w:val="clear" w:color="auto" w:fill="FFFFFF"/>
        </w:rPr>
        <w:t xml:space="preserve">still in force. Springboarding </w:t>
      </w:r>
      <w:r w:rsidR="0061720A">
        <w:rPr>
          <w:shd w:val="clear" w:color="auto" w:fill="FFFFFF"/>
        </w:rPr>
        <w:t>enables a generic manufacturer to launch their bioequivalent version of the agvet chemical onto the market as so</w:t>
      </w:r>
      <w:r w:rsidR="00A4316F">
        <w:rPr>
          <w:shd w:val="clear" w:color="auto" w:fill="FFFFFF"/>
        </w:rPr>
        <w:t>on as the patent has expired.</w:t>
      </w:r>
    </w:p>
    <w:p w:rsidR="0061720A" w:rsidRDefault="00544C97" w:rsidP="003902B8">
      <w:pPr>
        <w:pStyle w:val="BodyText"/>
      </w:pPr>
      <w:r>
        <w:t>Regulatory</w:t>
      </w:r>
      <w:r w:rsidR="0061720A">
        <w:t xml:space="preserve"> data protection arrangements in Australia, the USA, the EU, Canada and New Zealand are compared in</w:t>
      </w:r>
      <w:r w:rsidR="00022424">
        <w:t> </w:t>
      </w:r>
      <w:r w:rsidR="003902B8" w:rsidRPr="001B13B0">
        <w:rPr>
          <w:b/>
        </w:rPr>
        <w:t>Table ES 1</w:t>
      </w:r>
      <w:r w:rsidR="003902B8">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8A0C6D" w:rsidRPr="0022286A" w:rsidTr="008A0C6D">
        <w:trPr>
          <w:cantSplit/>
        </w:trPr>
        <w:tc>
          <w:tcPr>
            <w:tcW w:w="8614" w:type="dxa"/>
            <w:shd w:val="clear" w:color="auto" w:fill="auto"/>
            <w:tcMar>
              <w:top w:w="160" w:type="dxa"/>
              <w:left w:w="446" w:type="dxa"/>
            </w:tcMar>
          </w:tcPr>
          <w:p w:rsidR="008A0C6D" w:rsidRPr="003006F4" w:rsidRDefault="008A0C6D" w:rsidP="00D15BAD">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7688C">
              <w:rPr>
                <w:rStyle w:val="CaptionLabel"/>
                <w:noProof/>
              </w:rPr>
              <w:t>2</w:t>
            </w:r>
            <w:r w:rsidRPr="004D3806">
              <w:rPr>
                <w:rStyle w:val="CaptionLabel"/>
              </w:rPr>
              <w:fldChar w:fldCharType="end"/>
            </w:r>
            <w:r>
              <w:tab/>
              <w:t>Australia’s agvet IP and data protection arrangements</w:t>
            </w:r>
          </w:p>
        </w:tc>
      </w:tr>
      <w:tr w:rsidR="008A0C6D" w:rsidTr="008A0C6D">
        <w:trPr>
          <w:cantSplit/>
        </w:trPr>
        <w:tc>
          <w:tcPr>
            <w:tcW w:w="8614" w:type="dxa"/>
            <w:shd w:val="clear" w:color="auto" w:fill="E4E0DD"/>
            <w:tcMar>
              <w:top w:w="276" w:type="dxa"/>
              <w:bottom w:w="0" w:type="dxa"/>
              <w:right w:w="120" w:type="dxa"/>
            </w:tcMar>
          </w:tcPr>
          <w:p w:rsidR="008A0C6D" w:rsidRDefault="008A0C6D" w:rsidP="00D15BAD">
            <w:pPr>
              <w:pStyle w:val="BoxText"/>
            </w:pPr>
            <w:r w:rsidRPr="00067284">
              <w:t xml:space="preserve">Australia’s </w:t>
            </w:r>
            <w:r>
              <w:t xml:space="preserve">agvet IP and data protection </w:t>
            </w:r>
            <w:r w:rsidRPr="00067284">
              <w:t>arrangements are generally appropriate</w:t>
            </w:r>
            <w:r>
              <w:t xml:space="preserve"> and are </w:t>
            </w:r>
            <w:r w:rsidRPr="00067284">
              <w:t>comparable to, and competitive with th</w:t>
            </w:r>
            <w:r>
              <w:t xml:space="preserve">ose in the </w:t>
            </w:r>
            <w:r w:rsidRPr="00067284">
              <w:t>EU, the US</w:t>
            </w:r>
            <w:r w:rsidR="0021563F">
              <w:t>A</w:t>
            </w:r>
            <w:r w:rsidRPr="00067284">
              <w:t>, Canada and New Zealand.</w:t>
            </w:r>
            <w:r>
              <w:t xml:space="preserve"> There is no compelling case for change.</w:t>
            </w:r>
          </w:p>
        </w:tc>
      </w:tr>
      <w:tr w:rsidR="008A0C6D" w:rsidRPr="008B3E19" w:rsidTr="008A0C6D">
        <w:trPr>
          <w:cantSplit/>
          <w:trHeight w:hRule="exact" w:val="376"/>
        </w:trPr>
        <w:tc>
          <w:tcPr>
            <w:tcW w:w="8614" w:type="dxa"/>
            <w:shd w:val="clear" w:color="auto" w:fill="E4E0DD"/>
            <w:tcMar>
              <w:top w:w="0" w:type="dxa"/>
              <w:bottom w:w="0" w:type="dxa"/>
              <w:right w:w="0" w:type="dxa"/>
            </w:tcMar>
          </w:tcPr>
          <w:p w:rsidR="008A0C6D" w:rsidRPr="008B3E19" w:rsidRDefault="008A0C6D" w:rsidP="00D15BAD">
            <w:pPr>
              <w:pStyle w:val="spacer"/>
            </w:pPr>
          </w:p>
        </w:tc>
      </w:tr>
      <w:tr w:rsidR="008A0C6D" w:rsidRPr="008B3E19" w:rsidTr="008A0C6D">
        <w:trPr>
          <w:cantSplit/>
          <w:trHeight w:hRule="exact" w:val="180"/>
        </w:trPr>
        <w:tc>
          <w:tcPr>
            <w:tcW w:w="8614" w:type="dxa"/>
            <w:shd w:val="clear" w:color="auto" w:fill="auto"/>
            <w:tcMar>
              <w:top w:w="0" w:type="dxa"/>
              <w:left w:w="446" w:type="dxa"/>
              <w:bottom w:w="0" w:type="dxa"/>
            </w:tcMar>
          </w:tcPr>
          <w:p w:rsidR="008A0C6D" w:rsidRPr="008B3E19" w:rsidRDefault="008A0C6D" w:rsidP="00D15BAD">
            <w:pPr>
              <w:pStyle w:val="spacertbl"/>
            </w:pPr>
            <w:r w:rsidRPr="008B3E19">
              <w:rPr>
                <w:noProof/>
                <w:lang w:eastAsia="en-AU"/>
              </w:rPr>
              <mc:AlternateContent>
                <mc:Choice Requires="wps">
                  <w:drawing>
                    <wp:anchor distT="0" distB="0" distL="114300" distR="114300" simplePos="0" relativeHeight="251967488" behindDoc="0" locked="1" layoutInCell="1" allowOverlap="1" wp14:anchorId="545077F0" wp14:editId="2E161F6F">
                      <wp:simplePos x="0" y="0"/>
                      <wp:positionH relativeFrom="rightMargin">
                        <wp:posOffset>-772795</wp:posOffset>
                      </wp:positionH>
                      <wp:positionV relativeFrom="page">
                        <wp:posOffset>-237490</wp:posOffset>
                      </wp:positionV>
                      <wp:extent cx="436880" cy="213360"/>
                      <wp:effectExtent l="0" t="0" r="1270" b="0"/>
                      <wp:wrapNone/>
                      <wp:docPr id="55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0EB2B5" id="Freeform 5" o:spid="_x0000_s1026" style="position:absolute;margin-left:-60.85pt;margin-top:-18.7pt;width:34.4pt;height:16.8pt;z-index:251967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A95734" w:rsidRDefault="00A95734" w:rsidP="00385D33">
      <w:pPr>
        <w:pStyle w:val="Heading5nonumber"/>
      </w:pPr>
      <w:r>
        <w:t>Confidential commercial information (CCI)</w:t>
      </w:r>
    </w:p>
    <w:p w:rsidR="002E3BAB" w:rsidRPr="00F45270" w:rsidRDefault="002E3BAB" w:rsidP="002E3BAB">
      <w:pPr>
        <w:pStyle w:val="BodyText"/>
      </w:pPr>
      <w:r>
        <w:rPr>
          <w:shd w:val="clear" w:color="auto" w:fill="FFFFFF"/>
        </w:rPr>
        <w:t xml:space="preserve">Information received with an application (for example, details provided in dossiers) is generally classified as sensitive — confidential commercial information. Countries use different definitions and approaches to managing confidential commercial information. There is some ambiguity in Australian legislation about the timing and the duration of managing such information by </w:t>
      </w:r>
      <w:r w:rsidR="008B620A">
        <w:rPr>
          <w:shd w:val="clear" w:color="auto" w:fill="FFFFFF"/>
        </w:rPr>
        <w:t xml:space="preserve">the </w:t>
      </w:r>
      <w:r>
        <w:rPr>
          <w:shd w:val="clear" w:color="auto" w:fill="FFFFFF"/>
        </w:rPr>
        <w:t>APVMA.</w:t>
      </w:r>
    </w:p>
    <w:p w:rsidR="00BA789D" w:rsidRDefault="00BA789D" w:rsidP="00C43B4B">
      <w:pPr>
        <w:pStyle w:val="BodyText"/>
      </w:pPr>
      <w:r>
        <w:t>CCI could be clarified in Australia</w:t>
      </w:r>
      <w:r w:rsidR="00317831">
        <w:t>,</w:t>
      </w:r>
      <w:r>
        <w:t xml:space="preserve"> drawing on the practices in other countries:</w:t>
      </w:r>
    </w:p>
    <w:p w:rsidR="00BA789D" w:rsidRDefault="00BA789D" w:rsidP="00C43B4B">
      <w:pPr>
        <w:pStyle w:val="ListBullet"/>
      </w:pPr>
      <w:r>
        <w:t xml:space="preserve">Define a list </w:t>
      </w:r>
      <w:r w:rsidR="008B620A">
        <w:t xml:space="preserve">of </w:t>
      </w:r>
      <w:r>
        <w:t>categories of information which will be treated as CCI. These would include manufacturing processes and trade secrets.</w:t>
      </w:r>
    </w:p>
    <w:p w:rsidR="00BA789D" w:rsidRDefault="00BA789D" w:rsidP="00C43B4B">
      <w:pPr>
        <w:pStyle w:val="ListBullet"/>
      </w:pPr>
      <w:r>
        <w:t>Define a second list of categories of information and data which will not be treated as CCI. This includes name and structure of active ingredients and test results. Again, other countries have already developed such lists.</w:t>
      </w:r>
    </w:p>
    <w:p w:rsidR="00BA789D" w:rsidRDefault="00BA789D" w:rsidP="00C43B4B">
      <w:pPr>
        <w:pStyle w:val="ListBullet"/>
      </w:pPr>
      <w:r>
        <w:t xml:space="preserve">Allow a third category where an applicant may seek to have information or data not falling in the two areas defined above classified as CCI. The applicant would have to make a case for this categorisation. The APVMA would apply a set of criteria in deciding whether to accept the proposed classification, appealable through the Administrative Appeals Tribunal.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997A6C" w:rsidRPr="0022286A" w:rsidTr="00997A6C">
        <w:trPr>
          <w:cantSplit/>
        </w:trPr>
        <w:tc>
          <w:tcPr>
            <w:tcW w:w="8614" w:type="dxa"/>
            <w:shd w:val="clear" w:color="auto" w:fill="auto"/>
            <w:tcMar>
              <w:top w:w="160" w:type="dxa"/>
              <w:left w:w="446" w:type="dxa"/>
            </w:tcMar>
          </w:tcPr>
          <w:p w:rsidR="00997A6C" w:rsidRPr="003006F4" w:rsidRDefault="00997A6C" w:rsidP="00D15BAD">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7688C">
              <w:rPr>
                <w:rStyle w:val="CaptionLabel"/>
                <w:noProof/>
              </w:rPr>
              <w:t>3</w:t>
            </w:r>
            <w:r w:rsidRPr="004D3806">
              <w:rPr>
                <w:rStyle w:val="CaptionLabel"/>
              </w:rPr>
              <w:fldChar w:fldCharType="end"/>
            </w:r>
            <w:r>
              <w:tab/>
              <w:t>Clarifying CCI</w:t>
            </w:r>
          </w:p>
        </w:tc>
      </w:tr>
      <w:tr w:rsidR="00997A6C" w:rsidTr="00997A6C">
        <w:trPr>
          <w:cantSplit/>
        </w:trPr>
        <w:tc>
          <w:tcPr>
            <w:tcW w:w="8614" w:type="dxa"/>
            <w:shd w:val="clear" w:color="auto" w:fill="E4E0DD"/>
            <w:tcMar>
              <w:top w:w="276" w:type="dxa"/>
              <w:bottom w:w="0" w:type="dxa"/>
              <w:right w:w="120" w:type="dxa"/>
            </w:tcMar>
          </w:tcPr>
          <w:p w:rsidR="00997A6C" w:rsidRDefault="00997A6C" w:rsidP="00D15BAD">
            <w:pPr>
              <w:pStyle w:val="BoxText"/>
            </w:pPr>
            <w:r>
              <w:t>There is a case for adopting an approach to defining CCI based on the approach used in some other countries where some information and data is automatically categorised as CCI and some categorised as not CCI.</w:t>
            </w:r>
          </w:p>
        </w:tc>
      </w:tr>
      <w:tr w:rsidR="00997A6C" w:rsidRPr="008B3E19" w:rsidTr="00997A6C">
        <w:trPr>
          <w:cantSplit/>
          <w:trHeight w:hRule="exact" w:val="376"/>
        </w:trPr>
        <w:tc>
          <w:tcPr>
            <w:tcW w:w="8614" w:type="dxa"/>
            <w:shd w:val="clear" w:color="auto" w:fill="E4E0DD"/>
            <w:tcMar>
              <w:top w:w="0" w:type="dxa"/>
              <w:bottom w:w="0" w:type="dxa"/>
              <w:right w:w="0" w:type="dxa"/>
            </w:tcMar>
          </w:tcPr>
          <w:p w:rsidR="00997A6C" w:rsidRPr="008B3E19" w:rsidRDefault="00997A6C" w:rsidP="00D15BAD">
            <w:pPr>
              <w:pStyle w:val="spacer"/>
            </w:pPr>
          </w:p>
        </w:tc>
      </w:tr>
      <w:tr w:rsidR="00997A6C" w:rsidRPr="008B3E19" w:rsidTr="00997A6C">
        <w:trPr>
          <w:cantSplit/>
          <w:trHeight w:hRule="exact" w:val="180"/>
        </w:trPr>
        <w:tc>
          <w:tcPr>
            <w:tcW w:w="8614" w:type="dxa"/>
            <w:shd w:val="clear" w:color="auto" w:fill="auto"/>
            <w:tcMar>
              <w:top w:w="0" w:type="dxa"/>
              <w:left w:w="446" w:type="dxa"/>
              <w:bottom w:w="0" w:type="dxa"/>
            </w:tcMar>
          </w:tcPr>
          <w:p w:rsidR="00997A6C" w:rsidRPr="008B3E19" w:rsidRDefault="00997A6C" w:rsidP="00D15BAD">
            <w:pPr>
              <w:pStyle w:val="spacertbl"/>
            </w:pPr>
            <w:r w:rsidRPr="008B3E19">
              <w:rPr>
                <w:noProof/>
                <w:lang w:eastAsia="en-AU"/>
              </w:rPr>
              <mc:AlternateContent>
                <mc:Choice Requires="wps">
                  <w:drawing>
                    <wp:anchor distT="0" distB="0" distL="114300" distR="114300" simplePos="0" relativeHeight="251969536" behindDoc="0" locked="1" layoutInCell="1" allowOverlap="1" wp14:anchorId="545077F0" wp14:editId="2E161F6F">
                      <wp:simplePos x="0" y="0"/>
                      <wp:positionH relativeFrom="rightMargin">
                        <wp:posOffset>-772795</wp:posOffset>
                      </wp:positionH>
                      <wp:positionV relativeFrom="page">
                        <wp:posOffset>-237490</wp:posOffset>
                      </wp:positionV>
                      <wp:extent cx="436880" cy="213360"/>
                      <wp:effectExtent l="0" t="0" r="1270" b="0"/>
                      <wp:wrapNone/>
                      <wp:docPr id="1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D2E8D4" id="Freeform 5" o:spid="_x0000_s1026" style="position:absolute;margin-left:-60.85pt;margin-top:-18.7pt;width:34.4pt;height:16.8pt;z-index:251969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fA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PNH7X9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tbl>
      <w:tblPr>
        <w:tblW w:w="13966" w:type="dxa"/>
        <w:tblInd w:w="-446" w:type="dxa"/>
        <w:tblLayout w:type="fixed"/>
        <w:tblCellMar>
          <w:left w:w="0" w:type="dxa"/>
          <w:right w:w="0" w:type="dxa"/>
        </w:tblCellMar>
        <w:tblLook w:val="04A0" w:firstRow="1" w:lastRow="0" w:firstColumn="1" w:lastColumn="0" w:noHBand="0" w:noVBand="1"/>
        <w:tblDescription w:val="tbl_prt_hBox-Std"/>
      </w:tblPr>
      <w:tblGrid>
        <w:gridCol w:w="13966"/>
      </w:tblGrid>
      <w:tr w:rsidR="00F371E4" w:rsidRPr="008B3E19" w:rsidTr="00997A6C">
        <w:trPr>
          <w:cantSplit/>
          <w:trHeight w:hRule="exact" w:val="180"/>
        </w:trPr>
        <w:tc>
          <w:tcPr>
            <w:tcW w:w="13966" w:type="dxa"/>
            <w:shd w:val="clear" w:color="auto" w:fill="auto"/>
            <w:tcMar>
              <w:top w:w="0" w:type="dxa"/>
              <w:left w:w="446" w:type="dxa"/>
              <w:bottom w:w="0" w:type="dxa"/>
            </w:tcMar>
          </w:tcPr>
          <w:p w:rsidR="00F371E4" w:rsidRPr="008B3E19" w:rsidRDefault="00221158" w:rsidP="00F371E4">
            <w:pPr>
              <w:pStyle w:val="spacertbl"/>
            </w:pPr>
            <w:r>
              <w:rPr>
                <w:noProof/>
              </w:rPr>
              <w:pict w14:anchorId="176CC31B">
                <v:shape id="_x0000_s1033" style="position:absolute;margin-left:490.05pt;margin-top:171.85pt;width:21.65pt;height:10.5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nSfQ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page" anchory="page"/>
                  <w10:anchorlock/>
                </v:shape>
              </w:pict>
            </w:r>
            <w:r w:rsidR="00F371E4" w:rsidRPr="008B3E19">
              <w:rPr>
                <w:noProof/>
                <w:lang w:eastAsia="en-AU"/>
              </w:rPr>
              <mc:AlternateContent>
                <mc:Choice Requires="wps">
                  <w:drawing>
                    <wp:anchor distT="0" distB="0" distL="114300" distR="114300" simplePos="0" relativeHeight="251817984" behindDoc="0" locked="1" layoutInCell="1" allowOverlap="1" wp14:anchorId="1059D355" wp14:editId="610D267D">
                      <wp:simplePos x="0" y="0"/>
                      <wp:positionH relativeFrom="rightMargin">
                        <wp:posOffset>-772795</wp:posOffset>
                      </wp:positionH>
                      <wp:positionV relativeFrom="page">
                        <wp:posOffset>-237490</wp:posOffset>
                      </wp:positionV>
                      <wp:extent cx="436880" cy="213360"/>
                      <wp:effectExtent l="0" t="0" r="1270" b="0"/>
                      <wp:wrapNone/>
                      <wp:docPr id="13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03F7FC" id="Freeform 5" o:spid="_x0000_s1026" style="position:absolute;margin-left:-60.85pt;margin-top:-18.7pt;width:34.4pt;height:16.8pt;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nSfQ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DprmnS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3366C8" w:rsidRDefault="003366C8" w:rsidP="00385D33">
      <w:pPr>
        <w:pStyle w:val="Heading5nonumber"/>
        <w:rPr>
          <w:shd w:val="clear" w:color="auto" w:fill="FFFFFF"/>
        </w:rPr>
      </w:pPr>
      <w:r>
        <w:rPr>
          <w:shd w:val="clear" w:color="auto" w:fill="FFFFFF"/>
        </w:rPr>
        <w:t>Minor uses</w:t>
      </w:r>
    </w:p>
    <w:p w:rsidR="003366C8" w:rsidRDefault="003366C8" w:rsidP="003366C8">
      <w:pPr>
        <w:pStyle w:val="BodyText"/>
      </w:pPr>
      <w:r>
        <w:t xml:space="preserve">Minor uses include agvet products needed for small specialist crops, and for small problems in large crops. Definitions of minor use vary across the countries reviewed. </w:t>
      </w:r>
    </w:p>
    <w:p w:rsidR="003366C8" w:rsidRDefault="003366C8" w:rsidP="003366C8">
      <w:pPr>
        <w:pStyle w:val="BodyText"/>
      </w:pPr>
      <w:r>
        <w:t xml:space="preserve">What this study has found is that most countries rely on a mix of measures to encourage and facilitate approvals and / or permits for minor uses. The most successful approach is the US IR-4 program, which has been copied and adapted in other countries including Australia. This program provides support for </w:t>
      </w:r>
      <w:r w:rsidR="002E3BAB">
        <w:t>the acquisition of data necessary to obtain regulatory approvals.</w:t>
      </w:r>
      <w:r>
        <w:t xml:space="preserve">  </w:t>
      </w:r>
    </w:p>
    <w:p w:rsidR="003366C8" w:rsidRDefault="003366C8" w:rsidP="003366C8">
      <w:pPr>
        <w:pStyle w:val="BodyText"/>
      </w:pPr>
      <w:r>
        <w:t>Liability issues have been identified in an OECD survey as being a barrier to the registration of minor uses. Canada has developed a solution to this issue by authorising the use of disclaimers on labels.</w:t>
      </w:r>
    </w:p>
    <w:p w:rsidR="003366C8" w:rsidRDefault="003366C8" w:rsidP="003366C8">
      <w:pPr>
        <w:pStyle w:val="BodyText"/>
      </w:pPr>
      <w:r>
        <w:t xml:space="preserve">Most of the countries considered in this review offer </w:t>
      </w:r>
      <w:r w:rsidR="00604A0D">
        <w:t xml:space="preserve">low </w:t>
      </w:r>
      <w:r>
        <w:t xml:space="preserve">fees, reduced numbers of trials and expedited approval processes for minor uses.  </w:t>
      </w:r>
    </w:p>
    <w:p w:rsidR="003366C8" w:rsidRDefault="003366C8" w:rsidP="003366C8">
      <w:pPr>
        <w:pStyle w:val="BodyText"/>
      </w:pPr>
      <w:r>
        <w:t>Minor uses, whether for small crops or for small problems with large crops, are a challenge in most countries. Companies will not seek regulatory approval in a market where they are not going to get a satisfactory return on their investment. Australia</w:t>
      </w:r>
      <w:r w:rsidR="007B66AF">
        <w:t xml:space="preserve">’s support of </w:t>
      </w:r>
      <w:r>
        <w:t>minor use</w:t>
      </w:r>
      <w:r w:rsidR="002E3BAB">
        <w:t>s</w:t>
      </w:r>
      <w:r w:rsidR="007B66AF">
        <w:t xml:space="preserve"> is pr</w:t>
      </w:r>
      <w:r w:rsidR="001B13B0">
        <w:t>edominantly</w:t>
      </w:r>
      <w:r w:rsidR="007B66AF">
        <w:t xml:space="preserve"> through </w:t>
      </w:r>
      <w:r w:rsidR="002E3BAB">
        <w:t>a small grants program</w:t>
      </w:r>
      <w:r>
        <w:t>. More could potentially be done.</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D15BAD" w:rsidRPr="0022286A" w:rsidTr="00D15BAD">
        <w:trPr>
          <w:cantSplit/>
        </w:trPr>
        <w:tc>
          <w:tcPr>
            <w:tcW w:w="8614" w:type="dxa"/>
            <w:shd w:val="clear" w:color="auto" w:fill="auto"/>
            <w:tcMar>
              <w:top w:w="160" w:type="dxa"/>
              <w:left w:w="446" w:type="dxa"/>
            </w:tcMar>
          </w:tcPr>
          <w:p w:rsidR="00D15BAD" w:rsidRPr="003006F4" w:rsidRDefault="00D15BAD" w:rsidP="0021563F">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0021563F">
              <w:rPr>
                <w:rStyle w:val="CaptionLabel"/>
              </w:rPr>
              <w:t>4</w:t>
            </w:r>
            <w:r>
              <w:tab/>
              <w:t>incentives for minor uses</w:t>
            </w:r>
          </w:p>
        </w:tc>
      </w:tr>
      <w:tr w:rsidR="00D15BAD" w:rsidTr="00D15BAD">
        <w:trPr>
          <w:cantSplit/>
        </w:trPr>
        <w:tc>
          <w:tcPr>
            <w:tcW w:w="8614" w:type="dxa"/>
            <w:shd w:val="clear" w:color="auto" w:fill="E4E0DD"/>
            <w:tcMar>
              <w:top w:w="276" w:type="dxa"/>
              <w:bottom w:w="0" w:type="dxa"/>
              <w:right w:w="120" w:type="dxa"/>
            </w:tcMar>
          </w:tcPr>
          <w:p w:rsidR="00D15BAD" w:rsidRDefault="00D15BAD" w:rsidP="00D15BAD">
            <w:pPr>
              <w:pStyle w:val="BoxText"/>
            </w:pPr>
            <w:r>
              <w:t>A mix of measures are needed to facilitate access to agvet chemical products for minor uses:</w:t>
            </w:r>
          </w:p>
          <w:p w:rsidR="00D15BAD" w:rsidRDefault="00D15BAD" w:rsidP="00D15BAD">
            <w:pPr>
              <w:pStyle w:val="BoxListBullet"/>
            </w:pPr>
            <w:r>
              <w:t>The Government’s program to assist the process of obtaining registration and permits for minor uses should continue</w:t>
            </w:r>
          </w:p>
          <w:p w:rsidR="00D15BAD" w:rsidRDefault="00D15BAD" w:rsidP="00D15BAD">
            <w:pPr>
              <w:pStyle w:val="BoxListBullet"/>
            </w:pPr>
            <w:r>
              <w:t>Adopting the Canadian approach to limiting liability of manufacturers in relation to minor uses should be explored</w:t>
            </w:r>
          </w:p>
          <w:p w:rsidR="00D15BAD" w:rsidRDefault="00D15BAD" w:rsidP="00D15BAD">
            <w:pPr>
              <w:pStyle w:val="BoxListBullet"/>
            </w:pPr>
            <w:r>
              <w:t>Minor use registration and permits should be fast-tracked by the APVMA.</w:t>
            </w:r>
          </w:p>
        </w:tc>
      </w:tr>
      <w:tr w:rsidR="00D15BAD" w:rsidRPr="008B3E19" w:rsidTr="00D15BAD">
        <w:trPr>
          <w:cantSplit/>
          <w:trHeight w:hRule="exact" w:val="376"/>
        </w:trPr>
        <w:tc>
          <w:tcPr>
            <w:tcW w:w="8614" w:type="dxa"/>
            <w:shd w:val="clear" w:color="auto" w:fill="E4E0DD"/>
            <w:tcMar>
              <w:top w:w="0" w:type="dxa"/>
              <w:bottom w:w="0" w:type="dxa"/>
              <w:right w:w="0" w:type="dxa"/>
            </w:tcMar>
          </w:tcPr>
          <w:p w:rsidR="00D15BAD" w:rsidRPr="008B3E19" w:rsidRDefault="00D15BAD" w:rsidP="00D15BAD">
            <w:pPr>
              <w:pStyle w:val="spacer"/>
            </w:pPr>
          </w:p>
        </w:tc>
      </w:tr>
      <w:tr w:rsidR="00D15BAD" w:rsidRPr="008B3E19" w:rsidTr="00D15BAD">
        <w:trPr>
          <w:cantSplit/>
          <w:trHeight w:hRule="exact" w:val="180"/>
        </w:trPr>
        <w:tc>
          <w:tcPr>
            <w:tcW w:w="8614" w:type="dxa"/>
            <w:shd w:val="clear" w:color="auto" w:fill="auto"/>
            <w:tcMar>
              <w:top w:w="0" w:type="dxa"/>
              <w:left w:w="446" w:type="dxa"/>
              <w:bottom w:w="0" w:type="dxa"/>
            </w:tcMar>
          </w:tcPr>
          <w:p w:rsidR="00D15BAD" w:rsidRPr="008B3E19" w:rsidRDefault="00D15BAD" w:rsidP="00D15BAD">
            <w:pPr>
              <w:pStyle w:val="spacertbl"/>
            </w:pPr>
            <w:r w:rsidRPr="008B3E19">
              <w:rPr>
                <w:noProof/>
                <w:lang w:eastAsia="en-AU"/>
              </w:rPr>
              <mc:AlternateContent>
                <mc:Choice Requires="wps">
                  <w:drawing>
                    <wp:anchor distT="0" distB="0" distL="114300" distR="114300" simplePos="0" relativeHeight="251973632" behindDoc="0" locked="1" layoutInCell="1" allowOverlap="1" wp14:anchorId="545077F0" wp14:editId="2E161F6F">
                      <wp:simplePos x="0" y="0"/>
                      <wp:positionH relativeFrom="rightMargin">
                        <wp:posOffset>-772795</wp:posOffset>
                      </wp:positionH>
                      <wp:positionV relativeFrom="page">
                        <wp:posOffset>-237490</wp:posOffset>
                      </wp:positionV>
                      <wp:extent cx="436880" cy="213360"/>
                      <wp:effectExtent l="0" t="0" r="1270" b="0"/>
                      <wp:wrapNone/>
                      <wp:docPr id="1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9B7829" id="Freeform 5" o:spid="_x0000_s1026" style="position:absolute;margin-left:-60.85pt;margin-top:-18.7pt;width:34.4pt;height:16.8pt;z-index:25197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IVfQMAAMIJAAAOAAAAZHJzL2Uyb0RvYy54bWysVsFu4zYQvRfoPxA6Fmhk2Y7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DYkqIV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21563F" w:rsidRPr="00D155B6" w:rsidRDefault="0021563F" w:rsidP="0021563F">
      <w:pPr>
        <w:pStyle w:val="Heading5nonumber"/>
        <w:rPr>
          <w:shd w:val="clear" w:color="auto" w:fill="FFFFFF"/>
        </w:rPr>
      </w:pPr>
      <w:r>
        <w:rPr>
          <w:shd w:val="clear" w:color="auto" w:fill="FFFFFF"/>
        </w:rPr>
        <w:t>Registration</w:t>
      </w:r>
    </w:p>
    <w:p w:rsidR="0021563F" w:rsidRDefault="0021563F" w:rsidP="0021563F">
      <w:pPr>
        <w:pStyle w:val="BodyText"/>
      </w:pPr>
      <w:r w:rsidRPr="00A96CCF">
        <w:t>Most</w:t>
      </w:r>
      <w:r>
        <w:t xml:space="preserve"> of the selected countries have separate regulatory bodies for crop protection and animal medicines, while in Australia agvet chemical registrations are performed by a single agency, the Australian Pesticides and Veterinary Medicines Authority (APVMA).</w:t>
      </w:r>
    </w:p>
    <w:p w:rsidR="0021563F" w:rsidRDefault="0021563F" w:rsidP="0021563F">
      <w:pPr>
        <w:pStyle w:val="BodyText"/>
      </w:pPr>
      <w:r>
        <w:t>The time taken by regulators to assess agvet proposals is of concern to agvet chemical companies because it delays their entry into the market and thus delays getting returns on their investments. The APVMA’s official processing time limits are among the longest of the countries reviewed.</w:t>
      </w:r>
    </w:p>
    <w:p w:rsidR="0021563F" w:rsidRDefault="0021563F" w:rsidP="0021563F">
      <w:pPr>
        <w:pStyle w:val="BodyText"/>
      </w:pPr>
      <w:r>
        <w:t xml:space="preserve">It is difficult to compare registration fees between countries because of the very different fee structures in use. However, Australian agvet chemical registration costs are broadly comparable with those in North America and the EU. This is a problem because the small Australian market makes it more difficult for applicants to secure a return on the costs incurred in the Australian regulatory process. </w:t>
      </w:r>
    </w:p>
    <w:p w:rsidR="0021563F" w:rsidRDefault="0021563F" w:rsidP="0021563F">
      <w:pPr>
        <w:pStyle w:val="BodyText"/>
      </w:pPr>
      <w:r>
        <w:t>This report includes a number of suggestions for improving the efficiency of the APVMA. In particular, making greater use of data and assessment by better-resourced overseas regulators would be a useful step. If the APVMA needs assurance that such reliance will be considered to have met the requirements of the legislation, then the legislation should be amended accordingly.</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21563F" w:rsidRPr="0022286A" w:rsidTr="0021563F">
        <w:trPr>
          <w:cantSplit/>
        </w:trPr>
        <w:tc>
          <w:tcPr>
            <w:tcW w:w="8614" w:type="dxa"/>
            <w:shd w:val="clear" w:color="auto" w:fill="auto"/>
            <w:tcMar>
              <w:top w:w="160" w:type="dxa"/>
              <w:left w:w="446" w:type="dxa"/>
            </w:tcMar>
          </w:tcPr>
          <w:p w:rsidR="0021563F" w:rsidRPr="003006F4" w:rsidRDefault="0021563F" w:rsidP="0021563F">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5</w:t>
            </w:r>
            <w:r>
              <w:tab/>
              <w:t>using data and assessments from overseas regulators</w:t>
            </w:r>
          </w:p>
        </w:tc>
      </w:tr>
      <w:tr w:rsidR="0021563F" w:rsidTr="0021563F">
        <w:trPr>
          <w:cantSplit/>
        </w:trPr>
        <w:tc>
          <w:tcPr>
            <w:tcW w:w="8614" w:type="dxa"/>
            <w:shd w:val="clear" w:color="auto" w:fill="E4E0DD"/>
            <w:tcMar>
              <w:top w:w="276" w:type="dxa"/>
              <w:bottom w:w="0" w:type="dxa"/>
              <w:right w:w="120" w:type="dxa"/>
            </w:tcMar>
          </w:tcPr>
          <w:p w:rsidR="0021563F" w:rsidRDefault="0021563F" w:rsidP="0021563F">
            <w:pPr>
              <w:pStyle w:val="BoxText"/>
            </w:pPr>
            <w:r>
              <w:t>There is scope for the APVMA to make greater use of data, analyses and assessments undertaken for / by trusted overseas regulators. This information should be requested from applicants and should be used to expedite Australian approval processes.</w:t>
            </w:r>
          </w:p>
        </w:tc>
      </w:tr>
      <w:tr w:rsidR="0021563F" w:rsidRPr="008B3E19" w:rsidTr="0021563F">
        <w:trPr>
          <w:cantSplit/>
          <w:trHeight w:hRule="exact" w:val="376"/>
        </w:trPr>
        <w:tc>
          <w:tcPr>
            <w:tcW w:w="8614" w:type="dxa"/>
            <w:shd w:val="clear" w:color="auto" w:fill="E4E0DD"/>
            <w:tcMar>
              <w:top w:w="0" w:type="dxa"/>
              <w:bottom w:w="0" w:type="dxa"/>
              <w:right w:w="0" w:type="dxa"/>
            </w:tcMar>
          </w:tcPr>
          <w:p w:rsidR="0021563F" w:rsidRPr="008B3E19" w:rsidRDefault="0021563F" w:rsidP="0021563F">
            <w:pPr>
              <w:pStyle w:val="spacer"/>
            </w:pPr>
          </w:p>
        </w:tc>
      </w:tr>
      <w:tr w:rsidR="0021563F" w:rsidRPr="008B3E19" w:rsidTr="0021563F">
        <w:trPr>
          <w:cantSplit/>
          <w:trHeight w:hRule="exact" w:val="180"/>
        </w:trPr>
        <w:tc>
          <w:tcPr>
            <w:tcW w:w="8614" w:type="dxa"/>
            <w:shd w:val="clear" w:color="auto" w:fill="auto"/>
            <w:tcMar>
              <w:top w:w="0" w:type="dxa"/>
              <w:left w:w="446" w:type="dxa"/>
              <w:bottom w:w="0" w:type="dxa"/>
            </w:tcMar>
          </w:tcPr>
          <w:p w:rsidR="0021563F" w:rsidRPr="008B3E19" w:rsidRDefault="0021563F" w:rsidP="0021563F">
            <w:pPr>
              <w:pStyle w:val="spacertbl"/>
            </w:pPr>
            <w:r w:rsidRPr="008B3E19">
              <w:rPr>
                <w:noProof/>
                <w:lang w:eastAsia="en-AU"/>
              </w:rPr>
              <mc:AlternateContent>
                <mc:Choice Requires="wps">
                  <w:drawing>
                    <wp:anchor distT="0" distB="0" distL="114300" distR="114300" simplePos="0" relativeHeight="252030976" behindDoc="0" locked="1" layoutInCell="1" allowOverlap="1" wp14:anchorId="730935D5" wp14:editId="436328C3">
                      <wp:simplePos x="0" y="0"/>
                      <wp:positionH relativeFrom="rightMargin">
                        <wp:posOffset>-772795</wp:posOffset>
                      </wp:positionH>
                      <wp:positionV relativeFrom="page">
                        <wp:posOffset>-237490</wp:posOffset>
                      </wp:positionV>
                      <wp:extent cx="436880" cy="213360"/>
                      <wp:effectExtent l="0" t="0" r="1270" b="0"/>
                      <wp:wrapNone/>
                      <wp:docPr id="1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5813F6" id="Freeform 5" o:spid="_x0000_s1026" style="position:absolute;margin-left:-60.85pt;margin-top:-18.7pt;width:34.4pt;height:16.8pt;z-index:252030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Abs9kF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BB7BA6" w:rsidRDefault="00BB7BA6" w:rsidP="00385D33">
      <w:pPr>
        <w:pStyle w:val="Heading5nonumber"/>
      </w:pPr>
      <w:r>
        <w:t>Regulatory reform</w:t>
      </w:r>
    </w:p>
    <w:p w:rsidR="00BB7BA6" w:rsidRDefault="00BB7BA6" w:rsidP="00BB7BA6">
      <w:pPr>
        <w:pStyle w:val="BodyText"/>
      </w:pPr>
      <w:r>
        <w:t xml:space="preserve">Overall, the study has established that there is a need for further agvet regulatory reform in Australia to ensure that our primary producers get faster access to new, innovative agvet products. These products are generally safer, more effective and better for the environment than their predecessors and will thereby improve the productivity, profitability and international competitiveness of Australian agriculture. </w:t>
      </w:r>
    </w:p>
    <w:p w:rsidR="00BB7BA6" w:rsidRDefault="00BB7BA6" w:rsidP="00BB7BA6">
      <w:pPr>
        <w:pStyle w:val="BodyText"/>
      </w:pPr>
      <w:r>
        <w:t xml:space="preserve">Although several initiatives—including consolidation of application categories, consideration of a greater use of modular assessment categories and reduction or elimination of application requirements for some minor applications—have been undertaken by </w:t>
      </w:r>
      <w:r w:rsidR="00CA6C8B">
        <w:t xml:space="preserve">the </w:t>
      </w:r>
      <w:r>
        <w:t>APVMA since an audit by ANAO (2006), consultations with the industry representatives for this project indicate</w:t>
      </w:r>
      <w:r w:rsidR="00991E79">
        <w:t xml:space="preserve"> that</w:t>
      </w:r>
      <w:r>
        <w:t xml:space="preserve"> the APVMA </w:t>
      </w:r>
      <w:r w:rsidR="00991E79">
        <w:t xml:space="preserve">not </w:t>
      </w:r>
      <w:r>
        <w:t>meet</w:t>
      </w:r>
      <w:r w:rsidR="00991E79">
        <w:t>ing</w:t>
      </w:r>
      <w:r>
        <w:t xml:space="preserve"> statutory timeframes for assessments is still a major issue. Industry stakeholders have suggested that delays in the assessment process inhibit the ability of patent holders to realise a return on their R&amp;D, which in turn threatens future flows of new agvet products into the Australian market.</w:t>
      </w:r>
    </w:p>
    <w:p w:rsidR="00EF42FA" w:rsidRDefault="00EF42FA" w:rsidP="00EF42FA">
      <w:pPr>
        <w:pStyle w:val="BodyText"/>
      </w:pPr>
      <w:r>
        <w:t xml:space="preserve">The complexity and drafting of the agvet chemical legislation is, in itself, a significant barrier to providing </w:t>
      </w:r>
      <w:r w:rsidRPr="00201BDE">
        <w:t xml:space="preserve">Australian agricultural producers </w:t>
      </w:r>
      <w:r>
        <w:t>with timely access t</w:t>
      </w:r>
      <w:r w:rsidRPr="00201BDE">
        <w:t>o innovative agvet chemicals</w:t>
      </w:r>
      <w:r>
        <w:t xml:space="preserve"> and generic products. The team which prepared this report found the Act, Regulations and Code difficult to navigate and unnecessarily complex. </w:t>
      </w:r>
      <w:r w:rsidR="00911BC0">
        <w:t xml:space="preserve">Stakeholders are confused about the provisions of this legislation. </w:t>
      </w:r>
      <w:r>
        <w:t xml:space="preserve">There is a strong case for simplifying </w:t>
      </w:r>
      <w:r w:rsidR="00911BC0">
        <w:t>it</w:t>
      </w:r>
      <w:r>
        <w:t xml:space="preserve"> and writing more of it in plain English. The legislation needs to be </w:t>
      </w:r>
      <w:r w:rsidR="00911BC0">
        <w:t xml:space="preserve">completely </w:t>
      </w:r>
      <w:r>
        <w:t>re</w:t>
      </w:r>
      <w:r w:rsidR="00911BC0">
        <w:t>drafted</w:t>
      </w:r>
      <w:r>
        <w:t xml:space="preserve">. The Federal Court judge in </w:t>
      </w:r>
      <w:r w:rsidRPr="00741C1A">
        <w:rPr>
          <w:i/>
        </w:rPr>
        <w:t>Abbey v the APVMA</w:t>
      </w:r>
      <w:r>
        <w:t xml:space="preserve"> described i</w:t>
      </w:r>
      <w:r w:rsidR="00911BC0">
        <w:t>t</w:t>
      </w:r>
      <w:r>
        <w:t xml:space="preserve"> as a “legislative labyrinth that defies comprehension by mere mortals” and a “legislative morass”.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D15BAD" w:rsidRPr="0022286A" w:rsidTr="00D15BAD">
        <w:trPr>
          <w:cantSplit/>
        </w:trPr>
        <w:tc>
          <w:tcPr>
            <w:tcW w:w="8614" w:type="dxa"/>
            <w:shd w:val="clear" w:color="auto" w:fill="auto"/>
            <w:tcMar>
              <w:top w:w="160" w:type="dxa"/>
              <w:left w:w="446" w:type="dxa"/>
            </w:tcMar>
          </w:tcPr>
          <w:p w:rsidR="00D15BAD" w:rsidRPr="003006F4" w:rsidRDefault="00D15BAD" w:rsidP="00393EA1">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00393EA1">
              <w:rPr>
                <w:rStyle w:val="CaptionLabel"/>
              </w:rPr>
              <w:t>6</w:t>
            </w:r>
            <w:r>
              <w:tab/>
              <w:t>legislative review</w:t>
            </w:r>
          </w:p>
        </w:tc>
      </w:tr>
      <w:tr w:rsidR="00D15BAD" w:rsidTr="00D15BAD">
        <w:trPr>
          <w:cantSplit/>
        </w:trPr>
        <w:tc>
          <w:tcPr>
            <w:tcW w:w="8614" w:type="dxa"/>
            <w:shd w:val="clear" w:color="auto" w:fill="E4E0DD"/>
            <w:tcMar>
              <w:top w:w="276" w:type="dxa"/>
              <w:bottom w:w="0" w:type="dxa"/>
              <w:right w:w="120" w:type="dxa"/>
            </w:tcMar>
          </w:tcPr>
          <w:p w:rsidR="00D15BAD" w:rsidRDefault="00D15BAD" w:rsidP="00D15BAD">
            <w:pPr>
              <w:pStyle w:val="BoxText"/>
            </w:pPr>
            <w:r>
              <w:t>The legislative review announced by the Deputy Prime Minister is urgently needed. The legislation and regulations urgently need to be simplified and rewritten.</w:t>
            </w:r>
          </w:p>
        </w:tc>
      </w:tr>
      <w:tr w:rsidR="00D15BAD" w:rsidRPr="008B3E19" w:rsidTr="00D15BAD">
        <w:trPr>
          <w:cantSplit/>
          <w:trHeight w:hRule="exact" w:val="376"/>
        </w:trPr>
        <w:tc>
          <w:tcPr>
            <w:tcW w:w="8614" w:type="dxa"/>
            <w:shd w:val="clear" w:color="auto" w:fill="E4E0DD"/>
            <w:tcMar>
              <w:top w:w="0" w:type="dxa"/>
              <w:bottom w:w="0" w:type="dxa"/>
              <w:right w:w="0" w:type="dxa"/>
            </w:tcMar>
          </w:tcPr>
          <w:p w:rsidR="00D15BAD" w:rsidRPr="008B3E19" w:rsidRDefault="00D15BAD" w:rsidP="00D15BAD">
            <w:pPr>
              <w:pStyle w:val="spacer"/>
            </w:pPr>
          </w:p>
        </w:tc>
      </w:tr>
      <w:tr w:rsidR="00D15BAD" w:rsidRPr="008B3E19" w:rsidTr="00D15BAD">
        <w:trPr>
          <w:cantSplit/>
          <w:trHeight w:hRule="exact" w:val="180"/>
        </w:trPr>
        <w:tc>
          <w:tcPr>
            <w:tcW w:w="8614" w:type="dxa"/>
            <w:shd w:val="clear" w:color="auto" w:fill="auto"/>
            <w:tcMar>
              <w:top w:w="0" w:type="dxa"/>
              <w:left w:w="446" w:type="dxa"/>
              <w:bottom w:w="0" w:type="dxa"/>
            </w:tcMar>
          </w:tcPr>
          <w:p w:rsidR="00D15BAD" w:rsidRPr="008B3E19" w:rsidRDefault="00D15BAD" w:rsidP="00D15BAD">
            <w:pPr>
              <w:pStyle w:val="spacertbl"/>
            </w:pPr>
            <w:r w:rsidRPr="008B3E19">
              <w:rPr>
                <w:noProof/>
                <w:lang w:eastAsia="en-AU"/>
              </w:rPr>
              <mc:AlternateContent>
                <mc:Choice Requires="wps">
                  <w:drawing>
                    <wp:anchor distT="0" distB="0" distL="114300" distR="114300" simplePos="0" relativeHeight="251975680" behindDoc="0" locked="1" layoutInCell="1" allowOverlap="1" wp14:anchorId="545077F0" wp14:editId="2E161F6F">
                      <wp:simplePos x="0" y="0"/>
                      <wp:positionH relativeFrom="rightMargin">
                        <wp:posOffset>-772795</wp:posOffset>
                      </wp:positionH>
                      <wp:positionV relativeFrom="page">
                        <wp:posOffset>-237490</wp:posOffset>
                      </wp:positionV>
                      <wp:extent cx="436880" cy="213360"/>
                      <wp:effectExtent l="0" t="0" r="1270" b="0"/>
                      <wp:wrapNone/>
                      <wp:docPr id="13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64B7B7" id="Freeform 5" o:spid="_x0000_s1026" style="position:absolute;margin-left:-60.85pt;margin-top:-18.7pt;width:34.4pt;height:16.8pt;z-index:25197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Zv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MGaWb3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D15BAD" w:rsidRDefault="00D15BAD" w:rsidP="00385D33">
      <w:pPr>
        <w:pStyle w:val="Caption"/>
        <w:spacing w:before="160"/>
        <w:ind w:left="-1134" w:hanging="1276"/>
        <w:rPr>
          <w:rStyle w:val="CaptionLabel"/>
        </w:rPr>
      </w:pPr>
      <w:bookmarkStart w:id="8" w:name="_Ref485647560"/>
    </w:p>
    <w:p w:rsidR="00A95734" w:rsidRPr="00B75AB9" w:rsidRDefault="00A95734" w:rsidP="00D15BAD">
      <w:pPr>
        <w:pStyle w:val="Caption"/>
        <w:pageBreakBefore/>
        <w:spacing w:before="160"/>
        <w:ind w:left="-1134" w:hanging="1276"/>
      </w:pPr>
      <w:bookmarkStart w:id="9" w:name="_Toc497132798"/>
      <w:r>
        <w:rPr>
          <w:rStyle w:val="CaptionLabel"/>
        </w:rPr>
        <w:t>Table ES </w:t>
      </w:r>
      <w:r>
        <w:rPr>
          <w:rStyle w:val="CaptionLabel"/>
        </w:rPr>
        <w:fldChar w:fldCharType="begin"/>
      </w:r>
      <w:r>
        <w:rPr>
          <w:rStyle w:val="CaptionLabel"/>
        </w:rPr>
        <w:instrText xml:space="preserve"> SEQ Table_ES \* ARABIC </w:instrText>
      </w:r>
      <w:r>
        <w:rPr>
          <w:rStyle w:val="CaptionLabel"/>
        </w:rPr>
        <w:fldChar w:fldCharType="separate"/>
      </w:r>
      <w:r w:rsidR="001977DE">
        <w:rPr>
          <w:rStyle w:val="CaptionLabel"/>
          <w:noProof/>
        </w:rPr>
        <w:t>1</w:t>
      </w:r>
      <w:r>
        <w:rPr>
          <w:rStyle w:val="CaptionLabel"/>
        </w:rPr>
        <w:fldChar w:fldCharType="end"/>
      </w:r>
      <w:bookmarkEnd w:id="8"/>
      <w:r w:rsidRPr="00B75AB9">
        <w:tab/>
        <w:t>Regulatory data protection comparison</w:t>
      </w:r>
      <w:r>
        <w:t xml:space="preserve"> for crop protection products</w:t>
      </w:r>
      <w:bookmarkEnd w:id="9"/>
    </w:p>
    <w:tbl>
      <w:tblPr>
        <w:tblW w:w="10862"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284"/>
        <w:gridCol w:w="1842"/>
        <w:gridCol w:w="1986"/>
        <w:gridCol w:w="2122"/>
        <w:gridCol w:w="2140"/>
        <w:gridCol w:w="1382"/>
        <w:gridCol w:w="1106"/>
      </w:tblGrid>
      <w:tr w:rsidR="00E86A68" w:rsidRPr="00B75AB9" w:rsidTr="00D15BAD">
        <w:trPr>
          <w:cantSplit/>
          <w:tblHeader/>
        </w:trPr>
        <w:tc>
          <w:tcPr>
            <w:tcW w:w="979" w:type="pct"/>
            <w:gridSpan w:val="2"/>
            <w:shd w:val="clear" w:color="auto" w:fill="9D57A6"/>
            <w:tcMar>
              <w:left w:w="454" w:type="dxa"/>
              <w:bottom w:w="0" w:type="dxa"/>
            </w:tcMar>
          </w:tcPr>
          <w:p w:rsidR="00A95734" w:rsidRPr="00B75AB9" w:rsidRDefault="00A95734" w:rsidP="00A95734">
            <w:pPr>
              <w:pStyle w:val="Tablecolumnheadings"/>
            </w:pPr>
            <w:r w:rsidRPr="00B75AB9">
              <w:t>Key components</w:t>
            </w:r>
          </w:p>
        </w:tc>
        <w:tc>
          <w:tcPr>
            <w:tcW w:w="914" w:type="pct"/>
            <w:shd w:val="clear" w:color="auto" w:fill="9D57A6"/>
            <w:tcMar>
              <w:bottom w:w="0" w:type="dxa"/>
            </w:tcMar>
          </w:tcPr>
          <w:p w:rsidR="00A95734" w:rsidRPr="00B75AB9" w:rsidRDefault="00A95734" w:rsidP="00A95734">
            <w:pPr>
              <w:pStyle w:val="Tablecolumnheadings"/>
            </w:pPr>
            <w:r w:rsidRPr="00B75AB9">
              <w:t>Australia</w:t>
            </w:r>
          </w:p>
        </w:tc>
        <w:tc>
          <w:tcPr>
            <w:tcW w:w="977" w:type="pct"/>
            <w:shd w:val="clear" w:color="auto" w:fill="9D57A6"/>
          </w:tcPr>
          <w:p w:rsidR="00A95734" w:rsidRPr="00B75AB9" w:rsidRDefault="00A95734" w:rsidP="00A95734">
            <w:pPr>
              <w:pStyle w:val="Tablecolumnheadings"/>
            </w:pPr>
            <w:r>
              <w:t>New Zealand</w:t>
            </w:r>
          </w:p>
        </w:tc>
        <w:tc>
          <w:tcPr>
            <w:tcW w:w="985" w:type="pct"/>
            <w:shd w:val="clear" w:color="auto" w:fill="9D57A6"/>
            <w:tcMar>
              <w:bottom w:w="0" w:type="dxa"/>
            </w:tcMar>
          </w:tcPr>
          <w:p w:rsidR="00A95734" w:rsidRPr="00B75AB9" w:rsidRDefault="00A95734" w:rsidP="00A95734">
            <w:pPr>
              <w:pStyle w:val="Tablecolumnheadings"/>
            </w:pPr>
            <w:r w:rsidRPr="00B75AB9">
              <w:t>EU</w:t>
            </w:r>
          </w:p>
        </w:tc>
        <w:tc>
          <w:tcPr>
            <w:tcW w:w="636" w:type="pct"/>
            <w:shd w:val="clear" w:color="auto" w:fill="9D57A6"/>
            <w:tcMar>
              <w:bottom w:w="0" w:type="dxa"/>
            </w:tcMar>
          </w:tcPr>
          <w:p w:rsidR="00A95734" w:rsidRPr="00B75AB9" w:rsidRDefault="00A95734" w:rsidP="00A95734">
            <w:pPr>
              <w:pStyle w:val="Tablecolumnheadings"/>
            </w:pPr>
            <w:r w:rsidRPr="00B75AB9">
              <w:t>US</w:t>
            </w:r>
          </w:p>
        </w:tc>
        <w:tc>
          <w:tcPr>
            <w:tcW w:w="509" w:type="pct"/>
            <w:shd w:val="clear" w:color="auto" w:fill="9D57A6"/>
            <w:tcMar>
              <w:bottom w:w="0" w:type="dxa"/>
            </w:tcMar>
          </w:tcPr>
          <w:p w:rsidR="00A95734" w:rsidRPr="00B75AB9" w:rsidRDefault="00A95734" w:rsidP="00A95734">
            <w:pPr>
              <w:pStyle w:val="Tablecolumnheadings"/>
            </w:pPr>
            <w:r w:rsidRPr="00B75AB9">
              <w:t>Canada</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tcBorders>
              <w:top w:val="nil"/>
            </w:tcBorders>
            <w:shd w:val="clear" w:color="auto" w:fill="auto"/>
          </w:tcPr>
          <w:p w:rsidR="00A95734" w:rsidRPr="00D15BAD" w:rsidRDefault="00A95734" w:rsidP="00A95734">
            <w:pPr>
              <w:pStyle w:val="Tabletext"/>
              <w:rPr>
                <w:b/>
              </w:rPr>
            </w:pPr>
            <w:r w:rsidRPr="00D15BAD">
              <w:rPr>
                <w:b/>
              </w:rPr>
              <w:t>Protection period for a new active ingredient / constituent and associated formulated products not previously endorsed</w:t>
            </w:r>
          </w:p>
        </w:tc>
        <w:tc>
          <w:tcPr>
            <w:tcW w:w="914" w:type="pct"/>
            <w:tcBorders>
              <w:top w:val="nil"/>
            </w:tcBorders>
            <w:shd w:val="clear" w:color="auto" w:fill="auto"/>
          </w:tcPr>
          <w:p w:rsidR="00A95734" w:rsidRPr="00B75AB9" w:rsidRDefault="00A95734" w:rsidP="00A95734">
            <w:pPr>
              <w:pStyle w:val="Tabletext"/>
            </w:pPr>
            <w:r w:rsidRPr="00B75AB9">
              <w:t>10 years as of July 2014</w:t>
            </w:r>
            <w:r>
              <w:t xml:space="preserve"> under </w:t>
            </w:r>
            <w:r w:rsidRPr="0083766E">
              <w:t>Section 34M of Agve</w:t>
            </w:r>
            <w:r>
              <w:t>t</w:t>
            </w:r>
            <w:r w:rsidRPr="0083766E">
              <w:t xml:space="preserve"> Code </w:t>
            </w:r>
          </w:p>
        </w:tc>
        <w:tc>
          <w:tcPr>
            <w:tcW w:w="977" w:type="pct"/>
            <w:tcBorders>
              <w:top w:val="nil"/>
            </w:tcBorders>
          </w:tcPr>
          <w:p w:rsidR="00A95734" w:rsidRPr="00B75AB9" w:rsidRDefault="00A95734" w:rsidP="00A95734">
            <w:pPr>
              <w:pStyle w:val="Tabletext"/>
            </w:pPr>
            <w:r>
              <w:t>10 years</w:t>
            </w:r>
          </w:p>
        </w:tc>
        <w:tc>
          <w:tcPr>
            <w:tcW w:w="985" w:type="pct"/>
            <w:tcBorders>
              <w:top w:val="nil"/>
            </w:tcBorders>
            <w:shd w:val="clear" w:color="auto" w:fill="auto"/>
          </w:tcPr>
          <w:p w:rsidR="00A95734" w:rsidRPr="00B75AB9" w:rsidRDefault="00A95734" w:rsidP="00A95734">
            <w:pPr>
              <w:pStyle w:val="Tabletext"/>
            </w:pPr>
            <w:r w:rsidRPr="00B75AB9">
              <w:t>10 years – plant protection products</w:t>
            </w:r>
            <w:r w:rsidRPr="00B75AB9">
              <w:br/>
              <w:t>13 years – low risk products</w:t>
            </w:r>
            <w:r w:rsidRPr="00B75AB9">
              <w:br/>
              <w:t>15 years -biocides</w:t>
            </w:r>
          </w:p>
        </w:tc>
        <w:tc>
          <w:tcPr>
            <w:tcW w:w="636" w:type="pct"/>
            <w:tcBorders>
              <w:top w:val="nil"/>
            </w:tcBorders>
            <w:shd w:val="clear" w:color="auto" w:fill="auto"/>
          </w:tcPr>
          <w:p w:rsidR="00A95734" w:rsidRPr="00B75AB9" w:rsidRDefault="00A95734" w:rsidP="00A95734">
            <w:pPr>
              <w:pStyle w:val="Tabletext"/>
            </w:pPr>
            <w:r w:rsidRPr="00B75AB9">
              <w:t>10 years exclusive use</w:t>
            </w:r>
          </w:p>
        </w:tc>
        <w:tc>
          <w:tcPr>
            <w:tcW w:w="509" w:type="pct"/>
            <w:tcBorders>
              <w:top w:val="nil"/>
            </w:tcBorders>
            <w:shd w:val="clear" w:color="auto" w:fill="auto"/>
          </w:tcPr>
          <w:p w:rsidR="00A95734" w:rsidRPr="00B75AB9" w:rsidRDefault="00A95734" w:rsidP="00A95734">
            <w:pPr>
              <w:pStyle w:val="Tabletext"/>
            </w:pPr>
            <w:r w:rsidRPr="00B75AB9">
              <w:t>10 years</w:t>
            </w:r>
            <w:r>
              <w:t>, 12 years with change in formulation</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tcBorders>
              <w:top w:val="nil"/>
            </w:tcBorders>
            <w:shd w:val="clear" w:color="auto" w:fill="auto"/>
          </w:tcPr>
          <w:p w:rsidR="00A95734" w:rsidRPr="00D15BAD" w:rsidRDefault="00A95734" w:rsidP="00A95734">
            <w:pPr>
              <w:pStyle w:val="Tabletext"/>
              <w:rPr>
                <w:b/>
              </w:rPr>
            </w:pPr>
            <w:r w:rsidRPr="00D15BAD">
              <w:rPr>
                <w:b/>
              </w:rPr>
              <w:t>Protection period for previously endorsed or variations or new information</w:t>
            </w:r>
          </w:p>
        </w:tc>
        <w:tc>
          <w:tcPr>
            <w:tcW w:w="914" w:type="pct"/>
            <w:tcBorders>
              <w:top w:val="nil"/>
            </w:tcBorders>
            <w:shd w:val="clear" w:color="auto" w:fill="auto"/>
          </w:tcPr>
          <w:p w:rsidR="00A95734" w:rsidRPr="00B75AB9" w:rsidRDefault="00A95734" w:rsidP="00A95734">
            <w:pPr>
              <w:pStyle w:val="Tabletext"/>
            </w:pPr>
            <w:r>
              <w:t>5 years as of July 2014</w:t>
            </w:r>
          </w:p>
        </w:tc>
        <w:tc>
          <w:tcPr>
            <w:tcW w:w="977" w:type="pct"/>
            <w:tcBorders>
              <w:top w:val="nil"/>
            </w:tcBorders>
          </w:tcPr>
          <w:p w:rsidR="00A95734" w:rsidRPr="00B75AB9" w:rsidRDefault="00A95734" w:rsidP="00A95734">
            <w:pPr>
              <w:pStyle w:val="Tabletext"/>
            </w:pPr>
            <w:r>
              <w:t>5 years for new variations</w:t>
            </w:r>
          </w:p>
        </w:tc>
        <w:tc>
          <w:tcPr>
            <w:tcW w:w="985" w:type="pct"/>
            <w:tcBorders>
              <w:top w:val="nil"/>
            </w:tcBorders>
            <w:shd w:val="clear" w:color="auto" w:fill="auto"/>
          </w:tcPr>
          <w:p w:rsidR="00A95734" w:rsidRPr="00B75AB9" w:rsidRDefault="00A95734" w:rsidP="00A95734">
            <w:pPr>
              <w:pStyle w:val="Tabletext"/>
            </w:pPr>
            <w:r>
              <w:t>na</w:t>
            </w:r>
          </w:p>
        </w:tc>
        <w:tc>
          <w:tcPr>
            <w:tcW w:w="636" w:type="pct"/>
            <w:tcBorders>
              <w:top w:val="nil"/>
            </w:tcBorders>
            <w:shd w:val="clear" w:color="auto" w:fill="auto"/>
          </w:tcPr>
          <w:p w:rsidR="00A95734" w:rsidRPr="00B75AB9" w:rsidRDefault="00A95734" w:rsidP="00A95734">
            <w:pPr>
              <w:pStyle w:val="Tabletext"/>
            </w:pPr>
            <w:r>
              <w:t>na</w:t>
            </w:r>
          </w:p>
        </w:tc>
        <w:tc>
          <w:tcPr>
            <w:tcW w:w="509" w:type="pct"/>
            <w:tcBorders>
              <w:top w:val="nil"/>
            </w:tcBorders>
            <w:shd w:val="clear" w:color="auto" w:fill="auto"/>
          </w:tcPr>
          <w:p w:rsidR="00A95734" w:rsidRPr="00B75AB9" w:rsidRDefault="00A95734" w:rsidP="00A95734">
            <w:pPr>
              <w:pStyle w:val="Tabletext"/>
            </w:pPr>
            <w:r>
              <w:t>na</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shd w:val="clear" w:color="auto" w:fill="auto"/>
          </w:tcPr>
          <w:p w:rsidR="00A95734" w:rsidRPr="00D15BAD" w:rsidRDefault="00A95734" w:rsidP="00A95734">
            <w:pPr>
              <w:pStyle w:val="Tabletext"/>
              <w:rPr>
                <w:b/>
              </w:rPr>
            </w:pPr>
            <w:r w:rsidRPr="00D15BAD">
              <w:rPr>
                <w:b/>
              </w:rPr>
              <w:t>Extensions linked to minor use registrations</w:t>
            </w:r>
          </w:p>
        </w:tc>
        <w:tc>
          <w:tcPr>
            <w:tcW w:w="914" w:type="pct"/>
            <w:shd w:val="clear" w:color="auto" w:fill="auto"/>
          </w:tcPr>
          <w:p w:rsidR="00A95734" w:rsidRPr="00B75AB9" w:rsidRDefault="00A95734" w:rsidP="00A95734">
            <w:pPr>
              <w:pStyle w:val="Tabletext"/>
            </w:pPr>
            <w:r>
              <w:t>None</w:t>
            </w:r>
          </w:p>
        </w:tc>
        <w:tc>
          <w:tcPr>
            <w:tcW w:w="977" w:type="pct"/>
          </w:tcPr>
          <w:p w:rsidR="00A95734" w:rsidRPr="00B75AB9" w:rsidRDefault="00A95734" w:rsidP="00A95734">
            <w:pPr>
              <w:pStyle w:val="Tabletext"/>
            </w:pPr>
            <w:r>
              <w:t>None</w:t>
            </w:r>
          </w:p>
        </w:tc>
        <w:tc>
          <w:tcPr>
            <w:tcW w:w="985" w:type="pct"/>
            <w:shd w:val="clear" w:color="auto" w:fill="auto"/>
          </w:tcPr>
          <w:p w:rsidR="00A95734" w:rsidRPr="00B75AB9" w:rsidRDefault="00A95734" w:rsidP="00A95734">
            <w:pPr>
              <w:pStyle w:val="Tabletext"/>
            </w:pPr>
            <w:r w:rsidRPr="00476A2F">
              <w:t>Additional 3 months for each minor use, up to 3 additional years (plant protection products). Up to 2 years (low risk products)</w:t>
            </w:r>
          </w:p>
        </w:tc>
        <w:tc>
          <w:tcPr>
            <w:tcW w:w="636" w:type="pct"/>
            <w:shd w:val="clear" w:color="auto" w:fill="auto"/>
          </w:tcPr>
          <w:p w:rsidR="00A95734" w:rsidRPr="00B75AB9" w:rsidRDefault="00A95734" w:rsidP="00A95734">
            <w:pPr>
              <w:pStyle w:val="Tabletext"/>
            </w:pPr>
            <w:r w:rsidRPr="00B75AB9">
              <w:t>Up to 3 additional years</w:t>
            </w:r>
            <w:r w:rsidRPr="00B75AB9">
              <w:br/>
              <w:t>(1 year for each three minor uses)</w:t>
            </w:r>
          </w:p>
        </w:tc>
        <w:tc>
          <w:tcPr>
            <w:tcW w:w="509" w:type="pct"/>
            <w:shd w:val="clear" w:color="auto" w:fill="auto"/>
          </w:tcPr>
          <w:p w:rsidR="00A95734" w:rsidRPr="00B75AB9" w:rsidRDefault="00A95734" w:rsidP="00A95734">
            <w:pPr>
              <w:pStyle w:val="Tabletext"/>
            </w:pPr>
            <w:r w:rsidRPr="00B75AB9">
              <w:t>Up to 5 additional years</w:t>
            </w:r>
            <w:r>
              <w:t>. (1 </w:t>
            </w:r>
            <w:r w:rsidRPr="00B75AB9">
              <w:t>year for each three minor uses)</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shd w:val="clear" w:color="auto" w:fill="auto"/>
          </w:tcPr>
          <w:p w:rsidR="00A95734" w:rsidRPr="00D15BAD" w:rsidRDefault="00A95734" w:rsidP="00A95734">
            <w:pPr>
              <w:pStyle w:val="Tabletext"/>
              <w:rPr>
                <w:b/>
              </w:rPr>
            </w:pPr>
            <w:r w:rsidRPr="00D15BAD">
              <w:rPr>
                <w:b/>
              </w:rPr>
              <w:t>Total potential protection period</w:t>
            </w:r>
          </w:p>
        </w:tc>
        <w:tc>
          <w:tcPr>
            <w:tcW w:w="914" w:type="pct"/>
            <w:shd w:val="clear" w:color="auto" w:fill="auto"/>
          </w:tcPr>
          <w:p w:rsidR="00A95734" w:rsidRPr="00B75AB9" w:rsidRDefault="00A95734" w:rsidP="00874165">
            <w:pPr>
              <w:pStyle w:val="Tabletext"/>
            </w:pPr>
            <w:r>
              <w:t>10 years as of July 2014</w:t>
            </w:r>
          </w:p>
        </w:tc>
        <w:tc>
          <w:tcPr>
            <w:tcW w:w="977" w:type="pct"/>
          </w:tcPr>
          <w:p w:rsidR="00A95734" w:rsidRPr="00B75AB9" w:rsidRDefault="00A95734" w:rsidP="00A95734">
            <w:pPr>
              <w:pStyle w:val="Tabletext"/>
            </w:pPr>
            <w:r>
              <w:t>10 years</w:t>
            </w:r>
          </w:p>
        </w:tc>
        <w:tc>
          <w:tcPr>
            <w:tcW w:w="985" w:type="pct"/>
            <w:shd w:val="clear" w:color="auto" w:fill="auto"/>
          </w:tcPr>
          <w:p w:rsidR="00A95734" w:rsidRPr="00B75AB9" w:rsidRDefault="00A95734" w:rsidP="00A95734">
            <w:pPr>
              <w:pStyle w:val="Tabletext"/>
            </w:pPr>
            <w:r w:rsidRPr="00B75AB9">
              <w:t>10–13 years (plant protection products)</w:t>
            </w:r>
            <w:r w:rsidRPr="00B75AB9">
              <w:br/>
              <w:t>13–15 years (low risk protection products)</w:t>
            </w:r>
            <w:r w:rsidRPr="00B75AB9">
              <w:br/>
              <w:t>15 years (biocides)</w:t>
            </w:r>
          </w:p>
        </w:tc>
        <w:tc>
          <w:tcPr>
            <w:tcW w:w="636" w:type="pct"/>
            <w:shd w:val="clear" w:color="auto" w:fill="auto"/>
          </w:tcPr>
          <w:p w:rsidR="00A95734" w:rsidRPr="00B75AB9" w:rsidRDefault="00A95734" w:rsidP="00A95734">
            <w:pPr>
              <w:pStyle w:val="Tabletext"/>
            </w:pPr>
            <w:r w:rsidRPr="00B75AB9">
              <w:t>10–13 years</w:t>
            </w:r>
          </w:p>
        </w:tc>
        <w:tc>
          <w:tcPr>
            <w:tcW w:w="509" w:type="pct"/>
            <w:shd w:val="clear" w:color="auto" w:fill="auto"/>
          </w:tcPr>
          <w:p w:rsidR="00A95734" w:rsidRPr="00B75AB9" w:rsidRDefault="00A95734" w:rsidP="00A95734">
            <w:pPr>
              <w:pStyle w:val="Tabletext"/>
            </w:pPr>
            <w:r w:rsidRPr="00B75AB9">
              <w:t>10-15 years</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shd w:val="clear" w:color="auto" w:fill="auto"/>
          </w:tcPr>
          <w:p w:rsidR="00A95734" w:rsidRPr="00D15BAD" w:rsidRDefault="00A95734" w:rsidP="00A95734">
            <w:pPr>
              <w:pStyle w:val="Tabletext"/>
              <w:rPr>
                <w:b/>
              </w:rPr>
            </w:pPr>
            <w:r w:rsidRPr="00D15BAD">
              <w:rPr>
                <w:b/>
              </w:rPr>
              <w:t xml:space="preserve">Data compensation period – subsequent data to support / maintain registration of a new active ingredient to support re-evaluation </w:t>
            </w:r>
          </w:p>
        </w:tc>
        <w:tc>
          <w:tcPr>
            <w:tcW w:w="914" w:type="pct"/>
            <w:shd w:val="clear" w:color="auto" w:fill="auto"/>
          </w:tcPr>
          <w:p w:rsidR="00A95734" w:rsidRPr="00B75AB9" w:rsidRDefault="00A95734" w:rsidP="00A95734">
            <w:pPr>
              <w:pStyle w:val="Tabletext"/>
            </w:pPr>
            <w:r>
              <w:t>na</w:t>
            </w:r>
          </w:p>
        </w:tc>
        <w:tc>
          <w:tcPr>
            <w:tcW w:w="977" w:type="pct"/>
          </w:tcPr>
          <w:p w:rsidR="00A95734" w:rsidRPr="00B75AB9" w:rsidRDefault="00A95734" w:rsidP="00A95734">
            <w:pPr>
              <w:pStyle w:val="Tabletext"/>
            </w:pPr>
            <w:r>
              <w:t>na</w:t>
            </w:r>
          </w:p>
        </w:tc>
        <w:tc>
          <w:tcPr>
            <w:tcW w:w="985" w:type="pct"/>
            <w:shd w:val="clear" w:color="auto" w:fill="auto"/>
          </w:tcPr>
          <w:p w:rsidR="00A95734" w:rsidRPr="00B75AB9" w:rsidRDefault="00A95734" w:rsidP="00A95734">
            <w:pPr>
              <w:pStyle w:val="Tabletext"/>
            </w:pPr>
            <w:r w:rsidRPr="00B75AB9">
              <w:t>30 months (plant protection products)</w:t>
            </w:r>
            <w:r w:rsidRPr="00B75AB9">
              <w:br/>
              <w:t>5 years (review or renewal of biocides)</w:t>
            </w:r>
          </w:p>
        </w:tc>
        <w:tc>
          <w:tcPr>
            <w:tcW w:w="636" w:type="pct"/>
            <w:shd w:val="clear" w:color="auto" w:fill="auto"/>
          </w:tcPr>
          <w:p w:rsidR="00A95734" w:rsidRPr="00B75AB9" w:rsidRDefault="00A95734" w:rsidP="00874165">
            <w:pPr>
              <w:pStyle w:val="Tabletext"/>
            </w:pPr>
            <w:r w:rsidRPr="00B75AB9">
              <w:t>15 years compensable. Data with exclusive use protection are compensable for 5 years after exclusivity expires</w:t>
            </w:r>
          </w:p>
        </w:tc>
        <w:tc>
          <w:tcPr>
            <w:tcW w:w="509" w:type="pct"/>
            <w:shd w:val="clear" w:color="auto" w:fill="auto"/>
          </w:tcPr>
          <w:p w:rsidR="00A95734" w:rsidRPr="00B75AB9" w:rsidRDefault="00A95734" w:rsidP="00A95734">
            <w:pPr>
              <w:pStyle w:val="Tabletext"/>
            </w:pPr>
            <w:r w:rsidRPr="00B75AB9">
              <w:t>12 years compensable</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848" w:type="pct"/>
            <w:shd w:val="clear" w:color="auto" w:fill="auto"/>
          </w:tcPr>
          <w:p w:rsidR="00A95734" w:rsidRPr="00D15BAD" w:rsidRDefault="00A95734" w:rsidP="00A95734">
            <w:pPr>
              <w:pStyle w:val="Tabletext"/>
              <w:rPr>
                <w:b/>
              </w:rPr>
            </w:pPr>
            <w:r w:rsidRPr="00D15BAD">
              <w:rPr>
                <w:b/>
              </w:rPr>
              <w:t>New legislation</w:t>
            </w:r>
          </w:p>
        </w:tc>
        <w:tc>
          <w:tcPr>
            <w:tcW w:w="914" w:type="pct"/>
            <w:shd w:val="clear" w:color="auto" w:fill="auto"/>
          </w:tcPr>
          <w:p w:rsidR="00A95734" w:rsidRPr="00B75AB9" w:rsidRDefault="00A95734" w:rsidP="006310D1">
            <w:pPr>
              <w:pStyle w:val="Tabletext"/>
            </w:pPr>
            <w:r w:rsidRPr="00B75AB9">
              <w:t xml:space="preserve">New legislation took </w:t>
            </w:r>
            <w:r w:rsidR="00CA6C8B">
              <w:t>e</w:t>
            </w:r>
            <w:r w:rsidRPr="00B75AB9">
              <w:t>ffect from July 2014.</w:t>
            </w:r>
            <w:r>
              <w:t xml:space="preserve"> The interactions of various elements of the Agvet Code are complex relative to other countries.</w:t>
            </w:r>
          </w:p>
        </w:tc>
        <w:tc>
          <w:tcPr>
            <w:tcW w:w="977" w:type="pct"/>
          </w:tcPr>
          <w:p w:rsidR="00A95734" w:rsidRPr="00B75AB9" w:rsidRDefault="00A95734" w:rsidP="008331D6">
            <w:pPr>
              <w:pStyle w:val="Tabletext"/>
            </w:pPr>
            <w:r>
              <w:t xml:space="preserve">New legislation took </w:t>
            </w:r>
            <w:r w:rsidR="00CA6C8B">
              <w:t>e</w:t>
            </w:r>
            <w:r>
              <w:t>ffect from November 2016 extending data protection periods for new actives and expanding scope to include variations to existing products, new products and reassessments</w:t>
            </w:r>
          </w:p>
        </w:tc>
        <w:tc>
          <w:tcPr>
            <w:tcW w:w="985" w:type="pct"/>
            <w:shd w:val="clear" w:color="auto" w:fill="auto"/>
          </w:tcPr>
          <w:p w:rsidR="00A95734" w:rsidRPr="00B75AB9" w:rsidRDefault="00A95734" w:rsidP="00A95734">
            <w:pPr>
              <w:pStyle w:val="Tabletext"/>
            </w:pPr>
            <w:r>
              <w:t>EC1107/2009 and 528/2012 tes</w:t>
            </w:r>
            <w:r w:rsidRPr="00B75AB9">
              <w:t>t data are subject to compulsory sharing for both plant protection products and biocides. Agreement on costs may be reached through negotiation, arbitration or legal proceedings</w:t>
            </w:r>
          </w:p>
        </w:tc>
        <w:tc>
          <w:tcPr>
            <w:tcW w:w="636" w:type="pct"/>
            <w:shd w:val="clear" w:color="auto" w:fill="auto"/>
          </w:tcPr>
          <w:p w:rsidR="00A95734" w:rsidRPr="00B75AB9" w:rsidRDefault="00A95734" w:rsidP="00A95734">
            <w:pPr>
              <w:pStyle w:val="Tabletext"/>
            </w:pPr>
            <w:r>
              <w:t>na</w:t>
            </w:r>
          </w:p>
        </w:tc>
        <w:tc>
          <w:tcPr>
            <w:tcW w:w="509" w:type="pct"/>
            <w:shd w:val="clear" w:color="auto" w:fill="auto"/>
          </w:tcPr>
          <w:p w:rsidR="00A95734" w:rsidRPr="00B75AB9" w:rsidRDefault="00A95734" w:rsidP="00A95734">
            <w:pPr>
              <w:pStyle w:val="Tabletext"/>
            </w:pPr>
            <w:r>
              <w:t>na</w:t>
            </w:r>
          </w:p>
        </w:tc>
      </w:tr>
      <w:tr w:rsidR="00E86A68" w:rsidRPr="00B75AB9" w:rsidTr="00A95734">
        <w:tblPrEx>
          <w:tblBorders>
            <w:bottom w:val="single" w:sz="4" w:space="0" w:color="646464"/>
            <w:insideH w:val="single" w:sz="4" w:space="0" w:color="646464"/>
          </w:tblBorders>
        </w:tblPrEx>
        <w:trPr>
          <w:gridBefore w:val="1"/>
          <w:wBefore w:w="131" w:type="pct"/>
          <w:cantSplit/>
        </w:trPr>
        <w:tc>
          <w:tcPr>
            <w:tcW w:w="4869" w:type="pct"/>
            <w:gridSpan w:val="6"/>
            <w:tcBorders>
              <w:bottom w:val="single" w:sz="4" w:space="0" w:color="646464"/>
            </w:tcBorders>
          </w:tcPr>
          <w:p w:rsidR="00A95734" w:rsidRPr="00B75AB9" w:rsidRDefault="00A95734" w:rsidP="00A95734">
            <w:pPr>
              <w:pStyle w:val="Source"/>
            </w:pPr>
            <w:r w:rsidRPr="00B75AB9">
              <w:t>Source</w:t>
            </w:r>
            <w:r>
              <w:t>: Various see Table 3.1</w:t>
            </w:r>
            <w:r w:rsidRPr="00B75AB9">
              <w:t>.</w:t>
            </w:r>
          </w:p>
        </w:tc>
      </w:tr>
      <w:tr w:rsidR="00E86A68" w:rsidRPr="00B75AB9" w:rsidTr="00D15BAD">
        <w:tblPrEx>
          <w:tblBorders>
            <w:bottom w:val="single" w:sz="4" w:space="0" w:color="646464"/>
            <w:insideH w:val="single" w:sz="4" w:space="0" w:color="646464"/>
          </w:tblBorders>
        </w:tblPrEx>
        <w:trPr>
          <w:gridBefore w:val="1"/>
          <w:wBefore w:w="131" w:type="pct"/>
          <w:cantSplit/>
          <w:trHeight w:hRule="exact" w:val="120"/>
        </w:trPr>
        <w:tc>
          <w:tcPr>
            <w:tcW w:w="848" w:type="pct"/>
            <w:tcBorders>
              <w:top w:val="single" w:sz="4" w:space="0" w:color="646464"/>
              <w:bottom w:val="nil"/>
            </w:tcBorders>
          </w:tcPr>
          <w:p w:rsidR="00A95734" w:rsidRPr="00B75AB9" w:rsidRDefault="00A95734" w:rsidP="00A95734">
            <w:pPr>
              <w:pStyle w:val="spacertbl"/>
            </w:pPr>
          </w:p>
        </w:tc>
        <w:tc>
          <w:tcPr>
            <w:tcW w:w="4021" w:type="pct"/>
            <w:gridSpan w:val="5"/>
            <w:tcBorders>
              <w:top w:val="single" w:sz="4" w:space="0" w:color="646464"/>
              <w:bottom w:val="nil"/>
            </w:tcBorders>
            <w:shd w:val="clear" w:color="auto" w:fill="auto"/>
          </w:tcPr>
          <w:p w:rsidR="00A95734" w:rsidRPr="00B75AB9" w:rsidRDefault="00A95734" w:rsidP="00A95734">
            <w:pPr>
              <w:pStyle w:val="spacertbl"/>
            </w:pPr>
          </w:p>
        </w:tc>
      </w:tr>
    </w:tbl>
    <w:p w:rsidR="00A86F56" w:rsidRDefault="00A86F56" w:rsidP="00A95734">
      <w:pPr>
        <w:pStyle w:val="BodyText"/>
      </w:pPr>
    </w:p>
    <w:p w:rsidR="00A95734" w:rsidRPr="00B75AB9" w:rsidRDefault="00A95734" w:rsidP="00D15BAD">
      <w:pPr>
        <w:pStyle w:val="Caption"/>
        <w:pageBreakBefore/>
        <w:spacing w:before="160"/>
        <w:ind w:left="-1134" w:hanging="1276"/>
      </w:pPr>
      <w:bookmarkStart w:id="10" w:name="_Toc497132799"/>
      <w:r>
        <w:rPr>
          <w:rStyle w:val="CaptionLabel"/>
        </w:rPr>
        <w:t>Table ES </w:t>
      </w:r>
      <w:r>
        <w:rPr>
          <w:rStyle w:val="CaptionLabel"/>
        </w:rPr>
        <w:fldChar w:fldCharType="begin"/>
      </w:r>
      <w:r>
        <w:rPr>
          <w:rStyle w:val="CaptionLabel"/>
        </w:rPr>
        <w:instrText xml:space="preserve"> SEQ Table_ES \* ARABIC </w:instrText>
      </w:r>
      <w:r>
        <w:rPr>
          <w:rStyle w:val="CaptionLabel"/>
        </w:rPr>
        <w:fldChar w:fldCharType="separate"/>
      </w:r>
      <w:r w:rsidR="001977DE">
        <w:rPr>
          <w:rStyle w:val="CaptionLabel"/>
          <w:noProof/>
        </w:rPr>
        <w:t>2</w:t>
      </w:r>
      <w:r>
        <w:rPr>
          <w:rStyle w:val="CaptionLabel"/>
        </w:rPr>
        <w:fldChar w:fldCharType="end"/>
      </w:r>
      <w:r w:rsidRPr="00B75AB9">
        <w:tab/>
        <w:t>Regulatory data protection comparison</w:t>
      </w:r>
      <w:r>
        <w:t xml:space="preserve"> for veterinary chemical products</w:t>
      </w:r>
      <w:bookmarkEnd w:id="10"/>
    </w:p>
    <w:tbl>
      <w:tblPr>
        <w:tblW w:w="10862"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285"/>
        <w:gridCol w:w="2409"/>
        <w:gridCol w:w="237"/>
        <w:gridCol w:w="50"/>
        <w:gridCol w:w="1701"/>
        <w:gridCol w:w="1134"/>
        <w:gridCol w:w="1555"/>
        <w:gridCol w:w="2555"/>
        <w:gridCol w:w="936"/>
      </w:tblGrid>
      <w:tr w:rsidR="00E86A68" w:rsidRPr="00B75AB9" w:rsidTr="00D15BAD">
        <w:trPr>
          <w:cantSplit/>
          <w:tblHeader/>
        </w:trPr>
        <w:tc>
          <w:tcPr>
            <w:tcW w:w="1372" w:type="pct"/>
            <w:gridSpan w:val="4"/>
            <w:shd w:val="clear" w:color="auto" w:fill="9D57A6"/>
            <w:tcMar>
              <w:left w:w="454" w:type="dxa"/>
              <w:bottom w:w="0" w:type="dxa"/>
            </w:tcMar>
          </w:tcPr>
          <w:p w:rsidR="00A95734" w:rsidRPr="00B75AB9" w:rsidRDefault="00A95734" w:rsidP="00A95734">
            <w:pPr>
              <w:pStyle w:val="Tablecolumnheadings"/>
            </w:pPr>
            <w:r w:rsidRPr="00B75AB9">
              <w:t>Key components</w:t>
            </w:r>
          </w:p>
        </w:tc>
        <w:tc>
          <w:tcPr>
            <w:tcW w:w="783" w:type="pct"/>
            <w:shd w:val="clear" w:color="auto" w:fill="9D57A6"/>
            <w:tcMar>
              <w:bottom w:w="0" w:type="dxa"/>
            </w:tcMar>
          </w:tcPr>
          <w:p w:rsidR="00A95734" w:rsidRPr="00B75AB9" w:rsidRDefault="00A95734" w:rsidP="00A95734">
            <w:pPr>
              <w:pStyle w:val="Tablecolumnheadings"/>
            </w:pPr>
            <w:r w:rsidRPr="00B75AB9">
              <w:t>Australia</w:t>
            </w:r>
          </w:p>
        </w:tc>
        <w:tc>
          <w:tcPr>
            <w:tcW w:w="522" w:type="pct"/>
            <w:shd w:val="clear" w:color="auto" w:fill="9D57A6"/>
          </w:tcPr>
          <w:p w:rsidR="00A95734" w:rsidRPr="00B75AB9" w:rsidRDefault="00A95734" w:rsidP="00A95734">
            <w:pPr>
              <w:pStyle w:val="Tablecolumnheadings"/>
            </w:pPr>
            <w:r>
              <w:t>New Zealand</w:t>
            </w:r>
          </w:p>
        </w:tc>
        <w:tc>
          <w:tcPr>
            <w:tcW w:w="716" w:type="pct"/>
            <w:shd w:val="clear" w:color="auto" w:fill="9D57A6"/>
            <w:tcMar>
              <w:bottom w:w="0" w:type="dxa"/>
            </w:tcMar>
          </w:tcPr>
          <w:p w:rsidR="00A95734" w:rsidRPr="00B75AB9" w:rsidRDefault="00A95734" w:rsidP="00A95734">
            <w:pPr>
              <w:pStyle w:val="Tablecolumnheadings"/>
            </w:pPr>
            <w:r w:rsidRPr="00B75AB9">
              <w:t>EU</w:t>
            </w:r>
          </w:p>
        </w:tc>
        <w:tc>
          <w:tcPr>
            <w:tcW w:w="1176" w:type="pct"/>
            <w:shd w:val="clear" w:color="auto" w:fill="9D57A6"/>
            <w:tcMar>
              <w:bottom w:w="0" w:type="dxa"/>
            </w:tcMar>
          </w:tcPr>
          <w:p w:rsidR="00A95734" w:rsidRPr="00B75AB9" w:rsidRDefault="00A95734" w:rsidP="00A95734">
            <w:pPr>
              <w:pStyle w:val="Tablecolumnheadings"/>
            </w:pPr>
            <w:r>
              <w:t>USA</w:t>
            </w:r>
          </w:p>
        </w:tc>
        <w:tc>
          <w:tcPr>
            <w:tcW w:w="431" w:type="pct"/>
            <w:shd w:val="clear" w:color="auto" w:fill="9D57A6"/>
            <w:tcMar>
              <w:bottom w:w="0" w:type="dxa"/>
            </w:tcMar>
          </w:tcPr>
          <w:p w:rsidR="00A95734" w:rsidRPr="00B75AB9" w:rsidRDefault="00A95734" w:rsidP="00A95734">
            <w:pPr>
              <w:pStyle w:val="Tablecolumnheadings"/>
            </w:pPr>
            <w:r w:rsidRPr="00B75AB9">
              <w:t>Canada</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1109" w:type="pct"/>
            <w:tcBorders>
              <w:top w:val="nil"/>
            </w:tcBorders>
            <w:shd w:val="clear" w:color="auto" w:fill="auto"/>
          </w:tcPr>
          <w:p w:rsidR="00A95734" w:rsidRPr="00D15BAD" w:rsidRDefault="00A95734" w:rsidP="00A95734">
            <w:pPr>
              <w:pStyle w:val="Tabletext"/>
              <w:rPr>
                <w:b/>
              </w:rPr>
            </w:pPr>
            <w:r w:rsidRPr="00D15BAD">
              <w:rPr>
                <w:b/>
              </w:rPr>
              <w:t>Protection period for a new active ingredient / constituent and associated formulated products not previously endorsed</w:t>
            </w:r>
          </w:p>
        </w:tc>
        <w:tc>
          <w:tcPr>
            <w:tcW w:w="915" w:type="pct"/>
            <w:gridSpan w:val="3"/>
            <w:tcBorders>
              <w:top w:val="nil"/>
            </w:tcBorders>
            <w:shd w:val="clear" w:color="auto" w:fill="auto"/>
          </w:tcPr>
          <w:p w:rsidR="00A95734" w:rsidRPr="00B75AB9" w:rsidRDefault="00A95734" w:rsidP="00A95734">
            <w:pPr>
              <w:pStyle w:val="Tabletext"/>
            </w:pPr>
            <w:r w:rsidRPr="00B75AB9">
              <w:t>10 years as of July 2014</w:t>
            </w:r>
            <w:r>
              <w:t xml:space="preserve"> under Section 34M of Agvet Code</w:t>
            </w:r>
            <w:r w:rsidRPr="00B75AB9">
              <w:br/>
            </w:r>
          </w:p>
        </w:tc>
        <w:tc>
          <w:tcPr>
            <w:tcW w:w="522" w:type="pct"/>
            <w:tcBorders>
              <w:top w:val="nil"/>
            </w:tcBorders>
          </w:tcPr>
          <w:p w:rsidR="00A95734" w:rsidRPr="002A4E68" w:rsidRDefault="00A95734" w:rsidP="00A95734">
            <w:pPr>
              <w:pStyle w:val="Tabletext"/>
            </w:pPr>
            <w:r w:rsidRPr="002A4E68">
              <w:t>10 years</w:t>
            </w:r>
          </w:p>
        </w:tc>
        <w:tc>
          <w:tcPr>
            <w:tcW w:w="716" w:type="pct"/>
            <w:tcBorders>
              <w:top w:val="nil"/>
            </w:tcBorders>
            <w:shd w:val="clear" w:color="auto" w:fill="auto"/>
          </w:tcPr>
          <w:p w:rsidR="00A95734" w:rsidRPr="00E17B14" w:rsidRDefault="00A95734" w:rsidP="00A95734">
            <w:pPr>
              <w:pStyle w:val="Tabletext"/>
              <w:rPr>
                <w:highlight w:val="yellow"/>
              </w:rPr>
            </w:pPr>
            <w:r>
              <w:t>10 years. One</w:t>
            </w:r>
            <w:r w:rsidRPr="00CA1C51">
              <w:t xml:space="preserve"> additional year (for already authorised product to other species, up to maximum of 18 years)</w:t>
            </w:r>
          </w:p>
        </w:tc>
        <w:tc>
          <w:tcPr>
            <w:tcW w:w="1176" w:type="pct"/>
            <w:tcBorders>
              <w:top w:val="nil"/>
            </w:tcBorders>
            <w:shd w:val="clear" w:color="auto" w:fill="auto"/>
          </w:tcPr>
          <w:p w:rsidR="00A95734" w:rsidRPr="00E17B14" w:rsidRDefault="00A95734" w:rsidP="00874165">
            <w:pPr>
              <w:pStyle w:val="Tabletext"/>
              <w:rPr>
                <w:highlight w:val="yellow"/>
              </w:rPr>
            </w:pPr>
            <w:r w:rsidRPr="00003311">
              <w:t>Depends on what type of exclusivity at issue. Orphan drug exclusivity for 7 years, new chemical entity exclusivity for 5 years, general antibiotic incentives now exclusivity</w:t>
            </w:r>
            <w:r>
              <w:t xml:space="preserve"> for</w:t>
            </w:r>
            <w:r w:rsidRPr="00003311">
              <w:t xml:space="preserve"> 5 years</w:t>
            </w:r>
            <w:r>
              <w:t>, new clinical investigation exclusivity for 3 years</w:t>
            </w:r>
          </w:p>
        </w:tc>
        <w:tc>
          <w:tcPr>
            <w:tcW w:w="431" w:type="pct"/>
            <w:tcBorders>
              <w:top w:val="nil"/>
            </w:tcBorders>
            <w:shd w:val="clear" w:color="auto" w:fill="auto"/>
          </w:tcPr>
          <w:p w:rsidR="00A95734" w:rsidRPr="00E17B14" w:rsidRDefault="00A95734" w:rsidP="00A95734">
            <w:pPr>
              <w:pStyle w:val="Tabletext"/>
              <w:rPr>
                <w:highlight w:val="yellow"/>
              </w:rPr>
            </w:pPr>
            <w:r>
              <w:t xml:space="preserve">8 </w:t>
            </w:r>
            <w:r w:rsidRPr="00A7719C">
              <w:t xml:space="preserve">years </w:t>
            </w:r>
            <w:r>
              <w:t>for innovative animal drugs</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1109" w:type="pct"/>
            <w:tcBorders>
              <w:top w:val="nil"/>
            </w:tcBorders>
            <w:shd w:val="clear" w:color="auto" w:fill="auto"/>
          </w:tcPr>
          <w:p w:rsidR="00A95734" w:rsidRPr="00D15BAD" w:rsidRDefault="00A95734" w:rsidP="00A95734">
            <w:pPr>
              <w:pStyle w:val="Tabletext"/>
              <w:rPr>
                <w:b/>
              </w:rPr>
            </w:pPr>
            <w:r w:rsidRPr="00D15BAD">
              <w:rPr>
                <w:b/>
              </w:rPr>
              <w:t>Protection period for previously endorsed or variations or new information</w:t>
            </w:r>
          </w:p>
        </w:tc>
        <w:tc>
          <w:tcPr>
            <w:tcW w:w="915" w:type="pct"/>
            <w:gridSpan w:val="3"/>
            <w:tcBorders>
              <w:top w:val="nil"/>
            </w:tcBorders>
            <w:shd w:val="clear" w:color="auto" w:fill="auto"/>
          </w:tcPr>
          <w:p w:rsidR="00A95734" w:rsidRPr="00B75AB9" w:rsidRDefault="00A95734" w:rsidP="00A95734">
            <w:pPr>
              <w:pStyle w:val="Tabletext"/>
            </w:pPr>
            <w:r>
              <w:t xml:space="preserve">3 </w:t>
            </w:r>
            <w:r w:rsidRPr="00B75AB9">
              <w:t>years as of July 2014</w:t>
            </w:r>
          </w:p>
        </w:tc>
        <w:tc>
          <w:tcPr>
            <w:tcW w:w="522" w:type="pct"/>
            <w:tcBorders>
              <w:top w:val="nil"/>
            </w:tcBorders>
          </w:tcPr>
          <w:p w:rsidR="00A95734" w:rsidRPr="002A4E68" w:rsidRDefault="00A95734" w:rsidP="00A95734">
            <w:pPr>
              <w:pStyle w:val="Tabletext"/>
            </w:pPr>
            <w:r w:rsidRPr="002A4E68">
              <w:t>5 years</w:t>
            </w:r>
          </w:p>
        </w:tc>
        <w:tc>
          <w:tcPr>
            <w:tcW w:w="716" w:type="pct"/>
            <w:tcBorders>
              <w:top w:val="nil"/>
            </w:tcBorders>
            <w:shd w:val="clear" w:color="auto" w:fill="auto"/>
          </w:tcPr>
          <w:p w:rsidR="00A95734" w:rsidRPr="0083766E" w:rsidRDefault="00A95734" w:rsidP="00A95734">
            <w:pPr>
              <w:pStyle w:val="Tabletext"/>
            </w:pPr>
            <w:r w:rsidRPr="0083766E">
              <w:t>na</w:t>
            </w:r>
          </w:p>
        </w:tc>
        <w:tc>
          <w:tcPr>
            <w:tcW w:w="1176" w:type="pct"/>
            <w:tcBorders>
              <w:top w:val="nil"/>
            </w:tcBorders>
            <w:shd w:val="clear" w:color="auto" w:fill="auto"/>
          </w:tcPr>
          <w:p w:rsidR="00A95734" w:rsidRPr="0083766E" w:rsidRDefault="00A95734" w:rsidP="00A95734">
            <w:pPr>
              <w:pStyle w:val="Tabletext"/>
            </w:pPr>
            <w:r w:rsidRPr="0083766E">
              <w:t>na</w:t>
            </w:r>
          </w:p>
        </w:tc>
        <w:tc>
          <w:tcPr>
            <w:tcW w:w="431" w:type="pct"/>
            <w:tcBorders>
              <w:top w:val="nil"/>
            </w:tcBorders>
            <w:shd w:val="clear" w:color="auto" w:fill="auto"/>
          </w:tcPr>
          <w:p w:rsidR="00A95734" w:rsidRPr="0083766E" w:rsidRDefault="00A95734" w:rsidP="00A95734">
            <w:pPr>
              <w:pStyle w:val="Tabletext"/>
            </w:pPr>
            <w:r w:rsidRPr="0083766E">
              <w:t>na</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1109" w:type="pct"/>
            <w:shd w:val="clear" w:color="auto" w:fill="auto"/>
          </w:tcPr>
          <w:p w:rsidR="00A95734" w:rsidRPr="00D15BAD" w:rsidRDefault="00A95734" w:rsidP="00A95734">
            <w:pPr>
              <w:pStyle w:val="Tabletext"/>
              <w:rPr>
                <w:b/>
              </w:rPr>
            </w:pPr>
            <w:r w:rsidRPr="00D15BAD">
              <w:rPr>
                <w:b/>
              </w:rPr>
              <w:t>Extensions linked to minor use registrations</w:t>
            </w:r>
          </w:p>
        </w:tc>
        <w:tc>
          <w:tcPr>
            <w:tcW w:w="915" w:type="pct"/>
            <w:gridSpan w:val="3"/>
            <w:shd w:val="clear" w:color="auto" w:fill="auto"/>
          </w:tcPr>
          <w:p w:rsidR="00A95734" w:rsidRPr="00B75AB9" w:rsidRDefault="00A95734" w:rsidP="00A95734">
            <w:pPr>
              <w:pStyle w:val="Tabletext"/>
            </w:pPr>
            <w:r>
              <w:t>None</w:t>
            </w:r>
          </w:p>
        </w:tc>
        <w:tc>
          <w:tcPr>
            <w:tcW w:w="522" w:type="pct"/>
          </w:tcPr>
          <w:p w:rsidR="00A95734" w:rsidRPr="00B75AB9" w:rsidRDefault="00A95734" w:rsidP="00A95734">
            <w:pPr>
              <w:pStyle w:val="Tabletext"/>
            </w:pPr>
            <w:r>
              <w:t>None</w:t>
            </w:r>
          </w:p>
        </w:tc>
        <w:tc>
          <w:tcPr>
            <w:tcW w:w="716" w:type="pct"/>
            <w:shd w:val="clear" w:color="auto" w:fill="auto"/>
          </w:tcPr>
          <w:p w:rsidR="00A95734" w:rsidRPr="00E17B14" w:rsidRDefault="00A95734" w:rsidP="00A95734">
            <w:pPr>
              <w:pStyle w:val="Tabletext"/>
              <w:rPr>
                <w:highlight w:val="yellow"/>
              </w:rPr>
            </w:pPr>
            <w:r>
              <w:t>14 years for minor uses</w:t>
            </w:r>
            <w:r w:rsidRPr="00CA1C51">
              <w:t xml:space="preserve"> and 4 additional years for an extension to a minor </w:t>
            </w:r>
            <w:r>
              <w:t>use</w:t>
            </w:r>
          </w:p>
        </w:tc>
        <w:tc>
          <w:tcPr>
            <w:tcW w:w="1176" w:type="pct"/>
            <w:shd w:val="clear" w:color="auto" w:fill="auto"/>
          </w:tcPr>
          <w:p w:rsidR="00A95734" w:rsidRPr="00E17B14" w:rsidRDefault="00A95734" w:rsidP="00A95734">
            <w:pPr>
              <w:pStyle w:val="Tabletext"/>
              <w:rPr>
                <w:highlight w:val="yellow"/>
              </w:rPr>
            </w:pPr>
            <w:r>
              <w:t>Minor species or minor uses in a major species (MUMS) gets 7 years</w:t>
            </w:r>
          </w:p>
        </w:tc>
        <w:tc>
          <w:tcPr>
            <w:tcW w:w="431" w:type="pct"/>
            <w:shd w:val="clear" w:color="auto" w:fill="auto"/>
          </w:tcPr>
          <w:p w:rsidR="00A95734" w:rsidRPr="00E17B14" w:rsidRDefault="00A95734" w:rsidP="00A95734">
            <w:pPr>
              <w:pStyle w:val="Tabletext"/>
              <w:rPr>
                <w:highlight w:val="yellow"/>
              </w:rPr>
            </w:pP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1109" w:type="pct"/>
            <w:shd w:val="clear" w:color="auto" w:fill="auto"/>
          </w:tcPr>
          <w:p w:rsidR="00A95734" w:rsidRPr="00D15BAD" w:rsidRDefault="00A95734" w:rsidP="00A95734">
            <w:pPr>
              <w:pStyle w:val="Tabletext"/>
              <w:rPr>
                <w:b/>
              </w:rPr>
            </w:pPr>
            <w:r w:rsidRPr="00D15BAD">
              <w:rPr>
                <w:b/>
              </w:rPr>
              <w:t>Total potential protection period</w:t>
            </w:r>
          </w:p>
        </w:tc>
        <w:tc>
          <w:tcPr>
            <w:tcW w:w="915" w:type="pct"/>
            <w:gridSpan w:val="3"/>
            <w:shd w:val="clear" w:color="auto" w:fill="auto"/>
          </w:tcPr>
          <w:p w:rsidR="00A95734" w:rsidRPr="00B75AB9" w:rsidRDefault="00A95734" w:rsidP="00874165">
            <w:pPr>
              <w:pStyle w:val="Tabletext"/>
            </w:pPr>
            <w:r>
              <w:t>10 years as of July 2014</w:t>
            </w:r>
          </w:p>
        </w:tc>
        <w:tc>
          <w:tcPr>
            <w:tcW w:w="522" w:type="pct"/>
          </w:tcPr>
          <w:p w:rsidR="00A95734" w:rsidRPr="00B75AB9" w:rsidRDefault="00A95734" w:rsidP="00A95734">
            <w:pPr>
              <w:pStyle w:val="Tabletext"/>
            </w:pPr>
            <w:r>
              <w:t>10 years</w:t>
            </w:r>
          </w:p>
        </w:tc>
        <w:tc>
          <w:tcPr>
            <w:tcW w:w="716" w:type="pct"/>
            <w:shd w:val="clear" w:color="auto" w:fill="auto"/>
          </w:tcPr>
          <w:p w:rsidR="00A95734" w:rsidRPr="00003311" w:rsidRDefault="00A95734" w:rsidP="00A95734">
            <w:pPr>
              <w:pStyle w:val="Tabletext"/>
            </w:pPr>
            <w:r w:rsidRPr="00003311">
              <w:t xml:space="preserve">Maximum of 18 years for major and minor </w:t>
            </w:r>
            <w:r>
              <w:t>use</w:t>
            </w:r>
          </w:p>
        </w:tc>
        <w:tc>
          <w:tcPr>
            <w:tcW w:w="1176" w:type="pct"/>
            <w:shd w:val="clear" w:color="auto" w:fill="auto"/>
          </w:tcPr>
          <w:p w:rsidR="00A95734" w:rsidRPr="00EC4969" w:rsidRDefault="00A95734" w:rsidP="00874165">
            <w:pPr>
              <w:pStyle w:val="Tabletext"/>
            </w:pPr>
            <w:r w:rsidRPr="00EC4969">
              <w:t xml:space="preserve">Depends on what type of exclusivity  </w:t>
            </w:r>
          </w:p>
        </w:tc>
        <w:tc>
          <w:tcPr>
            <w:tcW w:w="431" w:type="pct"/>
            <w:shd w:val="clear" w:color="auto" w:fill="auto"/>
          </w:tcPr>
          <w:p w:rsidR="00A95734" w:rsidRPr="00EC4969" w:rsidRDefault="00A95734" w:rsidP="00A95734">
            <w:pPr>
              <w:pStyle w:val="Tabletext"/>
            </w:pPr>
            <w:r w:rsidRPr="00EC4969">
              <w:t>8 years</w:t>
            </w:r>
          </w:p>
        </w:tc>
      </w:tr>
      <w:tr w:rsidR="00E86A68" w:rsidRPr="00B75AB9" w:rsidTr="00D15BAD">
        <w:tblPrEx>
          <w:tblBorders>
            <w:bottom w:val="single" w:sz="4" w:space="0" w:color="646464"/>
            <w:insideH w:val="single" w:sz="4" w:space="0" w:color="646464"/>
          </w:tblBorders>
        </w:tblPrEx>
        <w:trPr>
          <w:gridBefore w:val="1"/>
          <w:wBefore w:w="131" w:type="pct"/>
          <w:cantSplit/>
        </w:trPr>
        <w:tc>
          <w:tcPr>
            <w:tcW w:w="1109" w:type="pct"/>
            <w:shd w:val="clear" w:color="auto" w:fill="auto"/>
          </w:tcPr>
          <w:p w:rsidR="00A95734" w:rsidRPr="00D15BAD" w:rsidRDefault="00A95734" w:rsidP="00A95734">
            <w:pPr>
              <w:pStyle w:val="Tabletext"/>
              <w:rPr>
                <w:b/>
              </w:rPr>
            </w:pPr>
            <w:r w:rsidRPr="00D15BAD">
              <w:rPr>
                <w:b/>
              </w:rPr>
              <w:t xml:space="preserve">Data compensation period – subsequent data to support / maintain registration of a new active ingredient to support re-evaluation </w:t>
            </w:r>
          </w:p>
        </w:tc>
        <w:tc>
          <w:tcPr>
            <w:tcW w:w="915" w:type="pct"/>
            <w:gridSpan w:val="3"/>
            <w:shd w:val="clear" w:color="auto" w:fill="auto"/>
          </w:tcPr>
          <w:p w:rsidR="00A95734" w:rsidRPr="00B75AB9" w:rsidRDefault="00A95734" w:rsidP="00A95734">
            <w:pPr>
              <w:pStyle w:val="Tabletext"/>
            </w:pPr>
            <w:r w:rsidRPr="00B75AB9">
              <w:t>5 years exclusive use</w:t>
            </w:r>
            <w:r w:rsidRPr="00B75AB9">
              <w:br/>
              <w:t>8 years – data for a reconsideration of a registration (as of July 2014)</w:t>
            </w:r>
          </w:p>
        </w:tc>
        <w:tc>
          <w:tcPr>
            <w:tcW w:w="522" w:type="pct"/>
          </w:tcPr>
          <w:p w:rsidR="00A95734" w:rsidRPr="00E17B14" w:rsidRDefault="00A95734" w:rsidP="00A95734">
            <w:pPr>
              <w:pStyle w:val="Tabletext"/>
              <w:rPr>
                <w:highlight w:val="yellow"/>
              </w:rPr>
            </w:pPr>
          </w:p>
        </w:tc>
        <w:tc>
          <w:tcPr>
            <w:tcW w:w="716" w:type="pct"/>
            <w:shd w:val="clear" w:color="auto" w:fill="auto"/>
          </w:tcPr>
          <w:p w:rsidR="00A95734" w:rsidRPr="00A7719C" w:rsidRDefault="00A95734" w:rsidP="00A95734">
            <w:pPr>
              <w:pStyle w:val="Tabletext"/>
            </w:pPr>
            <w:r>
              <w:t>None</w:t>
            </w:r>
          </w:p>
        </w:tc>
        <w:tc>
          <w:tcPr>
            <w:tcW w:w="1176" w:type="pct"/>
            <w:shd w:val="clear" w:color="auto" w:fill="auto"/>
          </w:tcPr>
          <w:p w:rsidR="00A95734" w:rsidRPr="00A7719C" w:rsidRDefault="00A95734" w:rsidP="00A95734">
            <w:pPr>
              <w:pStyle w:val="Tabletext"/>
            </w:pPr>
            <w:r>
              <w:t>None</w:t>
            </w:r>
          </w:p>
        </w:tc>
        <w:tc>
          <w:tcPr>
            <w:tcW w:w="431" w:type="pct"/>
            <w:shd w:val="clear" w:color="auto" w:fill="auto"/>
          </w:tcPr>
          <w:p w:rsidR="00A95734" w:rsidRPr="00E17B14" w:rsidRDefault="00A95734" w:rsidP="00A95734">
            <w:pPr>
              <w:pStyle w:val="Tabletext"/>
              <w:rPr>
                <w:highlight w:val="yellow"/>
              </w:rPr>
            </w:pPr>
            <w:r>
              <w:t>None</w:t>
            </w:r>
          </w:p>
        </w:tc>
      </w:tr>
      <w:tr w:rsidR="00E86A68" w:rsidRPr="00B75AB9" w:rsidTr="00A95734">
        <w:tblPrEx>
          <w:tblBorders>
            <w:bottom w:val="single" w:sz="4" w:space="0" w:color="646464"/>
            <w:insideH w:val="single" w:sz="4" w:space="0" w:color="646464"/>
          </w:tblBorders>
        </w:tblPrEx>
        <w:trPr>
          <w:gridBefore w:val="1"/>
          <w:wBefore w:w="131" w:type="pct"/>
          <w:cantSplit/>
        </w:trPr>
        <w:tc>
          <w:tcPr>
            <w:tcW w:w="4869" w:type="pct"/>
            <w:gridSpan w:val="8"/>
            <w:tcBorders>
              <w:bottom w:val="single" w:sz="4" w:space="0" w:color="646464"/>
            </w:tcBorders>
          </w:tcPr>
          <w:p w:rsidR="00A95734" w:rsidRPr="00B75AB9" w:rsidRDefault="00A95734" w:rsidP="00B94822">
            <w:pPr>
              <w:pStyle w:val="Source"/>
            </w:pPr>
            <w:r w:rsidRPr="00B75AB9">
              <w:t xml:space="preserve">Source: </w:t>
            </w:r>
            <w:r>
              <w:t>Various – see Table 3.2.</w:t>
            </w:r>
          </w:p>
        </w:tc>
      </w:tr>
      <w:tr w:rsidR="00E86A68" w:rsidRPr="00B75AB9" w:rsidTr="00A95734">
        <w:tblPrEx>
          <w:tblBorders>
            <w:bottom w:val="single" w:sz="4" w:space="0" w:color="646464"/>
            <w:insideH w:val="single" w:sz="4" w:space="0" w:color="646464"/>
          </w:tblBorders>
        </w:tblPrEx>
        <w:trPr>
          <w:gridBefore w:val="1"/>
          <w:wBefore w:w="131" w:type="pct"/>
          <w:cantSplit/>
          <w:trHeight w:hRule="exact" w:val="120"/>
        </w:trPr>
        <w:tc>
          <w:tcPr>
            <w:tcW w:w="1218" w:type="pct"/>
            <w:gridSpan w:val="2"/>
            <w:tcBorders>
              <w:top w:val="single" w:sz="4" w:space="0" w:color="646464"/>
              <w:bottom w:val="nil"/>
            </w:tcBorders>
          </w:tcPr>
          <w:p w:rsidR="00A95734" w:rsidRPr="00B75AB9" w:rsidRDefault="00A95734" w:rsidP="00A95734">
            <w:pPr>
              <w:pStyle w:val="spacertbl"/>
            </w:pPr>
          </w:p>
        </w:tc>
        <w:tc>
          <w:tcPr>
            <w:tcW w:w="3651" w:type="pct"/>
            <w:gridSpan w:val="6"/>
            <w:tcBorders>
              <w:top w:val="single" w:sz="4" w:space="0" w:color="646464"/>
              <w:bottom w:val="nil"/>
            </w:tcBorders>
            <w:shd w:val="clear" w:color="auto" w:fill="auto"/>
          </w:tcPr>
          <w:p w:rsidR="00A95734" w:rsidRPr="00B75AB9" w:rsidRDefault="00A95734" w:rsidP="00A95734">
            <w:pPr>
              <w:pStyle w:val="spacertbl"/>
            </w:pPr>
          </w:p>
        </w:tc>
      </w:tr>
    </w:tbl>
    <w:p w:rsidR="00A95734" w:rsidRDefault="00A95734" w:rsidP="00A95734">
      <w:pPr>
        <w:pStyle w:val="BodyText"/>
        <w:rPr>
          <w:shd w:val="clear" w:color="auto" w:fill="FFFFFF"/>
        </w:rPr>
      </w:pPr>
    </w:p>
    <w:p w:rsidR="00A95734" w:rsidRDefault="00A95734" w:rsidP="00F1413A">
      <w:pPr>
        <w:pStyle w:val="BodyText"/>
      </w:pPr>
    </w:p>
    <w:p w:rsidR="00A95734" w:rsidRDefault="00A95734" w:rsidP="00F1413A">
      <w:pPr>
        <w:pStyle w:val="BodyText"/>
      </w:pPr>
    </w:p>
    <w:p w:rsidR="00A95734" w:rsidRDefault="00A95734" w:rsidP="00F1413A">
      <w:pPr>
        <w:pStyle w:val="BodyText"/>
      </w:pPr>
    </w:p>
    <w:p w:rsidR="00D95E58" w:rsidRDefault="00D95E58" w:rsidP="00F1413A">
      <w:pPr>
        <w:pStyle w:val="BodyText"/>
      </w:pPr>
    </w:p>
    <w:p w:rsidR="00D95E58" w:rsidRDefault="00D95E58" w:rsidP="00F1413A">
      <w:pPr>
        <w:sectPr w:rsidR="00D95E58" w:rsidSect="00F1413A">
          <w:headerReference w:type="even" r:id="rId22"/>
          <w:headerReference w:type="default" r:id="rId23"/>
          <w:footerReference w:type="even" r:id="rId24"/>
          <w:footerReference w:type="default" r:id="rId25"/>
          <w:headerReference w:type="first" r:id="rId26"/>
          <w:footerReference w:type="first" r:id="rId27"/>
          <w:pgSz w:w="11907" w:h="16839" w:code="9"/>
          <w:pgMar w:top="1100" w:right="443" w:bottom="1320" w:left="3296" w:header="456" w:footer="262" w:gutter="0"/>
          <w:pgNumType w:fmt="lowerRoman" w:start="1"/>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Exec"/>
      </w:tblPr>
      <w:tblGrid>
        <w:gridCol w:w="1560"/>
        <w:gridCol w:w="3178"/>
        <w:gridCol w:w="3430"/>
      </w:tblGrid>
      <w:tr w:rsidR="00D95E58" w:rsidTr="00B46B76">
        <w:trPr>
          <w:trHeight w:hRule="exact" w:val="382"/>
        </w:trPr>
        <w:tc>
          <w:tcPr>
            <w:tcW w:w="4738" w:type="dxa"/>
            <w:gridSpan w:val="2"/>
            <w:shd w:val="clear" w:color="auto" w:fill="9D57A6"/>
          </w:tcPr>
          <w:p w:rsidR="00D95E58" w:rsidRDefault="00546375" w:rsidP="00F1413A">
            <w:pPr>
              <w:pStyle w:val="tagexecBanner"/>
            </w:pPr>
            <w:r>
              <w:rPr>
                <w:noProof/>
                <w:lang w:eastAsia="en-AU"/>
              </w:rPr>
              <mc:AlternateContent>
                <mc:Choice Requires="wps">
                  <w:drawing>
                    <wp:anchor distT="0" distB="0" distL="114300" distR="114300" simplePos="0" relativeHeight="251854848" behindDoc="0" locked="1" layoutInCell="1" allowOverlap="1" wp14:anchorId="5EEB8289" wp14:editId="0BFBB217">
                      <wp:simplePos x="0" y="0"/>
                      <wp:positionH relativeFrom="page">
                        <wp:posOffset>158750</wp:posOffset>
                      </wp:positionH>
                      <wp:positionV relativeFrom="page">
                        <wp:posOffset>6350</wp:posOffset>
                      </wp:positionV>
                      <wp:extent cx="439420" cy="215265"/>
                      <wp:effectExtent l="0" t="0" r="0" b="0"/>
                      <wp:wrapNone/>
                      <wp:docPr id="28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FFF68D" id="Freeform 5" o:spid="_x0000_s1026" style="position:absolute;margin-left:12.5pt;margin-top:.5pt;width:34.6pt;height:16.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B1kRFU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D95E58" w:rsidRDefault="00D95E58" w:rsidP="00F1413A">
            <w:pPr>
              <w:pStyle w:val="spacer"/>
            </w:pPr>
          </w:p>
        </w:tc>
      </w:tr>
      <w:tr w:rsidR="00E86A68" w:rsidTr="00401D90">
        <w:trPr>
          <w:trHeight w:hRule="exact" w:val="3665"/>
        </w:trPr>
        <w:tc>
          <w:tcPr>
            <w:tcW w:w="4738" w:type="dxa"/>
            <w:gridSpan w:val="2"/>
            <w:shd w:val="clear" w:color="auto" w:fill="9D57A6"/>
            <w:tcMar>
              <w:left w:w="0" w:type="dxa"/>
            </w:tcMar>
            <w:vAlign w:val="bottom"/>
          </w:tcPr>
          <w:p w:rsidR="00D95E58" w:rsidRPr="00DA74C0" w:rsidRDefault="00777C69" w:rsidP="00A805FB">
            <w:pPr>
              <w:pStyle w:val="Exec-HeadingBanner"/>
            </w:pPr>
            <w:bookmarkStart w:id="11" w:name="_Toc497300806"/>
            <w:r>
              <w:t>Gloss</w:t>
            </w:r>
            <w:r w:rsidR="00A805FB">
              <w:t>A</w:t>
            </w:r>
            <w:r>
              <w:t>ry of terms</w:t>
            </w:r>
            <w:bookmarkEnd w:id="11"/>
          </w:p>
        </w:tc>
        <w:tc>
          <w:tcPr>
            <w:tcW w:w="3430" w:type="dxa"/>
            <w:shd w:val="clear" w:color="auto" w:fill="9D57A6"/>
            <w:tcMar>
              <w:right w:w="344" w:type="dxa"/>
            </w:tcMar>
          </w:tcPr>
          <w:p w:rsidR="00D95E58" w:rsidRPr="00E86A68" w:rsidRDefault="00D95E58" w:rsidP="00F1413A">
            <w:pPr>
              <w:pStyle w:val="Normal-nospace"/>
              <w:rPr>
                <w:sz w:val="20"/>
              </w:rPr>
            </w:pPr>
          </w:p>
        </w:tc>
      </w:tr>
      <w:tr w:rsidR="00E86A68" w:rsidTr="00401D90">
        <w:trPr>
          <w:trHeight w:hRule="exact" w:val="232"/>
        </w:trPr>
        <w:tc>
          <w:tcPr>
            <w:tcW w:w="4738" w:type="dxa"/>
            <w:gridSpan w:val="2"/>
            <w:shd w:val="clear" w:color="auto" w:fill="9D57A6"/>
            <w:tcMar>
              <w:left w:w="0" w:type="dxa"/>
            </w:tcMar>
          </w:tcPr>
          <w:p w:rsidR="00D95E58" w:rsidRDefault="00D95E58" w:rsidP="00F1413A">
            <w:pPr>
              <w:pStyle w:val="spacer"/>
            </w:pPr>
          </w:p>
        </w:tc>
        <w:tc>
          <w:tcPr>
            <w:tcW w:w="3430" w:type="dxa"/>
            <w:shd w:val="clear" w:color="auto" w:fill="9D57A6"/>
            <w:tcMar>
              <w:right w:w="344" w:type="dxa"/>
            </w:tcMar>
          </w:tcPr>
          <w:p w:rsidR="00D95E58" w:rsidRDefault="00D95E58" w:rsidP="00F1413A">
            <w:pPr>
              <w:pStyle w:val="spacer"/>
              <w:rPr>
                <w:noProof/>
              </w:rPr>
            </w:pPr>
          </w:p>
        </w:tc>
      </w:tr>
      <w:tr w:rsidR="00E86A68" w:rsidTr="00401D90">
        <w:trPr>
          <w:trHeight w:hRule="exact" w:val="228"/>
        </w:trPr>
        <w:tc>
          <w:tcPr>
            <w:tcW w:w="4738" w:type="dxa"/>
            <w:gridSpan w:val="2"/>
            <w:tcBorders>
              <w:top w:val="single" w:sz="4" w:space="0" w:color="9D57A6"/>
            </w:tcBorders>
            <w:shd w:val="clear" w:color="auto" w:fill="auto"/>
          </w:tcPr>
          <w:p w:rsidR="00D95E58" w:rsidRDefault="00D95E58" w:rsidP="00F1413A">
            <w:pPr>
              <w:pStyle w:val="spacer"/>
            </w:pPr>
          </w:p>
        </w:tc>
        <w:tc>
          <w:tcPr>
            <w:tcW w:w="3430" w:type="dxa"/>
            <w:tcBorders>
              <w:top w:val="single" w:sz="4" w:space="0" w:color="9D57A6"/>
            </w:tcBorders>
            <w:shd w:val="clear" w:color="auto" w:fill="auto"/>
          </w:tcPr>
          <w:p w:rsidR="00D95E58" w:rsidRDefault="00D95E58" w:rsidP="00F1413A">
            <w:pPr>
              <w:pStyle w:val="spacer"/>
            </w:pP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442A4C" w:rsidRDefault="00442A4C" w:rsidP="00E74DAB">
            <w:pPr>
              <w:pStyle w:val="Tabletext"/>
            </w:pPr>
            <w:r>
              <w:t xml:space="preserve">Active </w:t>
            </w:r>
            <w:r w:rsidR="00907E4F">
              <w:t>constituent</w:t>
            </w:r>
          </w:p>
        </w:tc>
        <w:tc>
          <w:tcPr>
            <w:tcW w:w="6608" w:type="dxa"/>
            <w:gridSpan w:val="2"/>
            <w:tcBorders>
              <w:top w:val="nil"/>
              <w:left w:val="nil"/>
              <w:bottom w:val="nil"/>
              <w:right w:val="nil"/>
            </w:tcBorders>
            <w:shd w:val="clear" w:color="auto" w:fill="auto"/>
          </w:tcPr>
          <w:p w:rsidR="00442A4C" w:rsidRDefault="00442A4C" w:rsidP="00E74DAB">
            <w:pPr>
              <w:pStyle w:val="Tabletext"/>
            </w:pPr>
            <w:r w:rsidRPr="000109F5">
              <w:t xml:space="preserve">An active </w:t>
            </w:r>
            <w:r w:rsidR="00907E4F">
              <w:t xml:space="preserve">constituent </w:t>
            </w:r>
            <w:r w:rsidRPr="000109F5">
              <w:t>is a substance that is</w:t>
            </w:r>
            <w:r w:rsidR="0091307E">
              <w:t xml:space="preserve"> </w:t>
            </w:r>
            <w:r w:rsidRPr="000109F5">
              <w:t>primarily responsible for the biological or other effect identifying the goods as therapeutic goods.</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D6713" w:rsidRDefault="009D6713" w:rsidP="00442A4C">
            <w:pPr>
              <w:pStyle w:val="Tabletext"/>
            </w:pPr>
            <w:r>
              <w:t>ADUFA</w:t>
            </w:r>
          </w:p>
        </w:tc>
        <w:tc>
          <w:tcPr>
            <w:tcW w:w="6608" w:type="dxa"/>
            <w:gridSpan w:val="2"/>
            <w:tcBorders>
              <w:top w:val="nil"/>
              <w:left w:val="nil"/>
              <w:bottom w:val="nil"/>
              <w:right w:val="nil"/>
            </w:tcBorders>
            <w:shd w:val="clear" w:color="auto" w:fill="auto"/>
          </w:tcPr>
          <w:p w:rsidR="009D6713" w:rsidRPr="000109F5" w:rsidRDefault="009D6713" w:rsidP="00DB3710">
            <w:pPr>
              <w:pStyle w:val="Tabletext"/>
            </w:pPr>
            <w:r w:rsidRPr="009C535C">
              <w:rPr>
                <w:i/>
              </w:rPr>
              <w:t>Animal Drug User Fee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D6713" w:rsidRDefault="009D6713" w:rsidP="009D6713">
            <w:pPr>
              <w:pStyle w:val="Tabletext"/>
            </w:pPr>
            <w:r>
              <w:t>AGDUFA</w:t>
            </w:r>
          </w:p>
        </w:tc>
        <w:tc>
          <w:tcPr>
            <w:tcW w:w="6608" w:type="dxa"/>
            <w:gridSpan w:val="2"/>
            <w:tcBorders>
              <w:top w:val="nil"/>
              <w:left w:val="nil"/>
              <w:bottom w:val="nil"/>
              <w:right w:val="nil"/>
            </w:tcBorders>
            <w:shd w:val="clear" w:color="auto" w:fill="auto"/>
          </w:tcPr>
          <w:p w:rsidR="009D6713" w:rsidRPr="000109F5" w:rsidRDefault="009D6713" w:rsidP="00DB3710">
            <w:pPr>
              <w:pStyle w:val="Tabletext"/>
            </w:pPr>
            <w:r w:rsidRPr="009C535C">
              <w:rPr>
                <w:i/>
              </w:rPr>
              <w:t>Animal Drug and Animal Generic Drug User Fee Reauthorization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71D52" w:rsidRDefault="00D71D52" w:rsidP="009D6713">
            <w:pPr>
              <w:pStyle w:val="Tabletext"/>
            </w:pPr>
            <w:r>
              <w:t>agvet</w:t>
            </w:r>
          </w:p>
        </w:tc>
        <w:tc>
          <w:tcPr>
            <w:tcW w:w="6608" w:type="dxa"/>
            <w:gridSpan w:val="2"/>
            <w:tcBorders>
              <w:top w:val="nil"/>
              <w:left w:val="nil"/>
              <w:bottom w:val="nil"/>
              <w:right w:val="nil"/>
            </w:tcBorders>
            <w:shd w:val="clear" w:color="auto" w:fill="auto"/>
          </w:tcPr>
          <w:p w:rsidR="00D71D52" w:rsidRPr="009D6713" w:rsidRDefault="00D71D52" w:rsidP="00DB3710">
            <w:pPr>
              <w:pStyle w:val="Tabletext"/>
            </w:pPr>
            <w:r>
              <w:t>Agricultural and veterinary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71D52" w:rsidRDefault="00D71D52" w:rsidP="009D6713">
            <w:pPr>
              <w:pStyle w:val="Tabletext"/>
            </w:pPr>
            <w:r>
              <w:t>Agvet Code</w:t>
            </w:r>
          </w:p>
        </w:tc>
        <w:tc>
          <w:tcPr>
            <w:tcW w:w="6608" w:type="dxa"/>
            <w:gridSpan w:val="2"/>
            <w:tcBorders>
              <w:top w:val="nil"/>
              <w:left w:val="nil"/>
              <w:bottom w:val="nil"/>
              <w:right w:val="nil"/>
            </w:tcBorders>
            <w:shd w:val="clear" w:color="auto" w:fill="auto"/>
          </w:tcPr>
          <w:p w:rsidR="00D71D52" w:rsidRDefault="00D71D52" w:rsidP="00D71D52">
            <w:pPr>
              <w:pStyle w:val="Tabletext"/>
            </w:pPr>
            <w:r>
              <w:t xml:space="preserve">Schedule to the </w:t>
            </w:r>
            <w:r w:rsidRPr="00D71D52">
              <w:rPr>
                <w:i/>
              </w:rPr>
              <w:t>Agriculture and Veterinary Chemicals Code Act 1994</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ANDA</w:t>
            </w:r>
          </w:p>
        </w:tc>
        <w:tc>
          <w:tcPr>
            <w:tcW w:w="6608" w:type="dxa"/>
            <w:gridSpan w:val="2"/>
            <w:tcBorders>
              <w:top w:val="nil"/>
              <w:left w:val="nil"/>
              <w:bottom w:val="nil"/>
              <w:right w:val="nil"/>
            </w:tcBorders>
            <w:shd w:val="clear" w:color="auto" w:fill="auto"/>
          </w:tcPr>
          <w:p w:rsidR="00FB12F3" w:rsidRDefault="00FB12F3" w:rsidP="00DB3710">
            <w:pPr>
              <w:pStyle w:val="Tabletext"/>
            </w:pPr>
            <w:r w:rsidRPr="00BD58B5">
              <w:t>Abbreviated New Drug Application</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APVMA</w:t>
            </w:r>
          </w:p>
        </w:tc>
        <w:tc>
          <w:tcPr>
            <w:tcW w:w="6608" w:type="dxa"/>
            <w:gridSpan w:val="2"/>
            <w:tcBorders>
              <w:top w:val="nil"/>
              <w:left w:val="nil"/>
              <w:bottom w:val="nil"/>
              <w:right w:val="nil"/>
            </w:tcBorders>
            <w:shd w:val="clear" w:color="auto" w:fill="auto"/>
          </w:tcPr>
          <w:p w:rsidR="00FB12F3" w:rsidRDefault="00FB12F3" w:rsidP="00964BFE">
            <w:pPr>
              <w:pStyle w:val="Tabletext"/>
            </w:pPr>
            <w:r>
              <w:t xml:space="preserve">Australian Pesticides and Veterinary </w:t>
            </w:r>
            <w:r w:rsidR="00964BFE">
              <w:t xml:space="preserve">Medicines </w:t>
            </w:r>
            <w:r>
              <w:t>A</w:t>
            </w:r>
            <w:r w:rsidR="00D71D52">
              <w:t>uthority</w:t>
            </w:r>
            <w:r>
              <w:t xml:space="preserve"> </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ARTG</w:t>
            </w:r>
          </w:p>
        </w:tc>
        <w:tc>
          <w:tcPr>
            <w:tcW w:w="6608" w:type="dxa"/>
            <w:gridSpan w:val="2"/>
            <w:tcBorders>
              <w:top w:val="nil"/>
              <w:left w:val="nil"/>
              <w:bottom w:val="nil"/>
              <w:right w:val="nil"/>
            </w:tcBorders>
            <w:shd w:val="clear" w:color="auto" w:fill="auto"/>
          </w:tcPr>
          <w:p w:rsidR="00FB12F3" w:rsidRDefault="00FB12F3" w:rsidP="00FB12F3">
            <w:pPr>
              <w:pStyle w:val="Tabletext"/>
            </w:pPr>
            <w:r>
              <w:t>Australian Register of Therapeutic Goods</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AUSFTA</w:t>
            </w:r>
          </w:p>
        </w:tc>
        <w:tc>
          <w:tcPr>
            <w:tcW w:w="6608" w:type="dxa"/>
            <w:gridSpan w:val="2"/>
            <w:tcBorders>
              <w:top w:val="nil"/>
              <w:left w:val="nil"/>
              <w:bottom w:val="nil"/>
              <w:right w:val="nil"/>
            </w:tcBorders>
            <w:shd w:val="clear" w:color="auto" w:fill="auto"/>
          </w:tcPr>
          <w:p w:rsidR="00FB12F3" w:rsidRDefault="00FB12F3" w:rsidP="00FB12F3">
            <w:pPr>
              <w:pStyle w:val="Tabletext"/>
            </w:pPr>
            <w:r>
              <w:t>Australia-United States Free Trade Agreement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907E4F">
            <w:pPr>
              <w:pStyle w:val="Tabletext"/>
            </w:pPr>
            <w:r>
              <w:t>AC</w:t>
            </w:r>
            <w:r w:rsidR="00907E4F">
              <w:t>V</w:t>
            </w:r>
            <w:r>
              <w:t>M</w:t>
            </w:r>
          </w:p>
        </w:tc>
        <w:tc>
          <w:tcPr>
            <w:tcW w:w="6608" w:type="dxa"/>
            <w:gridSpan w:val="2"/>
            <w:tcBorders>
              <w:top w:val="nil"/>
              <w:left w:val="nil"/>
              <w:bottom w:val="nil"/>
              <w:right w:val="nil"/>
            </w:tcBorders>
            <w:shd w:val="clear" w:color="auto" w:fill="auto"/>
          </w:tcPr>
          <w:p w:rsidR="00E04677" w:rsidRDefault="00907E4F" w:rsidP="00E04677">
            <w:pPr>
              <w:pStyle w:val="Tabletext"/>
            </w:pPr>
            <w:r>
              <w:rPr>
                <w:i/>
              </w:rPr>
              <w:t>Agricultural Compounds and Veterinary Medicines</w:t>
            </w:r>
            <w:r w:rsidR="00E04677">
              <w:t xml:space="preserve"> </w:t>
            </w:r>
            <w:r w:rsidR="00A734E2">
              <w:t>(New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Bolar exemption</w:t>
            </w:r>
          </w:p>
        </w:tc>
        <w:tc>
          <w:tcPr>
            <w:tcW w:w="6608" w:type="dxa"/>
            <w:gridSpan w:val="2"/>
            <w:tcBorders>
              <w:top w:val="nil"/>
              <w:left w:val="nil"/>
              <w:bottom w:val="nil"/>
              <w:right w:val="nil"/>
            </w:tcBorders>
            <w:shd w:val="clear" w:color="auto" w:fill="auto"/>
          </w:tcPr>
          <w:p w:rsidR="00FB12F3" w:rsidRDefault="00FB12F3" w:rsidP="00FB12F3">
            <w:pPr>
              <w:pStyle w:val="Tabletext"/>
            </w:pPr>
            <w:r>
              <w:t xml:space="preserve">An exemption established after </w:t>
            </w:r>
            <w:r w:rsidRPr="00953B86">
              <w:rPr>
                <w:i/>
              </w:rPr>
              <w:t>Roche Products v. Bolar Pharmaceuticals</w:t>
            </w:r>
            <w:r w:rsidRPr="00401D90">
              <w:t xml:space="preserve"> </w:t>
            </w:r>
            <w:r w:rsidR="00F06F83">
              <w:t>(US)</w:t>
            </w:r>
            <w:r>
              <w:t xml:space="preserve"> which provides that it is not an act of infringement to make and test a patented drug solely for the purpose of developing and submitting information for regulatory approval.</w:t>
            </w:r>
            <w:r w:rsidR="00287D3B">
              <w:t xml:space="preserve"> See also Springboarding</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BVL</w:t>
            </w:r>
          </w:p>
        </w:tc>
        <w:tc>
          <w:tcPr>
            <w:tcW w:w="6608" w:type="dxa"/>
            <w:gridSpan w:val="2"/>
            <w:tcBorders>
              <w:top w:val="nil"/>
              <w:left w:val="nil"/>
              <w:bottom w:val="nil"/>
              <w:right w:val="nil"/>
            </w:tcBorders>
            <w:shd w:val="clear" w:color="auto" w:fill="auto"/>
          </w:tcPr>
          <w:p w:rsidR="00E04677" w:rsidRDefault="00E04677" w:rsidP="00D71D52">
            <w:pPr>
              <w:pStyle w:val="Tabletext"/>
            </w:pPr>
            <w:r>
              <w:t xml:space="preserve">Federal Office of </w:t>
            </w:r>
            <w:r w:rsidR="00D71D52">
              <w:t>C</w:t>
            </w:r>
            <w:r>
              <w:t>onsumer Protection and Food Safety (Germany)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CCI</w:t>
            </w:r>
          </w:p>
        </w:tc>
        <w:tc>
          <w:tcPr>
            <w:tcW w:w="6608" w:type="dxa"/>
            <w:gridSpan w:val="2"/>
            <w:tcBorders>
              <w:top w:val="nil"/>
              <w:left w:val="nil"/>
              <w:bottom w:val="nil"/>
              <w:right w:val="nil"/>
            </w:tcBorders>
            <w:shd w:val="clear" w:color="auto" w:fill="auto"/>
          </w:tcPr>
          <w:p w:rsidR="00FB12F3" w:rsidRDefault="00FB12F3" w:rsidP="00FB12F3">
            <w:pPr>
              <w:pStyle w:val="Tabletext"/>
            </w:pPr>
            <w:r>
              <w:t>C</w:t>
            </w:r>
            <w:r w:rsidRPr="00FB078B">
              <w:t>onfidential commercial information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CETA</w:t>
            </w:r>
          </w:p>
        </w:tc>
        <w:tc>
          <w:tcPr>
            <w:tcW w:w="6608" w:type="dxa"/>
            <w:gridSpan w:val="2"/>
            <w:tcBorders>
              <w:top w:val="nil"/>
              <w:left w:val="nil"/>
              <w:bottom w:val="nil"/>
              <w:right w:val="nil"/>
            </w:tcBorders>
            <w:shd w:val="clear" w:color="auto" w:fill="auto"/>
          </w:tcPr>
          <w:p w:rsidR="00FB12F3" w:rsidRDefault="00FB12F3" w:rsidP="00FB12F3">
            <w:pPr>
              <w:pStyle w:val="Tabletext"/>
            </w:pPr>
            <w:r w:rsidRPr="00FB078B">
              <w:t>Canada-European Union Comprehensive Economic and Trade Agreement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CRD</w:t>
            </w:r>
          </w:p>
        </w:tc>
        <w:tc>
          <w:tcPr>
            <w:tcW w:w="6608" w:type="dxa"/>
            <w:gridSpan w:val="2"/>
            <w:tcBorders>
              <w:top w:val="nil"/>
              <w:left w:val="nil"/>
              <w:bottom w:val="nil"/>
              <w:right w:val="nil"/>
            </w:tcBorders>
            <w:shd w:val="clear" w:color="auto" w:fill="auto"/>
          </w:tcPr>
          <w:p w:rsidR="00E04677" w:rsidRPr="00FB078B" w:rsidRDefault="00E04677" w:rsidP="00E04677">
            <w:pPr>
              <w:pStyle w:val="Tabletext"/>
            </w:pPr>
            <w:r>
              <w:t xml:space="preserve">Chemicals Regulation Division of </w:t>
            </w:r>
            <w:r w:rsidR="00D71D52">
              <w:t xml:space="preserve">the </w:t>
            </w:r>
            <w:r>
              <w:t>H</w:t>
            </w:r>
            <w:r w:rsidR="00D71D52">
              <w:t xml:space="preserve">ealth and </w:t>
            </w:r>
            <w:r>
              <w:t>S</w:t>
            </w:r>
            <w:r w:rsidR="00D71D52">
              <w:t xml:space="preserve">afety </w:t>
            </w:r>
            <w:r>
              <w:t>E</w:t>
            </w:r>
            <w:r w:rsidR="00D71D52">
              <w:t>xecutive</w:t>
            </w:r>
            <w:r>
              <w:t xml:space="preserve"> (UK)</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6674E0" w:rsidRDefault="006674E0" w:rsidP="00FB12F3">
            <w:pPr>
              <w:pStyle w:val="Tabletext"/>
            </w:pPr>
            <w:r>
              <w:t>CVM</w:t>
            </w:r>
          </w:p>
        </w:tc>
        <w:tc>
          <w:tcPr>
            <w:tcW w:w="6608" w:type="dxa"/>
            <w:gridSpan w:val="2"/>
            <w:tcBorders>
              <w:top w:val="nil"/>
              <w:left w:val="nil"/>
              <w:bottom w:val="nil"/>
              <w:right w:val="nil"/>
            </w:tcBorders>
            <w:shd w:val="clear" w:color="auto" w:fill="auto"/>
          </w:tcPr>
          <w:p w:rsidR="006674E0" w:rsidRDefault="006674E0" w:rsidP="00E04677">
            <w:pPr>
              <w:pStyle w:val="Tabletext"/>
            </w:pPr>
            <w:r>
              <w:t>Centre for Veterinary Medicine (USA)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DAR</w:t>
            </w:r>
          </w:p>
        </w:tc>
        <w:tc>
          <w:tcPr>
            <w:tcW w:w="6608" w:type="dxa"/>
            <w:gridSpan w:val="2"/>
            <w:tcBorders>
              <w:top w:val="nil"/>
              <w:left w:val="nil"/>
              <w:bottom w:val="nil"/>
              <w:right w:val="nil"/>
            </w:tcBorders>
            <w:shd w:val="clear" w:color="auto" w:fill="auto"/>
          </w:tcPr>
          <w:p w:rsidR="0091307E" w:rsidRDefault="0091307E" w:rsidP="00E04677">
            <w:pPr>
              <w:pStyle w:val="Tabletext"/>
            </w:pPr>
            <w:r>
              <w:t>Data Assessment Report (EU)</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F0BAB" w:rsidRDefault="00FF0BAB" w:rsidP="00FF0BAB">
            <w:pPr>
              <w:pStyle w:val="Tabletext"/>
            </w:pPr>
            <w:r>
              <w:t>DAWR</w:t>
            </w:r>
          </w:p>
        </w:tc>
        <w:tc>
          <w:tcPr>
            <w:tcW w:w="6608" w:type="dxa"/>
            <w:gridSpan w:val="2"/>
            <w:tcBorders>
              <w:top w:val="nil"/>
              <w:left w:val="nil"/>
              <w:bottom w:val="nil"/>
              <w:right w:val="nil"/>
            </w:tcBorders>
            <w:shd w:val="clear" w:color="auto" w:fill="auto"/>
          </w:tcPr>
          <w:p w:rsidR="00FF0BAB" w:rsidRDefault="00FF0BAB" w:rsidP="00FF0BAB">
            <w:pPr>
              <w:pStyle w:val="Tabletext"/>
            </w:pPr>
            <w:r>
              <w:t>Department of Agriculture and Water Resources</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DCI</w:t>
            </w:r>
          </w:p>
        </w:tc>
        <w:tc>
          <w:tcPr>
            <w:tcW w:w="6608" w:type="dxa"/>
            <w:gridSpan w:val="2"/>
            <w:tcBorders>
              <w:top w:val="nil"/>
              <w:left w:val="nil"/>
              <w:bottom w:val="nil"/>
              <w:right w:val="nil"/>
            </w:tcBorders>
            <w:shd w:val="clear" w:color="auto" w:fill="auto"/>
          </w:tcPr>
          <w:p w:rsidR="00FB12F3" w:rsidRDefault="00FB12F3" w:rsidP="00FB12F3">
            <w:pPr>
              <w:pStyle w:val="Tabletext"/>
            </w:pPr>
            <w:r>
              <w:t>Data call-in (USEPA)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E64A3" w:rsidRDefault="003E64A3" w:rsidP="00FB12F3">
            <w:pPr>
              <w:pStyle w:val="Tabletext"/>
            </w:pPr>
            <w:r>
              <w:t>DFAT</w:t>
            </w:r>
          </w:p>
        </w:tc>
        <w:tc>
          <w:tcPr>
            <w:tcW w:w="6608" w:type="dxa"/>
            <w:gridSpan w:val="2"/>
            <w:tcBorders>
              <w:top w:val="nil"/>
              <w:left w:val="nil"/>
              <w:bottom w:val="nil"/>
              <w:right w:val="nil"/>
            </w:tcBorders>
            <w:shd w:val="clear" w:color="auto" w:fill="auto"/>
          </w:tcPr>
          <w:p w:rsidR="003E64A3" w:rsidRDefault="003E64A3" w:rsidP="00FB12F3">
            <w:pPr>
              <w:pStyle w:val="Tabletext"/>
            </w:pPr>
            <w:r>
              <w:t>Department of Foreign Affairs and Trade</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12E4D" w:rsidRDefault="00312E4D" w:rsidP="00D71D52">
            <w:pPr>
              <w:pStyle w:val="Tabletext"/>
            </w:pPr>
            <w:r>
              <w:t>D</w:t>
            </w:r>
            <w:r w:rsidR="006C7546">
              <w:t>o</w:t>
            </w:r>
            <w:r w:rsidR="00D71D52">
              <w:t>E</w:t>
            </w:r>
            <w:r>
              <w:t>E</w:t>
            </w:r>
          </w:p>
        </w:tc>
        <w:tc>
          <w:tcPr>
            <w:tcW w:w="6608" w:type="dxa"/>
            <w:gridSpan w:val="2"/>
            <w:tcBorders>
              <w:top w:val="nil"/>
              <w:left w:val="nil"/>
              <w:bottom w:val="nil"/>
              <w:right w:val="nil"/>
            </w:tcBorders>
            <w:shd w:val="clear" w:color="auto" w:fill="auto"/>
          </w:tcPr>
          <w:p w:rsidR="00312E4D" w:rsidRDefault="00312E4D" w:rsidP="003E64A3">
            <w:pPr>
              <w:pStyle w:val="Tabletext"/>
            </w:pPr>
            <w:r>
              <w:t xml:space="preserve">Department of Environment </w:t>
            </w:r>
            <w:r w:rsidR="003E64A3">
              <w:t>and</w:t>
            </w:r>
            <w:r>
              <w:t xml:space="preserve"> Energy (Australia)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EC</w:t>
            </w:r>
          </w:p>
        </w:tc>
        <w:tc>
          <w:tcPr>
            <w:tcW w:w="6608" w:type="dxa"/>
            <w:gridSpan w:val="2"/>
            <w:tcBorders>
              <w:top w:val="nil"/>
              <w:left w:val="nil"/>
              <w:bottom w:val="nil"/>
              <w:right w:val="nil"/>
            </w:tcBorders>
            <w:shd w:val="clear" w:color="auto" w:fill="auto"/>
          </w:tcPr>
          <w:p w:rsidR="0091307E" w:rsidRDefault="0091307E" w:rsidP="003E64A3">
            <w:pPr>
              <w:pStyle w:val="Tabletext"/>
            </w:pPr>
            <w:r>
              <w:t>European Commission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EEA</w:t>
            </w:r>
          </w:p>
        </w:tc>
        <w:tc>
          <w:tcPr>
            <w:tcW w:w="6608" w:type="dxa"/>
            <w:gridSpan w:val="2"/>
            <w:tcBorders>
              <w:top w:val="nil"/>
              <w:left w:val="nil"/>
              <w:bottom w:val="nil"/>
              <w:right w:val="nil"/>
            </w:tcBorders>
            <w:shd w:val="clear" w:color="auto" w:fill="auto"/>
          </w:tcPr>
          <w:p w:rsidR="00FB12F3" w:rsidRDefault="00FB12F3" w:rsidP="00FB12F3">
            <w:pPr>
              <w:pStyle w:val="Tabletext"/>
            </w:pPr>
            <w:r>
              <w:t>European Economic Area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EFSA</w:t>
            </w:r>
          </w:p>
        </w:tc>
        <w:tc>
          <w:tcPr>
            <w:tcW w:w="6608" w:type="dxa"/>
            <w:gridSpan w:val="2"/>
            <w:tcBorders>
              <w:top w:val="nil"/>
              <w:left w:val="nil"/>
              <w:bottom w:val="nil"/>
              <w:right w:val="nil"/>
            </w:tcBorders>
            <w:shd w:val="clear" w:color="auto" w:fill="auto"/>
          </w:tcPr>
          <w:p w:rsidR="00FB12F3" w:rsidRDefault="00FB12F3" w:rsidP="00FB12F3">
            <w:pPr>
              <w:pStyle w:val="Tabletext"/>
            </w:pPr>
            <w:r>
              <w:t>European Food Safety Authority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EU</w:t>
            </w:r>
          </w:p>
        </w:tc>
        <w:tc>
          <w:tcPr>
            <w:tcW w:w="6608" w:type="dxa"/>
            <w:gridSpan w:val="2"/>
            <w:tcBorders>
              <w:top w:val="nil"/>
              <w:left w:val="nil"/>
              <w:bottom w:val="nil"/>
              <w:right w:val="nil"/>
            </w:tcBorders>
            <w:shd w:val="clear" w:color="auto" w:fill="auto"/>
          </w:tcPr>
          <w:p w:rsidR="0091307E" w:rsidRDefault="0091307E" w:rsidP="00FB12F3">
            <w:pPr>
              <w:pStyle w:val="Tabletext"/>
            </w:pPr>
            <w:r>
              <w:t>European Union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Evergreening</w:t>
            </w:r>
          </w:p>
        </w:tc>
        <w:tc>
          <w:tcPr>
            <w:tcW w:w="6608" w:type="dxa"/>
            <w:gridSpan w:val="2"/>
            <w:tcBorders>
              <w:top w:val="nil"/>
              <w:left w:val="nil"/>
              <w:bottom w:val="nil"/>
              <w:right w:val="nil"/>
            </w:tcBorders>
            <w:shd w:val="clear" w:color="auto" w:fill="auto"/>
          </w:tcPr>
          <w:p w:rsidR="00FB12F3" w:rsidRDefault="00312E4D" w:rsidP="00312E4D">
            <w:pPr>
              <w:pStyle w:val="Tabletext"/>
            </w:pPr>
            <w:r>
              <w:t>L</w:t>
            </w:r>
            <w:r w:rsidR="00FB12F3" w:rsidRPr="002046C0">
              <w:t xml:space="preserve">egal, business and technological strategies </w:t>
            </w:r>
            <w:r w:rsidR="00FB12F3">
              <w:t xml:space="preserve">used to </w:t>
            </w:r>
            <w:r w:rsidR="00FB12F3" w:rsidRPr="002046C0">
              <w:t xml:space="preserve">extend </w:t>
            </w:r>
            <w:r w:rsidR="00FB12F3">
              <w:t>patent life</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FFDCA</w:t>
            </w:r>
          </w:p>
        </w:tc>
        <w:tc>
          <w:tcPr>
            <w:tcW w:w="6608" w:type="dxa"/>
            <w:gridSpan w:val="2"/>
            <w:tcBorders>
              <w:top w:val="nil"/>
              <w:left w:val="nil"/>
              <w:bottom w:val="nil"/>
              <w:right w:val="nil"/>
            </w:tcBorders>
            <w:shd w:val="clear" w:color="auto" w:fill="auto"/>
          </w:tcPr>
          <w:p w:rsidR="00E04677" w:rsidRDefault="00E04677" w:rsidP="003A7530">
            <w:pPr>
              <w:pStyle w:val="Tabletext"/>
            </w:pPr>
            <w:r w:rsidRPr="009C535C">
              <w:rPr>
                <w:i/>
              </w:rPr>
              <w:t>Federal Food, Drug and Cosmetic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FIFRA</w:t>
            </w:r>
          </w:p>
        </w:tc>
        <w:tc>
          <w:tcPr>
            <w:tcW w:w="6608" w:type="dxa"/>
            <w:gridSpan w:val="2"/>
            <w:tcBorders>
              <w:top w:val="nil"/>
              <w:left w:val="nil"/>
              <w:bottom w:val="nil"/>
              <w:right w:val="nil"/>
            </w:tcBorders>
            <w:shd w:val="clear" w:color="auto" w:fill="auto"/>
          </w:tcPr>
          <w:p w:rsidR="00E04677" w:rsidRDefault="00E04677" w:rsidP="003A7530">
            <w:pPr>
              <w:pStyle w:val="Tabletext"/>
            </w:pPr>
            <w:r w:rsidRPr="009C535C">
              <w:rPr>
                <w:i/>
              </w:rPr>
              <w:t>Federal Insecticide, Fungicide and Rodenticide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FQPA</w:t>
            </w:r>
          </w:p>
        </w:tc>
        <w:tc>
          <w:tcPr>
            <w:tcW w:w="6608" w:type="dxa"/>
            <w:gridSpan w:val="2"/>
            <w:tcBorders>
              <w:top w:val="nil"/>
              <w:left w:val="nil"/>
              <w:bottom w:val="nil"/>
              <w:right w:val="nil"/>
            </w:tcBorders>
            <w:shd w:val="clear" w:color="auto" w:fill="auto"/>
          </w:tcPr>
          <w:p w:rsidR="00E04677" w:rsidRDefault="00E04677" w:rsidP="003A7530">
            <w:pPr>
              <w:pStyle w:val="Tabletext"/>
            </w:pPr>
            <w:r w:rsidRPr="009C535C">
              <w:rPr>
                <w:i/>
              </w:rPr>
              <w:t>Food Quality Protections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12E4D" w:rsidRDefault="00312E4D" w:rsidP="00FB12F3">
            <w:pPr>
              <w:pStyle w:val="Tabletext"/>
            </w:pPr>
            <w:r>
              <w:t>FSANZ</w:t>
            </w:r>
          </w:p>
        </w:tc>
        <w:tc>
          <w:tcPr>
            <w:tcW w:w="6608" w:type="dxa"/>
            <w:gridSpan w:val="2"/>
            <w:tcBorders>
              <w:top w:val="nil"/>
              <w:left w:val="nil"/>
              <w:bottom w:val="nil"/>
              <w:right w:val="nil"/>
            </w:tcBorders>
            <w:shd w:val="clear" w:color="auto" w:fill="auto"/>
          </w:tcPr>
          <w:p w:rsidR="00312E4D" w:rsidRDefault="00312E4D" w:rsidP="00312E4D">
            <w:pPr>
              <w:pStyle w:val="Tabletext"/>
            </w:pPr>
            <w:r>
              <w:t>Food Standards Australia and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317831">
            <w:pPr>
              <w:pStyle w:val="Tabletext"/>
            </w:pPr>
            <w:r>
              <w:t>F</w:t>
            </w:r>
            <w:r w:rsidR="00317831">
              <w:t>Y</w:t>
            </w:r>
          </w:p>
        </w:tc>
        <w:tc>
          <w:tcPr>
            <w:tcW w:w="6608" w:type="dxa"/>
            <w:gridSpan w:val="2"/>
            <w:tcBorders>
              <w:top w:val="nil"/>
              <w:left w:val="nil"/>
              <w:bottom w:val="nil"/>
              <w:right w:val="nil"/>
            </w:tcBorders>
            <w:shd w:val="clear" w:color="auto" w:fill="auto"/>
          </w:tcPr>
          <w:p w:rsidR="00FB12F3" w:rsidRDefault="00FB12F3" w:rsidP="00317831">
            <w:pPr>
              <w:pStyle w:val="Tabletext"/>
            </w:pPr>
            <w:r>
              <w:t>F</w:t>
            </w:r>
            <w:r w:rsidR="00317831">
              <w:t>iscal year</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6238D" w:rsidRDefault="00D6238D" w:rsidP="00FB12F3">
            <w:pPr>
              <w:pStyle w:val="Tabletext"/>
            </w:pPr>
            <w:r>
              <w:t>Generic</w:t>
            </w:r>
          </w:p>
        </w:tc>
        <w:tc>
          <w:tcPr>
            <w:tcW w:w="6608" w:type="dxa"/>
            <w:gridSpan w:val="2"/>
            <w:tcBorders>
              <w:top w:val="nil"/>
              <w:left w:val="nil"/>
              <w:bottom w:val="nil"/>
              <w:right w:val="nil"/>
            </w:tcBorders>
            <w:shd w:val="clear" w:color="auto" w:fill="auto"/>
          </w:tcPr>
          <w:p w:rsidR="00D6238D" w:rsidRDefault="00D6238D" w:rsidP="002165C5">
            <w:pPr>
              <w:pStyle w:val="Tabletext"/>
            </w:pPr>
            <w:r w:rsidRPr="00D6238D">
              <w:t xml:space="preserve">Generic </w:t>
            </w:r>
            <w:r>
              <w:t>chemicals and medicines</w:t>
            </w:r>
            <w:r w:rsidRPr="00D6238D">
              <w:t xml:space="preserve"> are copies of </w:t>
            </w:r>
            <w:r>
              <w:t xml:space="preserve">original products </w:t>
            </w:r>
            <w:r w:rsidRPr="00D6238D">
              <w:t xml:space="preserve">that </w:t>
            </w:r>
            <w:r w:rsidR="002165C5">
              <w:t>generally have</w:t>
            </w:r>
            <w:r w:rsidRPr="00D6238D">
              <w:t xml:space="preserve"> the same dosage, intended use, effects, side effects, route of administration, risks, safety, and strength as the original </w:t>
            </w:r>
            <w:r>
              <w:t>product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33CF9" w:rsidRDefault="00D33CF9" w:rsidP="00FB12F3">
            <w:pPr>
              <w:pStyle w:val="Tabletext"/>
            </w:pPr>
            <w:r>
              <w:t>GJR</w:t>
            </w:r>
          </w:p>
        </w:tc>
        <w:tc>
          <w:tcPr>
            <w:tcW w:w="6608" w:type="dxa"/>
            <w:gridSpan w:val="2"/>
            <w:tcBorders>
              <w:top w:val="nil"/>
              <w:left w:val="nil"/>
              <w:bottom w:val="nil"/>
              <w:right w:val="nil"/>
            </w:tcBorders>
            <w:shd w:val="clear" w:color="auto" w:fill="auto"/>
          </w:tcPr>
          <w:p w:rsidR="00D33CF9" w:rsidRDefault="00D33CF9" w:rsidP="00FB12F3">
            <w:pPr>
              <w:pStyle w:val="Tabletext"/>
            </w:pPr>
            <w:r>
              <w:t>Global Joint Review</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HSE</w:t>
            </w:r>
          </w:p>
          <w:p w:rsidR="00E04677" w:rsidRDefault="00597285" w:rsidP="00FB12F3">
            <w:pPr>
              <w:pStyle w:val="Tabletext"/>
            </w:pPr>
            <w:r>
              <w:t>Infringement exemption</w:t>
            </w:r>
          </w:p>
        </w:tc>
        <w:tc>
          <w:tcPr>
            <w:tcW w:w="6608" w:type="dxa"/>
            <w:gridSpan w:val="2"/>
            <w:tcBorders>
              <w:top w:val="nil"/>
              <w:left w:val="nil"/>
              <w:bottom w:val="nil"/>
              <w:right w:val="nil"/>
            </w:tcBorders>
            <w:shd w:val="clear" w:color="auto" w:fill="auto"/>
          </w:tcPr>
          <w:p w:rsidR="00E04677" w:rsidRDefault="00E04677" w:rsidP="00FB12F3">
            <w:pPr>
              <w:pStyle w:val="Tabletext"/>
            </w:pPr>
            <w:r>
              <w:t>Health and Safety Executive (UK)</w:t>
            </w:r>
          </w:p>
          <w:p w:rsidR="00E04677" w:rsidRDefault="00597285" w:rsidP="00FB12F3">
            <w:pPr>
              <w:pStyle w:val="Tabletext"/>
            </w:pPr>
            <w:r w:rsidRPr="00401D90">
              <w:t>Patent law provisions that allow activities (e.g. research) which would otherwise be considered to be infringements (see Section 3.3.1)</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IP</w:t>
            </w:r>
          </w:p>
        </w:tc>
        <w:tc>
          <w:tcPr>
            <w:tcW w:w="6608" w:type="dxa"/>
            <w:gridSpan w:val="2"/>
            <w:tcBorders>
              <w:top w:val="nil"/>
              <w:left w:val="nil"/>
              <w:bottom w:val="nil"/>
              <w:right w:val="nil"/>
            </w:tcBorders>
            <w:shd w:val="clear" w:color="auto" w:fill="auto"/>
          </w:tcPr>
          <w:p w:rsidR="00FB12F3" w:rsidRDefault="00FB12F3" w:rsidP="00FB12F3">
            <w:pPr>
              <w:pStyle w:val="Tabletext"/>
            </w:pPr>
            <w:r>
              <w:t>Intellectual Property</w:t>
            </w:r>
          </w:p>
        </w:tc>
      </w:tr>
      <w:tr w:rsidR="00E86A68" w:rsidRPr="009A5854"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IPONZ</w:t>
            </w:r>
          </w:p>
        </w:tc>
        <w:tc>
          <w:tcPr>
            <w:tcW w:w="6608" w:type="dxa"/>
            <w:gridSpan w:val="2"/>
            <w:tcBorders>
              <w:top w:val="nil"/>
              <w:left w:val="nil"/>
              <w:bottom w:val="nil"/>
              <w:right w:val="nil"/>
            </w:tcBorders>
            <w:shd w:val="clear" w:color="auto" w:fill="auto"/>
          </w:tcPr>
          <w:p w:rsidR="00FB12F3" w:rsidRDefault="00FB12F3" w:rsidP="00FB12F3">
            <w:pPr>
              <w:pStyle w:val="Tabletext"/>
            </w:pPr>
            <w:r>
              <w:t>Intellectual Property Office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MS</w:t>
            </w:r>
          </w:p>
        </w:tc>
        <w:tc>
          <w:tcPr>
            <w:tcW w:w="6608" w:type="dxa"/>
            <w:gridSpan w:val="2"/>
            <w:tcBorders>
              <w:top w:val="nil"/>
              <w:left w:val="nil"/>
              <w:bottom w:val="nil"/>
              <w:right w:val="nil"/>
            </w:tcBorders>
            <w:shd w:val="clear" w:color="auto" w:fill="auto"/>
          </w:tcPr>
          <w:p w:rsidR="00FB12F3" w:rsidRDefault="00FB12F3" w:rsidP="00FB12F3">
            <w:pPr>
              <w:pStyle w:val="Tabletext"/>
            </w:pPr>
            <w:r>
              <w:t>Member States</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C0739B" w:rsidRDefault="00C0739B" w:rsidP="00FB12F3">
            <w:pPr>
              <w:pStyle w:val="Tabletext"/>
            </w:pPr>
            <w:r>
              <w:t>MPI</w:t>
            </w:r>
          </w:p>
        </w:tc>
        <w:tc>
          <w:tcPr>
            <w:tcW w:w="6608" w:type="dxa"/>
            <w:gridSpan w:val="2"/>
            <w:tcBorders>
              <w:top w:val="nil"/>
              <w:left w:val="nil"/>
              <w:bottom w:val="nil"/>
              <w:right w:val="nil"/>
            </w:tcBorders>
            <w:shd w:val="clear" w:color="auto" w:fill="auto"/>
          </w:tcPr>
          <w:p w:rsidR="00C0739B" w:rsidRDefault="00C0739B" w:rsidP="00FB12F3">
            <w:pPr>
              <w:pStyle w:val="Tabletext"/>
            </w:pPr>
            <w:r>
              <w:t>Ministry for Primary Industries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6238D" w:rsidRDefault="00D6238D" w:rsidP="00FB12F3">
            <w:pPr>
              <w:pStyle w:val="Tabletext"/>
            </w:pPr>
            <w:r>
              <w:t>MUMS</w:t>
            </w:r>
          </w:p>
        </w:tc>
        <w:tc>
          <w:tcPr>
            <w:tcW w:w="6608" w:type="dxa"/>
            <w:gridSpan w:val="2"/>
            <w:tcBorders>
              <w:top w:val="nil"/>
              <w:left w:val="nil"/>
              <w:bottom w:val="nil"/>
              <w:right w:val="nil"/>
            </w:tcBorders>
            <w:shd w:val="clear" w:color="auto" w:fill="auto"/>
          </w:tcPr>
          <w:p w:rsidR="00D6238D" w:rsidRDefault="00D6238D" w:rsidP="003A7530">
            <w:pPr>
              <w:pStyle w:val="Tabletext"/>
            </w:pPr>
            <w:r w:rsidRPr="00D6238D">
              <w:t>Minor Use</w:t>
            </w:r>
            <w:r w:rsidR="008079E4">
              <w:t xml:space="preserve"> </w:t>
            </w:r>
            <w:r w:rsidRPr="00D6238D">
              <w:t>/</w:t>
            </w:r>
            <w:r w:rsidR="008079E4">
              <w:t xml:space="preserve"> </w:t>
            </w:r>
            <w:r w:rsidRPr="00D6238D">
              <w:t>Minor Species</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NAFTA</w:t>
            </w:r>
          </w:p>
        </w:tc>
        <w:tc>
          <w:tcPr>
            <w:tcW w:w="6608" w:type="dxa"/>
            <w:gridSpan w:val="2"/>
            <w:tcBorders>
              <w:top w:val="nil"/>
              <w:left w:val="nil"/>
              <w:bottom w:val="nil"/>
              <w:right w:val="nil"/>
            </w:tcBorders>
            <w:shd w:val="clear" w:color="auto" w:fill="auto"/>
          </w:tcPr>
          <w:p w:rsidR="00FB12F3" w:rsidRDefault="00FB12F3" w:rsidP="00FB12F3">
            <w:pPr>
              <w:pStyle w:val="Tabletext"/>
            </w:pPr>
            <w:r>
              <w:t>North American Free Trade Agreement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12E4D" w:rsidRDefault="00312E4D" w:rsidP="00FB12F3">
            <w:pPr>
              <w:pStyle w:val="Tabletext"/>
            </w:pPr>
            <w:r>
              <w:t>NHMRC</w:t>
            </w:r>
          </w:p>
        </w:tc>
        <w:tc>
          <w:tcPr>
            <w:tcW w:w="6608" w:type="dxa"/>
            <w:gridSpan w:val="2"/>
            <w:tcBorders>
              <w:top w:val="nil"/>
              <w:left w:val="nil"/>
              <w:bottom w:val="nil"/>
              <w:right w:val="nil"/>
            </w:tcBorders>
            <w:shd w:val="clear" w:color="auto" w:fill="auto"/>
          </w:tcPr>
          <w:p w:rsidR="00312E4D" w:rsidRDefault="00312E4D" w:rsidP="00FB12F3">
            <w:pPr>
              <w:pStyle w:val="Tabletext"/>
            </w:pPr>
            <w:r>
              <w:t>National Health and Medical Research Council</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3231A" w:rsidRDefault="00E3231A" w:rsidP="00FB12F3">
            <w:pPr>
              <w:pStyle w:val="Tabletext"/>
            </w:pPr>
            <w:r>
              <w:t>NRS</w:t>
            </w:r>
          </w:p>
        </w:tc>
        <w:tc>
          <w:tcPr>
            <w:tcW w:w="6608" w:type="dxa"/>
            <w:gridSpan w:val="2"/>
            <w:tcBorders>
              <w:top w:val="nil"/>
              <w:left w:val="nil"/>
              <w:bottom w:val="nil"/>
              <w:right w:val="nil"/>
            </w:tcBorders>
            <w:shd w:val="clear" w:color="auto" w:fill="auto"/>
          </w:tcPr>
          <w:p w:rsidR="00E3231A" w:rsidRDefault="00E3231A" w:rsidP="00907E4F">
            <w:pPr>
              <w:pStyle w:val="Tabletext"/>
            </w:pPr>
            <w:r>
              <w:t xml:space="preserve">National Registration </w:t>
            </w:r>
            <w:r w:rsidR="00907E4F">
              <w:t xml:space="preserve">Scheme </w:t>
            </w:r>
            <w:r w:rsidR="00D71D52">
              <w:t xml:space="preserve">for Agriculture and Veterinary Chemicals </w:t>
            </w:r>
            <w:r>
              <w:t>(Australia)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 xml:space="preserve">NZEPA </w:t>
            </w:r>
          </w:p>
        </w:tc>
        <w:tc>
          <w:tcPr>
            <w:tcW w:w="6608" w:type="dxa"/>
            <w:gridSpan w:val="2"/>
            <w:tcBorders>
              <w:top w:val="nil"/>
              <w:left w:val="nil"/>
              <w:bottom w:val="nil"/>
              <w:right w:val="nil"/>
            </w:tcBorders>
            <w:shd w:val="clear" w:color="auto" w:fill="auto"/>
          </w:tcPr>
          <w:p w:rsidR="00E04677" w:rsidRDefault="00E04677" w:rsidP="00907E4F">
            <w:pPr>
              <w:pStyle w:val="Tabletext"/>
            </w:pPr>
            <w:r>
              <w:t xml:space="preserve">New Zealand Environment Protection </w:t>
            </w:r>
            <w:r w:rsidR="00907E4F">
              <w:t>Authority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CB6C21" w:rsidRDefault="00CB6C21" w:rsidP="00FB12F3">
            <w:pPr>
              <w:pStyle w:val="Tabletext"/>
            </w:pPr>
            <w:r>
              <w:t>OCS</w:t>
            </w:r>
          </w:p>
        </w:tc>
        <w:tc>
          <w:tcPr>
            <w:tcW w:w="6608" w:type="dxa"/>
            <w:gridSpan w:val="2"/>
            <w:tcBorders>
              <w:top w:val="nil"/>
              <w:left w:val="nil"/>
              <w:bottom w:val="nil"/>
              <w:right w:val="nil"/>
            </w:tcBorders>
            <w:shd w:val="clear" w:color="auto" w:fill="auto"/>
          </w:tcPr>
          <w:p w:rsidR="00CB6C21" w:rsidRDefault="00CB6C21" w:rsidP="00FB12F3">
            <w:pPr>
              <w:pStyle w:val="Tabletext"/>
            </w:pPr>
            <w:r>
              <w:t>Office of Chemical Safety (Department of Health, Australia)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OECD</w:t>
            </w:r>
          </w:p>
        </w:tc>
        <w:tc>
          <w:tcPr>
            <w:tcW w:w="6608" w:type="dxa"/>
            <w:gridSpan w:val="2"/>
            <w:tcBorders>
              <w:top w:val="nil"/>
              <w:left w:val="nil"/>
              <w:bottom w:val="nil"/>
              <w:right w:val="nil"/>
            </w:tcBorders>
            <w:shd w:val="clear" w:color="auto" w:fill="auto"/>
          </w:tcPr>
          <w:p w:rsidR="00FB12F3" w:rsidRDefault="00FB12F3" w:rsidP="00FB12F3">
            <w:pPr>
              <w:pStyle w:val="Tabletext"/>
            </w:pPr>
            <w:r>
              <w:t>Organisation for Economic Cooperation and Development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12E4D" w:rsidRDefault="00312E4D" w:rsidP="00FB12F3">
            <w:pPr>
              <w:pStyle w:val="Tabletext"/>
            </w:pPr>
            <w:r>
              <w:t>OGTR</w:t>
            </w:r>
          </w:p>
        </w:tc>
        <w:tc>
          <w:tcPr>
            <w:tcW w:w="6608" w:type="dxa"/>
            <w:gridSpan w:val="2"/>
            <w:tcBorders>
              <w:top w:val="nil"/>
              <w:left w:val="nil"/>
              <w:bottom w:val="nil"/>
              <w:right w:val="nil"/>
            </w:tcBorders>
            <w:shd w:val="clear" w:color="auto" w:fill="auto"/>
          </w:tcPr>
          <w:p w:rsidR="00312E4D" w:rsidRDefault="00312E4D" w:rsidP="00907E4F">
            <w:pPr>
              <w:pStyle w:val="Tabletext"/>
            </w:pPr>
            <w:r>
              <w:t xml:space="preserve">Office of the Gene </w:t>
            </w:r>
            <w:r w:rsidR="00907E4F">
              <w:t xml:space="preserve">Technology </w:t>
            </w:r>
            <w:r>
              <w:t>Regulator</w:t>
            </w:r>
            <w:r w:rsidR="00E04677">
              <w:t xml:space="preserve"> (Australia)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404D8A" w:rsidRDefault="00404D8A" w:rsidP="00FB12F3">
            <w:pPr>
              <w:pStyle w:val="Tabletext"/>
            </w:pPr>
            <w:r>
              <w:t>PC</w:t>
            </w:r>
          </w:p>
        </w:tc>
        <w:tc>
          <w:tcPr>
            <w:tcW w:w="6608" w:type="dxa"/>
            <w:gridSpan w:val="2"/>
            <w:tcBorders>
              <w:top w:val="nil"/>
              <w:left w:val="nil"/>
              <w:bottom w:val="nil"/>
              <w:right w:val="nil"/>
            </w:tcBorders>
            <w:shd w:val="clear" w:color="auto" w:fill="auto"/>
          </w:tcPr>
          <w:p w:rsidR="00404D8A" w:rsidRDefault="00404D8A" w:rsidP="00FB12F3">
            <w:pPr>
              <w:pStyle w:val="Tabletext"/>
            </w:pPr>
            <w:r>
              <w:t>Productivity Commission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PDS</w:t>
            </w:r>
          </w:p>
        </w:tc>
        <w:tc>
          <w:tcPr>
            <w:tcW w:w="6608" w:type="dxa"/>
            <w:gridSpan w:val="2"/>
            <w:tcBorders>
              <w:top w:val="nil"/>
              <w:left w:val="nil"/>
              <w:bottom w:val="nil"/>
              <w:right w:val="nil"/>
            </w:tcBorders>
            <w:shd w:val="clear" w:color="auto" w:fill="auto"/>
          </w:tcPr>
          <w:p w:rsidR="0091307E" w:rsidRDefault="0091307E" w:rsidP="00FB12F3">
            <w:pPr>
              <w:pStyle w:val="Tabletext"/>
            </w:pPr>
            <w:r>
              <w:t>Product data sheet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D33CF9" w:rsidRDefault="00D33CF9" w:rsidP="00FB12F3">
            <w:pPr>
              <w:pStyle w:val="Tabletext"/>
            </w:pPr>
            <w:r>
              <w:t>OH&amp;S</w:t>
            </w:r>
          </w:p>
        </w:tc>
        <w:tc>
          <w:tcPr>
            <w:tcW w:w="6608" w:type="dxa"/>
            <w:gridSpan w:val="2"/>
            <w:tcBorders>
              <w:top w:val="nil"/>
              <w:left w:val="nil"/>
              <w:bottom w:val="nil"/>
              <w:right w:val="nil"/>
            </w:tcBorders>
            <w:shd w:val="clear" w:color="auto" w:fill="auto"/>
          </w:tcPr>
          <w:p w:rsidR="00D33CF9" w:rsidRDefault="00D33CF9" w:rsidP="00FB12F3">
            <w:pPr>
              <w:pStyle w:val="Tabletext"/>
            </w:pPr>
            <w:r>
              <w:t>Occupational Health and Safety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PCPA</w:t>
            </w:r>
          </w:p>
        </w:tc>
        <w:tc>
          <w:tcPr>
            <w:tcW w:w="6608" w:type="dxa"/>
            <w:gridSpan w:val="2"/>
            <w:tcBorders>
              <w:top w:val="nil"/>
              <w:left w:val="nil"/>
              <w:bottom w:val="nil"/>
              <w:right w:val="nil"/>
            </w:tcBorders>
            <w:shd w:val="clear" w:color="auto" w:fill="auto"/>
          </w:tcPr>
          <w:p w:rsidR="00E04677" w:rsidRDefault="00E04677" w:rsidP="00FB12F3">
            <w:pPr>
              <w:pStyle w:val="Tabletext"/>
            </w:pPr>
            <w:r w:rsidRPr="009C535C">
              <w:rPr>
                <w:i/>
              </w:rPr>
              <w:t>Pest Control Products Act</w:t>
            </w:r>
            <w:r>
              <w:t xml:space="preserve"> (Canada)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PMRA</w:t>
            </w:r>
          </w:p>
        </w:tc>
        <w:tc>
          <w:tcPr>
            <w:tcW w:w="6608" w:type="dxa"/>
            <w:gridSpan w:val="2"/>
            <w:tcBorders>
              <w:top w:val="nil"/>
              <w:left w:val="nil"/>
              <w:bottom w:val="nil"/>
              <w:right w:val="nil"/>
            </w:tcBorders>
            <w:shd w:val="clear" w:color="auto" w:fill="auto"/>
          </w:tcPr>
          <w:p w:rsidR="00E04677" w:rsidRDefault="00E04677" w:rsidP="00907E4F">
            <w:pPr>
              <w:pStyle w:val="Tabletext"/>
            </w:pPr>
            <w:r>
              <w:t xml:space="preserve">Pest Management and </w:t>
            </w:r>
            <w:r w:rsidR="00907E4F">
              <w:t xml:space="preserve">Regulatory </w:t>
            </w:r>
            <w:r>
              <w:t>Agency (Canada)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386636" w:rsidRDefault="00386636" w:rsidP="00FB12F3">
            <w:pPr>
              <w:pStyle w:val="Tabletext"/>
            </w:pPr>
            <w:r>
              <w:t>PPP</w:t>
            </w:r>
          </w:p>
        </w:tc>
        <w:tc>
          <w:tcPr>
            <w:tcW w:w="6608" w:type="dxa"/>
            <w:gridSpan w:val="2"/>
            <w:tcBorders>
              <w:top w:val="nil"/>
              <w:left w:val="nil"/>
              <w:bottom w:val="nil"/>
              <w:right w:val="nil"/>
            </w:tcBorders>
            <w:shd w:val="clear" w:color="auto" w:fill="auto"/>
          </w:tcPr>
          <w:p w:rsidR="00386636" w:rsidRDefault="00386636" w:rsidP="00386636">
            <w:pPr>
              <w:pStyle w:val="Tabletext"/>
            </w:pPr>
            <w:r>
              <w:t>Plant protection products (Pesticides, EU)</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E04677" w:rsidRDefault="00E04677" w:rsidP="00FB12F3">
            <w:pPr>
              <w:pStyle w:val="Tabletext"/>
            </w:pPr>
            <w:r>
              <w:t>PRIA</w:t>
            </w:r>
          </w:p>
        </w:tc>
        <w:tc>
          <w:tcPr>
            <w:tcW w:w="6608" w:type="dxa"/>
            <w:gridSpan w:val="2"/>
            <w:tcBorders>
              <w:top w:val="nil"/>
              <w:left w:val="nil"/>
              <w:bottom w:val="nil"/>
              <w:right w:val="nil"/>
            </w:tcBorders>
            <w:shd w:val="clear" w:color="auto" w:fill="auto"/>
          </w:tcPr>
          <w:p w:rsidR="00E04677" w:rsidRDefault="00E04677" w:rsidP="003A7530">
            <w:pPr>
              <w:pStyle w:val="Tabletext"/>
            </w:pPr>
            <w:r w:rsidRPr="009C535C">
              <w:rPr>
                <w:i/>
              </w:rPr>
              <w:t>Pesticide Registration Improvement Act</w:t>
            </w:r>
            <w:r>
              <w:t xml:space="preserve"> (</w:t>
            </w:r>
            <w:r w:rsidR="002516F8">
              <w:t>USA</w:t>
            </w:r>
            <w:r>
              <w: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1030D3" w:rsidRDefault="001030D3" w:rsidP="00FB12F3">
            <w:pPr>
              <w:pStyle w:val="Tabletext"/>
            </w:pPr>
            <w:r>
              <w:t>REACH</w:t>
            </w:r>
          </w:p>
        </w:tc>
        <w:tc>
          <w:tcPr>
            <w:tcW w:w="6608" w:type="dxa"/>
            <w:gridSpan w:val="2"/>
            <w:tcBorders>
              <w:top w:val="nil"/>
              <w:left w:val="nil"/>
              <w:bottom w:val="nil"/>
              <w:right w:val="nil"/>
            </w:tcBorders>
            <w:shd w:val="clear" w:color="auto" w:fill="auto"/>
          </w:tcPr>
          <w:p w:rsidR="001030D3" w:rsidRDefault="001030D3" w:rsidP="00FB12F3">
            <w:pPr>
              <w:pStyle w:val="Tabletext"/>
            </w:pPr>
            <w:r w:rsidRPr="001030D3">
              <w:t>Registration, Evaluation, Authorisation and Restriction of Chemicals</w:t>
            </w:r>
            <w:r>
              <w:t xml:space="preserve"> (EU)</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R&amp;D</w:t>
            </w:r>
          </w:p>
        </w:tc>
        <w:tc>
          <w:tcPr>
            <w:tcW w:w="6608" w:type="dxa"/>
            <w:gridSpan w:val="2"/>
            <w:tcBorders>
              <w:top w:val="nil"/>
              <w:left w:val="nil"/>
              <w:bottom w:val="nil"/>
              <w:right w:val="nil"/>
            </w:tcBorders>
            <w:shd w:val="clear" w:color="auto" w:fill="auto"/>
          </w:tcPr>
          <w:p w:rsidR="00FB12F3" w:rsidRDefault="00FB12F3" w:rsidP="00D71D52">
            <w:pPr>
              <w:pStyle w:val="Tabletext"/>
            </w:pPr>
            <w:r>
              <w:t xml:space="preserve">Research and </w:t>
            </w:r>
            <w:r w:rsidR="00D71D52">
              <w:t>D</w:t>
            </w:r>
            <w:r>
              <w:t>evelopment</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RMS</w:t>
            </w:r>
          </w:p>
        </w:tc>
        <w:tc>
          <w:tcPr>
            <w:tcW w:w="6608" w:type="dxa"/>
            <w:gridSpan w:val="2"/>
            <w:tcBorders>
              <w:top w:val="nil"/>
              <w:left w:val="nil"/>
              <w:bottom w:val="nil"/>
              <w:right w:val="nil"/>
            </w:tcBorders>
            <w:shd w:val="clear" w:color="auto" w:fill="auto"/>
          </w:tcPr>
          <w:p w:rsidR="00FB12F3" w:rsidRDefault="009A5854" w:rsidP="009A5854">
            <w:pPr>
              <w:pStyle w:val="Tabletext"/>
            </w:pPr>
            <w:r>
              <w:t xml:space="preserve">Rapporteur </w:t>
            </w:r>
            <w:r w:rsidR="00FB12F3">
              <w:t>Member State (EU)</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2E133C" w:rsidRDefault="002E133C" w:rsidP="00FB12F3">
            <w:pPr>
              <w:pStyle w:val="Tabletext"/>
            </w:pPr>
            <w:r>
              <w:t>Safeners</w:t>
            </w:r>
          </w:p>
        </w:tc>
        <w:tc>
          <w:tcPr>
            <w:tcW w:w="6608" w:type="dxa"/>
            <w:gridSpan w:val="2"/>
            <w:tcBorders>
              <w:top w:val="nil"/>
              <w:left w:val="nil"/>
              <w:bottom w:val="nil"/>
              <w:right w:val="nil"/>
            </w:tcBorders>
            <w:shd w:val="clear" w:color="auto" w:fill="auto"/>
          </w:tcPr>
          <w:p w:rsidR="002E133C" w:rsidRDefault="002E133C" w:rsidP="009A5854">
            <w:pPr>
              <w:pStyle w:val="Tabletext"/>
            </w:pPr>
            <w:r>
              <w:rPr>
                <w:lang w:val="en-US"/>
              </w:rPr>
              <w:t>Safeners are chemicals used in combination with herbicides to reduce the effect of the herbicide on crop plants</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SPC</w:t>
            </w:r>
          </w:p>
        </w:tc>
        <w:tc>
          <w:tcPr>
            <w:tcW w:w="6608" w:type="dxa"/>
            <w:gridSpan w:val="2"/>
            <w:tcBorders>
              <w:top w:val="nil"/>
              <w:left w:val="nil"/>
              <w:bottom w:val="nil"/>
              <w:right w:val="nil"/>
            </w:tcBorders>
            <w:shd w:val="clear" w:color="auto" w:fill="auto"/>
          </w:tcPr>
          <w:p w:rsidR="00FB12F3" w:rsidRDefault="00FB12F3" w:rsidP="00FB12F3">
            <w:pPr>
              <w:pStyle w:val="Tabletext"/>
            </w:pPr>
            <w:r>
              <w:t xml:space="preserve">Supplementary Protection Certificates </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Springboarding</w:t>
            </w:r>
          </w:p>
        </w:tc>
        <w:tc>
          <w:tcPr>
            <w:tcW w:w="6608" w:type="dxa"/>
            <w:gridSpan w:val="2"/>
            <w:tcBorders>
              <w:top w:val="nil"/>
              <w:left w:val="nil"/>
              <w:bottom w:val="nil"/>
              <w:right w:val="nil"/>
            </w:tcBorders>
            <w:shd w:val="clear" w:color="auto" w:fill="auto"/>
          </w:tcPr>
          <w:p w:rsidR="00FB12F3" w:rsidRDefault="00FB12F3" w:rsidP="00FB12F3">
            <w:pPr>
              <w:pStyle w:val="Tabletext"/>
            </w:pPr>
            <w:r>
              <w:t>A</w:t>
            </w:r>
            <w:r w:rsidRPr="00862D25">
              <w:t xml:space="preserve"> process that allows a generic manufacturer to seek and obtain regulatory approval of their generic version of a patented </w:t>
            </w:r>
            <w:r w:rsidR="00114070">
              <w:t>technology</w:t>
            </w:r>
            <w:r w:rsidRPr="00862D25">
              <w:t xml:space="preserve"> whil</w:t>
            </w:r>
            <w:r>
              <w:t>e</w:t>
            </w:r>
            <w:r w:rsidRPr="00862D25">
              <w:t xml:space="preserve"> the patent is still in force</w:t>
            </w:r>
            <w:r w:rsidR="00287D3B">
              <w:t>. See also Bolar exemption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TA</w:t>
            </w:r>
          </w:p>
        </w:tc>
        <w:tc>
          <w:tcPr>
            <w:tcW w:w="6608" w:type="dxa"/>
            <w:gridSpan w:val="2"/>
            <w:tcBorders>
              <w:top w:val="nil"/>
              <w:left w:val="nil"/>
              <w:bottom w:val="nil"/>
              <w:right w:val="nil"/>
            </w:tcBorders>
            <w:shd w:val="clear" w:color="auto" w:fill="auto"/>
          </w:tcPr>
          <w:p w:rsidR="0091307E" w:rsidRDefault="0091307E" w:rsidP="00FB12F3">
            <w:pPr>
              <w:pStyle w:val="Tabletext"/>
            </w:pPr>
            <w:r>
              <w:t>Technical Appraiser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TCC</w:t>
            </w:r>
          </w:p>
        </w:tc>
        <w:tc>
          <w:tcPr>
            <w:tcW w:w="6608" w:type="dxa"/>
            <w:gridSpan w:val="2"/>
            <w:tcBorders>
              <w:top w:val="nil"/>
              <w:left w:val="nil"/>
              <w:bottom w:val="nil"/>
              <w:right w:val="nil"/>
            </w:tcBorders>
            <w:shd w:val="clear" w:color="auto" w:fill="auto"/>
          </w:tcPr>
          <w:p w:rsidR="0091307E" w:rsidRDefault="0091307E" w:rsidP="00D71D52">
            <w:pPr>
              <w:pStyle w:val="Tabletext"/>
            </w:pPr>
            <w:r>
              <w:t xml:space="preserve">Technical </w:t>
            </w:r>
            <w:r w:rsidR="00D71D52">
              <w:t>C</w:t>
            </w:r>
            <w:r>
              <w:t>onsultative Committee (New Zealand)</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404D8A" w:rsidRDefault="00404D8A" w:rsidP="00404D8A">
            <w:pPr>
              <w:pStyle w:val="Tabletext"/>
            </w:pPr>
            <w:r>
              <w:t>TGA</w:t>
            </w:r>
          </w:p>
        </w:tc>
        <w:tc>
          <w:tcPr>
            <w:tcW w:w="6608" w:type="dxa"/>
            <w:gridSpan w:val="2"/>
            <w:tcBorders>
              <w:top w:val="nil"/>
              <w:left w:val="nil"/>
              <w:bottom w:val="nil"/>
              <w:right w:val="nil"/>
            </w:tcBorders>
            <w:shd w:val="clear" w:color="auto" w:fill="auto"/>
          </w:tcPr>
          <w:p w:rsidR="00404D8A" w:rsidRDefault="00404D8A" w:rsidP="00404D8A">
            <w:pPr>
              <w:pStyle w:val="Tabletext"/>
            </w:pPr>
            <w:r>
              <w:t>Therapeutic Goods Administration</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TPP</w:t>
            </w:r>
          </w:p>
        </w:tc>
        <w:tc>
          <w:tcPr>
            <w:tcW w:w="6608" w:type="dxa"/>
            <w:gridSpan w:val="2"/>
            <w:tcBorders>
              <w:top w:val="nil"/>
              <w:left w:val="nil"/>
              <w:bottom w:val="nil"/>
              <w:right w:val="nil"/>
            </w:tcBorders>
            <w:shd w:val="clear" w:color="auto" w:fill="auto"/>
          </w:tcPr>
          <w:p w:rsidR="00FB12F3" w:rsidRDefault="00FB12F3" w:rsidP="00FB12F3">
            <w:pPr>
              <w:pStyle w:val="Tabletext"/>
            </w:pPr>
            <w:r>
              <w:t>Trans Pacific Partnership</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UK</w:t>
            </w:r>
          </w:p>
        </w:tc>
        <w:tc>
          <w:tcPr>
            <w:tcW w:w="6608" w:type="dxa"/>
            <w:gridSpan w:val="2"/>
            <w:tcBorders>
              <w:top w:val="nil"/>
              <w:left w:val="nil"/>
              <w:bottom w:val="nil"/>
              <w:right w:val="nil"/>
            </w:tcBorders>
            <w:shd w:val="clear" w:color="auto" w:fill="auto"/>
          </w:tcPr>
          <w:p w:rsidR="0091307E" w:rsidRDefault="0091307E" w:rsidP="00FB12F3">
            <w:pPr>
              <w:pStyle w:val="Tabletext"/>
            </w:pPr>
            <w:r>
              <w:t>United Kingdom</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91307E" w:rsidRDefault="0091307E" w:rsidP="00FB12F3">
            <w:pPr>
              <w:pStyle w:val="Tabletext"/>
            </w:pPr>
            <w:r>
              <w:t>US</w:t>
            </w:r>
            <w:r w:rsidR="008079E4">
              <w:t xml:space="preserve"> </w:t>
            </w:r>
            <w:r>
              <w:t>/</w:t>
            </w:r>
            <w:r w:rsidR="008079E4">
              <w:t xml:space="preserve"> </w:t>
            </w:r>
            <w:r>
              <w:t>USA</w:t>
            </w:r>
          </w:p>
        </w:tc>
        <w:tc>
          <w:tcPr>
            <w:tcW w:w="6608" w:type="dxa"/>
            <w:gridSpan w:val="2"/>
            <w:tcBorders>
              <w:top w:val="nil"/>
              <w:left w:val="nil"/>
              <w:bottom w:val="nil"/>
              <w:right w:val="nil"/>
            </w:tcBorders>
            <w:shd w:val="clear" w:color="auto" w:fill="auto"/>
          </w:tcPr>
          <w:p w:rsidR="0091307E" w:rsidRDefault="0091307E" w:rsidP="00FB12F3">
            <w:pPr>
              <w:pStyle w:val="Tabletext"/>
            </w:pPr>
            <w:r>
              <w:t>United States of America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USDA</w:t>
            </w:r>
          </w:p>
        </w:tc>
        <w:tc>
          <w:tcPr>
            <w:tcW w:w="6608" w:type="dxa"/>
            <w:gridSpan w:val="2"/>
            <w:tcBorders>
              <w:top w:val="nil"/>
              <w:left w:val="nil"/>
              <w:bottom w:val="nil"/>
              <w:right w:val="nil"/>
            </w:tcBorders>
            <w:shd w:val="clear" w:color="auto" w:fill="auto"/>
          </w:tcPr>
          <w:p w:rsidR="00FB12F3" w:rsidRDefault="00FB12F3" w:rsidP="00FB12F3">
            <w:pPr>
              <w:pStyle w:val="Tabletext"/>
            </w:pPr>
            <w:r>
              <w:t>United States Department of Agriculture</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USEPA</w:t>
            </w:r>
          </w:p>
        </w:tc>
        <w:tc>
          <w:tcPr>
            <w:tcW w:w="6608" w:type="dxa"/>
            <w:gridSpan w:val="2"/>
            <w:tcBorders>
              <w:top w:val="nil"/>
              <w:left w:val="nil"/>
              <w:bottom w:val="nil"/>
              <w:right w:val="nil"/>
            </w:tcBorders>
            <w:shd w:val="clear" w:color="auto" w:fill="auto"/>
          </w:tcPr>
          <w:p w:rsidR="00FB12F3" w:rsidRDefault="00FB12F3" w:rsidP="00FB12F3">
            <w:pPr>
              <w:pStyle w:val="Tabletext"/>
            </w:pPr>
            <w:r>
              <w:t>United States Environment</w:t>
            </w:r>
            <w:r w:rsidR="00907E4F">
              <w:t>al</w:t>
            </w:r>
            <w:r>
              <w:t xml:space="preserve"> Protection Agency</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USFDA</w:t>
            </w:r>
          </w:p>
        </w:tc>
        <w:tc>
          <w:tcPr>
            <w:tcW w:w="6608" w:type="dxa"/>
            <w:gridSpan w:val="2"/>
            <w:tcBorders>
              <w:top w:val="nil"/>
              <w:left w:val="nil"/>
              <w:bottom w:val="nil"/>
              <w:right w:val="nil"/>
            </w:tcBorders>
            <w:shd w:val="clear" w:color="auto" w:fill="auto"/>
          </w:tcPr>
          <w:p w:rsidR="00FB12F3" w:rsidRDefault="00FB12F3" w:rsidP="00FB12F3">
            <w:pPr>
              <w:pStyle w:val="Tabletext"/>
            </w:pPr>
            <w:r>
              <w:t xml:space="preserve">United States Food and Drug Administration </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FB12F3" w:rsidP="00FB12F3">
            <w:pPr>
              <w:pStyle w:val="Tabletext"/>
            </w:pPr>
            <w:r>
              <w:t>USPTO</w:t>
            </w:r>
          </w:p>
        </w:tc>
        <w:tc>
          <w:tcPr>
            <w:tcW w:w="6608" w:type="dxa"/>
            <w:gridSpan w:val="2"/>
            <w:tcBorders>
              <w:top w:val="nil"/>
              <w:left w:val="nil"/>
              <w:bottom w:val="nil"/>
              <w:right w:val="nil"/>
            </w:tcBorders>
            <w:shd w:val="clear" w:color="auto" w:fill="auto"/>
          </w:tcPr>
          <w:p w:rsidR="00FB12F3" w:rsidRDefault="00FB12F3" w:rsidP="00FB12F3">
            <w:pPr>
              <w:pStyle w:val="Tabletext"/>
            </w:pPr>
            <w:r>
              <w:t>United States Patent and Trademark Office</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E04677" w:rsidP="00FB12F3">
            <w:pPr>
              <w:pStyle w:val="Tabletext"/>
            </w:pPr>
            <w:r>
              <w:t>VDD</w:t>
            </w:r>
          </w:p>
        </w:tc>
        <w:tc>
          <w:tcPr>
            <w:tcW w:w="6608" w:type="dxa"/>
            <w:gridSpan w:val="2"/>
            <w:tcBorders>
              <w:top w:val="nil"/>
              <w:left w:val="nil"/>
              <w:bottom w:val="nil"/>
              <w:right w:val="nil"/>
            </w:tcBorders>
            <w:shd w:val="clear" w:color="auto" w:fill="auto"/>
          </w:tcPr>
          <w:p w:rsidR="00FB12F3" w:rsidRDefault="00E04677" w:rsidP="00FB12F3">
            <w:pPr>
              <w:pStyle w:val="Tabletext"/>
            </w:pPr>
            <w:r>
              <w:t>Veterinary Drug Directorate (Canada)</w:t>
            </w:r>
          </w:p>
        </w:tc>
      </w:tr>
      <w:tr w:rsidR="00E86A68" w:rsidTr="00933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B12F3" w:rsidRDefault="0091307E" w:rsidP="00FB12F3">
            <w:pPr>
              <w:pStyle w:val="Tabletext"/>
            </w:pPr>
            <w:r>
              <w:t>WOT</w:t>
            </w:r>
          </w:p>
        </w:tc>
        <w:tc>
          <w:tcPr>
            <w:tcW w:w="6608" w:type="dxa"/>
            <w:gridSpan w:val="2"/>
            <w:tcBorders>
              <w:top w:val="nil"/>
              <w:left w:val="nil"/>
              <w:bottom w:val="nil"/>
              <w:right w:val="nil"/>
            </w:tcBorders>
            <w:shd w:val="clear" w:color="auto" w:fill="auto"/>
          </w:tcPr>
          <w:p w:rsidR="00FB12F3" w:rsidRDefault="0091307E" w:rsidP="00FB12F3">
            <w:pPr>
              <w:pStyle w:val="Tabletext"/>
            </w:pPr>
            <w:r>
              <w:t>Waiver of time (New Zealand)</w:t>
            </w:r>
          </w:p>
        </w:tc>
      </w:tr>
    </w:tbl>
    <w:p w:rsidR="00D95E58" w:rsidRDefault="00D95E58" w:rsidP="00F1413A">
      <w:pPr>
        <w:sectPr w:rsidR="00D95E58" w:rsidSect="004C7363">
          <w:headerReference w:type="even" r:id="rId28"/>
          <w:headerReference w:type="default" r:id="rId29"/>
          <w:footerReference w:type="even" r:id="rId30"/>
          <w:headerReference w:type="first" r:id="rId31"/>
          <w:footerReference w:type="first" r:id="rId32"/>
          <w:pgSz w:w="11907" w:h="16839" w:code="9"/>
          <w:pgMar w:top="1100" w:right="443" w:bottom="1320" w:left="3296" w:header="456" w:footer="262" w:gutter="0"/>
          <w:pgNumType w:fmt="lowerRoman"/>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2F3BAA" w:rsidTr="00B46B76">
        <w:trPr>
          <w:trHeight w:hRule="exact" w:val="382"/>
        </w:trPr>
        <w:tc>
          <w:tcPr>
            <w:tcW w:w="4738" w:type="dxa"/>
            <w:shd w:val="clear" w:color="auto" w:fill="9D57A6"/>
          </w:tcPr>
          <w:p w:rsidR="002F3BAA" w:rsidRDefault="00546375" w:rsidP="00F1413A">
            <w:pPr>
              <w:pStyle w:val="tagchapterBanner"/>
            </w:pPr>
            <w:r>
              <w:rPr>
                <w:noProof/>
                <w:lang w:eastAsia="en-AU"/>
              </w:rPr>
              <mc:AlternateContent>
                <mc:Choice Requires="wps">
                  <w:drawing>
                    <wp:anchor distT="0" distB="0" distL="114300" distR="114300" simplePos="0" relativeHeight="251856896" behindDoc="0" locked="1" layoutInCell="1" allowOverlap="1" wp14:anchorId="77A3CFDD" wp14:editId="626A4772">
                      <wp:simplePos x="0" y="0"/>
                      <wp:positionH relativeFrom="page">
                        <wp:posOffset>158750</wp:posOffset>
                      </wp:positionH>
                      <wp:positionV relativeFrom="page">
                        <wp:posOffset>6350</wp:posOffset>
                      </wp:positionV>
                      <wp:extent cx="439420" cy="215265"/>
                      <wp:effectExtent l="0" t="0" r="0" b="0"/>
                      <wp:wrapNone/>
                      <wp:docPr id="3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CB0481" id="Freeform 5" o:spid="_x0000_s1026" style="position:absolute;margin-left:12.5pt;margin-top:.5pt;width:34.6pt;height:16.9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2F3BAA" w:rsidRDefault="002F3BAA" w:rsidP="00F1413A">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2F3BAA" w:rsidRPr="0014019A" w:rsidRDefault="002F3BAA" w:rsidP="00E86A68">
            <w:pPr>
              <w:pStyle w:val="Heading1"/>
              <w:spacing w:line="240" w:lineRule="auto"/>
            </w:pPr>
            <w:r>
              <w:t>Introduction</w:t>
            </w:r>
          </w:p>
        </w:tc>
        <w:tc>
          <w:tcPr>
            <w:tcW w:w="3430" w:type="dxa"/>
            <w:shd w:val="clear" w:color="auto" w:fill="9D57A6"/>
            <w:tcMar>
              <w:right w:w="344" w:type="dxa"/>
            </w:tcMar>
          </w:tcPr>
          <w:p w:rsidR="002F3BAA" w:rsidRPr="00F5723F" w:rsidRDefault="00221158" w:rsidP="00F1413A">
            <w:pPr>
              <w:pStyle w:val="HeadingChapter"/>
              <w:keepNext/>
            </w:pPr>
            <w:r>
              <w:fldChar w:fldCharType="begin"/>
            </w:r>
            <w:r>
              <w:instrText xml:space="preserve"> SEQ ChptNum\* Arabic \* MERGEFORMAT </w:instrText>
            </w:r>
            <w:r>
              <w:fldChar w:fldCharType="separate"/>
            </w:r>
            <w:bookmarkStart w:id="12" w:name="_Toc497300807"/>
            <w:r w:rsidR="001977DE">
              <w:t>1</w:t>
            </w:r>
            <w:bookmarkEnd w:id="12"/>
            <w:r>
              <w:fldChar w:fldCharType="end"/>
            </w:r>
          </w:p>
        </w:tc>
      </w:tr>
      <w:tr w:rsidR="00E86A68" w:rsidTr="00401D90">
        <w:trPr>
          <w:trHeight w:hRule="exact" w:val="232"/>
        </w:trPr>
        <w:tc>
          <w:tcPr>
            <w:tcW w:w="4738" w:type="dxa"/>
            <w:shd w:val="clear" w:color="auto" w:fill="9D57A6"/>
          </w:tcPr>
          <w:p w:rsidR="002F3BAA" w:rsidRDefault="002F3BAA" w:rsidP="00F1413A">
            <w:pPr>
              <w:pStyle w:val="Chpt-Context"/>
            </w:pPr>
          </w:p>
        </w:tc>
        <w:tc>
          <w:tcPr>
            <w:tcW w:w="3430" w:type="dxa"/>
            <w:shd w:val="clear" w:color="auto" w:fill="9D57A6"/>
          </w:tcPr>
          <w:p w:rsidR="002F3BAA" w:rsidRPr="008A4E3C" w:rsidRDefault="00221158" w:rsidP="00F1413A">
            <w:pPr>
              <w:pStyle w:val="Chpt-Context"/>
            </w:pPr>
            <w:r>
              <w:fldChar w:fldCharType="begin"/>
            </w:r>
            <w:r>
              <w:instrText xml:space="preserve"> STYLEREF  "Heading 1" \l  \* MERGEFORMAT </w:instrText>
            </w:r>
            <w:r>
              <w:fldChar w:fldCharType="separate"/>
            </w:r>
            <w:bookmarkStart w:id="13" w:name="_Toc497300808"/>
            <w:r w:rsidR="0087688C">
              <w:rPr>
                <w:noProof/>
              </w:rPr>
              <w:t>Introduction</w:t>
            </w:r>
            <w:bookmarkEnd w:id="13"/>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2F3BAA" w:rsidRDefault="002F3BAA" w:rsidP="00F1413A">
            <w:pPr>
              <w:pStyle w:val="spacer"/>
            </w:pPr>
          </w:p>
        </w:tc>
        <w:tc>
          <w:tcPr>
            <w:tcW w:w="3430" w:type="dxa"/>
            <w:tcBorders>
              <w:top w:val="single" w:sz="4" w:space="0" w:color="9D57A6"/>
            </w:tcBorders>
            <w:shd w:val="clear" w:color="auto" w:fill="auto"/>
          </w:tcPr>
          <w:p w:rsidR="002F3BAA" w:rsidRDefault="002F3BAA" w:rsidP="00F1413A">
            <w:pPr>
              <w:pStyle w:val="spacer"/>
            </w:pPr>
          </w:p>
        </w:tc>
      </w:tr>
    </w:tbl>
    <w:p w:rsidR="00DC5910" w:rsidRDefault="00DC5910" w:rsidP="0096661C">
      <w:pPr>
        <w:pStyle w:val="Heading2"/>
      </w:pPr>
      <w:bookmarkStart w:id="14" w:name="_Toc485482838"/>
      <w:bookmarkStart w:id="15" w:name="_Toc497300809"/>
      <w:r>
        <w:t>Background</w:t>
      </w:r>
      <w:bookmarkEnd w:id="14"/>
      <w:bookmarkEnd w:id="15"/>
    </w:p>
    <w:p w:rsidR="000D2506" w:rsidRDefault="00D71D52" w:rsidP="000D2506">
      <w:pPr>
        <w:pStyle w:val="BodyText"/>
      </w:pPr>
      <w:r>
        <w:t>R</w:t>
      </w:r>
      <w:r w:rsidR="00404D8A" w:rsidRPr="001952F7">
        <w:t xml:space="preserve">egulation of agricultural and veterinary </w:t>
      </w:r>
      <w:r w:rsidR="009346B2">
        <w:t>chemicals</w:t>
      </w:r>
      <w:r w:rsidR="00404D8A" w:rsidRPr="001952F7">
        <w:t xml:space="preserve"> (agvet chemicals) is essential to protect the health and safety of humans, animals and the environment from the potentially harmful effects of </w:t>
      </w:r>
      <w:r w:rsidR="00404D8A">
        <w:t>chemicals</w:t>
      </w:r>
      <w:r w:rsidR="00404D8A" w:rsidRPr="001952F7">
        <w:t xml:space="preserve">. </w:t>
      </w:r>
      <w:r w:rsidR="00404D8A">
        <w:t>However, p</w:t>
      </w:r>
      <w:r w:rsidR="00404D8A" w:rsidRPr="001952F7">
        <w:t xml:space="preserve">oorly designed </w:t>
      </w:r>
      <w:r w:rsidR="00756B82">
        <w:t xml:space="preserve">and implemented </w:t>
      </w:r>
      <w:r w:rsidR="00404D8A" w:rsidRPr="001952F7">
        <w:t xml:space="preserve">regulation </w:t>
      </w:r>
      <w:r w:rsidR="00404D8A">
        <w:t xml:space="preserve">impedes </w:t>
      </w:r>
      <w:r w:rsidR="00404D8A" w:rsidRPr="001952F7">
        <w:t>productivity, deters investment and undermines jobs and growth</w:t>
      </w:r>
      <w:r w:rsidR="00404D8A">
        <w:t xml:space="preserve"> in the economy</w:t>
      </w:r>
      <w:r w:rsidR="00404D8A" w:rsidRPr="001952F7">
        <w:t>.</w:t>
      </w:r>
      <w:r w:rsidR="00404D8A">
        <w:t xml:space="preserve"> </w:t>
      </w:r>
      <w:r w:rsidR="00404D8A" w:rsidRPr="001952F7">
        <w:t>For primary producers</w:t>
      </w:r>
      <w:r w:rsidR="00404D8A">
        <w:t xml:space="preserve">, </w:t>
      </w:r>
      <w:r w:rsidR="00404D8A" w:rsidRPr="001952F7">
        <w:t>poorly designed regulation c</w:t>
      </w:r>
      <w:r>
        <w:t>an</w:t>
      </w:r>
      <w:r w:rsidR="00404D8A" w:rsidRPr="001952F7">
        <w:t xml:space="preserve"> delay or prevent the introduction of innovative chemical products and increase costs.</w:t>
      </w:r>
      <w:r>
        <w:t xml:space="preserve"> </w:t>
      </w:r>
      <w:r w:rsidR="002D214A">
        <w:t>One recent report claims that some rural industries in Australia</w:t>
      </w:r>
      <w:r w:rsidR="00E83228">
        <w:t>,</w:t>
      </w:r>
      <w:r w:rsidR="002D214A">
        <w:t xml:space="preserve"> including grains</w:t>
      </w:r>
      <w:r w:rsidR="00E83228">
        <w:t>,</w:t>
      </w:r>
      <w:r w:rsidR="002D214A">
        <w:t xml:space="preserve"> are currently missing out on up to 50</w:t>
      </w:r>
      <w:r w:rsidR="00E83228">
        <w:t> </w:t>
      </w:r>
      <w:r w:rsidR="002D214A">
        <w:t xml:space="preserve">per cent of the potential new technologies </w:t>
      </w:r>
      <w:r w:rsidR="00317831">
        <w:t>that</w:t>
      </w:r>
      <w:r w:rsidR="002D214A">
        <w:t xml:space="preserve"> </w:t>
      </w:r>
      <w:r w:rsidR="00E83228">
        <w:t xml:space="preserve">are accessible to </w:t>
      </w:r>
      <w:r w:rsidR="002D214A">
        <w:t>key competitors in Europe and the USA.</w:t>
      </w:r>
      <w:r w:rsidR="002D214A">
        <w:rPr>
          <w:rStyle w:val="FootnoteReference"/>
        </w:rPr>
        <w:footnoteReference w:id="2"/>
      </w:r>
    </w:p>
    <w:p w:rsidR="000D2506" w:rsidRDefault="000D2506" w:rsidP="000D2506">
      <w:pPr>
        <w:pStyle w:val="BodyText"/>
      </w:pPr>
      <w:r>
        <w:t xml:space="preserve">This study </w:t>
      </w:r>
      <w:r w:rsidR="00756B82">
        <w:t xml:space="preserve">has examined </w:t>
      </w:r>
      <w:r>
        <w:t xml:space="preserve">international and </w:t>
      </w:r>
      <w:r w:rsidR="00756B82">
        <w:t>Australian</w:t>
      </w:r>
      <w:r>
        <w:t xml:space="preserve"> intellectual property settings and registration arrangements as they relate to agvet chemical markets. The purpose </w:t>
      </w:r>
      <w:r w:rsidR="00756B82">
        <w:t xml:space="preserve">has been </w:t>
      </w:r>
      <w:r>
        <w:t xml:space="preserve">to assess the evidence and propose changes to help improve Australian agricultural producers’ access (through registration by the Australian Pesticides and Veterinary Medicines Authority) to innovative </w:t>
      </w:r>
      <w:r w:rsidR="00E83228">
        <w:t xml:space="preserve">new </w:t>
      </w:r>
      <w:r>
        <w:t xml:space="preserve">agvet chemicals while also supporting </w:t>
      </w:r>
      <w:r w:rsidR="00E83228">
        <w:t xml:space="preserve">prompt </w:t>
      </w:r>
      <w:r>
        <w:t xml:space="preserve">access to generic agvet chemicals. </w:t>
      </w:r>
    </w:p>
    <w:p w:rsidR="00404D8A" w:rsidRDefault="00404D8A" w:rsidP="00404D8A">
      <w:pPr>
        <w:pStyle w:val="BodyText"/>
      </w:pPr>
      <w:r>
        <w:t xml:space="preserve">This study </w:t>
      </w:r>
      <w:r w:rsidR="00E83228">
        <w:t>should</w:t>
      </w:r>
      <w:r>
        <w:t xml:space="preserve"> be viewed in the context of the </w:t>
      </w:r>
      <w:r w:rsidR="00DE0A5E">
        <w:t xml:space="preserve">Australian Government’s </w:t>
      </w:r>
      <w:r>
        <w:t xml:space="preserve">wider objectives, and the need to balance both the upside and downside of allowing agvet chemicals to be introduced and used in agricultural production. This includes initiatives taken in recent years to </w:t>
      </w:r>
      <w:r w:rsidR="00A734E2">
        <w:t>improve</w:t>
      </w:r>
      <w:r>
        <w:t xml:space="preserve"> the core legislation underpinning agvet chemicals, which include</w:t>
      </w:r>
      <w:r w:rsidR="003554CA">
        <w:t>s</w:t>
      </w:r>
      <w:r>
        <w:t>:</w:t>
      </w:r>
    </w:p>
    <w:p w:rsidR="009346B2" w:rsidRDefault="009346B2" w:rsidP="009346B2">
      <w:pPr>
        <w:pStyle w:val="ListBullet"/>
      </w:pPr>
      <w:r w:rsidRPr="00DD1046">
        <w:rPr>
          <w:i/>
        </w:rPr>
        <w:t>Agriculture and Veterinary Chemicals Act</w:t>
      </w:r>
      <w:r>
        <w:t xml:space="preserve"> (Agvet Act)</w:t>
      </w:r>
    </w:p>
    <w:p w:rsidR="009346B2" w:rsidRDefault="009346B2" w:rsidP="009346B2">
      <w:pPr>
        <w:pStyle w:val="ListBullet"/>
      </w:pPr>
      <w:r>
        <w:t>A</w:t>
      </w:r>
      <w:r w:rsidRPr="00DD1046">
        <w:rPr>
          <w:i/>
        </w:rPr>
        <w:t>griculture and Veterinary Chemicals (Administration) Act</w:t>
      </w:r>
      <w:r>
        <w:t xml:space="preserve"> (Agvet Administration Act)</w:t>
      </w:r>
    </w:p>
    <w:p w:rsidR="009346B2" w:rsidRDefault="009346B2" w:rsidP="009346B2">
      <w:pPr>
        <w:pStyle w:val="ListBullet"/>
      </w:pPr>
      <w:r w:rsidRPr="00DD1046">
        <w:rPr>
          <w:i/>
        </w:rPr>
        <w:t xml:space="preserve">Agriculture and Veterinary Chemicals Code Act </w:t>
      </w:r>
      <w:r>
        <w:t xml:space="preserve">(the Schedule to this Act is the Agvet Code) </w:t>
      </w:r>
    </w:p>
    <w:p w:rsidR="009346B2" w:rsidRDefault="009346B2" w:rsidP="009346B2">
      <w:pPr>
        <w:pStyle w:val="ListBullet"/>
      </w:pPr>
      <w:r w:rsidRPr="00DD1046">
        <w:rPr>
          <w:i/>
        </w:rPr>
        <w:t>Agriculture and Veterinary Chemical Products (Collection of Levy) Act</w:t>
      </w:r>
    </w:p>
    <w:p w:rsidR="009346B2" w:rsidRDefault="002D214A" w:rsidP="009346B2">
      <w:pPr>
        <w:pStyle w:val="BodyText"/>
      </w:pPr>
      <w:r>
        <w:t xml:space="preserve">This legislation is a key element of Australia’s </w:t>
      </w:r>
      <w:r w:rsidR="009346B2">
        <w:t xml:space="preserve">regulatory framework for managing agvet chemicals, the National Registration Scheme for Agricultural and Veterinary Chemicals (NRS), </w:t>
      </w:r>
      <w:r>
        <w:t xml:space="preserve">which </w:t>
      </w:r>
      <w:r w:rsidR="009346B2">
        <w:t>is a joint Commonwealth</w:t>
      </w:r>
      <w:r w:rsidR="008079E4">
        <w:t xml:space="preserve"> </w:t>
      </w:r>
      <w:r w:rsidR="009346B2">
        <w:t>/</w:t>
      </w:r>
      <w:r w:rsidR="008079E4">
        <w:t xml:space="preserve"> </w:t>
      </w:r>
      <w:r w:rsidR="009346B2">
        <w:t>State</w:t>
      </w:r>
      <w:r w:rsidR="008079E4">
        <w:t xml:space="preserve"> </w:t>
      </w:r>
      <w:r w:rsidR="009346B2">
        <w:t>/</w:t>
      </w:r>
      <w:r w:rsidR="008079E4">
        <w:t xml:space="preserve"> </w:t>
      </w:r>
      <w:r w:rsidR="009346B2">
        <w:t>Territory regime that provides a single Agvet Code for Australia.</w:t>
      </w:r>
    </w:p>
    <w:p w:rsidR="002D214A" w:rsidRDefault="00404D8A" w:rsidP="00404D8A">
      <w:pPr>
        <w:pStyle w:val="BodyText"/>
      </w:pPr>
      <w:r>
        <w:t xml:space="preserve">Intellectual Property (IP) underpins the development of agvet chemicals intended for the Australian and international markets. </w:t>
      </w:r>
      <w:r w:rsidR="00287D3B">
        <w:t>One aim of p</w:t>
      </w:r>
      <w:r>
        <w:t xml:space="preserve">atent protection </w:t>
      </w:r>
      <w:r w:rsidR="002D214A">
        <w:t xml:space="preserve">is to </w:t>
      </w:r>
      <w:r>
        <w:t xml:space="preserve">ensure a return on investment for inventors. </w:t>
      </w:r>
    </w:p>
    <w:p w:rsidR="003A4DAC" w:rsidRDefault="003A4DAC" w:rsidP="00404D8A">
      <w:pPr>
        <w:pStyle w:val="BodyText"/>
      </w:pPr>
      <w:r>
        <w:t>Regulatory data protection</w:t>
      </w:r>
      <w:r w:rsidR="00404D8A">
        <w:t xml:space="preserve"> pertaining to the testing of agvet chemical products for efficacy, safety and environmental impact is </w:t>
      </w:r>
      <w:r w:rsidR="002D214A">
        <w:t>a</w:t>
      </w:r>
      <w:r>
        <w:t xml:space="preserve"> key</w:t>
      </w:r>
      <w:r w:rsidR="002D214A">
        <w:t xml:space="preserve"> issue, and is </w:t>
      </w:r>
      <w:r w:rsidR="00404D8A">
        <w:t xml:space="preserve">considered by agvet companies </w:t>
      </w:r>
      <w:r w:rsidR="00756B82">
        <w:t>to be</w:t>
      </w:r>
      <w:r>
        <w:t xml:space="preserve"> potentially more important than the </w:t>
      </w:r>
      <w:r w:rsidR="002D214A">
        <w:t>patent</w:t>
      </w:r>
      <w:r w:rsidR="00404D8A">
        <w:t xml:space="preserve"> protection </w:t>
      </w:r>
      <w:r w:rsidR="002D214A">
        <w:t xml:space="preserve">for </w:t>
      </w:r>
      <w:r w:rsidR="00404D8A">
        <w:t>newly developed products.</w:t>
      </w:r>
      <w:r>
        <w:t xml:space="preserve"> </w:t>
      </w:r>
    </w:p>
    <w:p w:rsidR="00AB5FBB" w:rsidRPr="00AB5FBB" w:rsidRDefault="00AB5FBB" w:rsidP="00AB5FBB">
      <w:r w:rsidRPr="00AB5FBB">
        <w:t>As the Productivity Commission has pointed out,</w:t>
      </w:r>
      <w:r>
        <w:rPr>
          <w:rStyle w:val="FootnoteReference"/>
        </w:rPr>
        <w:footnoteReference w:id="3"/>
      </w:r>
      <w:r w:rsidRPr="00AB5FBB">
        <w:t xml:space="preserve"> regulation should be fit-for purpose. It should be:</w:t>
      </w:r>
    </w:p>
    <w:p w:rsidR="00AB5FBB" w:rsidRPr="00AB5FBB" w:rsidRDefault="00DE5C34" w:rsidP="00AB5FBB">
      <w:pPr>
        <w:pStyle w:val="ListBullet"/>
      </w:pPr>
      <w:r>
        <w:rPr>
          <w:b/>
        </w:rPr>
        <w:t>t</w:t>
      </w:r>
      <w:r w:rsidR="00AB5FBB" w:rsidRPr="00AB5FBB">
        <w:rPr>
          <w:b/>
        </w:rPr>
        <w:t>argeted</w:t>
      </w:r>
      <w:r>
        <w:rPr>
          <w:b/>
        </w:rPr>
        <w:t xml:space="preserve"> </w:t>
      </w:r>
      <w:r w:rsidR="00AB5FBB" w:rsidRPr="00AB5FBB">
        <w:t>—</w:t>
      </w:r>
      <w:r>
        <w:t xml:space="preserve"> </w:t>
      </w:r>
      <w:r w:rsidR="00AB5FBB" w:rsidRPr="00AB5FBB">
        <w:t xml:space="preserve">the scope of the regulation (that is, who or what the regulation applies to) should be clear and appropriate for addressing the </w:t>
      </w:r>
      <w:r w:rsidR="003554CA">
        <w:t>policy</w:t>
      </w:r>
      <w:r w:rsidR="003554CA" w:rsidRPr="00AB5FBB">
        <w:t xml:space="preserve"> </w:t>
      </w:r>
      <w:r w:rsidR="00AB5FBB" w:rsidRPr="00AB5FBB">
        <w:t>problem</w:t>
      </w:r>
    </w:p>
    <w:p w:rsidR="00AB5FBB" w:rsidRPr="00AB5FBB" w:rsidRDefault="00AB5FBB" w:rsidP="00AB5FBB">
      <w:pPr>
        <w:pStyle w:val="ListBullet"/>
      </w:pPr>
      <w:r w:rsidRPr="00AB5FBB">
        <w:rPr>
          <w:b/>
        </w:rPr>
        <w:t>evidence-based</w:t>
      </w:r>
      <w:r w:rsidR="00DE5C34">
        <w:rPr>
          <w:b/>
        </w:rPr>
        <w:t xml:space="preserve"> </w:t>
      </w:r>
      <w:r w:rsidRPr="00AB5FBB">
        <w:t>—</w:t>
      </w:r>
      <w:r w:rsidR="00DE5C34">
        <w:t xml:space="preserve"> </w:t>
      </w:r>
      <w:r w:rsidRPr="00AB5FBB">
        <w:t>there should be an apparent and demonstrable connection between the content of the regulation and the regulatory objective</w:t>
      </w:r>
    </w:p>
    <w:p w:rsidR="00AB5FBB" w:rsidRPr="00AB5FBB" w:rsidRDefault="00AB5FBB" w:rsidP="00AB5FBB">
      <w:pPr>
        <w:pStyle w:val="ListBullet"/>
      </w:pPr>
      <w:r w:rsidRPr="00AB5FBB">
        <w:rPr>
          <w:b/>
        </w:rPr>
        <w:t>proportionate</w:t>
      </w:r>
      <w:r w:rsidR="00DE5C34">
        <w:rPr>
          <w:b/>
        </w:rPr>
        <w:t xml:space="preserve"> </w:t>
      </w:r>
      <w:r w:rsidRPr="00AB5FBB">
        <w:t>—</w:t>
      </w:r>
      <w:r w:rsidR="00DE5C34">
        <w:t xml:space="preserve"> </w:t>
      </w:r>
      <w:r w:rsidRPr="00AB5FBB">
        <w:t>the burden imposed by the regulation on government agencies and the public should be proportionate to the regulatory outcome being sought.</w:t>
      </w:r>
    </w:p>
    <w:p w:rsidR="002A5970" w:rsidRDefault="00AB5FBB" w:rsidP="00404D8A">
      <w:pPr>
        <w:pStyle w:val="BodyText"/>
      </w:pPr>
      <w:r>
        <w:t>This report examines a number of issue</w:t>
      </w:r>
      <w:r w:rsidR="00E83228">
        <w:t>s</w:t>
      </w:r>
      <w:r>
        <w:t xml:space="preserve"> that relate directly to the Productivity Commission’s points. </w:t>
      </w:r>
    </w:p>
    <w:p w:rsidR="00404D8A" w:rsidRDefault="00404D8A" w:rsidP="00404D8A">
      <w:pPr>
        <w:pStyle w:val="BodyText"/>
      </w:pPr>
      <w:r>
        <w:t>Companies manufacturing generic</w:t>
      </w:r>
      <w:r w:rsidR="002D214A">
        <w:t xml:space="preserve"> products </w:t>
      </w:r>
      <w:r w:rsidR="002165C5">
        <w:t>do</w:t>
      </w:r>
      <w:r>
        <w:t xml:space="preserve"> not </w:t>
      </w:r>
      <w:r w:rsidR="002165C5">
        <w:t>incur</w:t>
      </w:r>
      <w:r>
        <w:t xml:space="preserve"> the </w:t>
      </w:r>
      <w:r w:rsidR="002165C5">
        <w:t xml:space="preserve">same </w:t>
      </w:r>
      <w:r>
        <w:t xml:space="preserve">research, development and commercialisation costs (although they may incur costs in developing manufacturing processes) </w:t>
      </w:r>
      <w:r w:rsidR="002165C5">
        <w:t>as</w:t>
      </w:r>
      <w:r>
        <w:t xml:space="preserve"> original patent holders. Whether companies manufacturing </w:t>
      </w:r>
      <w:r w:rsidR="002165C5">
        <w:t>generic</w:t>
      </w:r>
      <w:r>
        <w:t>s should be permitted to “free ride” on the data provided</w:t>
      </w:r>
      <w:r w:rsidR="002D214A">
        <w:t xml:space="preserve"> to the regulator</w:t>
      </w:r>
      <w:r>
        <w:t xml:space="preserve"> by the original manufacturer as part of approval procedures is a matter of debate within a large body of literature and between policymakers. There are several issues here, one of which is minimising the cost of approval of generics and expediting their approval. Similar issues arise in relation to generic medicines for human consumption.</w:t>
      </w:r>
    </w:p>
    <w:p w:rsidR="00404D8A" w:rsidRDefault="00404D8A" w:rsidP="00404D8A">
      <w:pPr>
        <w:pStyle w:val="BodyText"/>
      </w:pPr>
      <w:r>
        <w:t xml:space="preserve">IP issues also arise in relation to trade agreements. For example, the </w:t>
      </w:r>
      <w:r w:rsidRPr="00A734E2">
        <w:rPr>
          <w:i/>
        </w:rPr>
        <w:t>Agvet Administration Act</w:t>
      </w:r>
      <w:r>
        <w:t xml:space="preserve"> was amended to give effect to Australia’s obligations under the </w:t>
      </w:r>
      <w:r w:rsidR="00BA58BB">
        <w:t>Australia United States Free Trade Agreement (AUSFTA).</w:t>
      </w:r>
    </w:p>
    <w:p w:rsidR="00DC5910" w:rsidRDefault="00DC5910" w:rsidP="00DC5910">
      <w:pPr>
        <w:pStyle w:val="BodyText"/>
      </w:pPr>
      <w:r>
        <w:t xml:space="preserve">IP issues </w:t>
      </w:r>
      <w:r w:rsidR="00A21D7E">
        <w:t>in Australia</w:t>
      </w:r>
      <w:r>
        <w:t xml:space="preserve"> have been the subject of a number of studies and reports, of which </w:t>
      </w:r>
      <w:r w:rsidR="00756B82">
        <w:t>a</w:t>
      </w:r>
      <w:r>
        <w:t xml:space="preserve"> Productivity Commission report (2016)</w:t>
      </w:r>
      <w:r>
        <w:rPr>
          <w:rStyle w:val="FootnoteReference"/>
        </w:rPr>
        <w:footnoteReference w:id="4"/>
      </w:r>
      <w:r>
        <w:t xml:space="preserve"> is the mo</w:t>
      </w:r>
      <w:r w:rsidR="000F7F46">
        <w:t>st</w:t>
      </w:r>
      <w:r>
        <w:t xml:space="preserve"> recent. The </w:t>
      </w:r>
      <w:r w:rsidR="005835E9">
        <w:t>Productivity Commission</w:t>
      </w:r>
      <w:r>
        <w:t xml:space="preserve"> report covers IP more generally and </w:t>
      </w:r>
      <w:r w:rsidR="00A734E2">
        <w:t xml:space="preserve">does </w:t>
      </w:r>
      <w:r>
        <w:t>not specific</w:t>
      </w:r>
      <w:r w:rsidR="00A734E2">
        <w:t>ally address</w:t>
      </w:r>
      <w:r>
        <w:t xml:space="preserve"> agvet chemicals. The key findings from the </w:t>
      </w:r>
      <w:r w:rsidR="005835E9">
        <w:t>Productivity Commission</w:t>
      </w:r>
      <w:r>
        <w:t xml:space="preserve"> report relevant to this study are provided in </w:t>
      </w:r>
      <w:r w:rsidRPr="00AF3F55">
        <w:rPr>
          <w:rStyle w:val="CaptionLabel"/>
        </w:rPr>
        <w:t>Box</w:t>
      </w:r>
      <w:r>
        <w:rPr>
          <w:rStyle w:val="CaptionLabel"/>
        </w:rPr>
        <w:t> </w:t>
      </w:r>
      <w:r>
        <w:rPr>
          <w:rStyle w:val="CaptionLabel"/>
          <w:noProof/>
        </w:rPr>
        <w:t>1</w:t>
      </w:r>
      <w:r w:rsidRPr="00AF3F55">
        <w:rPr>
          <w:rStyle w:val="CaptionLabel"/>
        </w:rPr>
        <w:t>.</w:t>
      </w:r>
      <w:r>
        <w:rPr>
          <w:rStyle w:val="CaptionLabel"/>
          <w:noProof/>
        </w:rPr>
        <w:t>1</w:t>
      </w:r>
      <w:r>
        <w:t>.</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EA6C4C" w:rsidRPr="00AF3F55" w:rsidRDefault="00AC16EB" w:rsidP="00EA6C4C">
            <w:pPr>
              <w:pStyle w:val="Caption"/>
            </w:pPr>
            <w:r>
              <w:t xml:space="preserve"> </w:t>
            </w:r>
            <w:bookmarkStart w:id="16" w:name="_Ref484428234"/>
            <w:bookmarkStart w:id="17" w:name="_Toc497132829"/>
            <w:r w:rsidR="00EA6C4C" w:rsidRPr="00AF3F55">
              <w:rPr>
                <w:rStyle w:val="CaptionLabel"/>
              </w:rPr>
              <w:t>Box</w:t>
            </w:r>
            <w:r w:rsidR="00EA6C4C">
              <w:rPr>
                <w:rStyle w:val="CaptionLabel"/>
              </w:rPr>
              <w:t> </w:t>
            </w:r>
            <w:r w:rsidR="00EA6C4C" w:rsidRPr="00AF3F55">
              <w:rPr>
                <w:rStyle w:val="CaptionLabel"/>
              </w:rPr>
              <w:fldChar w:fldCharType="begin"/>
            </w:r>
            <w:r w:rsidR="00EA6C4C" w:rsidRPr="00AF3F55">
              <w:rPr>
                <w:rStyle w:val="CaptionLabel"/>
              </w:rPr>
              <w:instrText xml:space="preserve"> STYLEREF 1 \s </w:instrText>
            </w:r>
            <w:r w:rsidR="00EA6C4C" w:rsidRPr="00AF3F55">
              <w:rPr>
                <w:rStyle w:val="CaptionLabel"/>
              </w:rPr>
              <w:fldChar w:fldCharType="separate"/>
            </w:r>
            <w:r w:rsidR="001977DE">
              <w:rPr>
                <w:rStyle w:val="CaptionLabel"/>
                <w:noProof/>
              </w:rPr>
              <w:t>1</w:t>
            </w:r>
            <w:r w:rsidR="00EA6C4C" w:rsidRPr="00AF3F55">
              <w:rPr>
                <w:rStyle w:val="CaptionLabel"/>
              </w:rPr>
              <w:fldChar w:fldCharType="end"/>
            </w:r>
            <w:r w:rsidR="00EA6C4C" w:rsidRPr="00AF3F55">
              <w:rPr>
                <w:rStyle w:val="CaptionLabel"/>
              </w:rPr>
              <w:t>.</w:t>
            </w:r>
            <w:r w:rsidR="00EA6C4C" w:rsidRPr="00AF3F55">
              <w:rPr>
                <w:rStyle w:val="CaptionLabel"/>
              </w:rPr>
              <w:fldChar w:fldCharType="begin"/>
            </w:r>
            <w:r w:rsidR="00EA6C4C" w:rsidRPr="00AF3F55">
              <w:rPr>
                <w:rStyle w:val="CaptionLabel"/>
              </w:rPr>
              <w:instrText xml:space="preserve"> SEQ Box \* ARABIC \s 1 </w:instrText>
            </w:r>
            <w:r w:rsidR="00EA6C4C" w:rsidRPr="00AF3F55">
              <w:rPr>
                <w:rStyle w:val="CaptionLabel"/>
              </w:rPr>
              <w:fldChar w:fldCharType="separate"/>
            </w:r>
            <w:r w:rsidR="0087688C">
              <w:rPr>
                <w:rStyle w:val="CaptionLabel"/>
                <w:noProof/>
              </w:rPr>
              <w:t>1</w:t>
            </w:r>
            <w:r w:rsidR="00EA6C4C" w:rsidRPr="00AF3F55">
              <w:rPr>
                <w:rStyle w:val="CaptionLabel"/>
              </w:rPr>
              <w:fldChar w:fldCharType="end"/>
            </w:r>
            <w:bookmarkEnd w:id="16"/>
            <w:r w:rsidR="00EA6C4C">
              <w:tab/>
              <w:t>Issues related to Australian IP arrangements</w:t>
            </w:r>
            <w:bookmarkEnd w:id="17"/>
          </w:p>
        </w:tc>
      </w:tr>
      <w:tr w:rsidR="00EA6C4C" w:rsidRPr="00B07121" w:rsidTr="00D15BAD">
        <w:trPr>
          <w:cantSplit/>
          <w:trHeight w:hRule="exact" w:val="380"/>
        </w:trPr>
        <w:tc>
          <w:tcPr>
            <w:tcW w:w="8614" w:type="dxa"/>
            <w:shd w:val="clear" w:color="auto" w:fill="E4E0DD"/>
          </w:tcPr>
          <w:p w:rsidR="00EA6C4C" w:rsidRPr="00B07121" w:rsidRDefault="00D15BAD" w:rsidP="00D15BAD">
            <w:pPr>
              <w:pStyle w:val="spacer"/>
              <w:jc w:val="right"/>
            </w:pPr>
            <w:r w:rsidRPr="00B07121">
              <w:rPr>
                <w:noProof/>
                <w:lang w:eastAsia="en-AU"/>
              </w:rPr>
              <mc:AlternateContent>
                <mc:Choice Requires="wps">
                  <w:drawing>
                    <wp:anchor distT="0" distB="0" distL="114300" distR="114300" simplePos="0" relativeHeight="251977728" behindDoc="0" locked="1" layoutInCell="1" allowOverlap="1" wp14:anchorId="2CE91098" wp14:editId="042E624D">
                      <wp:simplePos x="0" y="0"/>
                      <wp:positionH relativeFrom="rightMargin">
                        <wp:posOffset>-608330</wp:posOffset>
                      </wp:positionH>
                      <wp:positionV relativeFrom="page">
                        <wp:posOffset>22225</wp:posOffset>
                      </wp:positionV>
                      <wp:extent cx="436880" cy="213360"/>
                      <wp:effectExtent l="0" t="0" r="1270" b="0"/>
                      <wp:wrapNone/>
                      <wp:docPr id="5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1C270A" id="Freeform 5" o:spid="_x0000_s1026" style="position:absolute;margin-left:-47.9pt;margin-top:1.75pt;width:34.4pt;height:16.8pt;z-index:25197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D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3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r w:rsidR="00546375">
              <w:rPr>
                <w:noProof/>
                <w:lang w:eastAsia="en-AU"/>
              </w:rPr>
              <mc:AlternateContent>
                <mc:Choice Requires="wps">
                  <w:drawing>
                    <wp:anchor distT="0" distB="0" distL="114300" distR="114300" simplePos="0" relativeHeight="251858944" behindDoc="0" locked="1" layoutInCell="1" allowOverlap="1" wp14:anchorId="6D0DF4BB" wp14:editId="4B729275">
                      <wp:simplePos x="0" y="0"/>
                      <wp:positionH relativeFrom="page">
                        <wp:posOffset>6223635</wp:posOffset>
                      </wp:positionH>
                      <wp:positionV relativeFrom="page">
                        <wp:posOffset>5426710</wp:posOffset>
                      </wp:positionV>
                      <wp:extent cx="436880" cy="213360"/>
                      <wp:effectExtent l="0" t="0" r="1270" b="0"/>
                      <wp:wrapNone/>
                      <wp:docPr id="3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A47640" id="Freeform 5" o:spid="_x0000_s1026" style="position:absolute;margin-left:490.05pt;margin-top:427.3pt;width:34.4pt;height:16.8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3/fg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A6C4C" w:rsidTr="00A16BFF">
        <w:trPr>
          <w:cantSplit/>
        </w:trPr>
        <w:tc>
          <w:tcPr>
            <w:tcW w:w="8614" w:type="dxa"/>
            <w:shd w:val="clear" w:color="auto" w:fill="E4E0DD"/>
            <w:tcMar>
              <w:top w:w="276" w:type="dxa"/>
              <w:bottom w:w="184" w:type="dxa"/>
              <w:right w:w="120" w:type="dxa"/>
            </w:tcMar>
          </w:tcPr>
          <w:p w:rsidR="00EA6C4C" w:rsidRPr="008A6B3B" w:rsidRDefault="00EA6C4C" w:rsidP="00EA6C4C">
            <w:pPr>
              <w:pStyle w:val="ListBullet"/>
              <w:rPr>
                <w:sz w:val="20"/>
              </w:rPr>
            </w:pPr>
            <w:r w:rsidRPr="00E86A68">
              <w:rPr>
                <w:sz w:val="20"/>
              </w:rPr>
              <w:t>Australia’s IP arrangements fall short in many ways and improvement is needed across the spectrum of IP rights</w:t>
            </w:r>
            <w:r w:rsidR="009B1F06">
              <w:rPr>
                <w:sz w:val="20"/>
              </w:rPr>
              <w:t>.</w:t>
            </w:r>
          </w:p>
          <w:p w:rsidR="00EA6C4C" w:rsidRPr="00401D90" w:rsidRDefault="00EA6C4C" w:rsidP="00EA6C4C">
            <w:pPr>
              <w:pStyle w:val="ListBullet"/>
              <w:rPr>
                <w:sz w:val="20"/>
              </w:rPr>
            </w:pPr>
            <w:r w:rsidRPr="00401D90">
              <w:rPr>
                <w:sz w:val="20"/>
              </w:rPr>
              <w:t>IP arrangements need to ensure that creators and inventors are rewarded for their efforts, but in doing so they must:</w:t>
            </w:r>
          </w:p>
          <w:p w:rsidR="00EA6C4C" w:rsidRDefault="00EA6C4C" w:rsidP="00B111C3">
            <w:pPr>
              <w:pStyle w:val="BoxListBullet"/>
            </w:pPr>
            <w:r>
              <w:t>foster creative endeavour and investment in IP that would not otherwise occur</w:t>
            </w:r>
          </w:p>
          <w:p w:rsidR="00EA6C4C" w:rsidRDefault="00EA6C4C" w:rsidP="00B111C3">
            <w:pPr>
              <w:pStyle w:val="BoxListBullet"/>
            </w:pPr>
            <w:r>
              <w:t>only provide the incentive needed to induce that additional investment or endeavour</w:t>
            </w:r>
            <w:r w:rsidR="00B111C3">
              <w:t>, and</w:t>
            </w:r>
          </w:p>
          <w:p w:rsidR="00EA6C4C" w:rsidRDefault="00EA6C4C" w:rsidP="00B111C3">
            <w:pPr>
              <w:pStyle w:val="BoxListBullet"/>
            </w:pPr>
            <w:r>
              <w:t>resist impeding follow–on innovation, competition and access to goods and services.</w:t>
            </w:r>
          </w:p>
          <w:p w:rsidR="00EA6C4C" w:rsidRPr="00401D90" w:rsidRDefault="00EA6C4C" w:rsidP="00EA6C4C">
            <w:pPr>
              <w:pStyle w:val="ListBullet"/>
              <w:rPr>
                <w:sz w:val="20"/>
              </w:rPr>
            </w:pPr>
            <w:r w:rsidRPr="00E86A68">
              <w:rPr>
                <w:sz w:val="20"/>
              </w:rPr>
              <w:t>Australia’s patent system grants exclusivity too readily, allowing a proliferation of low-quality patents, frustrating follow–on innovators and stym</w:t>
            </w:r>
            <w:r w:rsidR="00B111C3" w:rsidRPr="00401D90">
              <w:rPr>
                <w:sz w:val="20"/>
              </w:rPr>
              <w:t>y</w:t>
            </w:r>
            <w:r w:rsidRPr="00401D90">
              <w:rPr>
                <w:sz w:val="20"/>
              </w:rPr>
              <w:t>ing competition.</w:t>
            </w:r>
          </w:p>
          <w:p w:rsidR="00EA6C4C" w:rsidRDefault="00EA6C4C" w:rsidP="00B111C3">
            <w:pPr>
              <w:pStyle w:val="BoxListBullet"/>
            </w:pPr>
            <w:r>
              <w:t>To raise patent quality, the Australian Government should increase the degree of invention required to receive a patent, abolish the failed innovation patent, reconfigure costly extensions of term for pharmaceutical patents, and better structure patent fees.</w:t>
            </w:r>
          </w:p>
        </w:tc>
      </w:tr>
      <w:tr w:rsidR="00E86A68" w:rsidTr="00401D90">
        <w:trPr>
          <w:cantSplit/>
        </w:trPr>
        <w:tc>
          <w:tcPr>
            <w:tcW w:w="8614" w:type="dxa"/>
            <w:shd w:val="clear" w:color="auto" w:fill="auto"/>
            <w:tcMar>
              <w:top w:w="12" w:type="dxa"/>
              <w:left w:w="446" w:type="dxa"/>
              <w:bottom w:w="113" w:type="dxa"/>
            </w:tcMar>
          </w:tcPr>
          <w:p w:rsidR="00EA6C4C" w:rsidRDefault="00EA6C4C" w:rsidP="00412E77">
            <w:pPr>
              <w:pStyle w:val="Source"/>
            </w:pPr>
            <w:r>
              <w:t xml:space="preserve">Source: Productivity Commission (2016), Intellectual Property Arrangements, Report no. 78, </w:t>
            </w:r>
            <w:r w:rsidR="00412E77">
              <w:t>Key Points, page 2</w:t>
            </w:r>
            <w:r>
              <w:t>.</w:t>
            </w:r>
          </w:p>
        </w:tc>
      </w:tr>
    </w:tbl>
    <w:p w:rsidR="00404D8A" w:rsidRDefault="006E045C" w:rsidP="00404D8A">
      <w:pPr>
        <w:pStyle w:val="BodyText"/>
      </w:pPr>
      <w:r>
        <w:t>Various international organ</w:t>
      </w:r>
      <w:r w:rsidR="0095646E">
        <w:t>i</w:t>
      </w:r>
      <w:r>
        <w:t xml:space="preserve">sations are active in relation to the regulation of agvet products. For example, the </w:t>
      </w:r>
      <w:r w:rsidR="00404D8A">
        <w:t>Organisation for Economic Cooperation and Development (</w:t>
      </w:r>
      <w:r>
        <w:t>OECD</w:t>
      </w:r>
      <w:r w:rsidR="00404D8A">
        <w:t>)</w:t>
      </w:r>
      <w:r>
        <w:t xml:space="preserve"> has been active sinc</w:t>
      </w:r>
      <w:r w:rsidR="00404D8A">
        <w:t>e the 1990s in relation to the efficacy</w:t>
      </w:r>
      <w:r>
        <w:t xml:space="preserve"> and safe use of pesticides. In the early years of this work, there was a strong focus on mutual recognition and, in particular, mutual acceptance of data. </w:t>
      </w:r>
      <w:r w:rsidR="008809D9">
        <w:t xml:space="preserve">A 1998 </w:t>
      </w:r>
      <w:r w:rsidR="00404D8A">
        <w:t xml:space="preserve">OECD report </w:t>
      </w:r>
      <w:r w:rsidR="008809D9">
        <w:t>focussed</w:t>
      </w:r>
      <w:r w:rsidR="00404D8A">
        <w:t xml:space="preserve"> on IP </w:t>
      </w:r>
      <w:r w:rsidR="008809D9">
        <w:t>in relation to pesticide registration</w:t>
      </w:r>
      <w:r w:rsidR="00412E77">
        <w:t>.</w:t>
      </w:r>
      <w:r w:rsidR="00404D8A">
        <w:rPr>
          <w:rStyle w:val="FootnoteReference"/>
        </w:rPr>
        <w:footnoteReference w:id="5"/>
      </w:r>
      <w:r w:rsidR="004D24E5">
        <w:t xml:space="preserve"> </w:t>
      </w:r>
      <w:r w:rsidR="00412E77">
        <w:t>A</w:t>
      </w:r>
      <w:r w:rsidR="004D24E5">
        <w:t xml:space="preserve"> </w:t>
      </w:r>
      <w:r w:rsidR="008809D9">
        <w:t xml:space="preserve">2014 </w:t>
      </w:r>
      <w:r w:rsidR="004D24E5">
        <w:t>OECD Guidance Document</w:t>
      </w:r>
      <w:r w:rsidR="00756B82">
        <w:t>,</w:t>
      </w:r>
      <w:r w:rsidR="004D24E5">
        <w:t xml:space="preserve"> on regulatory incentives for registration of pesticide minor uses</w:t>
      </w:r>
      <w:r w:rsidR="00756B82">
        <w:t>,</w:t>
      </w:r>
      <w:r w:rsidR="004D24E5">
        <w:t xml:space="preserve"> </w:t>
      </w:r>
      <w:r w:rsidR="008809D9">
        <w:t xml:space="preserve">is </w:t>
      </w:r>
      <w:r w:rsidR="00E83228">
        <w:t xml:space="preserve">of particular relevance </w:t>
      </w:r>
      <w:r w:rsidR="004D24E5">
        <w:t>for this study.</w:t>
      </w:r>
      <w:r w:rsidR="004D24E5">
        <w:rPr>
          <w:rStyle w:val="FootnoteReference"/>
        </w:rPr>
        <w:footnoteReference w:id="6"/>
      </w:r>
    </w:p>
    <w:p w:rsidR="0077196A" w:rsidRPr="0005151A" w:rsidRDefault="0077196A" w:rsidP="0077196A">
      <w:r w:rsidRPr="0005151A">
        <w:t xml:space="preserve">VICH </w:t>
      </w:r>
      <w:r w:rsidR="00011698">
        <w:t>(I</w:t>
      </w:r>
      <w:r w:rsidR="00011698" w:rsidRPr="00011698">
        <w:t>nternational Cooperation on Harmonisation of Technical Requirements for Registration of Veterinary Medicinal Products</w:t>
      </w:r>
      <w:r w:rsidR="00011698">
        <w:t>)</w:t>
      </w:r>
      <w:r w:rsidR="00E83228">
        <w:t xml:space="preserve"> is </w:t>
      </w:r>
      <w:r w:rsidRPr="0005151A">
        <w:t xml:space="preserve">a trilateral (EU-Japan-USA) program aimed at harmonizing technical requirements for veterinary product registration. Other countries </w:t>
      </w:r>
      <w:r>
        <w:t xml:space="preserve">including Australia </w:t>
      </w:r>
      <w:r w:rsidRPr="0005151A">
        <w:t xml:space="preserve">are observers and have </w:t>
      </w:r>
      <w:r w:rsidR="00E27359">
        <w:t xml:space="preserve">the </w:t>
      </w:r>
      <w:r w:rsidRPr="0005151A">
        <w:t>opportunity to provide feedback on the technical data requirements.</w:t>
      </w:r>
      <w:r>
        <w:t xml:space="preserve"> </w:t>
      </w:r>
      <w:r w:rsidRPr="0005151A">
        <w:t>The role of VICH is to harmoni</w:t>
      </w:r>
      <w:r>
        <w:t>s</w:t>
      </w:r>
      <w:r w:rsidRPr="0005151A">
        <w:t>e technical requirements for data necessary for the marketing authori</w:t>
      </w:r>
      <w:r>
        <w:t>s</w:t>
      </w:r>
      <w:r w:rsidRPr="0005151A">
        <w:t>ation of veterinary medicinal product</w:t>
      </w:r>
      <w:r w:rsidR="00756B82">
        <w:t>s</w:t>
      </w:r>
      <w:r w:rsidRPr="0005151A">
        <w:t xml:space="preserve">. This is achieved by developing </w:t>
      </w:r>
      <w:r w:rsidR="008903C6" w:rsidRPr="0005151A">
        <w:t>harmoni</w:t>
      </w:r>
      <w:r w:rsidR="008903C6">
        <w:t>s</w:t>
      </w:r>
      <w:r w:rsidR="008903C6" w:rsidRPr="0005151A">
        <w:t xml:space="preserve">ed </w:t>
      </w:r>
      <w:r w:rsidRPr="0005151A">
        <w:t>guidelines on the studies to be submitted in marketing authori</w:t>
      </w:r>
      <w:r w:rsidR="00E27359">
        <w:t>s</w:t>
      </w:r>
      <w:r w:rsidRPr="0005151A">
        <w:t>ation application</w:t>
      </w:r>
      <w:r w:rsidR="00E83228">
        <w:t>s</w:t>
      </w:r>
      <w:r w:rsidRPr="0005151A">
        <w:t xml:space="preserve">. </w:t>
      </w:r>
      <w:r w:rsidR="00DC0FDF">
        <w:t xml:space="preserve">The </w:t>
      </w:r>
      <w:r>
        <w:t xml:space="preserve">VICH does </w:t>
      </w:r>
      <w:r w:rsidRPr="0005151A">
        <w:t xml:space="preserve">not </w:t>
      </w:r>
      <w:r w:rsidR="00DC0FDF">
        <w:t xml:space="preserve">provide guidance on regulatory systems. </w:t>
      </w:r>
    </w:p>
    <w:p w:rsidR="0077196A" w:rsidRPr="0005151A" w:rsidRDefault="0077196A" w:rsidP="0077196A">
      <w:r>
        <w:t xml:space="preserve">The </w:t>
      </w:r>
      <w:r w:rsidRPr="0005151A">
        <w:t>VICH Outreach Forum</w:t>
      </w:r>
      <w:r>
        <w:t xml:space="preserve"> is a recent development</w:t>
      </w:r>
      <w:r w:rsidRPr="0005151A">
        <w:t xml:space="preserve"> with the objective of providing </w:t>
      </w:r>
      <w:r w:rsidR="00AE525C">
        <w:t xml:space="preserve">a </w:t>
      </w:r>
      <w:r w:rsidRPr="0005151A">
        <w:t>basis for wider international harmoni</w:t>
      </w:r>
      <w:r w:rsidR="00BE0322">
        <w:t>s</w:t>
      </w:r>
      <w:r w:rsidRPr="0005151A">
        <w:t>ation of technical requirements, improv</w:t>
      </w:r>
      <w:r w:rsidR="00BE0322">
        <w:t>ing</w:t>
      </w:r>
      <w:r w:rsidRPr="0005151A">
        <w:t xml:space="preserve"> information exchange and r</w:t>
      </w:r>
      <w:r w:rsidR="00BE0322">
        <w:t>a</w:t>
      </w:r>
      <w:r w:rsidRPr="0005151A">
        <w:t>is</w:t>
      </w:r>
      <w:r w:rsidR="00BE0322">
        <w:t>ing</w:t>
      </w:r>
      <w:r w:rsidRPr="0005151A">
        <w:t xml:space="preserve"> awareness of VICH and V</w:t>
      </w:r>
      <w:r>
        <w:t>I</w:t>
      </w:r>
      <w:r w:rsidRPr="0005151A">
        <w:t>CH guidelines with non-VICH countries</w:t>
      </w:r>
      <w:r w:rsidR="008079E4">
        <w:t xml:space="preserve"> </w:t>
      </w:r>
      <w:r w:rsidRPr="0005151A">
        <w:t>/</w:t>
      </w:r>
      <w:r w:rsidR="008079E4">
        <w:t xml:space="preserve"> </w:t>
      </w:r>
      <w:r w:rsidRPr="0005151A">
        <w:t>regions.</w:t>
      </w:r>
    </w:p>
    <w:p w:rsidR="006E045C" w:rsidRDefault="00404D8A" w:rsidP="00404D8A">
      <w:pPr>
        <w:pStyle w:val="BodyText"/>
      </w:pPr>
      <w:r>
        <w:t xml:space="preserve">In this context, the DAWR commissioned ACIL Allen Consulting (ACIL Allen) to undertake a review of international IP arrangements </w:t>
      </w:r>
      <w:r w:rsidR="00C92296">
        <w:t xml:space="preserve">and registration processes </w:t>
      </w:r>
      <w:r>
        <w:t>for the regulation of agvet chemicals</w:t>
      </w:r>
      <w:r w:rsidR="006E045C">
        <w:t xml:space="preserve">. </w:t>
      </w:r>
    </w:p>
    <w:p w:rsidR="00F1413A" w:rsidRDefault="004847CB" w:rsidP="00F1413A">
      <w:pPr>
        <w:pStyle w:val="Heading2"/>
      </w:pPr>
      <w:bookmarkStart w:id="18" w:name="_Toc497300810"/>
      <w:r>
        <w:t>O</w:t>
      </w:r>
      <w:r w:rsidR="00F1413A">
        <w:t>bjectives</w:t>
      </w:r>
      <w:r w:rsidR="007C7B54">
        <w:t xml:space="preserve"> of the study</w:t>
      </w:r>
      <w:bookmarkEnd w:id="18"/>
    </w:p>
    <w:p w:rsidR="006E045C" w:rsidRDefault="00AE525C" w:rsidP="006E045C">
      <w:pPr>
        <w:pStyle w:val="BodyText"/>
      </w:pPr>
      <w:r>
        <w:t>The</w:t>
      </w:r>
      <w:r w:rsidR="006E045C">
        <w:t xml:space="preserve"> objective</w:t>
      </w:r>
      <w:r>
        <w:t xml:space="preserve">s </w:t>
      </w:r>
      <w:r w:rsidR="001B13B0">
        <w:t xml:space="preserve">of this study </w:t>
      </w:r>
      <w:r>
        <w:t>are</w:t>
      </w:r>
      <w:r w:rsidR="006E045C">
        <w:t xml:space="preserve"> to produce a detailed report that:</w:t>
      </w:r>
    </w:p>
    <w:p w:rsidR="006E045C" w:rsidRDefault="006E045C" w:rsidP="006E045C">
      <w:pPr>
        <w:pStyle w:val="ListBullet"/>
      </w:pPr>
      <w:r>
        <w:t>Proposes policy options to improve Australian agricultural producer’s access, through registration by the APVMA, to innovative agvet chemicals while also supporting access to generic agvet chemicals. This is to include a robust and evidence-based analysis of policy options</w:t>
      </w:r>
    </w:p>
    <w:p w:rsidR="006E045C" w:rsidRDefault="006E045C" w:rsidP="006E045C">
      <w:pPr>
        <w:pStyle w:val="ListBullet"/>
      </w:pPr>
      <w:r>
        <w:t>Includes supporting background and analysis, primarily based on desk-top research using national and international sources, as well as stakeholder consultations.</w:t>
      </w:r>
    </w:p>
    <w:p w:rsidR="006E045C" w:rsidRDefault="006E045C" w:rsidP="00D15BAD">
      <w:pPr>
        <w:pStyle w:val="ListBullet"/>
        <w:keepNext/>
        <w:ind w:hanging="448"/>
      </w:pPr>
      <w:r>
        <w:t>In th</w:t>
      </w:r>
      <w:r w:rsidR="00412E77">
        <w:t>e</w:t>
      </w:r>
      <w:r>
        <w:t xml:space="preserve"> </w:t>
      </w:r>
      <w:r w:rsidRPr="0089571B">
        <w:t>context of the registration process</w:t>
      </w:r>
      <w:r>
        <w:t xml:space="preserve"> for both new and generic agvet chemical products in Australia, the UK, EU, the </w:t>
      </w:r>
      <w:r w:rsidR="002516F8">
        <w:t>USA</w:t>
      </w:r>
      <w:r>
        <w:t>, Canada and New Zealand,</w:t>
      </w:r>
      <w:r w:rsidR="0089571B">
        <w:rPr>
          <w:rStyle w:val="FootnoteReference"/>
        </w:rPr>
        <w:footnoteReference w:id="7"/>
      </w:r>
      <w:r>
        <w:t xml:space="preserve"> document</w:t>
      </w:r>
      <w:r w:rsidR="00412E77">
        <w:t>s</w:t>
      </w:r>
      <w:r>
        <w:t xml:space="preserve"> and compare</w:t>
      </w:r>
      <w:r w:rsidR="00412E77">
        <w:t>s</w:t>
      </w:r>
      <w:r>
        <w:t xml:space="preserve"> the supporting primary and subordinate IP legislation, including the provision and trade obligations around:</w:t>
      </w:r>
    </w:p>
    <w:p w:rsidR="006E045C" w:rsidRDefault="006E045C" w:rsidP="00A32C5E">
      <w:pPr>
        <w:pStyle w:val="ListBullet2"/>
      </w:pPr>
      <w:r>
        <w:t>Patents</w:t>
      </w:r>
    </w:p>
    <w:p w:rsidR="006E045C" w:rsidRDefault="006E045C" w:rsidP="00A32C5E">
      <w:pPr>
        <w:pStyle w:val="ListBullet2"/>
      </w:pPr>
      <w:r>
        <w:t>Data protection</w:t>
      </w:r>
    </w:p>
    <w:p w:rsidR="006E045C" w:rsidRDefault="006E045C" w:rsidP="00A32C5E">
      <w:pPr>
        <w:pStyle w:val="ListBullet2"/>
      </w:pPr>
      <w:r>
        <w:t>The use and management of confidential commercial information</w:t>
      </w:r>
      <w:r w:rsidR="00863A03">
        <w:t xml:space="preserve"> </w:t>
      </w:r>
      <w:r>
        <w:t>by agvet regulatory bodies, and anything else important for understanding the intellectual property environment</w:t>
      </w:r>
      <w:r w:rsidR="00404D8A">
        <w:t>.</w:t>
      </w:r>
    </w:p>
    <w:p w:rsidR="006E045C" w:rsidRDefault="006E045C" w:rsidP="00A32C5E">
      <w:pPr>
        <w:pStyle w:val="ListBullet"/>
      </w:pPr>
      <w:r>
        <w:t>Overview</w:t>
      </w:r>
      <w:r w:rsidR="00412E77">
        <w:t>s</w:t>
      </w:r>
      <w:r>
        <w:t xml:space="preserve"> the </w:t>
      </w:r>
      <w:r w:rsidRPr="0089571B">
        <w:t>national registration arrangements</w:t>
      </w:r>
      <w:r>
        <w:t xml:space="preserve"> for both new and generic agvet chemical products for the selected countries</w:t>
      </w:r>
      <w:r w:rsidR="00412E77">
        <w:t xml:space="preserve">, </w:t>
      </w:r>
      <w:r>
        <w:t>includ</w:t>
      </w:r>
      <w:r w:rsidR="00412E77">
        <w:t>ing</w:t>
      </w:r>
      <w:r>
        <w:t xml:space="preserve"> </w:t>
      </w:r>
      <w:r w:rsidRPr="0089571B">
        <w:t>the costs and timeframes</w:t>
      </w:r>
      <w:r>
        <w:t xml:space="preserve"> involved for applicants, </w:t>
      </w:r>
      <w:r w:rsidRPr="0089571B">
        <w:t>protocols</w:t>
      </w:r>
      <w:r w:rsidR="008079E4">
        <w:t xml:space="preserve"> </w:t>
      </w:r>
      <w:r w:rsidRPr="0089571B">
        <w:t>/</w:t>
      </w:r>
      <w:r w:rsidR="008079E4">
        <w:t xml:space="preserve"> </w:t>
      </w:r>
      <w:r w:rsidRPr="0089571B">
        <w:t>protections</w:t>
      </w:r>
      <w:r>
        <w:t xml:space="preserve"> on the use and management of confidential commercial information, references to overseas registration process, recent reforms and the direction of future reforms</w:t>
      </w:r>
      <w:r w:rsidR="00404D8A">
        <w:t>.</w:t>
      </w:r>
    </w:p>
    <w:p w:rsidR="006E045C" w:rsidRDefault="006E045C" w:rsidP="00A32C5E">
      <w:pPr>
        <w:pStyle w:val="ListBullet"/>
      </w:pPr>
      <w:r>
        <w:t>For selected countries, explain</w:t>
      </w:r>
      <w:r w:rsidR="00412E77">
        <w:t>s</w:t>
      </w:r>
      <w:r>
        <w:t xml:space="preserve"> the </w:t>
      </w:r>
      <w:r w:rsidRPr="0089571B">
        <w:t>characteristics and unique features</w:t>
      </w:r>
      <w:r>
        <w:t xml:space="preserve"> of the agvet chemical markets in which these regulators operate, including any market incentives</w:t>
      </w:r>
      <w:r w:rsidR="008079E4">
        <w:t xml:space="preserve"> </w:t>
      </w:r>
      <w:r>
        <w:t>/</w:t>
      </w:r>
      <w:r w:rsidR="008079E4">
        <w:t xml:space="preserve"> </w:t>
      </w:r>
      <w:r>
        <w:t>strategic behaviours fostered by IP settings, and how these have affected the registration rates of both new and generic agvet chemical product over recent years.</w:t>
      </w:r>
    </w:p>
    <w:p w:rsidR="006E045C" w:rsidRDefault="006E045C" w:rsidP="00A32C5E">
      <w:pPr>
        <w:pStyle w:val="ListBullet"/>
      </w:pPr>
      <w:r>
        <w:t>For comparison purposes, review</w:t>
      </w:r>
      <w:r w:rsidR="00412E77">
        <w:t>s</w:t>
      </w:r>
      <w:r>
        <w:t xml:space="preserve"> and provide</w:t>
      </w:r>
      <w:r w:rsidR="00412E77">
        <w:t>s</w:t>
      </w:r>
      <w:r>
        <w:t xml:space="preserve"> a summary of the </w:t>
      </w:r>
      <w:r w:rsidRPr="0089571B">
        <w:t>available literature on the registration arrangements and supporting IP schemes in those sa</w:t>
      </w:r>
      <w:r>
        <w:t>me set of countries for human therapeutic (pharmaceutical) products</w:t>
      </w:r>
      <w:r w:rsidR="00A32C5E">
        <w:t>.</w:t>
      </w:r>
    </w:p>
    <w:p w:rsidR="00520017" w:rsidRDefault="00412E77" w:rsidP="00A32C5E">
      <w:pPr>
        <w:pStyle w:val="ListBullet"/>
      </w:pPr>
      <w:r>
        <w:t>D</w:t>
      </w:r>
      <w:r w:rsidR="006E045C">
        <w:t>evelop</w:t>
      </w:r>
      <w:r>
        <w:t>s</w:t>
      </w:r>
      <w:r w:rsidR="006E045C">
        <w:t xml:space="preserve"> policy options </w:t>
      </w:r>
      <w:r w:rsidR="00A32C5E">
        <w:t>that</w:t>
      </w:r>
      <w:r w:rsidR="006E045C">
        <w:t xml:space="preserve"> extend to considering changes to improve incentives to register agvet chemicals for minor uses.</w:t>
      </w:r>
    </w:p>
    <w:p w:rsidR="00F1413A" w:rsidRDefault="00F1413A" w:rsidP="00F1413A">
      <w:pPr>
        <w:pStyle w:val="Heading2"/>
      </w:pPr>
      <w:bookmarkStart w:id="19" w:name="_Toc497300811"/>
      <w:r>
        <w:t>Our approach</w:t>
      </w:r>
      <w:bookmarkEnd w:id="19"/>
    </w:p>
    <w:p w:rsidR="00C53184" w:rsidRDefault="00404D8A" w:rsidP="00404D8A">
      <w:pPr>
        <w:pStyle w:val="BodyText"/>
      </w:pPr>
      <w:r>
        <w:t xml:space="preserve">The approach used by ACIL Allen to meet the study objectives </w:t>
      </w:r>
      <w:r w:rsidR="00D15B5D">
        <w:t xml:space="preserve">has </w:t>
      </w:r>
      <w:r>
        <w:t>include</w:t>
      </w:r>
      <w:r w:rsidR="00D15B5D">
        <w:t>d</w:t>
      </w:r>
      <w:r>
        <w:t xml:space="preserve"> </w:t>
      </w:r>
      <w:r w:rsidR="0089571B">
        <w:t>a</w:t>
      </w:r>
      <w:r>
        <w:t xml:space="preserve"> review of Australian and international literature in relation to agvet chemical IP</w:t>
      </w:r>
      <w:r w:rsidR="0089571B">
        <w:t xml:space="preserve"> frameworks,</w:t>
      </w:r>
      <w:r>
        <w:t xml:space="preserve"> registration processes and registration arrangements </w:t>
      </w:r>
      <w:r w:rsidR="00756B82">
        <w:t xml:space="preserve">in order </w:t>
      </w:r>
      <w:r>
        <w:t xml:space="preserve">to identify policy options to improve Australian agricultural producer access to both innovative and generic agvet chemical products. </w:t>
      </w:r>
      <w:r w:rsidR="00C53184">
        <w:t>The literature identified through this review is footnoted in the relevant chapters.</w:t>
      </w:r>
    </w:p>
    <w:p w:rsidR="00404D8A" w:rsidRDefault="00404D8A" w:rsidP="00404D8A">
      <w:pPr>
        <w:pStyle w:val="BodyText"/>
      </w:pPr>
      <w:r>
        <w:t>Industry consultations (a list of organisations consulted for this project are provided in Appendix A) also supported the in-depth documentary review of the Australian and selected overseas regulatory systems and processes.</w:t>
      </w:r>
      <w:r w:rsidR="0089571B">
        <w:t xml:space="preserve"> Key considerations included:</w:t>
      </w:r>
    </w:p>
    <w:p w:rsidR="006E045C" w:rsidRDefault="006E045C" w:rsidP="006E045C">
      <w:pPr>
        <w:pStyle w:val="ListBullet"/>
      </w:pPr>
      <w:r>
        <w:t xml:space="preserve">Are </w:t>
      </w:r>
      <w:r w:rsidR="0089571B">
        <w:t xml:space="preserve">the </w:t>
      </w:r>
      <w:r>
        <w:t xml:space="preserve">characteristics and features of agvet chemical markets inhibiting the timely access to agvet chemicals </w:t>
      </w:r>
      <w:r w:rsidR="0089571B">
        <w:t xml:space="preserve">by </w:t>
      </w:r>
      <w:r>
        <w:t>Australian agricultural producers?</w:t>
      </w:r>
    </w:p>
    <w:p w:rsidR="00642847" w:rsidRDefault="006E045C" w:rsidP="006E045C">
      <w:pPr>
        <w:pStyle w:val="ListBullet"/>
      </w:pPr>
      <w:r>
        <w:t xml:space="preserve">How </w:t>
      </w:r>
      <w:r w:rsidR="0089571B">
        <w:t xml:space="preserve">do </w:t>
      </w:r>
      <w:r>
        <w:t xml:space="preserve">the Australian agvet product registration arrangements differ from other countries (UK, EU, the </w:t>
      </w:r>
      <w:r w:rsidR="002516F8">
        <w:t>USA</w:t>
      </w:r>
      <w:r>
        <w:t xml:space="preserve">, Canada and New Zealand)? </w:t>
      </w:r>
    </w:p>
    <w:p w:rsidR="006E045C" w:rsidRDefault="006E045C" w:rsidP="006E045C">
      <w:pPr>
        <w:pStyle w:val="ListBullet"/>
      </w:pPr>
      <w:r>
        <w:t>Are Austral</w:t>
      </w:r>
      <w:r w:rsidR="00642847">
        <w:t xml:space="preserve">ian registration arrangements </w:t>
      </w:r>
      <w:r>
        <w:t xml:space="preserve">effective and </w:t>
      </w:r>
      <w:r w:rsidR="00642847">
        <w:t>efficient</w:t>
      </w:r>
      <w:r>
        <w:t xml:space="preserve"> in </w:t>
      </w:r>
      <w:r w:rsidR="00642847">
        <w:t xml:space="preserve">providing </w:t>
      </w:r>
      <w:r>
        <w:t xml:space="preserve">timely access </w:t>
      </w:r>
      <w:r w:rsidR="00642847">
        <w:t>to</w:t>
      </w:r>
      <w:r>
        <w:t xml:space="preserve"> agvet chemical products </w:t>
      </w:r>
      <w:r w:rsidR="00642847">
        <w:t>for</w:t>
      </w:r>
      <w:r>
        <w:t xml:space="preserve"> Australian agricultural producers?</w:t>
      </w:r>
    </w:p>
    <w:p w:rsidR="006E045C" w:rsidRDefault="006E045C" w:rsidP="00A16BFF">
      <w:pPr>
        <w:pStyle w:val="ListBullet"/>
      </w:pPr>
      <w:r>
        <w:t>Are the nature of agvet chemical registration process</w:t>
      </w:r>
      <w:r w:rsidR="00642847">
        <w:t>es</w:t>
      </w:r>
      <w:r>
        <w:t xml:space="preserve"> and related IP </w:t>
      </w:r>
      <w:r w:rsidR="00642847">
        <w:t>frameworks</w:t>
      </w:r>
      <w:r>
        <w:t xml:space="preserve"> causing inefficiencies in timely access </w:t>
      </w:r>
      <w:r w:rsidR="00642847">
        <w:t xml:space="preserve">to </w:t>
      </w:r>
      <w:r>
        <w:t xml:space="preserve">agvet chemical products </w:t>
      </w:r>
      <w:r w:rsidR="00642847">
        <w:t>for</w:t>
      </w:r>
      <w:r>
        <w:t xml:space="preserve"> Australian agricultural producers? </w:t>
      </w:r>
    </w:p>
    <w:p w:rsidR="00642847" w:rsidRDefault="006E045C" w:rsidP="006E045C">
      <w:pPr>
        <w:pStyle w:val="ListBullet"/>
      </w:pPr>
      <w:r>
        <w:t xml:space="preserve">Is minor use an issue for </w:t>
      </w:r>
      <w:r w:rsidR="00642847">
        <w:t xml:space="preserve">the </w:t>
      </w:r>
      <w:r>
        <w:t xml:space="preserve">Australian agricultural industry? </w:t>
      </w:r>
    </w:p>
    <w:p w:rsidR="006E045C" w:rsidRDefault="006E045C" w:rsidP="00642847">
      <w:pPr>
        <w:pStyle w:val="ListBullet2"/>
      </w:pPr>
      <w:r>
        <w:t xml:space="preserve">Which </w:t>
      </w:r>
      <w:r w:rsidR="008809D9">
        <w:t xml:space="preserve">overseas </w:t>
      </w:r>
      <w:r>
        <w:t xml:space="preserve">minor use incentives </w:t>
      </w:r>
      <w:r w:rsidR="008809D9">
        <w:t xml:space="preserve">could </w:t>
      </w:r>
      <w:r>
        <w:t xml:space="preserve">deliver and improve the timely access </w:t>
      </w:r>
      <w:r w:rsidR="00642847">
        <w:t>to</w:t>
      </w:r>
      <w:r>
        <w:t xml:space="preserve"> agvet chemical products </w:t>
      </w:r>
      <w:r w:rsidR="00642847">
        <w:t>for</w:t>
      </w:r>
      <w:r>
        <w:t xml:space="preserve"> Australian agricultural producers?</w:t>
      </w:r>
    </w:p>
    <w:p w:rsidR="00642847" w:rsidRDefault="006E045C" w:rsidP="006E045C">
      <w:pPr>
        <w:pStyle w:val="ListBullet"/>
      </w:pPr>
      <w:r>
        <w:t xml:space="preserve">How </w:t>
      </w:r>
      <w:r w:rsidR="00642847">
        <w:t xml:space="preserve">do </w:t>
      </w:r>
      <w:r>
        <w:t xml:space="preserve">Australia’s veterinary medicine registration arrangements and supporting IP schemes differ from human pharmaceuticals? </w:t>
      </w:r>
    </w:p>
    <w:p w:rsidR="006E045C" w:rsidRDefault="006E045C" w:rsidP="00642847">
      <w:pPr>
        <w:pStyle w:val="ListBullet2"/>
      </w:pPr>
      <w:r>
        <w:t xml:space="preserve">Are these differences </w:t>
      </w:r>
      <w:r w:rsidR="00642847">
        <w:t>affecting</w:t>
      </w:r>
      <w:r>
        <w:t xml:space="preserve"> the timely access of agvet chemical products to Australian agricultural producers? </w:t>
      </w:r>
    </w:p>
    <w:p w:rsidR="00F1413A" w:rsidRDefault="00F1413A" w:rsidP="00D15BAD">
      <w:pPr>
        <w:pStyle w:val="Heading2"/>
      </w:pPr>
      <w:bookmarkStart w:id="20" w:name="_Toc497300812"/>
      <w:r>
        <w:t>Structure of the report</w:t>
      </w:r>
      <w:bookmarkEnd w:id="20"/>
    </w:p>
    <w:p w:rsidR="00F1413A" w:rsidRDefault="00642847" w:rsidP="00D15BAD">
      <w:pPr>
        <w:pStyle w:val="BodyText"/>
        <w:keepNext/>
        <w:keepLines/>
      </w:pPr>
      <w:r>
        <w:t>The s</w:t>
      </w:r>
      <w:r w:rsidR="00DA3778">
        <w:t>tructure of the report follows the terms of reference or key objectives of the study.</w:t>
      </w:r>
    </w:p>
    <w:p w:rsidR="00A16A56" w:rsidRDefault="00A16A56" w:rsidP="00F1413A">
      <w:pPr>
        <w:pStyle w:val="BodyText"/>
      </w:pPr>
      <w:r w:rsidRPr="002D50B4">
        <w:rPr>
          <w:i/>
        </w:rPr>
        <w:t>Chapter 2</w:t>
      </w:r>
      <w:r>
        <w:t xml:space="preserve"> explains the characteristics and unique features of the agvet chemical markets</w:t>
      </w:r>
      <w:r w:rsidR="00146D3D">
        <w:t xml:space="preserve"> in major countries</w:t>
      </w:r>
      <w:r w:rsidR="003E3B40">
        <w:t>.</w:t>
      </w:r>
    </w:p>
    <w:p w:rsidR="006E045C" w:rsidRPr="006E045C" w:rsidRDefault="006E045C" w:rsidP="006E045C">
      <w:pPr>
        <w:pStyle w:val="BodyText"/>
      </w:pPr>
      <w:r w:rsidRPr="002D50B4">
        <w:rPr>
          <w:i/>
        </w:rPr>
        <w:t>Chapter 3</w:t>
      </w:r>
      <w:r w:rsidRPr="006E045C">
        <w:t xml:space="preserve"> document</w:t>
      </w:r>
      <w:r w:rsidR="00863A03">
        <w:t>s</w:t>
      </w:r>
      <w:r w:rsidRPr="006E045C">
        <w:t xml:space="preserve"> and compar</w:t>
      </w:r>
      <w:r w:rsidR="00863A03">
        <w:t>es</w:t>
      </w:r>
      <w:r w:rsidRPr="006E045C">
        <w:t xml:space="preserve"> primary and subordinate IP legislation </w:t>
      </w:r>
      <w:r w:rsidR="00863A03">
        <w:t xml:space="preserve">and data protection </w:t>
      </w:r>
      <w:r w:rsidR="00022424">
        <w:t xml:space="preserve">(including </w:t>
      </w:r>
      <w:r w:rsidR="003E3B40">
        <w:t xml:space="preserve">confidential </w:t>
      </w:r>
      <w:r w:rsidR="00022424">
        <w:t xml:space="preserve">commercial information) </w:t>
      </w:r>
      <w:r w:rsidRPr="006E045C">
        <w:t xml:space="preserve">in Australia, </w:t>
      </w:r>
      <w:r w:rsidR="00116D13">
        <w:t xml:space="preserve">the </w:t>
      </w:r>
      <w:r w:rsidRPr="006E045C">
        <w:t xml:space="preserve">EU, </w:t>
      </w:r>
      <w:r w:rsidR="0034423F">
        <w:t xml:space="preserve">the </w:t>
      </w:r>
      <w:r w:rsidRPr="006E045C">
        <w:t xml:space="preserve">UK, </w:t>
      </w:r>
      <w:r w:rsidR="002516F8">
        <w:t>USA</w:t>
      </w:r>
      <w:r w:rsidRPr="006E045C">
        <w:t xml:space="preserve">, Canada and New Zealand in the </w:t>
      </w:r>
      <w:r w:rsidR="00863A03">
        <w:t xml:space="preserve">agvet </w:t>
      </w:r>
      <w:r w:rsidR="00116D13">
        <w:t xml:space="preserve">chemical </w:t>
      </w:r>
      <w:r w:rsidRPr="006E045C">
        <w:t>context</w:t>
      </w:r>
      <w:r w:rsidR="003E3B40">
        <w:t>.</w:t>
      </w:r>
    </w:p>
    <w:p w:rsidR="006E045C" w:rsidRDefault="006E045C" w:rsidP="006E045C">
      <w:pPr>
        <w:pStyle w:val="BodyText"/>
      </w:pPr>
      <w:r w:rsidRPr="002D50B4">
        <w:rPr>
          <w:i/>
        </w:rPr>
        <w:t>Chapter 4</w:t>
      </w:r>
      <w:r w:rsidRPr="006E045C">
        <w:t xml:space="preserve"> outlines the national registration arrangements for both new and generic agvet chemical produ</w:t>
      </w:r>
      <w:r w:rsidR="00863A03">
        <w:t xml:space="preserve">cts for </w:t>
      </w:r>
      <w:r w:rsidR="00116D13">
        <w:t xml:space="preserve">the </w:t>
      </w:r>
      <w:r w:rsidR="00863A03">
        <w:t>same selected countries</w:t>
      </w:r>
      <w:r w:rsidR="003E3B40">
        <w:t>.</w:t>
      </w:r>
      <w:r w:rsidRPr="006E045C">
        <w:t xml:space="preserve"> </w:t>
      </w:r>
    </w:p>
    <w:p w:rsidR="002D50B4" w:rsidRPr="006E045C" w:rsidRDefault="002D50B4" w:rsidP="002D50B4">
      <w:pPr>
        <w:pStyle w:val="BodyText"/>
      </w:pPr>
      <w:r w:rsidRPr="00863A03">
        <w:rPr>
          <w:i/>
        </w:rPr>
        <w:t>Chapter 5</w:t>
      </w:r>
      <w:r w:rsidR="00863A03">
        <w:t xml:space="preserve"> examines the time and costs of agvet </w:t>
      </w:r>
      <w:r w:rsidR="00116D13">
        <w:t xml:space="preserve">chemical </w:t>
      </w:r>
      <w:r w:rsidR="00863A03">
        <w:t>product registration for the</w:t>
      </w:r>
      <w:r w:rsidRPr="006E045C">
        <w:t xml:space="preserve"> same se</w:t>
      </w:r>
      <w:r w:rsidR="00863A03">
        <w:t>lected</w:t>
      </w:r>
      <w:r w:rsidRPr="006E045C">
        <w:t xml:space="preserve"> countries.</w:t>
      </w:r>
    </w:p>
    <w:p w:rsidR="006E045C" w:rsidRPr="006E045C" w:rsidRDefault="006E045C" w:rsidP="006E045C">
      <w:pPr>
        <w:pStyle w:val="BodyText"/>
      </w:pPr>
      <w:r w:rsidRPr="002D50B4">
        <w:rPr>
          <w:i/>
        </w:rPr>
        <w:t>Chapter 6</w:t>
      </w:r>
      <w:r w:rsidRPr="006E045C">
        <w:t xml:space="preserve"> discusses issues related to minor use in agvet </w:t>
      </w:r>
      <w:r w:rsidR="00116D13">
        <w:t xml:space="preserve">chemical </w:t>
      </w:r>
      <w:r w:rsidRPr="006E045C">
        <w:t>products</w:t>
      </w:r>
      <w:r w:rsidR="00116D13">
        <w:t>.</w:t>
      </w:r>
    </w:p>
    <w:p w:rsidR="006E045C" w:rsidRPr="006E045C" w:rsidRDefault="006E045C" w:rsidP="006E045C">
      <w:pPr>
        <w:pStyle w:val="BodyText"/>
      </w:pPr>
      <w:r w:rsidRPr="002D50B4">
        <w:rPr>
          <w:i/>
        </w:rPr>
        <w:t>Chapter 7</w:t>
      </w:r>
      <w:r w:rsidRPr="006E045C">
        <w:t xml:space="preserve"> </w:t>
      </w:r>
      <w:r w:rsidR="00863A03">
        <w:t xml:space="preserve">compares IP arrangements for veterinary </w:t>
      </w:r>
      <w:r w:rsidR="00721D9A">
        <w:t xml:space="preserve">medicines </w:t>
      </w:r>
      <w:r w:rsidR="00863A03">
        <w:t>and human pharmaceuticals</w:t>
      </w:r>
      <w:r w:rsidR="00116D13">
        <w:t>.</w:t>
      </w:r>
    </w:p>
    <w:p w:rsidR="006E045C" w:rsidRDefault="006E045C" w:rsidP="006E045C">
      <w:pPr>
        <w:pStyle w:val="BodyText"/>
      </w:pPr>
      <w:r w:rsidRPr="002D50B4">
        <w:rPr>
          <w:i/>
        </w:rPr>
        <w:t>Chapter 8</w:t>
      </w:r>
      <w:r w:rsidRPr="006E045C">
        <w:t xml:space="preserve"> provides findings and insights to improve Australian agricultural producers</w:t>
      </w:r>
      <w:r w:rsidR="00721D9A">
        <w:t>’</w:t>
      </w:r>
      <w:r w:rsidRPr="006E045C">
        <w:t xml:space="preserve"> timely access to agvet chemicals at the lowest possible cost.</w:t>
      </w:r>
    </w:p>
    <w:p w:rsidR="002F3BAA" w:rsidRDefault="002F3BAA" w:rsidP="00F1413A">
      <w:pPr>
        <w:pStyle w:val="BodyText"/>
      </w:pPr>
    </w:p>
    <w:p w:rsidR="002F3BAA" w:rsidRDefault="002F3BAA" w:rsidP="00F1413A">
      <w:pPr>
        <w:pStyle w:val="BodyText"/>
        <w:sectPr w:rsidR="002F3BAA" w:rsidSect="00F1413A">
          <w:headerReference w:type="even" r:id="rId33"/>
          <w:headerReference w:type="default" r:id="rId34"/>
          <w:footerReference w:type="even" r:id="rId35"/>
          <w:footerReference w:type="default" r:id="rId36"/>
          <w:headerReference w:type="first" r:id="rId37"/>
          <w:footerReference w:type="first" r:id="rId38"/>
          <w:pgSz w:w="11907" w:h="16839" w:code="9"/>
          <w:pgMar w:top="1100" w:right="443" w:bottom="1320" w:left="3296" w:header="456" w:footer="262" w:gutter="0"/>
          <w:pgNumType w:start="1"/>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5529"/>
        <w:gridCol w:w="2639"/>
      </w:tblGrid>
      <w:tr w:rsidR="00146D3D" w:rsidTr="00B46B76">
        <w:trPr>
          <w:trHeight w:hRule="exact" w:val="382"/>
        </w:trPr>
        <w:tc>
          <w:tcPr>
            <w:tcW w:w="5529" w:type="dxa"/>
            <w:shd w:val="clear" w:color="auto" w:fill="9D57A6"/>
          </w:tcPr>
          <w:p w:rsidR="00146D3D" w:rsidRDefault="00546375" w:rsidP="0006797A">
            <w:pPr>
              <w:pStyle w:val="tagchapterBanner"/>
            </w:pPr>
            <w:r>
              <w:rPr>
                <w:noProof/>
                <w:lang w:eastAsia="en-AU"/>
              </w:rPr>
              <mc:AlternateContent>
                <mc:Choice Requires="wps">
                  <w:drawing>
                    <wp:anchor distT="0" distB="0" distL="114300" distR="114300" simplePos="0" relativeHeight="251860992" behindDoc="0" locked="1" layoutInCell="1" allowOverlap="1" wp14:anchorId="1F42501A" wp14:editId="4E07C1DF">
                      <wp:simplePos x="0" y="0"/>
                      <wp:positionH relativeFrom="page">
                        <wp:posOffset>158750</wp:posOffset>
                      </wp:positionH>
                      <wp:positionV relativeFrom="page">
                        <wp:posOffset>6350</wp:posOffset>
                      </wp:positionV>
                      <wp:extent cx="439420" cy="215265"/>
                      <wp:effectExtent l="0" t="0" r="0" b="0"/>
                      <wp:wrapNone/>
                      <wp:docPr id="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545FCB" id="Freeform 5" o:spid="_x0000_s1026" style="position:absolute;margin-left:12.5pt;margin-top:.5pt;width:34.6pt;height:16.9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639" w:type="dxa"/>
            <w:shd w:val="clear" w:color="auto" w:fill="9D57A6"/>
          </w:tcPr>
          <w:p w:rsidR="00146D3D" w:rsidRDefault="00146D3D" w:rsidP="0006797A">
            <w:pPr>
              <w:pStyle w:val="spacer"/>
            </w:pPr>
          </w:p>
        </w:tc>
      </w:tr>
      <w:tr w:rsidR="00E86A68" w:rsidRPr="003D3CD2" w:rsidTr="00401D90">
        <w:trPr>
          <w:trHeight w:hRule="exact" w:val="3665"/>
        </w:trPr>
        <w:tc>
          <w:tcPr>
            <w:tcW w:w="5529" w:type="dxa"/>
            <w:shd w:val="clear" w:color="auto" w:fill="9D57A6"/>
            <w:tcMar>
              <w:left w:w="0" w:type="dxa"/>
              <w:bottom w:w="0" w:type="dxa"/>
            </w:tcMar>
            <w:vAlign w:val="bottom"/>
          </w:tcPr>
          <w:p w:rsidR="00146D3D" w:rsidRPr="0014019A" w:rsidRDefault="00146D3D" w:rsidP="00E86A68">
            <w:pPr>
              <w:pStyle w:val="Heading1"/>
              <w:spacing w:line="240" w:lineRule="auto"/>
            </w:pPr>
            <w:r>
              <w:t xml:space="preserve">Characteristics and features of </w:t>
            </w:r>
            <w:r w:rsidR="00EA6C4C">
              <w:t>agvet</w:t>
            </w:r>
            <w:r>
              <w:t xml:space="preserve"> chemical markets</w:t>
            </w:r>
          </w:p>
        </w:tc>
        <w:tc>
          <w:tcPr>
            <w:tcW w:w="2639" w:type="dxa"/>
            <w:shd w:val="clear" w:color="auto" w:fill="9D57A6"/>
            <w:tcMar>
              <w:right w:w="344" w:type="dxa"/>
            </w:tcMar>
          </w:tcPr>
          <w:p w:rsidR="00146D3D" w:rsidRPr="00F5723F" w:rsidRDefault="00221158" w:rsidP="0006797A">
            <w:pPr>
              <w:pStyle w:val="HeadingChapter"/>
              <w:keepNext/>
            </w:pPr>
            <w:r>
              <w:fldChar w:fldCharType="begin"/>
            </w:r>
            <w:r>
              <w:instrText xml:space="preserve"> SEQ ChptNum\* Arabic \* MERGEFORMAT </w:instrText>
            </w:r>
            <w:r>
              <w:fldChar w:fldCharType="separate"/>
            </w:r>
            <w:bookmarkStart w:id="21" w:name="_Toc497300813"/>
            <w:r w:rsidR="001977DE">
              <w:t>2</w:t>
            </w:r>
            <w:bookmarkEnd w:id="21"/>
            <w:r>
              <w:fldChar w:fldCharType="end"/>
            </w:r>
          </w:p>
        </w:tc>
      </w:tr>
      <w:tr w:rsidR="00E86A68" w:rsidTr="00401D90">
        <w:trPr>
          <w:trHeight w:hRule="exact" w:val="232"/>
        </w:trPr>
        <w:tc>
          <w:tcPr>
            <w:tcW w:w="5529" w:type="dxa"/>
            <w:shd w:val="clear" w:color="auto" w:fill="9D57A6"/>
          </w:tcPr>
          <w:p w:rsidR="00146D3D" w:rsidRDefault="00146D3D" w:rsidP="0006797A">
            <w:pPr>
              <w:pStyle w:val="Chpt-Context"/>
            </w:pPr>
          </w:p>
        </w:tc>
        <w:tc>
          <w:tcPr>
            <w:tcW w:w="2639" w:type="dxa"/>
            <w:shd w:val="clear" w:color="auto" w:fill="9D57A6"/>
          </w:tcPr>
          <w:p w:rsidR="00146D3D" w:rsidRPr="008A4E3C" w:rsidRDefault="00221158" w:rsidP="0006797A">
            <w:pPr>
              <w:pStyle w:val="Chpt-Context"/>
            </w:pPr>
            <w:r>
              <w:fldChar w:fldCharType="begin"/>
            </w:r>
            <w:r>
              <w:instrText xml:space="preserve"> STYLEREF  "Heading 1" \l  \* MERGEFORMAT </w:instrText>
            </w:r>
            <w:r>
              <w:fldChar w:fldCharType="separate"/>
            </w:r>
            <w:bookmarkStart w:id="22" w:name="_Toc497300814"/>
            <w:r w:rsidR="0087688C">
              <w:rPr>
                <w:noProof/>
              </w:rPr>
              <w:t>Characteristics and features of agvet chemical markets</w:t>
            </w:r>
            <w:bookmarkEnd w:id="22"/>
            <w:r>
              <w:rPr>
                <w:noProof/>
              </w:rPr>
              <w:fldChar w:fldCharType="end"/>
            </w:r>
          </w:p>
        </w:tc>
      </w:tr>
      <w:tr w:rsidR="00E86A68" w:rsidTr="00401D90">
        <w:trPr>
          <w:trHeight w:hRule="exact" w:val="228"/>
        </w:trPr>
        <w:tc>
          <w:tcPr>
            <w:tcW w:w="5529" w:type="dxa"/>
            <w:tcBorders>
              <w:top w:val="single" w:sz="4" w:space="0" w:color="9D57A6"/>
            </w:tcBorders>
            <w:shd w:val="clear" w:color="auto" w:fill="auto"/>
          </w:tcPr>
          <w:p w:rsidR="00146D3D" w:rsidRDefault="00146D3D" w:rsidP="0006797A">
            <w:pPr>
              <w:pStyle w:val="spacer"/>
            </w:pPr>
          </w:p>
        </w:tc>
        <w:tc>
          <w:tcPr>
            <w:tcW w:w="2639" w:type="dxa"/>
            <w:tcBorders>
              <w:top w:val="single" w:sz="4" w:space="0" w:color="9D57A6"/>
            </w:tcBorders>
            <w:shd w:val="clear" w:color="auto" w:fill="auto"/>
          </w:tcPr>
          <w:p w:rsidR="00146D3D" w:rsidRDefault="00146D3D" w:rsidP="0006797A">
            <w:pPr>
              <w:pStyle w:val="spacer"/>
            </w:pPr>
          </w:p>
        </w:tc>
      </w:tr>
    </w:tbl>
    <w:p w:rsidR="006020FB" w:rsidRDefault="006020FB" w:rsidP="006020FB">
      <w:pPr>
        <w:pStyle w:val="BodyText"/>
      </w:pPr>
      <w:r>
        <w:t>Agvet chemicals play an important role in crop production, public health, environmental protection and animal welfare. They comprise a broad range of substances including insecticides, herbicides, fungicides, rodenticides, parasiticides, vaccines and antibiotics.</w:t>
      </w:r>
    </w:p>
    <w:p w:rsidR="006020FB" w:rsidRDefault="00642847" w:rsidP="006020FB">
      <w:pPr>
        <w:spacing w:after="0"/>
      </w:pPr>
      <w:r>
        <w:t xml:space="preserve">As at February 2017, the APVMA </w:t>
      </w:r>
      <w:r w:rsidR="00BE1167">
        <w:t>was</w:t>
      </w:r>
      <w:r>
        <w:t xml:space="preserve"> </w:t>
      </w:r>
      <w:r w:rsidR="00BE1167">
        <w:t xml:space="preserve">reported as having </w:t>
      </w:r>
      <w:r>
        <w:t>registered over 13,000 products and chemicals for over 900 businesses, individuals and organisations.</w:t>
      </w:r>
      <w:r>
        <w:rPr>
          <w:rStyle w:val="FootnoteReference"/>
        </w:rPr>
        <w:footnoteReference w:id="8"/>
      </w:r>
      <w:r>
        <w:t xml:space="preserve"> </w:t>
      </w:r>
      <w:r w:rsidR="00212752">
        <w:t>Nearly 75 per cent of these registrations related to agricultural chemicals</w:t>
      </w:r>
      <w:r w:rsidR="00412E77">
        <w:t>, with</w:t>
      </w:r>
      <w:r w:rsidR="00212752">
        <w:t xml:space="preserve"> the remaining </w:t>
      </w:r>
      <w:r w:rsidR="007850CE">
        <w:t xml:space="preserve">25 </w:t>
      </w:r>
      <w:r w:rsidR="00412E77">
        <w:t>per cent</w:t>
      </w:r>
      <w:r w:rsidR="00212752">
        <w:t xml:space="preserve"> </w:t>
      </w:r>
      <w:r w:rsidR="00C0446F">
        <w:t>for</w:t>
      </w:r>
      <w:r w:rsidR="00212752">
        <w:t xml:space="preserve"> veterinary chemicals.</w:t>
      </w:r>
    </w:p>
    <w:p w:rsidR="006020FB" w:rsidRPr="00E97222" w:rsidRDefault="006020FB" w:rsidP="006020FB">
      <w:pPr>
        <w:pStyle w:val="BodyText"/>
      </w:pPr>
      <w:r w:rsidRPr="00E97222">
        <w:t>This chapter provide</w:t>
      </w:r>
      <w:r>
        <w:t>s</w:t>
      </w:r>
      <w:r w:rsidRPr="00E97222">
        <w:t xml:space="preserve"> some information on the characteristics and unique features of the agvet chemical markets in </w:t>
      </w:r>
      <w:r>
        <w:t>Australia</w:t>
      </w:r>
      <w:r w:rsidR="00412E77">
        <w:t xml:space="preserve"> and</w:t>
      </w:r>
      <w:r w:rsidR="006075A4">
        <w:t xml:space="preserve"> some selected countries</w:t>
      </w:r>
      <w:r>
        <w:t xml:space="preserve">, as well as globally. It details the context within which Australia’s </w:t>
      </w:r>
      <w:r w:rsidRPr="00E97222">
        <w:t>regulator operate</w:t>
      </w:r>
      <w:r>
        <w:t>s</w:t>
      </w:r>
      <w:r w:rsidR="00412E77">
        <w:t>,</w:t>
      </w:r>
      <w:r w:rsidRPr="00E97222">
        <w:t xml:space="preserve"> including </w:t>
      </w:r>
      <w:r>
        <w:t xml:space="preserve">the types of </w:t>
      </w:r>
      <w:r w:rsidRPr="00E97222">
        <w:t>market incentives</w:t>
      </w:r>
      <w:r w:rsidR="00412E77">
        <w:t xml:space="preserve"> </w:t>
      </w:r>
      <w:r w:rsidRPr="00E97222">
        <w:t>/</w:t>
      </w:r>
      <w:r w:rsidR="00412E77">
        <w:t xml:space="preserve"> </w:t>
      </w:r>
      <w:r w:rsidRPr="00E97222">
        <w:t xml:space="preserve">strategic behaviours fostered by IP settings and how </w:t>
      </w:r>
      <w:r>
        <w:t xml:space="preserve">these settings </w:t>
      </w:r>
      <w:r w:rsidR="00412E77">
        <w:t xml:space="preserve">have </w:t>
      </w:r>
      <w:r>
        <w:t>influence</w:t>
      </w:r>
      <w:r w:rsidR="00412E77">
        <w:t>d</w:t>
      </w:r>
      <w:r>
        <w:t xml:space="preserve"> the rates of registration for both </w:t>
      </w:r>
      <w:r w:rsidRPr="00E97222">
        <w:t xml:space="preserve">new and generic agvet chemical products </w:t>
      </w:r>
      <w:r>
        <w:t xml:space="preserve">in </w:t>
      </w:r>
      <w:r w:rsidRPr="00E97222">
        <w:t xml:space="preserve">recent years. </w:t>
      </w:r>
    </w:p>
    <w:p w:rsidR="0065658C" w:rsidRDefault="0065658C" w:rsidP="0065658C">
      <w:pPr>
        <w:pStyle w:val="Heading2"/>
      </w:pPr>
      <w:bookmarkStart w:id="23" w:name="_Toc485482844"/>
      <w:bookmarkStart w:id="24" w:name="_Toc497300815"/>
      <w:r>
        <w:t>Key features of agvet chemical markets</w:t>
      </w:r>
      <w:bookmarkEnd w:id="23"/>
      <w:bookmarkEnd w:id="24"/>
    </w:p>
    <w:p w:rsidR="006020FB" w:rsidRDefault="006020FB" w:rsidP="006020FB">
      <w:pPr>
        <w:pStyle w:val="BodyText"/>
      </w:pPr>
      <w:r>
        <w:t xml:space="preserve">The agvet chemical markets in the world are influenced by complex legislative and regulatory regimes underpinned by producer, environmental, and animal and human safety protection objectives, the supply of agvet chemicals (mainly from the Asia, North American and European zones) and derived demand for agvet chemicals from the primary agricultural producers. </w:t>
      </w:r>
    </w:p>
    <w:p w:rsidR="006020FB" w:rsidRDefault="006020FB" w:rsidP="006020FB">
      <w:pPr>
        <w:pStyle w:val="BodyText"/>
      </w:pPr>
      <w:r>
        <w:t xml:space="preserve">In general, </w:t>
      </w:r>
      <w:r w:rsidR="00743612">
        <w:t xml:space="preserve">innovative </w:t>
      </w:r>
      <w:r>
        <w:t>agvet chemical producers are:</w:t>
      </w:r>
    </w:p>
    <w:p w:rsidR="006020FB" w:rsidRDefault="006020FB" w:rsidP="006020FB">
      <w:pPr>
        <w:pStyle w:val="ListBullet"/>
      </w:pPr>
      <w:r>
        <w:t xml:space="preserve">highly concentrated and exert monopoly or oligopoly market power </w:t>
      </w:r>
    </w:p>
    <w:p w:rsidR="006020FB" w:rsidRDefault="006020FB" w:rsidP="006020FB">
      <w:pPr>
        <w:pStyle w:val="ListBullet"/>
      </w:pPr>
      <w:r>
        <w:t>global in nature with international operations and plants in numerous countries</w:t>
      </w:r>
    </w:p>
    <w:p w:rsidR="006020FB" w:rsidRDefault="00464F2A" w:rsidP="006020FB">
      <w:pPr>
        <w:pStyle w:val="ListBullet"/>
      </w:pPr>
      <w:r>
        <w:t xml:space="preserve">more likely to </w:t>
      </w:r>
      <w:r w:rsidR="006020FB">
        <w:t xml:space="preserve">incur </w:t>
      </w:r>
      <w:r w:rsidR="00412E77">
        <w:t xml:space="preserve">significant </w:t>
      </w:r>
      <w:r w:rsidR="006020FB">
        <w:t xml:space="preserve">R&amp;D costs, and </w:t>
      </w:r>
    </w:p>
    <w:p w:rsidR="006020FB" w:rsidRDefault="006020FB" w:rsidP="006020FB">
      <w:pPr>
        <w:pStyle w:val="ListBullet"/>
      </w:pPr>
      <w:r>
        <w:t xml:space="preserve">dynamic and may release new products with </w:t>
      </w:r>
      <w:r w:rsidR="00743612">
        <w:t xml:space="preserve">the </w:t>
      </w:r>
      <w:r>
        <w:t>same active ingredient and</w:t>
      </w:r>
      <w:r w:rsidR="008079E4">
        <w:t xml:space="preserve"> </w:t>
      </w:r>
      <w:r>
        <w:t>/</w:t>
      </w:r>
      <w:r w:rsidR="008079E4">
        <w:t xml:space="preserve"> </w:t>
      </w:r>
      <w:r>
        <w:t>or different formulations (e.g. to address the development of resistance to chemicals).</w:t>
      </w:r>
    </w:p>
    <w:p w:rsidR="00A21D7E" w:rsidRDefault="00A21D7E" w:rsidP="00A21D7E">
      <w:pPr>
        <w:pStyle w:val="BodyText"/>
      </w:pPr>
      <w:r>
        <w:t>The supply elasticities for generic and patented products are impacted by national regulations. Agvet products face specific regulations and complex IP laws and data exclusivity arrangements in most developed countries</w:t>
      </w:r>
      <w:r w:rsidR="00C12B12">
        <w:t>.</w:t>
      </w:r>
      <w:r w:rsidR="00756B82">
        <w:t xml:space="preserve"> (</w:t>
      </w:r>
      <w:r w:rsidRPr="006D069E">
        <w:rPr>
          <w:b/>
        </w:rPr>
        <w:t>Box 2.1</w:t>
      </w:r>
      <w:r>
        <w:rPr>
          <w:b/>
        </w:rPr>
        <w:t xml:space="preserve"> </w:t>
      </w:r>
      <w:r>
        <w:t>explains the concept of data protection / exclusivity</w:t>
      </w:r>
      <w:r>
        <w:rPr>
          <w:b/>
        </w:rPr>
        <w:t>)</w:t>
      </w:r>
      <w:r>
        <w:t>. Original product manufacturers also face increased pressures from generic products, and are constantly seeking greater protection of their early-stage investments in developing and commercialising products.</w:t>
      </w:r>
      <w:r w:rsidR="003F7CC3">
        <w:t xml:space="preserve"> These factors have contributed to a decline a number of new active ingredients introduced in to the market.</w:t>
      </w:r>
    </w:p>
    <w:p w:rsidR="005D58C1" w:rsidRDefault="0065658C" w:rsidP="00C0446F">
      <w:pPr>
        <w:pStyle w:val="BodyText"/>
      </w:pPr>
      <w:r>
        <w:t>Agvet product consumers</w:t>
      </w:r>
      <w:r w:rsidR="00C0446F">
        <w:t xml:space="preserve"> </w:t>
      </w:r>
      <w:r>
        <w:t>operate in highly competitive and volatile product markets</w:t>
      </w:r>
      <w:r w:rsidR="00C0446F">
        <w:t xml:space="preserve"> and </w:t>
      </w:r>
      <w:r w:rsidR="00412E77">
        <w:t xml:space="preserve">are </w:t>
      </w:r>
      <w:r>
        <w:t>price takers in their product markets</w:t>
      </w:r>
      <w:r w:rsidR="00383D38">
        <w:t>.</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B111C3" w:rsidRPr="00AF3F55" w:rsidRDefault="00B111C3" w:rsidP="000F2523">
            <w:pPr>
              <w:pStyle w:val="Caption"/>
            </w:pPr>
            <w:bookmarkStart w:id="25" w:name="_Toc497132830"/>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1</w:t>
            </w:r>
            <w:r w:rsidRPr="00AF3F55">
              <w:rPr>
                <w:rStyle w:val="CaptionLabel"/>
              </w:rPr>
              <w:fldChar w:fldCharType="end"/>
            </w:r>
            <w:r>
              <w:tab/>
              <w:t xml:space="preserve">Data protection </w:t>
            </w:r>
            <w:r w:rsidR="000F2523">
              <w:t>and</w:t>
            </w:r>
            <w:r>
              <w:t xml:space="preserve"> exclusivity</w:t>
            </w:r>
            <w:bookmarkEnd w:id="25"/>
          </w:p>
        </w:tc>
      </w:tr>
      <w:tr w:rsidR="00B111C3" w:rsidRPr="00B07121" w:rsidTr="00B46B76">
        <w:trPr>
          <w:cantSplit/>
          <w:trHeight w:hRule="exact" w:val="380"/>
        </w:trPr>
        <w:tc>
          <w:tcPr>
            <w:tcW w:w="8614" w:type="dxa"/>
            <w:shd w:val="clear" w:color="auto" w:fill="E4E0DD"/>
          </w:tcPr>
          <w:p w:rsidR="00B111C3" w:rsidRPr="00B07121" w:rsidRDefault="004F7246" w:rsidP="00781B7A">
            <w:pPr>
              <w:pStyle w:val="spacer"/>
            </w:pPr>
            <w:r w:rsidRPr="00B07121">
              <w:rPr>
                <w:noProof/>
                <w:lang w:eastAsia="en-AU"/>
              </w:rPr>
              <mc:AlternateContent>
                <mc:Choice Requires="wps">
                  <w:drawing>
                    <wp:anchor distT="0" distB="0" distL="114300" distR="114300" simplePos="0" relativeHeight="251979776" behindDoc="0" locked="1" layoutInCell="1" allowOverlap="1" wp14:anchorId="2CE91098" wp14:editId="042E624D">
                      <wp:simplePos x="0" y="0"/>
                      <wp:positionH relativeFrom="rightMargin">
                        <wp:posOffset>-589280</wp:posOffset>
                      </wp:positionH>
                      <wp:positionV relativeFrom="page">
                        <wp:posOffset>15875</wp:posOffset>
                      </wp:positionV>
                      <wp:extent cx="436880" cy="213360"/>
                      <wp:effectExtent l="0" t="0" r="1270" b="0"/>
                      <wp:wrapNone/>
                      <wp:docPr id="1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AB3B56" id="Freeform 5" o:spid="_x0000_s1026" style="position:absolute;margin-left:-46.4pt;margin-top:1.25pt;width:34.4pt;height:16.8pt;z-index:25197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r w:rsidR="00546375">
              <w:rPr>
                <w:noProof/>
                <w:lang w:eastAsia="en-AU"/>
              </w:rPr>
              <mc:AlternateContent>
                <mc:Choice Requires="wps">
                  <w:drawing>
                    <wp:anchor distT="0" distB="0" distL="114300" distR="114300" simplePos="0" relativeHeight="251863040" behindDoc="0" locked="1" layoutInCell="1" allowOverlap="1" wp14:anchorId="23EDAF56" wp14:editId="706C3AB9">
                      <wp:simplePos x="0" y="0"/>
                      <wp:positionH relativeFrom="page">
                        <wp:posOffset>6223635</wp:posOffset>
                      </wp:positionH>
                      <wp:positionV relativeFrom="page">
                        <wp:posOffset>945515</wp:posOffset>
                      </wp:positionV>
                      <wp:extent cx="436880" cy="213360"/>
                      <wp:effectExtent l="0" t="0" r="1270" b="0"/>
                      <wp:wrapNone/>
                      <wp:docPr id="4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573177" id="Freeform 5" o:spid="_x0000_s1026" style="position:absolute;margin-left:490.05pt;margin-top:74.45pt;width:34.4pt;height:16.8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B111C3" w:rsidRDefault="000F2523" w:rsidP="00B111C3">
            <w:pPr>
              <w:pStyle w:val="BoxText"/>
            </w:pPr>
            <w:r>
              <w:t>Data</w:t>
            </w:r>
            <w:r w:rsidR="00B111C3">
              <w:t xml:space="preserve"> exclusivity </w:t>
            </w:r>
            <w:r>
              <w:t>applie</w:t>
            </w:r>
            <w:r w:rsidR="00A21D7E">
              <w:t>s</w:t>
            </w:r>
            <w:r>
              <w:t xml:space="preserve"> to </w:t>
            </w:r>
            <w:r w:rsidR="00C0446F">
              <w:t xml:space="preserve">the use of </w:t>
            </w:r>
            <w:r w:rsidR="00B111C3">
              <w:t xml:space="preserve">data submitted to support an application for regulatory approval of a new </w:t>
            </w:r>
            <w:r>
              <w:t>agvet</w:t>
            </w:r>
            <w:r w:rsidR="00B111C3">
              <w:t xml:space="preserve"> product. </w:t>
            </w:r>
            <w:r>
              <w:t>Internationally, the t</w:t>
            </w:r>
            <w:r w:rsidR="00B111C3">
              <w:t>erms data protection</w:t>
            </w:r>
            <w:r>
              <w:t xml:space="preserve"> and </w:t>
            </w:r>
            <w:r w:rsidR="00B111C3">
              <w:t xml:space="preserve">data exclusivity are </w:t>
            </w:r>
            <w:r>
              <w:t>used interchangeably</w:t>
            </w:r>
            <w:r w:rsidR="00B111C3">
              <w:t xml:space="preserve">. </w:t>
            </w:r>
            <w:r>
              <w:t xml:space="preserve">Australia’s Agvet Code does not use the term exclusivity. </w:t>
            </w:r>
            <w:r w:rsidR="00B111C3">
              <w:t xml:space="preserve">The Productivity Commission has adopted the following definition: </w:t>
            </w:r>
          </w:p>
          <w:p w:rsidR="00B111C3" w:rsidRDefault="00B111C3" w:rsidP="00412E77">
            <w:pPr>
              <w:pStyle w:val="BoxText"/>
            </w:pPr>
            <w:r w:rsidRPr="00412E77">
              <w:rPr>
                <w:b/>
              </w:rPr>
              <w:t>Data protection</w:t>
            </w:r>
            <w:r>
              <w:t xml:space="preserve">, sometimes referred to as data exclusivity, describes the period in which a follow-on </w:t>
            </w:r>
            <w:r w:rsidR="006D069E">
              <w:t xml:space="preserve">(generic) </w:t>
            </w:r>
            <w:r>
              <w:t>manufacturer is prohibited from seeking approval</w:t>
            </w:r>
            <w:r w:rsidR="006D069E">
              <w:t xml:space="preserve"> based on the originator’s data</w:t>
            </w:r>
            <w:r>
              <w:t>. The regulator cannot commence its assessment of the biosimilar based on a reliance on the earlier data until this period expires.</w:t>
            </w:r>
          </w:p>
        </w:tc>
      </w:tr>
      <w:tr w:rsidR="00E86A68" w:rsidTr="00401D90">
        <w:trPr>
          <w:cantSplit/>
        </w:trPr>
        <w:tc>
          <w:tcPr>
            <w:tcW w:w="8614" w:type="dxa"/>
            <w:shd w:val="clear" w:color="auto" w:fill="auto"/>
            <w:tcMar>
              <w:top w:w="12" w:type="dxa"/>
              <w:left w:w="446" w:type="dxa"/>
              <w:bottom w:w="113" w:type="dxa"/>
            </w:tcMar>
          </w:tcPr>
          <w:p w:rsidR="00B111C3" w:rsidRDefault="00B111C3" w:rsidP="000F2523">
            <w:pPr>
              <w:pStyle w:val="Source"/>
            </w:pPr>
            <w:r>
              <w:t>Source: Productivity Commission (2016) Intellectual Property Arrangements – Draft report</w:t>
            </w:r>
          </w:p>
        </w:tc>
      </w:tr>
    </w:tbl>
    <w:p w:rsidR="00383D38" w:rsidRDefault="006020FB" w:rsidP="004F7246">
      <w:pPr>
        <w:pStyle w:val="BodyText"/>
        <w:spacing w:before="240"/>
      </w:pPr>
      <w:r>
        <w:t xml:space="preserve">Agvet chemicals are a significant component of </w:t>
      </w:r>
      <w:r w:rsidR="00756B82">
        <w:t>user</w:t>
      </w:r>
      <w:r>
        <w:t xml:space="preserve"> cost structures</w:t>
      </w:r>
      <w:r w:rsidR="00383D38">
        <w:t xml:space="preserve"> and, as a result primary producers are sensitive to agvet chemical prices</w:t>
      </w:r>
      <w:r>
        <w:t>.</w:t>
      </w:r>
      <w:r w:rsidR="00383D38">
        <w:t xml:space="preserve"> When generic products enter the market they can be significantly less expensive than the original patented product. For example, </w:t>
      </w:r>
      <w:r w:rsidR="003D4036">
        <w:t xml:space="preserve">some US studies </w:t>
      </w:r>
      <w:r w:rsidR="00383D38">
        <w:t>have shown that a</w:t>
      </w:r>
      <w:r w:rsidR="003D4036">
        <w:t xml:space="preserve"> generic herbicide </w:t>
      </w:r>
      <w:r w:rsidR="00383D38">
        <w:t>can be</w:t>
      </w:r>
      <w:r w:rsidR="003D4036">
        <w:t xml:space="preserve"> 56 per cent less expensive than the </w:t>
      </w:r>
      <w:r w:rsidR="00383D38">
        <w:t xml:space="preserve">original </w:t>
      </w:r>
      <w:r w:rsidR="003D4036">
        <w:t xml:space="preserve">branded </w:t>
      </w:r>
      <w:r w:rsidR="00FB7CC4">
        <w:t>product</w:t>
      </w:r>
      <w:r w:rsidR="003D4036">
        <w:t>.</w:t>
      </w:r>
      <w:r w:rsidR="003D4036">
        <w:rPr>
          <w:rStyle w:val="FootnoteReference"/>
        </w:rPr>
        <w:footnoteReference w:id="9"/>
      </w:r>
      <w:r>
        <w:t xml:space="preserve"> </w:t>
      </w:r>
    </w:p>
    <w:p w:rsidR="003D4036" w:rsidRDefault="006020FB" w:rsidP="006020FB">
      <w:pPr>
        <w:pStyle w:val="BodyText"/>
      </w:pPr>
      <w:r>
        <w:t xml:space="preserve">The </w:t>
      </w:r>
      <w:r w:rsidR="00383D38">
        <w:t>combination</w:t>
      </w:r>
      <w:r>
        <w:t xml:space="preserve"> of the market power of agvet chemical producers</w:t>
      </w:r>
      <w:r w:rsidR="00383D38">
        <w:t>,</w:t>
      </w:r>
      <w:r>
        <w:t xml:space="preserve"> the competitive nature of agricultural producers</w:t>
      </w:r>
      <w:r w:rsidR="00383D38">
        <w:t>,</w:t>
      </w:r>
      <w:r>
        <w:t xml:space="preserve"> </w:t>
      </w:r>
      <w:r w:rsidR="00383D38">
        <w:t xml:space="preserve">and the impact of regulation </w:t>
      </w:r>
      <w:r>
        <w:t xml:space="preserve">create a </w:t>
      </w:r>
      <w:r w:rsidR="00C0446F">
        <w:t xml:space="preserve">complex and </w:t>
      </w:r>
      <w:r>
        <w:t>unique dynamic within agvet chemical markets</w:t>
      </w:r>
      <w:r w:rsidR="00383D38">
        <w:t>. In these circumstances</w:t>
      </w:r>
      <w:r w:rsidR="00756B82">
        <w:t>,</w:t>
      </w:r>
      <w:r>
        <w:t xml:space="preserve"> </w:t>
      </w:r>
      <w:r w:rsidR="00383D38">
        <w:t>a</w:t>
      </w:r>
      <w:r w:rsidR="003D4036">
        <w:t>gvet chemical legislation would appear to be a significant factor</w:t>
      </w:r>
      <w:r w:rsidR="00383D38">
        <w:t xml:space="preserve">. </w:t>
      </w:r>
    </w:p>
    <w:p w:rsidR="00A21D7E" w:rsidRDefault="00A21D7E" w:rsidP="00A21D7E">
      <w:pPr>
        <w:pStyle w:val="BodyText"/>
      </w:pPr>
      <w:r>
        <w:t>Which entities undertake agvet chemical R&amp;D and where they conduct the research is another significant influence on the Australian and global agvet chemical market. Research related to the discovery of new molecules and active ingredients or constituents tends to be undertaken either in the USA or Europe. Formulation and packaging development is more widespread</w:t>
      </w:r>
      <w:r w:rsidR="00756B82">
        <w:t>,</w:t>
      </w:r>
      <w:r>
        <w:t xml:space="preserve"> and often located in or near final markets where local data is required for regulatory approvals.</w:t>
      </w:r>
    </w:p>
    <w:p w:rsidR="00C31222" w:rsidRDefault="00C31222" w:rsidP="00581542">
      <w:pPr>
        <w:pStyle w:val="Heading3"/>
      </w:pPr>
      <w:r>
        <w:t>Global production</w:t>
      </w:r>
    </w:p>
    <w:p w:rsidR="00C31222" w:rsidRDefault="00C31222" w:rsidP="00C31222">
      <w:pPr>
        <w:pStyle w:val="BodyText"/>
        <w:rPr>
          <w:lang w:val="en-US"/>
        </w:rPr>
      </w:pPr>
      <w:r>
        <w:rPr>
          <w:lang w:val="en-US"/>
        </w:rPr>
        <w:t xml:space="preserve">The major players in the global pesticides manufacturing industry are multinational chemical companies which typically offer a diverse range of chemical-based products. While R&amp;D activities tend to be limited to a few countries, chemical synthesis and product formulation occurs in numerous locations, often reflecting the existence of import tariffs on finished products, freight-saving advantages, the regulatory environment </w:t>
      </w:r>
      <w:r w:rsidR="00FB7CC4">
        <w:rPr>
          <w:lang w:val="en-US"/>
        </w:rPr>
        <w:t xml:space="preserve">and / </w:t>
      </w:r>
      <w:r>
        <w:rPr>
          <w:lang w:val="en-US"/>
        </w:rPr>
        <w:t xml:space="preserve">or the need to adapt the product to the local market. </w:t>
      </w:r>
    </w:p>
    <w:p w:rsidR="00C31222" w:rsidRDefault="00C31222" w:rsidP="00C31222">
      <w:pPr>
        <w:pStyle w:val="BodyText"/>
        <w:rPr>
          <w:lang w:val="en-US"/>
        </w:rPr>
      </w:pPr>
      <w:r>
        <w:rPr>
          <w:lang w:val="en-US"/>
        </w:rPr>
        <w:t xml:space="preserve">Total sales for the global crop-protection and non-crop chemicals industry now exceed </w:t>
      </w:r>
      <w:r w:rsidR="00FB7CC4">
        <w:rPr>
          <w:lang w:val="en-US"/>
        </w:rPr>
        <w:t>A</w:t>
      </w:r>
      <w:r>
        <w:rPr>
          <w:lang w:val="en-US"/>
        </w:rPr>
        <w:t>$80 billion.</w:t>
      </w:r>
      <w:r>
        <w:rPr>
          <w:rStyle w:val="FootnoteReference"/>
          <w:lang w:val="en-US"/>
        </w:rPr>
        <w:footnoteReference w:id="10"/>
      </w:r>
      <w:r>
        <w:rPr>
          <w:lang w:val="en-US"/>
        </w:rPr>
        <w:t xml:space="preserve"> Top global players include: </w:t>
      </w:r>
    </w:p>
    <w:p w:rsidR="00C31222" w:rsidRDefault="00C31222" w:rsidP="00C31222">
      <w:pPr>
        <w:pStyle w:val="ListBullet"/>
        <w:spacing w:before="0" w:after="0" w:line="240" w:lineRule="auto"/>
        <w:rPr>
          <w:lang w:val="en-US"/>
        </w:rPr>
      </w:pPr>
      <w:r>
        <w:rPr>
          <w:lang w:val="en-US"/>
        </w:rPr>
        <w:t>Bayer CropScience</w:t>
      </w:r>
    </w:p>
    <w:p w:rsidR="00C31222" w:rsidRDefault="00C31222" w:rsidP="00C31222">
      <w:pPr>
        <w:pStyle w:val="ListBullet"/>
        <w:spacing w:before="0" w:after="0" w:line="240" w:lineRule="auto"/>
        <w:rPr>
          <w:lang w:val="en-US"/>
        </w:rPr>
      </w:pPr>
      <w:r>
        <w:rPr>
          <w:lang w:val="en-US"/>
        </w:rPr>
        <w:t xml:space="preserve">Syngenta AG </w:t>
      </w:r>
    </w:p>
    <w:p w:rsidR="00C31222" w:rsidRDefault="00C31222" w:rsidP="00C31222">
      <w:pPr>
        <w:pStyle w:val="ListBullet"/>
        <w:spacing w:before="0" w:after="0" w:line="240" w:lineRule="auto"/>
        <w:rPr>
          <w:lang w:val="en-US"/>
        </w:rPr>
      </w:pPr>
      <w:r>
        <w:rPr>
          <w:lang w:val="en-US"/>
        </w:rPr>
        <w:t xml:space="preserve">BASF SE </w:t>
      </w:r>
    </w:p>
    <w:p w:rsidR="00C31222" w:rsidRDefault="00C31222" w:rsidP="00C31222">
      <w:pPr>
        <w:pStyle w:val="ListBullet"/>
        <w:spacing w:before="0" w:after="0" w:line="240" w:lineRule="auto"/>
        <w:rPr>
          <w:lang w:val="en-US"/>
        </w:rPr>
      </w:pPr>
      <w:r>
        <w:rPr>
          <w:lang w:val="en-US"/>
        </w:rPr>
        <w:t xml:space="preserve">Dow AgroSciences </w:t>
      </w:r>
    </w:p>
    <w:p w:rsidR="00C31222" w:rsidRDefault="00C31222" w:rsidP="00C31222">
      <w:pPr>
        <w:pStyle w:val="ListBullet"/>
        <w:spacing w:before="0" w:after="0" w:line="240" w:lineRule="auto"/>
        <w:rPr>
          <w:lang w:val="en-US"/>
        </w:rPr>
      </w:pPr>
      <w:r>
        <w:rPr>
          <w:lang w:val="en-US"/>
        </w:rPr>
        <w:t>DuPont</w:t>
      </w:r>
      <w:r w:rsidR="00933DB4">
        <w:rPr>
          <w:lang w:val="en-US"/>
        </w:rPr>
        <w:t>, and</w:t>
      </w:r>
      <w:r>
        <w:rPr>
          <w:lang w:val="en-US"/>
        </w:rPr>
        <w:t xml:space="preserve"> </w:t>
      </w:r>
    </w:p>
    <w:p w:rsidR="00C31222" w:rsidRDefault="00C31222" w:rsidP="00C31222">
      <w:pPr>
        <w:pStyle w:val="ListBullet"/>
        <w:spacing w:before="0" w:after="0" w:line="240" w:lineRule="auto"/>
        <w:rPr>
          <w:lang w:val="en-US"/>
        </w:rPr>
      </w:pPr>
      <w:r>
        <w:rPr>
          <w:lang w:val="en-US"/>
        </w:rPr>
        <w:t>Sumitomo Chemicals</w:t>
      </w:r>
      <w:r w:rsidR="00933DB4">
        <w:rPr>
          <w:lang w:val="en-US"/>
        </w:rPr>
        <w:t>.</w:t>
      </w:r>
      <w:r>
        <w:rPr>
          <w:lang w:val="en-US"/>
        </w:rPr>
        <w:t xml:space="preserve"> </w:t>
      </w:r>
    </w:p>
    <w:p w:rsidR="00A21D7E" w:rsidRDefault="00A21D7E" w:rsidP="00A21D7E">
      <w:pPr>
        <w:pStyle w:val="BodyText"/>
        <w:rPr>
          <w:lang w:val="en-US"/>
        </w:rPr>
      </w:pPr>
      <w:r>
        <w:rPr>
          <w:lang w:val="en-US"/>
        </w:rPr>
        <w:t>Factors shaping the agvet chemical industry in recent years include the rise of generic companies, the move towards outsourcing and the rationalisation of product portfolios, which are associated with industry consolidation and globalisation. The industry is characterised by a high level of globalisation, which looks set to continue.</w:t>
      </w:r>
    </w:p>
    <w:p w:rsidR="00C31222" w:rsidRDefault="00C31222" w:rsidP="004F7246">
      <w:pPr>
        <w:pStyle w:val="BodyText"/>
        <w:keepNext/>
        <w:keepLines/>
        <w:rPr>
          <w:lang w:val="en-US"/>
        </w:rPr>
      </w:pPr>
      <w:r>
        <w:rPr>
          <w:lang w:val="en-US"/>
        </w:rPr>
        <w:t xml:space="preserve">The veterinary pharmaceutical manufacturing industry forms part of a global industry dominated by various global research-based pharmaceutical companies that manufacture </w:t>
      </w:r>
      <w:r w:rsidR="00FB7CC4">
        <w:rPr>
          <w:lang w:val="en-US"/>
        </w:rPr>
        <w:t xml:space="preserve">and / </w:t>
      </w:r>
      <w:r>
        <w:rPr>
          <w:lang w:val="en-US"/>
        </w:rPr>
        <w:t>or supply animal health products to markets across the globe. Many of these global entities operate within Australia, either at the manufacturing or the wholesaling level (IBISWorld Report 2016b)</w:t>
      </w:r>
      <w:r w:rsidR="00FB7CC4">
        <w:rPr>
          <w:lang w:val="en-US"/>
        </w:rPr>
        <w:t xml:space="preserve">, </w:t>
      </w:r>
      <w:r>
        <w:rPr>
          <w:lang w:val="en-US"/>
        </w:rPr>
        <w:t>includ</w:t>
      </w:r>
      <w:r w:rsidR="00FB7CC4">
        <w:rPr>
          <w:lang w:val="en-US"/>
        </w:rPr>
        <w:t>ing</w:t>
      </w:r>
      <w:r>
        <w:rPr>
          <w:lang w:val="en-US"/>
        </w:rPr>
        <w:t>:</w:t>
      </w:r>
    </w:p>
    <w:p w:rsidR="00C31222" w:rsidRDefault="00C31222" w:rsidP="004F7246">
      <w:pPr>
        <w:pStyle w:val="ListBullet"/>
        <w:keepNext/>
        <w:keepLines/>
        <w:spacing w:before="0" w:after="0" w:line="240" w:lineRule="auto"/>
        <w:rPr>
          <w:lang w:val="en-US"/>
        </w:rPr>
      </w:pPr>
      <w:r>
        <w:rPr>
          <w:lang w:val="en-US"/>
        </w:rPr>
        <w:t>Virbac</w:t>
      </w:r>
    </w:p>
    <w:p w:rsidR="00C31222" w:rsidRDefault="00C31222" w:rsidP="00C31222">
      <w:pPr>
        <w:pStyle w:val="ListBullet"/>
        <w:spacing w:before="0" w:after="0" w:line="240" w:lineRule="auto"/>
        <w:rPr>
          <w:lang w:val="en-US"/>
        </w:rPr>
      </w:pPr>
      <w:r>
        <w:rPr>
          <w:lang w:val="en-US"/>
        </w:rPr>
        <w:t>Zoetis</w:t>
      </w:r>
    </w:p>
    <w:p w:rsidR="00C31222" w:rsidRDefault="00C31222" w:rsidP="00C31222">
      <w:pPr>
        <w:pStyle w:val="ListBullet"/>
        <w:spacing w:before="0" w:after="0" w:line="240" w:lineRule="auto"/>
        <w:rPr>
          <w:lang w:val="en-US"/>
        </w:rPr>
      </w:pPr>
      <w:r>
        <w:rPr>
          <w:lang w:val="en-US"/>
        </w:rPr>
        <w:t>Eli Lilly and Company</w:t>
      </w:r>
    </w:p>
    <w:p w:rsidR="00C31222" w:rsidRDefault="00C31222" w:rsidP="00C31222">
      <w:pPr>
        <w:pStyle w:val="ListBullet"/>
        <w:spacing w:before="0" w:after="0" w:line="240" w:lineRule="auto"/>
        <w:rPr>
          <w:lang w:val="en-US"/>
        </w:rPr>
      </w:pPr>
      <w:r>
        <w:rPr>
          <w:lang w:val="en-US"/>
        </w:rPr>
        <w:t>Bayer</w:t>
      </w:r>
    </w:p>
    <w:p w:rsidR="00C31222" w:rsidRDefault="00C31222" w:rsidP="00C31222">
      <w:pPr>
        <w:pStyle w:val="ListBullet"/>
        <w:spacing w:before="0" w:after="0" w:line="240" w:lineRule="auto"/>
        <w:rPr>
          <w:lang w:val="en-US"/>
        </w:rPr>
      </w:pPr>
      <w:r>
        <w:rPr>
          <w:lang w:val="en-US"/>
        </w:rPr>
        <w:t>Merial</w:t>
      </w:r>
    </w:p>
    <w:p w:rsidR="00C31222" w:rsidRDefault="00C31222" w:rsidP="00C31222">
      <w:pPr>
        <w:pStyle w:val="ListBullet"/>
        <w:spacing w:before="0" w:after="0" w:line="240" w:lineRule="auto"/>
        <w:rPr>
          <w:lang w:val="en-US"/>
        </w:rPr>
      </w:pPr>
      <w:r>
        <w:rPr>
          <w:lang w:val="en-US"/>
        </w:rPr>
        <w:t xml:space="preserve">Boehringer Ingelheim Vetmedica, and </w:t>
      </w:r>
    </w:p>
    <w:p w:rsidR="00C31222" w:rsidRDefault="00C31222" w:rsidP="00C31222">
      <w:pPr>
        <w:pStyle w:val="ListBullet"/>
        <w:spacing w:before="0" w:after="0" w:line="240" w:lineRule="auto"/>
        <w:rPr>
          <w:lang w:val="en-US"/>
        </w:rPr>
      </w:pPr>
      <w:r>
        <w:rPr>
          <w:lang w:val="en-US"/>
        </w:rPr>
        <w:t xml:space="preserve">Merck. </w:t>
      </w:r>
    </w:p>
    <w:p w:rsidR="00C31222" w:rsidRDefault="00C31222" w:rsidP="00C31222">
      <w:pPr>
        <w:pStyle w:val="BodyText"/>
        <w:rPr>
          <w:lang w:val="en-US"/>
        </w:rPr>
      </w:pPr>
      <w:r>
        <w:rPr>
          <w:lang w:val="en-US"/>
        </w:rPr>
        <w:t>At the manufacturing level, four of the top six players (Virbac, Zoetis, MSD Animal Health and Bayer) are subsidiaries of the</w:t>
      </w:r>
      <w:r w:rsidR="00756B82">
        <w:rPr>
          <w:lang w:val="en-US"/>
        </w:rPr>
        <w:t xml:space="preserve"> top</w:t>
      </w:r>
      <w:r>
        <w:rPr>
          <w:lang w:val="en-US"/>
        </w:rPr>
        <w:t xml:space="preserve"> global giants, with these four accounting for just under 80 per cent of industry sales in Australia.</w:t>
      </w:r>
    </w:p>
    <w:p w:rsidR="00C31222" w:rsidRDefault="00C31222" w:rsidP="00C31222">
      <w:pPr>
        <w:pStyle w:val="BodyText"/>
        <w:rPr>
          <w:lang w:val="en-US"/>
        </w:rPr>
      </w:pPr>
      <w:r>
        <w:rPr>
          <w:lang w:val="en-US"/>
        </w:rPr>
        <w:t xml:space="preserve">However, in contrast to human health pharmaceuticals where international trade plays a dominant role both for imports and exports, international trade within the Australian </w:t>
      </w:r>
      <w:r w:rsidRPr="00756B82">
        <w:rPr>
          <w:i/>
          <w:lang w:val="en-US"/>
        </w:rPr>
        <w:t>veterinary</w:t>
      </w:r>
      <w:r>
        <w:rPr>
          <w:lang w:val="en-US"/>
        </w:rPr>
        <w:t xml:space="preserve"> pharmaceutical manufacturing industry accounts for less than 10 per cent of domestic demand. This is in spite of the need to import active ingredients to produce a finished product. Due to the relatively small size of the Australian industry, global parent companies tend to conduct primary manufacturing activities, such as synthesising active ingredients, offshore. Those products are imported into Australia and used by local manufacturers to finish the product and package </w:t>
      </w:r>
      <w:r w:rsidR="00FB7CC4">
        <w:rPr>
          <w:lang w:val="en-US"/>
        </w:rPr>
        <w:t xml:space="preserve">it </w:t>
      </w:r>
      <w:r>
        <w:rPr>
          <w:lang w:val="en-US"/>
        </w:rPr>
        <w:t xml:space="preserve">for distribution. In view of these variables, the veterinary product industry is </w:t>
      </w:r>
      <w:r w:rsidR="00FB7CC4">
        <w:rPr>
          <w:lang w:val="en-US"/>
        </w:rPr>
        <w:t>considered</w:t>
      </w:r>
      <w:r>
        <w:rPr>
          <w:lang w:val="en-US"/>
        </w:rPr>
        <w:t xml:space="preserve"> to display a moderate level of industry globalisation. </w:t>
      </w:r>
    </w:p>
    <w:p w:rsidR="00784A1E" w:rsidRDefault="00784A1E" w:rsidP="00C31222">
      <w:pPr>
        <w:pStyle w:val="BodyText"/>
        <w:rPr>
          <w:lang w:val="en-US"/>
        </w:rPr>
      </w:pPr>
      <w:r>
        <w:rPr>
          <w:lang w:val="en-US"/>
        </w:rPr>
        <w:t xml:space="preserve">Worldwide, there appears to be an increase in toll manufacturing, </w:t>
      </w:r>
      <w:r w:rsidRPr="00376E22">
        <w:t xml:space="preserve">where all or parts of the manufacture of </w:t>
      </w:r>
      <w:r>
        <w:t xml:space="preserve">an agvet chemical </w:t>
      </w:r>
      <w:r w:rsidRPr="00376E22">
        <w:t>is contracted to another party.</w:t>
      </w:r>
      <w:r>
        <w:t xml:space="preserve"> China is emerging as a major toll manufacturer.</w:t>
      </w:r>
    </w:p>
    <w:p w:rsidR="00C31222" w:rsidRDefault="00C31222" w:rsidP="00581542">
      <w:pPr>
        <w:pStyle w:val="Heading3"/>
        <w:rPr>
          <w:lang w:val="en-US"/>
        </w:rPr>
      </w:pPr>
      <w:r>
        <w:rPr>
          <w:lang w:val="en-US"/>
        </w:rPr>
        <w:t>The cost of bringing a new active ingredient to the market</w:t>
      </w:r>
    </w:p>
    <w:p w:rsidR="00C31222" w:rsidRDefault="00C31222" w:rsidP="00C31222">
      <w:pPr>
        <w:pStyle w:val="BodyText"/>
        <w:rPr>
          <w:lang w:val="en-US"/>
        </w:rPr>
      </w:pPr>
      <w:r>
        <w:rPr>
          <w:lang w:val="en-US"/>
        </w:rPr>
        <w:t>A number of factors contributed to the decline of active ingredient introductions. Among them is the cost of bringing a new product to market.</w:t>
      </w:r>
    </w:p>
    <w:p w:rsidR="00C31222" w:rsidRDefault="00A21D7E" w:rsidP="00FB7CC4">
      <w:pPr>
        <w:pStyle w:val="BodyText"/>
        <w:rPr>
          <w:lang w:val="en-US"/>
        </w:rPr>
      </w:pPr>
      <w:r>
        <w:rPr>
          <w:lang w:val="en-US"/>
        </w:rPr>
        <w:t>The expenditure necessary for the discovery, research and development of a new crop protection product, based on a survey of five major companies, is provided by Phillips McDougall (2016)</w:t>
      </w:r>
      <w:r>
        <w:rPr>
          <w:rStyle w:val="FootnoteReference"/>
          <w:lang w:val="en-US"/>
        </w:rPr>
        <w:footnoteReference w:id="11"/>
      </w:r>
      <w:r>
        <w:rPr>
          <w:lang w:val="en-US"/>
        </w:rPr>
        <w:t xml:space="preserve"> and is shown in </w:t>
      </w:r>
      <w:r>
        <w:rPr>
          <w:lang w:val="en-US"/>
        </w:rPr>
        <w:fldChar w:fldCharType="begin"/>
      </w:r>
      <w:r>
        <w:rPr>
          <w:lang w:val="en-US"/>
        </w:rPr>
        <w:instrText xml:space="preserve"> REF _Ref483923446 \h </w:instrText>
      </w:r>
      <w:r>
        <w:rPr>
          <w:lang w:val="en-US"/>
        </w:rPr>
      </w:r>
      <w:r>
        <w:rPr>
          <w:lang w:val="en-US"/>
        </w:rPr>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1</w:t>
      </w:r>
      <w:r>
        <w:rPr>
          <w:lang w:val="en-US"/>
        </w:rPr>
        <w:fldChar w:fldCharType="end"/>
      </w:r>
      <w:r>
        <w:rPr>
          <w:lang w:val="en-US"/>
        </w:rPr>
        <w:t>. The overall costs of discovery, research and development of a new crop protection product increased by 88.2 per cent in nominal terms over the past 20 years in US dollars. US inflation has risen by 55.4 per cent during the same period,</w:t>
      </w:r>
      <w:r>
        <w:rPr>
          <w:rStyle w:val="FootnoteReference"/>
          <w:lang w:val="en-US"/>
        </w:rPr>
        <w:footnoteReference w:id="12"/>
      </w:r>
      <w:r>
        <w:rPr>
          <w:lang w:val="en-US"/>
        </w:rPr>
        <w:t xml:space="preserve"> indicating in real terms that costs </w:t>
      </w:r>
      <w:r w:rsidR="00756B82">
        <w:rPr>
          <w:lang w:val="en-US"/>
        </w:rPr>
        <w:t xml:space="preserve">have </w:t>
      </w:r>
      <w:r>
        <w:rPr>
          <w:lang w:val="en-US"/>
        </w:rPr>
        <w:t>increased by 32.8 per cent over the past 20 years</w:t>
      </w:r>
      <w:r w:rsidR="00C31222">
        <w:rPr>
          <w:lang w:val="en-US"/>
        </w:rPr>
        <w:t>.</w:t>
      </w:r>
    </w:p>
    <w:p w:rsidR="00C31222" w:rsidRDefault="00C31222" w:rsidP="00C31222">
      <w:pPr>
        <w:pStyle w:val="ListBullet"/>
        <w:rPr>
          <w:lang w:val="en-US"/>
        </w:rPr>
      </w:pPr>
      <w:r>
        <w:rPr>
          <w:lang w:val="en-US"/>
        </w:rPr>
        <w:t>Registration costs from incorporating extra studies required to satisfy EU and US regulators rose from 6 per cent in 2000 to 12 per cent in 2010-14 (nominal terms) of overall costs of discovery and development of new crop protection products.</w:t>
      </w:r>
    </w:p>
    <w:p w:rsidR="00C31222" w:rsidRPr="00D47B4E" w:rsidRDefault="00C31222" w:rsidP="00C31222">
      <w:pPr>
        <w:pStyle w:val="ListBullet"/>
        <w:rPr>
          <w:lang w:val="en-US"/>
        </w:rPr>
      </w:pPr>
      <w:r w:rsidRPr="00D47B4E">
        <w:rPr>
          <w:lang w:val="en-US"/>
        </w:rPr>
        <w:t>The greatest rise was seen in the costs of satisfying environmental chemistry regulatory requirements</w:t>
      </w:r>
      <w:r w:rsidR="00FB7CC4">
        <w:rPr>
          <w:lang w:val="en-US"/>
        </w:rPr>
        <w:t>,</w:t>
      </w:r>
      <w:r w:rsidRPr="00D47B4E">
        <w:rPr>
          <w:lang w:val="en-US"/>
        </w:rPr>
        <w:t xml:space="preserve"> which were shown to have risen by 45.8 per cent in nominal terms. It is likely that this increase was due to a rise in environmental safety data required by regulatory bodies. For example, in the EU, more than 100 specific tests are required on physical and chemical properties, analytical methods, toxicity and metabolism studies, residues, environmental and eco-toxicological studies.</w:t>
      </w:r>
      <w:r>
        <w:rPr>
          <w:rStyle w:val="FootnoteReference"/>
          <w:lang w:val="en-US"/>
        </w:rPr>
        <w:footnoteReference w:id="13"/>
      </w:r>
    </w:p>
    <w:p w:rsidR="00C31222" w:rsidRDefault="00C31222" w:rsidP="00C31222">
      <w:pPr>
        <w:pStyle w:val="ListBullet"/>
        <w:rPr>
          <w:lang w:val="en-US"/>
        </w:rPr>
      </w:pPr>
      <w:r>
        <w:rPr>
          <w:lang w:val="en-US"/>
        </w:rPr>
        <w:t>The largest single cost in the development cycle continues to be field trials, which account for 30.1 per cent in nominal terms in 2010-14 of overall development costs of an active ingredient, having</w:t>
      </w:r>
      <w:r w:rsidR="00412E77">
        <w:rPr>
          <w:lang w:val="en-US"/>
        </w:rPr>
        <w:t xml:space="preserve"> </w:t>
      </w:r>
      <w:r>
        <w:rPr>
          <w:lang w:val="en-US"/>
        </w:rPr>
        <w:t>increased from 20 per cent in 1995.</w:t>
      </w:r>
    </w:p>
    <w:p w:rsidR="00C31222" w:rsidRPr="00FB7CC4" w:rsidRDefault="00C31222" w:rsidP="00B50A70">
      <w:pPr>
        <w:pStyle w:val="ListBullet"/>
        <w:rPr>
          <w:lang w:val="en-US"/>
        </w:rPr>
      </w:pPr>
      <w:r>
        <w:t>Overall costs of new product research rose by 30.6 per cent from US$72 million per product in 1995 to US$94 million in 2000, but declined slightly to US$85 million in 2005-08</w:t>
      </w:r>
      <w:r w:rsidR="00FB7CC4">
        <w:t>. This has bee</w:t>
      </w:r>
      <w:r w:rsidR="00793D6C">
        <w:t>n</w:t>
      </w:r>
      <w:r w:rsidR="00FB7CC4">
        <w:t xml:space="preserve"> </w:t>
      </w:r>
      <w:r>
        <w:t>attributed to cost savings due to greater efficiency from high throughput screening, combinatorial chemistry and genomics. Between 2005-08 and 2010-14 the cost of research of a new agrochemical rose by 25.9 per cent to US$107 million, somewhat greater than the general rate of US inflation.</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C31222" w:rsidRPr="00AA4DEE" w:rsidRDefault="00C31222" w:rsidP="00573CCE">
            <w:pPr>
              <w:pStyle w:val="spacer"/>
            </w:pPr>
          </w:p>
        </w:tc>
      </w:tr>
      <w:tr w:rsidR="00E86A68" w:rsidRPr="00897E60" w:rsidTr="00401D90">
        <w:trPr>
          <w:cantSplit/>
        </w:trPr>
        <w:tc>
          <w:tcPr>
            <w:tcW w:w="10994" w:type="dxa"/>
            <w:tcBorders>
              <w:top w:val="single" w:sz="4" w:space="0" w:color="auto"/>
            </w:tcBorders>
            <w:shd w:val="clear" w:color="auto" w:fill="auto"/>
            <w:tcMar>
              <w:left w:w="0" w:type="dxa"/>
            </w:tcMar>
          </w:tcPr>
          <w:p w:rsidR="00C31222" w:rsidRPr="00897E60" w:rsidRDefault="00C31222" w:rsidP="00573CCE">
            <w:pPr>
              <w:pStyle w:val="Caption"/>
            </w:pPr>
            <w:bookmarkStart w:id="26" w:name="_Ref483923446"/>
            <w:bookmarkStart w:id="27" w:name="_Toc497298084"/>
            <w:r w:rsidRPr="00897E60">
              <w:rPr>
                <w:rStyle w:val="CaptionLabel"/>
              </w:rPr>
              <w:t>Figure</w:t>
            </w:r>
            <w:r>
              <w:rPr>
                <w:rStyle w:val="CaptionLabel"/>
              </w:rPr>
              <w:t> </w:t>
            </w:r>
            <w:r>
              <w:rPr>
                <w:rStyle w:val="CaptionLabel"/>
              </w:rPr>
              <w:fldChar w:fldCharType="begin"/>
            </w:r>
            <w:r>
              <w:rPr>
                <w:rStyle w:val="CaptionLabel"/>
              </w:rPr>
              <w:instrText xml:space="preserve"> STYLEREF 1 \s </w:instrText>
            </w:r>
            <w:r>
              <w:rPr>
                <w:rStyle w:val="CaptionLabel"/>
              </w:rPr>
              <w:fldChar w:fldCharType="separate"/>
            </w:r>
            <w:r w:rsidR="001977D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87688C">
              <w:rPr>
                <w:rStyle w:val="CaptionLabel"/>
                <w:noProof/>
              </w:rPr>
              <w:t>1</w:t>
            </w:r>
            <w:r>
              <w:rPr>
                <w:rStyle w:val="CaptionLabel"/>
              </w:rPr>
              <w:fldChar w:fldCharType="end"/>
            </w:r>
            <w:bookmarkEnd w:id="26"/>
            <w:r>
              <w:tab/>
            </w:r>
            <w:r w:rsidRPr="004E0A7A">
              <w:t>Discovery and development costs of new crop protection product</w:t>
            </w:r>
            <w:r w:rsidR="00C95A13">
              <w:t>s</w:t>
            </w:r>
            <w:r w:rsidRPr="004E0A7A">
              <w:t xml:space="preserve"> (current prices)</w:t>
            </w:r>
            <w:r>
              <w:t>, 1995, 2000, 2005-08 and 2010-14</w:t>
            </w:r>
            <w:bookmarkEnd w:id="27"/>
          </w:p>
        </w:tc>
      </w:tr>
      <w:tr w:rsidR="00C31222" w:rsidRPr="00AA4DEE" w:rsidTr="004F7246">
        <w:trPr>
          <w:cantSplit/>
          <w:trHeight w:hRule="exact" w:val="380"/>
        </w:trPr>
        <w:tc>
          <w:tcPr>
            <w:tcW w:w="10994" w:type="dxa"/>
            <w:tcBorders>
              <w:bottom w:val="single" w:sz="4" w:space="0" w:color="auto"/>
            </w:tcBorders>
            <w:shd w:val="clear" w:color="auto" w:fill="auto"/>
          </w:tcPr>
          <w:p w:rsidR="00C31222" w:rsidRPr="00AA4DEE" w:rsidRDefault="004F7246" w:rsidP="004F7246">
            <w:pPr>
              <w:pStyle w:val="spacer"/>
              <w:jc w:val="right"/>
            </w:pPr>
            <w:r>
              <w:rPr>
                <w:noProof/>
                <w:lang w:eastAsia="en-AU"/>
              </w:rPr>
              <mc:AlternateContent>
                <mc:Choice Requires="wps">
                  <w:drawing>
                    <wp:anchor distT="0" distB="0" distL="114300" distR="114300" simplePos="0" relativeHeight="251981824" behindDoc="0" locked="1" layoutInCell="1" allowOverlap="1" wp14:anchorId="3F32A881" wp14:editId="157742D8">
                      <wp:simplePos x="0" y="0"/>
                      <wp:positionH relativeFrom="page">
                        <wp:posOffset>6485890</wp:posOffset>
                      </wp:positionH>
                      <wp:positionV relativeFrom="page">
                        <wp:posOffset>15875</wp:posOffset>
                      </wp:positionV>
                      <wp:extent cx="436880" cy="213360"/>
                      <wp:effectExtent l="0" t="0" r="1270" b="0"/>
                      <wp:wrapNone/>
                      <wp:docPr id="4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95A4FA" id="Freeform 5" o:spid="_x0000_s1026" style="position:absolute;margin-left:510.7pt;margin-top:1.25pt;width:34.4pt;height:16.8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C31222" w:rsidRPr="00AA4DEE" w:rsidTr="004F7246">
        <w:trPr>
          <w:cantSplit/>
        </w:trPr>
        <w:tc>
          <w:tcPr>
            <w:tcW w:w="10994" w:type="dxa"/>
            <w:tcBorders>
              <w:top w:val="single" w:sz="4" w:space="0" w:color="auto"/>
              <w:bottom w:val="single" w:sz="4" w:space="0" w:color="auto"/>
            </w:tcBorders>
            <w:shd w:val="clear" w:color="auto" w:fill="auto"/>
          </w:tcPr>
          <w:p w:rsidR="00C31222" w:rsidRPr="00AA4DEE" w:rsidRDefault="00546375" w:rsidP="004F7246">
            <w:pPr>
              <w:pStyle w:val="Figure"/>
              <w:jc w:val="right"/>
            </w:pPr>
            <w:r w:rsidRPr="006E33DA">
              <w:rPr>
                <w:noProof/>
                <w:lang w:eastAsia="en-AU"/>
              </w:rPr>
              <w:drawing>
                <wp:inline distT="0" distB="0" distL="0" distR="0" wp14:anchorId="2CA0B08F" wp14:editId="2BA21BD7">
                  <wp:extent cx="6840855" cy="2768600"/>
                  <wp:effectExtent l="0" t="0" r="0" b="0"/>
                  <wp:docPr id="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855" cy="2768600"/>
                          </a:xfrm>
                          <a:prstGeom prst="rect">
                            <a:avLst/>
                          </a:prstGeom>
                          <a:noFill/>
                          <a:ln>
                            <a:noFill/>
                          </a:ln>
                        </pic:spPr>
                      </pic:pic>
                    </a:graphicData>
                  </a:graphic>
                </wp:inline>
              </w:drawing>
            </w:r>
          </w:p>
        </w:tc>
      </w:tr>
      <w:tr w:rsidR="00E86A68" w:rsidRPr="00AA4DEE" w:rsidTr="00401D9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C31222" w:rsidRPr="00AA4DEE" w:rsidRDefault="00C31222" w:rsidP="00573CCE">
            <w:pPr>
              <w:pStyle w:val="Note"/>
            </w:pPr>
            <w:r>
              <w:t>Note: The companies included in the survey were: BASF, Bayer, Dow, DuPont and Syngenta. Category chemistry comes under research phase and under development phase. Research chemistry costs include synthesis and formulation</w:t>
            </w:r>
            <w:r w:rsidR="00FB7CC4">
              <w:t>. D</w:t>
            </w:r>
            <w:r>
              <w:t>evelopment chemistry costs include scale-up of manufacture and formulation. Biology costs include glasshouse efficacy testing and small plot trials. Research toxicology includes mammalian acute, mammalian sub chronic</w:t>
            </w:r>
            <w:r w:rsidR="00FB7CC4">
              <w:t xml:space="preserve"> and</w:t>
            </w:r>
            <w:r>
              <w:t xml:space="preserve"> environmental. Development toxicology includes chronic mammalian and environmental.</w:t>
            </w:r>
          </w:p>
          <w:p w:rsidR="00C31222" w:rsidRPr="00AA4DEE" w:rsidRDefault="00C31222" w:rsidP="00FB7CC4">
            <w:pPr>
              <w:pStyle w:val="Source"/>
            </w:pPr>
            <w:r w:rsidRPr="00AA4DEE">
              <w:t xml:space="preserve">Source: </w:t>
            </w:r>
            <w:r w:rsidRPr="00F064FB">
              <w:rPr>
                <w:i w:val="0"/>
                <w:caps w:val="0"/>
              </w:rPr>
              <w:t xml:space="preserve">Phillips McDougall </w:t>
            </w:r>
            <w:r w:rsidRPr="00F064FB">
              <w:rPr>
                <w:i w:val="0"/>
              </w:rPr>
              <w:t>2016</w:t>
            </w:r>
            <w:r w:rsidR="00FB7CC4" w:rsidRPr="00F064FB">
              <w:rPr>
                <w:i w:val="0"/>
              </w:rPr>
              <w:t>,</w:t>
            </w:r>
            <w:r w:rsidRPr="00F064FB">
              <w:rPr>
                <w:i w:val="0"/>
              </w:rPr>
              <w:t xml:space="preserve"> </w:t>
            </w:r>
            <w:r w:rsidRPr="00F064FB">
              <w:rPr>
                <w:i w:val="0"/>
                <w:caps w:val="0"/>
              </w:rPr>
              <w:t xml:space="preserve">The cost of new agrochemical product discovery, development and registration in </w:t>
            </w:r>
            <w:r w:rsidRPr="00F064FB">
              <w:rPr>
                <w:i w:val="0"/>
              </w:rPr>
              <w:t xml:space="preserve">1995, 2000, 2005-08 </w:t>
            </w:r>
            <w:r w:rsidRPr="00F064FB">
              <w:rPr>
                <w:i w:val="0"/>
                <w:caps w:val="0"/>
              </w:rPr>
              <w:t>and</w:t>
            </w:r>
            <w:r w:rsidRPr="00F064FB">
              <w:rPr>
                <w:i w:val="0"/>
              </w:rPr>
              <w:t xml:space="preserve"> 2010 </w:t>
            </w:r>
            <w:r w:rsidRPr="00F064FB">
              <w:rPr>
                <w:i w:val="0"/>
                <w:caps w:val="0"/>
              </w:rPr>
              <w:t>to</w:t>
            </w:r>
            <w:r w:rsidRPr="00F064FB">
              <w:rPr>
                <w:i w:val="0"/>
              </w:rPr>
              <w:t xml:space="preserve"> 2014</w:t>
            </w:r>
          </w:p>
        </w:tc>
      </w:tr>
      <w:tr w:rsidR="00E86A68" w:rsidTr="00401D90">
        <w:trPr>
          <w:trHeight w:hRule="exact" w:val="160"/>
        </w:trPr>
        <w:tc>
          <w:tcPr>
            <w:tcW w:w="10994" w:type="dxa"/>
            <w:tcBorders>
              <w:top w:val="single" w:sz="4" w:space="0" w:color="auto"/>
            </w:tcBorders>
            <w:shd w:val="clear" w:color="auto" w:fill="auto"/>
          </w:tcPr>
          <w:p w:rsidR="00C31222" w:rsidRDefault="00C31222" w:rsidP="00573CCE">
            <w:pPr>
              <w:pStyle w:val="spacertbl"/>
            </w:pPr>
          </w:p>
        </w:tc>
      </w:tr>
    </w:tbl>
    <w:p w:rsidR="00C31222" w:rsidRDefault="00C31222" w:rsidP="00580CF7">
      <w:pPr>
        <w:pStyle w:val="BodyText"/>
      </w:pPr>
      <w:r>
        <w:t>These survey findings are consistent with the outcomes of consultations undertaken for this project. Stakeholders generally agreed with the above analysis</w:t>
      </w:r>
      <w:r w:rsidR="00514494">
        <w:t>.</w:t>
      </w:r>
    </w:p>
    <w:p w:rsidR="00C31222" w:rsidRDefault="00C31222" w:rsidP="00581542">
      <w:pPr>
        <w:pStyle w:val="Heading3"/>
      </w:pPr>
      <w:r>
        <w:t>Product discovery and development lead time</w:t>
      </w:r>
    </w:p>
    <w:p w:rsidR="00C31222" w:rsidRDefault="00C31222" w:rsidP="00C31222">
      <w:pPr>
        <w:pStyle w:val="BodyText"/>
      </w:pPr>
      <w:r>
        <w:t xml:space="preserve">While both costs and the number of developmental leads have steadily increased, the survey results from Phillips McDougall also demonstrate that the average lead time between the first synthesis of a new crop protection molecule and its subsequent commercial introduction has increased as shown in </w:t>
      </w:r>
      <w:r>
        <w:fldChar w:fldCharType="begin"/>
      </w:r>
      <w:r>
        <w:instrText xml:space="preserve"> REF _Ref483923555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2</w:t>
      </w:r>
      <w:r>
        <w:fldChar w:fldCharType="end"/>
      </w:r>
      <w:r>
        <w:t xml:space="preserve">. This increase reflects </w:t>
      </w:r>
      <w:r w:rsidR="00756B82">
        <w:t xml:space="preserve">both </w:t>
      </w:r>
      <w:r>
        <w:t>greater complexity in the data requirements of regulatory bodies and the time and effort required to satisfy regulators.</w:t>
      </w:r>
    </w:p>
    <w:p w:rsidR="00412E77" w:rsidRDefault="00412E77" w:rsidP="00C31222">
      <w:pPr>
        <w:pStyle w:val="BodyText"/>
      </w:pPr>
      <w:r>
        <w:t xml:space="preserve">A number of stakeholders have noted during consultations that the Australian market is one-tenth the size of the US market but has a regulatory system that </w:t>
      </w:r>
      <w:r w:rsidR="00B2311D">
        <w:t xml:space="preserve">can </w:t>
      </w:r>
      <w:r>
        <w:t>impo</w:t>
      </w:r>
      <w:r w:rsidR="00E470B5">
        <w:t>se similar costs on companies.</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C31222" w:rsidRPr="00AA4DEE" w:rsidRDefault="00C31222" w:rsidP="00573CCE">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C31222" w:rsidRPr="00897E60" w:rsidRDefault="00C31222" w:rsidP="00573CCE">
            <w:pPr>
              <w:pStyle w:val="Caption"/>
            </w:pPr>
            <w:bookmarkStart w:id="28" w:name="_Ref483923555"/>
            <w:bookmarkStart w:id="29" w:name="_Toc497298085"/>
            <w:r w:rsidRPr="00897E60">
              <w:rPr>
                <w:rStyle w:val="CaptionLabel"/>
              </w:rPr>
              <w:t>Figure</w:t>
            </w:r>
            <w:r>
              <w:rPr>
                <w:rStyle w:val="CaptionLabel"/>
              </w:rPr>
              <w:t> </w:t>
            </w:r>
            <w:r>
              <w:rPr>
                <w:rStyle w:val="CaptionLabel"/>
              </w:rPr>
              <w:fldChar w:fldCharType="begin"/>
            </w:r>
            <w:r>
              <w:rPr>
                <w:rStyle w:val="CaptionLabel"/>
              </w:rPr>
              <w:instrText xml:space="preserve"> STYLEREF 1 \s </w:instrText>
            </w:r>
            <w:r>
              <w:rPr>
                <w:rStyle w:val="CaptionLabel"/>
              </w:rPr>
              <w:fldChar w:fldCharType="separate"/>
            </w:r>
            <w:r w:rsidR="001977D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87688C">
              <w:rPr>
                <w:rStyle w:val="CaptionLabel"/>
                <w:noProof/>
              </w:rPr>
              <w:t>2</w:t>
            </w:r>
            <w:r>
              <w:rPr>
                <w:rStyle w:val="CaptionLabel"/>
              </w:rPr>
              <w:fldChar w:fldCharType="end"/>
            </w:r>
            <w:bookmarkEnd w:id="28"/>
            <w:r>
              <w:tab/>
              <w:t>Product discovery and development lead time, 1995 – 2010-14</w:t>
            </w:r>
            <w:bookmarkEnd w:id="29"/>
          </w:p>
        </w:tc>
      </w:tr>
      <w:tr w:rsidR="00C31222" w:rsidRPr="00AA4DEE" w:rsidTr="004F7246">
        <w:trPr>
          <w:cantSplit/>
          <w:trHeight w:hRule="exact" w:val="380"/>
        </w:trPr>
        <w:tc>
          <w:tcPr>
            <w:tcW w:w="8168" w:type="dxa"/>
            <w:tcBorders>
              <w:bottom w:val="single" w:sz="4" w:space="0" w:color="auto"/>
            </w:tcBorders>
            <w:shd w:val="clear" w:color="auto" w:fill="auto"/>
          </w:tcPr>
          <w:p w:rsidR="00C31222" w:rsidRPr="00AA4DEE" w:rsidRDefault="004F7246" w:rsidP="004F7246">
            <w:pPr>
              <w:pStyle w:val="spacer"/>
              <w:jc w:val="right"/>
            </w:pPr>
            <w:r>
              <w:rPr>
                <w:noProof/>
                <w:lang w:eastAsia="en-AU"/>
              </w:rPr>
              <mc:AlternateContent>
                <mc:Choice Requires="wps">
                  <w:drawing>
                    <wp:anchor distT="0" distB="0" distL="114300" distR="114300" simplePos="0" relativeHeight="251983872" behindDoc="0" locked="1" layoutInCell="1" allowOverlap="1" wp14:anchorId="3F32A881" wp14:editId="157742D8">
                      <wp:simplePos x="0" y="0"/>
                      <wp:positionH relativeFrom="page">
                        <wp:posOffset>4678680</wp:posOffset>
                      </wp:positionH>
                      <wp:positionV relativeFrom="page">
                        <wp:posOffset>-9525</wp:posOffset>
                      </wp:positionV>
                      <wp:extent cx="436880" cy="213360"/>
                      <wp:effectExtent l="0" t="0" r="1270" b="0"/>
                      <wp:wrapNone/>
                      <wp:docPr id="15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675C46" id="Freeform 5" o:spid="_x0000_s1026" style="position:absolute;margin-left:368.4pt;margin-top:-.75pt;width:34.4pt;height:16.8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r w:rsidR="00546375">
              <w:rPr>
                <w:noProof/>
                <w:lang w:eastAsia="en-AU"/>
              </w:rPr>
              <mc:AlternateContent>
                <mc:Choice Requires="wps">
                  <w:drawing>
                    <wp:anchor distT="0" distB="0" distL="114300" distR="114300" simplePos="0" relativeHeight="251867136" behindDoc="0" locked="1" layoutInCell="1" allowOverlap="1" wp14:anchorId="113B46EB" wp14:editId="2A1C53FA">
                      <wp:simplePos x="0" y="0"/>
                      <wp:positionH relativeFrom="page">
                        <wp:posOffset>6514465</wp:posOffset>
                      </wp:positionH>
                      <wp:positionV relativeFrom="page">
                        <wp:posOffset>951865</wp:posOffset>
                      </wp:positionV>
                      <wp:extent cx="436880" cy="213360"/>
                      <wp:effectExtent l="0" t="0" r="1270" b="0"/>
                      <wp:wrapNone/>
                      <wp:docPr id="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EC6A3D" id="Freeform 5" o:spid="_x0000_s1026" style="position:absolute;margin-left:512.95pt;margin-top:74.95pt;width:34.4pt;height:16.8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V6fg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C31222" w:rsidRPr="00AA4DEE" w:rsidTr="00580CF7">
        <w:trPr>
          <w:cantSplit/>
        </w:trPr>
        <w:tc>
          <w:tcPr>
            <w:tcW w:w="8168" w:type="dxa"/>
            <w:tcBorders>
              <w:top w:val="single" w:sz="4" w:space="0" w:color="auto"/>
              <w:bottom w:val="single" w:sz="4" w:space="0" w:color="auto"/>
            </w:tcBorders>
            <w:shd w:val="clear" w:color="auto" w:fill="auto"/>
          </w:tcPr>
          <w:p w:rsidR="00C31222" w:rsidRPr="00AA4DEE" w:rsidRDefault="00546375" w:rsidP="00573CCE">
            <w:pPr>
              <w:pStyle w:val="Figure"/>
            </w:pPr>
            <w:r w:rsidRPr="006E33DA">
              <w:rPr>
                <w:noProof/>
                <w:lang w:eastAsia="en-AU"/>
              </w:rPr>
              <w:drawing>
                <wp:inline distT="0" distB="0" distL="0" distR="0" wp14:anchorId="5AB4A15C" wp14:editId="5E9F22A8">
                  <wp:extent cx="4157345" cy="1489710"/>
                  <wp:effectExtent l="0" t="0" r="14605" b="15240"/>
                  <wp:docPr id="272" name="Chart 5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C31222" w:rsidRPr="00AA4DEE" w:rsidRDefault="00C31222" w:rsidP="00573CCE">
            <w:pPr>
              <w:pStyle w:val="Note"/>
            </w:pPr>
            <w:r w:rsidRPr="00AA4DEE">
              <w:t xml:space="preserve">Note: </w:t>
            </w:r>
            <w:r>
              <w:t>Number of years between the first synthesis and the first sale of the product</w:t>
            </w:r>
          </w:p>
          <w:p w:rsidR="00C31222" w:rsidRPr="00AA4DEE" w:rsidRDefault="00412E77" w:rsidP="00F064FB">
            <w:pPr>
              <w:pStyle w:val="Source"/>
            </w:pPr>
            <w:r>
              <w:t>Source:</w:t>
            </w:r>
            <w:r w:rsidR="00C31222" w:rsidRPr="00AA4DEE">
              <w:t xml:space="preserve">: </w:t>
            </w:r>
            <w:r w:rsidR="00C31222" w:rsidRPr="00F064FB">
              <w:rPr>
                <w:i w:val="0"/>
                <w:caps w:val="0"/>
              </w:rPr>
              <w:t xml:space="preserve">Phillips McDougall </w:t>
            </w:r>
            <w:r w:rsidR="00C31222" w:rsidRPr="00F064FB">
              <w:rPr>
                <w:i w:val="0"/>
              </w:rPr>
              <w:t xml:space="preserve">2016, </w:t>
            </w:r>
            <w:r w:rsidR="00C31222" w:rsidRPr="00F064FB">
              <w:rPr>
                <w:i w:val="0"/>
                <w:caps w:val="0"/>
              </w:rPr>
              <w:t>The cost of new agrochemical product discovery, development and registration in 1995, 2000, 2005-08 and 2010 to 2014</w:t>
            </w:r>
          </w:p>
        </w:tc>
      </w:tr>
      <w:tr w:rsidR="00E86A68" w:rsidTr="00401D90">
        <w:trPr>
          <w:trHeight w:hRule="exact" w:val="160"/>
        </w:trPr>
        <w:tc>
          <w:tcPr>
            <w:tcW w:w="8168" w:type="dxa"/>
            <w:tcBorders>
              <w:top w:val="single" w:sz="4" w:space="0" w:color="auto"/>
            </w:tcBorders>
            <w:shd w:val="clear" w:color="auto" w:fill="auto"/>
          </w:tcPr>
          <w:p w:rsidR="00C31222" w:rsidRDefault="00C31222" w:rsidP="00573CCE">
            <w:pPr>
              <w:pStyle w:val="spacertbl"/>
            </w:pPr>
          </w:p>
        </w:tc>
      </w:tr>
    </w:tbl>
    <w:p w:rsidR="004B224B" w:rsidRDefault="004B224B" w:rsidP="004B224B">
      <w:pPr>
        <w:pStyle w:val="Heading2"/>
      </w:pPr>
      <w:bookmarkStart w:id="30" w:name="_Toc497300816"/>
      <w:r>
        <w:t>Australian market</w:t>
      </w:r>
      <w:bookmarkEnd w:id="30"/>
    </w:p>
    <w:p w:rsidR="00D4312B" w:rsidRDefault="00D4312B" w:rsidP="004B224B">
      <w:pPr>
        <w:pStyle w:val="Heading3"/>
      </w:pPr>
      <w:r>
        <w:t xml:space="preserve">Sales and prices of </w:t>
      </w:r>
      <w:r w:rsidR="00EA6C4C">
        <w:t>agvet</w:t>
      </w:r>
      <w:r>
        <w:t xml:space="preserve"> chemicals in Australia</w:t>
      </w:r>
    </w:p>
    <w:p w:rsidR="00B4250A" w:rsidRDefault="00756B82" w:rsidP="0065658C">
      <w:pPr>
        <w:pStyle w:val="BodyText"/>
      </w:pPr>
      <w:r>
        <w:t>G</w:t>
      </w:r>
      <w:r w:rsidR="0065658C">
        <w:t>lobal sale</w:t>
      </w:r>
      <w:r>
        <w:t>s</w:t>
      </w:r>
      <w:r w:rsidR="0065658C">
        <w:t xml:space="preserve"> of plant protection </w:t>
      </w:r>
      <w:r w:rsidR="00383D38">
        <w:t>and non-crop agr</w:t>
      </w:r>
      <w:r w:rsidR="00992DB8">
        <w:t>o</w:t>
      </w:r>
      <w:r w:rsidR="00383D38">
        <w:t>chemicals w</w:t>
      </w:r>
      <w:r>
        <w:t>ere</w:t>
      </w:r>
      <w:r w:rsidR="00383D38">
        <w:t xml:space="preserve"> </w:t>
      </w:r>
      <w:r w:rsidR="00A734E2">
        <w:t>US</w:t>
      </w:r>
      <w:r w:rsidR="00B31731">
        <w:t>$</w:t>
      </w:r>
      <w:r w:rsidR="0065658C">
        <w:t>63</w:t>
      </w:r>
      <w:r w:rsidR="00383D38">
        <w:t>.</w:t>
      </w:r>
      <w:r w:rsidR="0065658C">
        <w:t xml:space="preserve">2 </w:t>
      </w:r>
      <w:r w:rsidR="00383D38">
        <w:t>billion</w:t>
      </w:r>
      <w:r w:rsidR="0065658C">
        <w:t xml:space="preserve"> in 2014</w:t>
      </w:r>
      <w:r w:rsidR="0065658C">
        <w:rPr>
          <w:rStyle w:val="FootnoteReference"/>
        </w:rPr>
        <w:footnoteReference w:id="14"/>
      </w:r>
      <w:r w:rsidR="00E054EF">
        <w:t xml:space="preserve"> (currently approximately </w:t>
      </w:r>
      <w:r w:rsidR="00A734E2">
        <w:t>A</w:t>
      </w:r>
      <w:r w:rsidR="000A344D">
        <w:t>$</w:t>
      </w:r>
      <w:r w:rsidR="00383D38">
        <w:t xml:space="preserve">83.3 billion). </w:t>
      </w:r>
      <w:r w:rsidR="00B4250A">
        <w:t>This does</w:t>
      </w:r>
      <w:r w:rsidR="00383D38">
        <w:t xml:space="preserve"> not</w:t>
      </w:r>
      <w:r w:rsidR="00B4250A">
        <w:t xml:space="preserve"> include veterinary chemicals. </w:t>
      </w:r>
    </w:p>
    <w:p w:rsidR="000A344D" w:rsidRDefault="0065658C" w:rsidP="0065658C">
      <w:pPr>
        <w:pStyle w:val="BodyText"/>
      </w:pPr>
      <w:r>
        <w:t xml:space="preserve">The size of the </w:t>
      </w:r>
      <w:r w:rsidR="00B31731">
        <w:t>agricultural and veterinary</w:t>
      </w:r>
      <w:r w:rsidR="00B4250A">
        <w:t xml:space="preserve"> chemical</w:t>
      </w:r>
      <w:r w:rsidR="00B31731">
        <w:t>s</w:t>
      </w:r>
      <w:r w:rsidR="00B4250A">
        <w:t xml:space="preserve"> </w:t>
      </w:r>
      <w:r>
        <w:t xml:space="preserve">market in Australia in 2014-15 </w:t>
      </w:r>
      <w:r w:rsidR="00A21D7E">
        <w:t>was</w:t>
      </w:r>
      <w:r>
        <w:t xml:space="preserve"> </w:t>
      </w:r>
      <w:r w:rsidR="00A734E2">
        <w:t>A</w:t>
      </w:r>
      <w:r>
        <w:t>$3</w:t>
      </w:r>
      <w:r w:rsidR="00B31731">
        <w:t>.2 b</w:t>
      </w:r>
      <w:r>
        <w:t>illion (</w:t>
      </w:r>
      <w:r>
        <w:fldChar w:fldCharType="begin"/>
      </w:r>
      <w:r>
        <w:instrText xml:space="preserve"> REF _Ref483222539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3</w:t>
      </w:r>
      <w:r>
        <w:fldChar w:fldCharType="end"/>
      </w:r>
      <w:r>
        <w:t>).</w:t>
      </w:r>
      <w:r>
        <w:rPr>
          <w:rStyle w:val="FootnoteReference"/>
        </w:rPr>
        <w:footnoteReference w:id="15"/>
      </w:r>
      <w:r>
        <w:t xml:space="preserve"> The Australian market size increased by 56 per cent over the past ten years at an av</w:t>
      </w:r>
      <w:r w:rsidR="003F2917">
        <w:t>erage annual growth rate of 4.6 </w:t>
      </w:r>
      <w:r>
        <w:t>per</w:t>
      </w:r>
      <w:r w:rsidR="003F2917">
        <w:t> </w:t>
      </w:r>
      <w:r>
        <w:t>cent</w:t>
      </w:r>
      <w:r w:rsidR="00A609A0">
        <w:t xml:space="preserve"> in nominal terms</w:t>
      </w:r>
      <w:r>
        <w:t xml:space="preserve">. </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2C35E8" w:rsidRPr="00AA4DEE" w:rsidTr="0059257B">
        <w:trPr>
          <w:cantSplit/>
          <w:trHeight w:hRule="exact" w:val="160"/>
        </w:trPr>
        <w:tc>
          <w:tcPr>
            <w:tcW w:w="8168" w:type="dxa"/>
            <w:tcBorders>
              <w:bottom w:val="single" w:sz="4" w:space="0" w:color="auto"/>
            </w:tcBorders>
            <w:shd w:val="clear" w:color="auto" w:fill="auto"/>
          </w:tcPr>
          <w:p w:rsidR="002C35E8" w:rsidRPr="00AA4DEE" w:rsidRDefault="002C35E8" w:rsidP="0059257B">
            <w:pPr>
              <w:pStyle w:val="spacer"/>
            </w:pPr>
          </w:p>
        </w:tc>
      </w:tr>
      <w:tr w:rsidR="002C35E8" w:rsidRPr="00897E60" w:rsidTr="0059257B">
        <w:trPr>
          <w:cantSplit/>
        </w:trPr>
        <w:tc>
          <w:tcPr>
            <w:tcW w:w="8168" w:type="dxa"/>
            <w:tcBorders>
              <w:top w:val="single" w:sz="4" w:space="0" w:color="auto"/>
            </w:tcBorders>
            <w:shd w:val="clear" w:color="auto" w:fill="auto"/>
            <w:tcMar>
              <w:left w:w="0" w:type="dxa"/>
            </w:tcMar>
          </w:tcPr>
          <w:p w:rsidR="002C35E8" w:rsidRPr="00897E60" w:rsidRDefault="002C35E8" w:rsidP="0059257B">
            <w:pPr>
              <w:pStyle w:val="Caption"/>
            </w:pPr>
            <w:bookmarkStart w:id="31" w:name="_Ref483222539"/>
            <w:bookmarkStart w:id="32" w:name="_Toc497298086"/>
            <w:r w:rsidRPr="00897E60">
              <w:rPr>
                <w:rStyle w:val="CaptionLabel"/>
              </w:rPr>
              <w:t>Figure</w:t>
            </w:r>
            <w:r>
              <w:rPr>
                <w:rStyle w:val="CaptionLabel"/>
              </w:rPr>
              <w:t> </w:t>
            </w:r>
            <w:r>
              <w:rPr>
                <w:rStyle w:val="CaptionLabel"/>
              </w:rPr>
              <w:fldChar w:fldCharType="begin"/>
            </w:r>
            <w:r>
              <w:rPr>
                <w:rStyle w:val="CaptionLabel"/>
              </w:rPr>
              <w:instrText xml:space="preserve"> STYLEREF 1 \s </w:instrText>
            </w:r>
            <w:r>
              <w:rPr>
                <w:rStyle w:val="CaptionLabel"/>
              </w:rPr>
              <w:fldChar w:fldCharType="separate"/>
            </w:r>
            <w:r w:rsidR="001977D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87688C">
              <w:rPr>
                <w:rStyle w:val="CaptionLabel"/>
                <w:noProof/>
              </w:rPr>
              <w:t>3</w:t>
            </w:r>
            <w:r>
              <w:rPr>
                <w:rStyle w:val="CaptionLabel"/>
              </w:rPr>
              <w:fldChar w:fldCharType="end"/>
            </w:r>
            <w:bookmarkEnd w:id="31"/>
            <w:r>
              <w:tab/>
              <w:t>Australian sales and prices of agricultural chemicals, by product type (Nominal prices), 2004-05 –2014-15</w:t>
            </w:r>
            <w:bookmarkEnd w:id="32"/>
          </w:p>
        </w:tc>
      </w:tr>
      <w:tr w:rsidR="002C35E8" w:rsidRPr="00AA4DEE" w:rsidTr="0059257B">
        <w:trPr>
          <w:cantSplit/>
          <w:trHeight w:hRule="exact" w:val="380"/>
        </w:trPr>
        <w:tc>
          <w:tcPr>
            <w:tcW w:w="8168" w:type="dxa"/>
            <w:tcBorders>
              <w:bottom w:val="single" w:sz="4" w:space="0" w:color="auto"/>
            </w:tcBorders>
            <w:shd w:val="clear" w:color="auto" w:fill="auto"/>
          </w:tcPr>
          <w:p w:rsidR="002C35E8" w:rsidRPr="00AA4DEE" w:rsidRDefault="002C35E8" w:rsidP="0059257B">
            <w:pPr>
              <w:pStyle w:val="spacer"/>
            </w:pPr>
            <w:r>
              <w:rPr>
                <w:noProof/>
                <w:lang w:eastAsia="en-AU"/>
              </w:rPr>
              <mc:AlternateContent>
                <mc:Choice Requires="wps">
                  <w:drawing>
                    <wp:anchor distT="0" distB="0" distL="114300" distR="114300" simplePos="0" relativeHeight="252036096" behindDoc="0" locked="1" layoutInCell="1" allowOverlap="1" wp14:anchorId="09B3C93D" wp14:editId="513BEB9F">
                      <wp:simplePos x="0" y="0"/>
                      <wp:positionH relativeFrom="page">
                        <wp:posOffset>4640580</wp:posOffset>
                      </wp:positionH>
                      <wp:positionV relativeFrom="page">
                        <wp:posOffset>9525</wp:posOffset>
                      </wp:positionV>
                      <wp:extent cx="436880" cy="213360"/>
                      <wp:effectExtent l="0" t="0" r="1270" b="0"/>
                      <wp:wrapNone/>
                      <wp:docPr id="15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14438F" id="Freeform 5" o:spid="_x0000_s1026" style="position:absolute;margin-left:365.4pt;margin-top:.75pt;width:34.4pt;height:16.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r>
              <w:rPr>
                <w:noProof/>
                <w:lang w:eastAsia="en-AU"/>
              </w:rPr>
              <mc:AlternateContent>
                <mc:Choice Requires="wps">
                  <w:drawing>
                    <wp:anchor distT="0" distB="0" distL="114300" distR="114300" simplePos="0" relativeHeight="252035072" behindDoc="0" locked="1" layoutInCell="1" allowOverlap="1" wp14:anchorId="02CB1107" wp14:editId="4358D9FD">
                      <wp:simplePos x="0" y="0"/>
                      <wp:positionH relativeFrom="page">
                        <wp:posOffset>6514465</wp:posOffset>
                      </wp:positionH>
                      <wp:positionV relativeFrom="page">
                        <wp:posOffset>1097915</wp:posOffset>
                      </wp:positionV>
                      <wp:extent cx="436880" cy="213360"/>
                      <wp:effectExtent l="0" t="0" r="1270" b="0"/>
                      <wp:wrapNone/>
                      <wp:docPr id="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639402" id="Freeform 5" o:spid="_x0000_s1026" style="position:absolute;margin-left:512.95pt;margin-top:86.45pt;width:34.4pt;height:16.8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9Hfw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2C35E8" w:rsidRPr="00AA4DEE" w:rsidTr="0059257B">
        <w:trPr>
          <w:cantSplit/>
        </w:trPr>
        <w:tc>
          <w:tcPr>
            <w:tcW w:w="8168" w:type="dxa"/>
            <w:tcBorders>
              <w:top w:val="single" w:sz="4" w:space="0" w:color="auto"/>
              <w:bottom w:val="single" w:sz="4" w:space="0" w:color="auto"/>
            </w:tcBorders>
            <w:shd w:val="clear" w:color="auto" w:fill="auto"/>
          </w:tcPr>
          <w:p w:rsidR="002C35E8" w:rsidRPr="00AA4DEE" w:rsidRDefault="002C35E8" w:rsidP="0059257B">
            <w:pPr>
              <w:pStyle w:val="Figure"/>
            </w:pPr>
            <w:r w:rsidRPr="006E33DA">
              <w:rPr>
                <w:noProof/>
                <w:lang w:eastAsia="en-AU"/>
              </w:rPr>
              <w:drawing>
                <wp:inline distT="0" distB="0" distL="0" distR="0" wp14:anchorId="42AF8B57" wp14:editId="63815D93">
                  <wp:extent cx="5046345" cy="2766695"/>
                  <wp:effectExtent l="0" t="0" r="1905" b="14605"/>
                  <wp:docPr id="261"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2C35E8" w:rsidRPr="00AA4DEE" w:rsidTr="0059257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2C35E8" w:rsidRPr="00AA4DEE" w:rsidRDefault="002C35E8" w:rsidP="0059257B">
            <w:pPr>
              <w:pStyle w:val="Source"/>
            </w:pPr>
            <w:r w:rsidRPr="00AA4DEE">
              <w:t>Source:</w:t>
            </w:r>
            <w:r>
              <w:t xml:space="preserve"> Department of agriculture and water resources, Agricultural Commodity Statistics, 2016</w:t>
            </w:r>
            <w:r w:rsidRPr="00AA4DEE">
              <w:t xml:space="preserve"> </w:t>
            </w:r>
          </w:p>
        </w:tc>
      </w:tr>
      <w:tr w:rsidR="002C35E8" w:rsidTr="0059257B">
        <w:trPr>
          <w:trHeight w:hRule="exact" w:val="160"/>
        </w:trPr>
        <w:tc>
          <w:tcPr>
            <w:tcW w:w="8168" w:type="dxa"/>
            <w:tcBorders>
              <w:top w:val="single" w:sz="4" w:space="0" w:color="auto"/>
            </w:tcBorders>
            <w:shd w:val="clear" w:color="auto" w:fill="auto"/>
          </w:tcPr>
          <w:p w:rsidR="002C35E8" w:rsidRDefault="002C35E8" w:rsidP="0059257B">
            <w:pPr>
              <w:pStyle w:val="spacertbl"/>
            </w:pPr>
          </w:p>
        </w:tc>
      </w:tr>
    </w:tbl>
    <w:p w:rsidR="000A344D" w:rsidRDefault="0065658C" w:rsidP="0065658C">
      <w:pPr>
        <w:pStyle w:val="BodyText"/>
      </w:pPr>
      <w:r>
        <w:t xml:space="preserve">The data indicate that from the period 2004-05 to 2014-15 the sales of herbicides has increased at </w:t>
      </w:r>
      <w:r w:rsidR="00B4250A">
        <w:t xml:space="preserve">an </w:t>
      </w:r>
      <w:r>
        <w:t xml:space="preserve">annual average growth rate of 5.5 per cent, insecticides at </w:t>
      </w:r>
      <w:r w:rsidR="00B4250A">
        <w:t xml:space="preserve">an </w:t>
      </w:r>
      <w:r>
        <w:t xml:space="preserve">annual average growth rate of 3.3 per cent, and animal health products at </w:t>
      </w:r>
      <w:r w:rsidR="00B4250A">
        <w:t xml:space="preserve">an </w:t>
      </w:r>
      <w:r>
        <w:t>annual average growth rate of 4.4 per cent</w:t>
      </w:r>
      <w:r w:rsidR="00756B82">
        <w:t>,</w:t>
      </w:r>
      <w:r>
        <w:t xml:space="preserve"> while the use of fungicides</w:t>
      </w:r>
      <w:r w:rsidR="008079E4">
        <w:t xml:space="preserve"> </w:t>
      </w:r>
      <w:r>
        <w:t>/</w:t>
      </w:r>
      <w:r w:rsidR="008079E4">
        <w:t xml:space="preserve"> </w:t>
      </w:r>
      <w:r>
        <w:t xml:space="preserve">plant growth regulators increased at </w:t>
      </w:r>
      <w:r w:rsidR="00B4250A">
        <w:t xml:space="preserve">an </w:t>
      </w:r>
      <w:r>
        <w:t xml:space="preserve">annual average growth rate of only 2.5 per cent. </w:t>
      </w:r>
    </w:p>
    <w:p w:rsidR="00B4250A" w:rsidRDefault="0065658C" w:rsidP="0065658C">
      <w:pPr>
        <w:pStyle w:val="BodyText"/>
      </w:pPr>
      <w:r>
        <w:t>An index of prices paid for chemicals increased only by 2 per cent</w:t>
      </w:r>
      <w:r w:rsidR="00756B82">
        <w:t>—</w:t>
      </w:r>
      <w:r>
        <w:t>an annual average growth rate of 0.24 per cent.</w:t>
      </w:r>
      <w:r w:rsidR="00A609A0">
        <w:t xml:space="preserve"> </w:t>
      </w:r>
      <w:r>
        <w:t xml:space="preserve">The major chemical used in Australia is glyphosate. Glyphosate is the main ingredient in many knockdown herbicides, used to kill the majority </w:t>
      </w:r>
      <w:r w:rsidR="00B11560">
        <w:t>of annual and perennial plants.</w:t>
      </w:r>
    </w:p>
    <w:p w:rsidR="00412E77" w:rsidRDefault="00412E77" w:rsidP="00412E77">
      <w:pPr>
        <w:pStyle w:val="BodyText"/>
      </w:pPr>
      <w:r>
        <w:t xml:space="preserve">In the absence of a more detailed analysis of agvet chemical price trends, it is difficult to understand the key factors influencing agvet chemical price changes. </w:t>
      </w:r>
      <w:r>
        <w:fldChar w:fldCharType="begin"/>
      </w:r>
      <w:r>
        <w:instrText xml:space="preserve"> REF _Ref483222539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3</w:t>
      </w:r>
      <w:r>
        <w:fldChar w:fldCharType="end"/>
      </w:r>
      <w:r>
        <w:t xml:space="preserve"> is based on composite indices developed by </w:t>
      </w:r>
      <w:r w:rsidR="00756B82">
        <w:t>DAWR</w:t>
      </w:r>
      <w:r>
        <w:t>.</w:t>
      </w:r>
    </w:p>
    <w:p w:rsidR="00412E77" w:rsidRDefault="00412E77" w:rsidP="00412E77">
      <w:pPr>
        <w:pStyle w:val="BodyText"/>
      </w:pPr>
      <w:r>
        <w:t xml:space="preserve">In </w:t>
      </w:r>
      <w:r w:rsidR="00A21D7E">
        <w:t xml:space="preserve">an </w:t>
      </w:r>
      <w:r>
        <w:t xml:space="preserve">ideal world, it would be preferable to separate regulatory costs from other factors that impact on agvet chemical prices. The Australian agvet chemical market is relatively small on a global scale, comprising less than </w:t>
      </w:r>
      <w:r w:rsidR="00A21D7E">
        <w:t>2</w:t>
      </w:r>
      <w:r>
        <w:t xml:space="preserve"> per cent of the global distribution of agricultural and veterinary chemicals. The importation of chemical products and active constituents is significant, with sources such as China and India featuring strongly in terms of active constituent manufacturing. For this reason, movements in global chemical pricing can have a significant effect on prices in Australia.</w:t>
      </w:r>
      <w:r>
        <w:rPr>
          <w:rStyle w:val="FootnoteReference"/>
        </w:rPr>
        <w:footnoteReference w:id="16"/>
      </w:r>
      <w:r>
        <w:t xml:space="preserve"> This makes it difficult to </w:t>
      </w:r>
      <w:r w:rsidR="00F064FB">
        <w:t xml:space="preserve">separate out </w:t>
      </w:r>
      <w:r>
        <w:t>the cost of regulation on the price of agvet chemicals in Australia.</w:t>
      </w:r>
    </w:p>
    <w:p w:rsidR="0048069A" w:rsidRDefault="00737629" w:rsidP="004B224B">
      <w:pPr>
        <w:pStyle w:val="Heading3"/>
      </w:pPr>
      <w:r>
        <w:t xml:space="preserve">Size of the </w:t>
      </w:r>
      <w:r w:rsidR="00080206">
        <w:t xml:space="preserve">Australian </w:t>
      </w:r>
      <w:r>
        <w:t>industry and major players</w:t>
      </w:r>
    </w:p>
    <w:p w:rsidR="00737629" w:rsidRDefault="00737629" w:rsidP="004B224B">
      <w:pPr>
        <w:pStyle w:val="Heading4"/>
      </w:pPr>
      <w:r>
        <w:t>Background</w:t>
      </w:r>
    </w:p>
    <w:p w:rsidR="00685B43" w:rsidRDefault="00AC6EC7" w:rsidP="00685B43">
      <w:pPr>
        <w:pStyle w:val="BodyText"/>
      </w:pPr>
      <w:r>
        <w:t>Globally</w:t>
      </w:r>
      <w:r w:rsidRPr="00444453">
        <w:t xml:space="preserve">, the </w:t>
      </w:r>
      <w:r>
        <w:t xml:space="preserve">agricultural sector is the </w:t>
      </w:r>
      <w:r w:rsidRPr="00444453">
        <w:t xml:space="preserve">major </w:t>
      </w:r>
      <w:r>
        <w:t xml:space="preserve">consumer of </w:t>
      </w:r>
      <w:r w:rsidRPr="00444453">
        <w:t>pesticides</w:t>
      </w:r>
      <w:r w:rsidR="00F064FB">
        <w:t xml:space="preserve">. In Australia the sector </w:t>
      </w:r>
      <w:r w:rsidRPr="00444453">
        <w:t xml:space="preserve">is thought to account for </w:t>
      </w:r>
      <w:r>
        <w:t xml:space="preserve">approximately </w:t>
      </w:r>
      <w:r w:rsidRPr="00444453">
        <w:t xml:space="preserve">80 per cent of </w:t>
      </w:r>
      <w:r w:rsidR="00F064FB">
        <w:t>national</w:t>
      </w:r>
      <w:r>
        <w:t xml:space="preserve"> </w:t>
      </w:r>
      <w:r w:rsidRPr="00444453">
        <w:t xml:space="preserve">pesticide consumption. Also known as crop protection products, pesticides are used to protect plants and crops from the damage caused by weeds, </w:t>
      </w:r>
      <w:r>
        <w:t>insects</w:t>
      </w:r>
      <w:r w:rsidRPr="00444453">
        <w:t xml:space="preserve"> and disease. </w:t>
      </w:r>
      <w:r w:rsidR="00756B82">
        <w:t>Pesticides</w:t>
      </w:r>
      <w:r w:rsidRPr="00444453">
        <w:t xml:space="preserve"> are applied at various stages of the production process: in the seeding stage, to harvested produce or during processing, and</w:t>
      </w:r>
      <w:r w:rsidR="008079E4">
        <w:t xml:space="preserve"> </w:t>
      </w:r>
      <w:r w:rsidRPr="00444453">
        <w:t>/</w:t>
      </w:r>
      <w:r w:rsidR="008079E4">
        <w:t xml:space="preserve"> </w:t>
      </w:r>
      <w:r w:rsidRPr="00444453">
        <w:t xml:space="preserve">or during packaging and transportation. </w:t>
      </w:r>
      <w:r w:rsidRPr="00D51BFF">
        <w:t xml:space="preserve">As a result, pesticides play an essential role in increasing the efficiency of Australian agriculture. Households and professional pest control services also use pest control chemicals. </w:t>
      </w:r>
    </w:p>
    <w:p w:rsidR="00F85094" w:rsidRPr="00080206" w:rsidRDefault="00685B43" w:rsidP="00685B43">
      <w:pPr>
        <w:pStyle w:val="BodyText"/>
      </w:pPr>
      <w:r w:rsidRPr="00D51BFF">
        <w:t>Herbicides, fungicides and insecticides are common forms of pesticides, with these three groupings accounting for over 8</w:t>
      </w:r>
      <w:r>
        <w:t>6 per cent</w:t>
      </w:r>
      <w:r w:rsidRPr="00D51BFF">
        <w:t xml:space="preserve"> of all product sales. Other products, such as plant growth regulators, soil fumigants, </w:t>
      </w:r>
      <w:r w:rsidR="001906E7">
        <w:t>vertebrate poison</w:t>
      </w:r>
      <w:r w:rsidRPr="00D51BFF">
        <w:t xml:space="preserve"> and various other agricultural and pastoral chemicals, account for the remainder of industry</w:t>
      </w:r>
      <w:r>
        <w:t xml:space="preserve">. </w:t>
      </w:r>
      <w:r w:rsidRPr="00444453">
        <w:t>The vast majority of pesticides are consumed by wheat and other crop producers, including those involved in cereal grains, coarse grains, pulses and</w:t>
      </w:r>
      <w:r>
        <w:t xml:space="preserve"> oilseeds</w:t>
      </w:r>
      <w:r w:rsidR="00AC6EC7">
        <w:t>.</w:t>
      </w:r>
      <w:r w:rsidRPr="00D51BFF">
        <w:rPr>
          <w:rStyle w:val="FootnoteReference"/>
        </w:rPr>
        <w:t xml:space="preserve"> </w:t>
      </w:r>
      <w:r>
        <w:rPr>
          <w:rStyle w:val="FootnoteReference"/>
        </w:rPr>
        <w:footnoteReference w:id="17"/>
      </w:r>
      <w:r w:rsidR="00A21D7E" w:rsidRPr="00A21D7E">
        <w:rPr>
          <w:vertAlign w:val="superscript"/>
        </w:rPr>
        <w:t>,</w:t>
      </w:r>
      <w:r>
        <w:rPr>
          <w:rStyle w:val="FootnoteReference"/>
        </w:rPr>
        <w:footnoteReference w:id="18"/>
      </w:r>
    </w:p>
    <w:p w:rsidR="00F85094" w:rsidRDefault="00F85094" w:rsidP="00F85094">
      <w:pPr>
        <w:pStyle w:val="BodyText"/>
      </w:pPr>
      <w:r w:rsidRPr="00F85094">
        <w:t>Industry consultations undertaken for this report have indicated that the Australian market in agvet products is approaching $4 billion per annum of which crops comprise $2.8 billion. Nufarm Ltd is the only manufacturer of active ingredients for agricultural chemical products in Australia. Other agricultural chemical companies import active ingredients and formulate here. However, veterinary active constituents are routinely manufactured in Australia (e.g. vaccines).</w:t>
      </w:r>
    </w:p>
    <w:p w:rsidR="00685B43" w:rsidRDefault="00F85094" w:rsidP="00685B43">
      <w:pPr>
        <w:pStyle w:val="BodyText"/>
        <w:rPr>
          <w:lang w:val="en-US"/>
        </w:rPr>
      </w:pPr>
      <w:r>
        <w:rPr>
          <w:lang w:val="en-US"/>
        </w:rPr>
        <w:t>In this report, we have used IBISWorld data which includes t</w:t>
      </w:r>
      <w:r w:rsidR="00685B43">
        <w:rPr>
          <w:lang w:val="en-US"/>
        </w:rPr>
        <w:t xml:space="preserve">he </w:t>
      </w:r>
      <w:r w:rsidR="001906E7">
        <w:rPr>
          <w:lang w:val="en-US"/>
        </w:rPr>
        <w:t>v</w:t>
      </w:r>
      <w:r w:rsidR="00685B43">
        <w:rPr>
          <w:lang w:val="en-US"/>
        </w:rPr>
        <w:t xml:space="preserve">eterinary </w:t>
      </w:r>
      <w:r w:rsidR="001906E7">
        <w:rPr>
          <w:lang w:val="en-US"/>
        </w:rPr>
        <w:t>p</w:t>
      </w:r>
      <w:r w:rsidR="00685B43">
        <w:rPr>
          <w:lang w:val="en-US"/>
        </w:rPr>
        <w:t xml:space="preserve">harmaceutical </w:t>
      </w:r>
      <w:r w:rsidR="001906E7">
        <w:rPr>
          <w:lang w:val="en-US"/>
        </w:rPr>
        <w:t>m</w:t>
      </w:r>
      <w:r w:rsidR="00685B43">
        <w:rPr>
          <w:lang w:val="en-US"/>
        </w:rPr>
        <w:t xml:space="preserve">anufacturing industry </w:t>
      </w:r>
      <w:r w:rsidR="001E51FE">
        <w:rPr>
          <w:lang w:val="en-US"/>
        </w:rPr>
        <w:t>as</w:t>
      </w:r>
      <w:r w:rsidR="00685B43">
        <w:rPr>
          <w:lang w:val="en-US"/>
        </w:rPr>
        <w:t xml:space="preserve"> a small segment of the general Australian pharmaceutical sector. The industry develops and manufactures animal health products, including veterinary medicines, vaccines, and other biological and medicinal feed additives. The industry is geared towards two main segments:</w:t>
      </w:r>
    </w:p>
    <w:p w:rsidR="00685B43" w:rsidRDefault="00685B43" w:rsidP="00685B43">
      <w:pPr>
        <w:pStyle w:val="ListBullet"/>
        <w:rPr>
          <w:lang w:val="en-US"/>
        </w:rPr>
      </w:pPr>
      <w:r>
        <w:rPr>
          <w:lang w:val="en-US"/>
        </w:rPr>
        <w:t>food-producing animals (including cattle, pigs, poultry and sheep)</w:t>
      </w:r>
      <w:r w:rsidR="00412E77">
        <w:rPr>
          <w:lang w:val="en-US"/>
        </w:rPr>
        <w:t>, and</w:t>
      </w:r>
    </w:p>
    <w:p w:rsidR="00685B43" w:rsidRDefault="00685B43" w:rsidP="00685B43">
      <w:pPr>
        <w:pStyle w:val="ListBullet"/>
        <w:rPr>
          <w:lang w:val="en-US"/>
        </w:rPr>
      </w:pPr>
      <w:r>
        <w:rPr>
          <w:lang w:val="en-US"/>
        </w:rPr>
        <w:t xml:space="preserve">companion animals (including cats and dogs). </w:t>
      </w:r>
    </w:p>
    <w:p w:rsidR="00685B43" w:rsidRPr="008D473F" w:rsidRDefault="00685B43" w:rsidP="00685B43">
      <w:pPr>
        <w:pStyle w:val="BodyText"/>
        <w:rPr>
          <w:lang w:val="en-US"/>
        </w:rPr>
      </w:pPr>
      <w:r>
        <w:rPr>
          <w:lang w:val="en-US"/>
        </w:rPr>
        <w:t xml:space="preserve">The </w:t>
      </w:r>
      <w:r w:rsidR="001906E7">
        <w:rPr>
          <w:lang w:val="en-US"/>
        </w:rPr>
        <w:t>v</w:t>
      </w:r>
      <w:r>
        <w:rPr>
          <w:lang w:val="en-US"/>
        </w:rPr>
        <w:t xml:space="preserve">eterinary </w:t>
      </w:r>
      <w:r w:rsidR="001906E7">
        <w:rPr>
          <w:lang w:val="en-US"/>
        </w:rPr>
        <w:t>p</w:t>
      </w:r>
      <w:r>
        <w:rPr>
          <w:lang w:val="en-US"/>
        </w:rPr>
        <w:t xml:space="preserve">harmaceutical </w:t>
      </w:r>
      <w:r w:rsidR="001906E7">
        <w:rPr>
          <w:lang w:val="en-US"/>
        </w:rPr>
        <w:t>m</w:t>
      </w:r>
      <w:r>
        <w:rPr>
          <w:lang w:val="en-US"/>
        </w:rPr>
        <w:t xml:space="preserve">anufacturing industry accounts for just over 5.5 per cent of the </w:t>
      </w:r>
      <w:r w:rsidR="001906E7">
        <w:rPr>
          <w:lang w:val="en-US"/>
        </w:rPr>
        <w:t xml:space="preserve">Australian </w:t>
      </w:r>
      <w:r>
        <w:rPr>
          <w:lang w:val="en-US"/>
        </w:rPr>
        <w:t>pharmaceutical sector.</w:t>
      </w:r>
      <w:r>
        <w:rPr>
          <w:rStyle w:val="FootnoteReference"/>
          <w:lang w:val="en-US"/>
        </w:rPr>
        <w:footnoteReference w:id="19"/>
      </w:r>
      <w:r w:rsidRPr="008D473F">
        <w:rPr>
          <w:lang w:val="en-US"/>
        </w:rPr>
        <w:t xml:space="preserve"> The largest product segment for the</w:t>
      </w:r>
      <w:r>
        <w:rPr>
          <w:rFonts w:ascii="Georgia" w:hAnsi="Georgia" w:cs="Georgia"/>
          <w:sz w:val="20"/>
          <w:szCs w:val="20"/>
          <w:lang w:val="en-US"/>
        </w:rPr>
        <w:t xml:space="preserve"> </w:t>
      </w:r>
      <w:r w:rsidRPr="008D473F">
        <w:rPr>
          <w:lang w:val="en-US"/>
        </w:rPr>
        <w:t xml:space="preserve">industry is parasiticides. Other key segments include antibiotics, immunotherapy products, and nutritional and metabolism products. </w:t>
      </w:r>
    </w:p>
    <w:p w:rsidR="00685B43" w:rsidRDefault="00685B43" w:rsidP="004B224B">
      <w:pPr>
        <w:pStyle w:val="Heading4"/>
      </w:pPr>
      <w:r>
        <w:t>Major players</w:t>
      </w:r>
    </w:p>
    <w:p w:rsidR="00685B43" w:rsidRDefault="00546375" w:rsidP="00685B43">
      <w:pPr>
        <w:pStyle w:val="BodyText"/>
      </w:pPr>
      <w:r>
        <w:rPr>
          <w:noProof/>
          <w:lang w:eastAsia="en-AU"/>
        </w:rPr>
        <mc:AlternateContent>
          <mc:Choice Requires="wps">
            <w:drawing>
              <wp:anchor distT="0" distB="0" distL="114300" distR="114300" simplePos="0" relativeHeight="251871232" behindDoc="0" locked="1" layoutInCell="1" allowOverlap="1" wp14:anchorId="295A86B6" wp14:editId="10EECB1D">
                <wp:simplePos x="0" y="0"/>
                <wp:positionH relativeFrom="page">
                  <wp:posOffset>302260</wp:posOffset>
                </wp:positionH>
                <wp:positionV relativeFrom="paragraph">
                  <wp:posOffset>-6350</wp:posOffset>
                </wp:positionV>
                <wp:extent cx="1469390" cy="1238885"/>
                <wp:effectExtent l="0" t="0" r="0" b="0"/>
                <wp:wrapNone/>
                <wp:docPr id="2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1238885"/>
                        </a:xfrm>
                        <a:prstGeom prst="rect">
                          <a:avLst/>
                        </a:prstGeom>
                        <a:noFill/>
                        <a:ln w="6350">
                          <a:noFill/>
                        </a:ln>
                        <a:effectLst/>
                      </wps:spPr>
                      <wps:txbx>
                        <w:txbxContent>
                          <w:p w:rsidR="00C66EF8" w:rsidRDefault="00C66EF8" w:rsidP="009D3C34">
                            <w:pPr>
                              <w:pStyle w:val="SideNoteItalicRight"/>
                            </w:pPr>
                          </w:p>
                        </w:txbxContent>
                      </wps:txbx>
                      <wps:bodyPr rot="0" spcFirstLastPara="0" vertOverflow="overflow" horzOverflow="overflow" vert="horz" wrap="square" lIns="0" tIns="0" rIns="76200" bIns="762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5A86B6" id="_x0000_t202" coordsize="21600,21600" o:spt="202" path="m,l,21600r21600,l21600,xe">
                <v:stroke joinstyle="miter"/>
                <v:path gradientshapeok="t" o:connecttype="rect"/>
              </v:shapetype>
              <v:shape id="Text Box 14" o:spid="_x0000_s1026" type="#_x0000_t202" style="position:absolute;margin-left:23.8pt;margin-top:-.5pt;width:115.7pt;height:97.5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" filled="f" stroked="f" strokeweight=".5pt">
                <v:path arrowok="t"/>
                <v:textbox style="mso-fit-shape-to-text:t" inset="0,0,6pt,6pt">
                  <w:txbxContent>
                    <w:p w:rsidR="00C66EF8" w:rsidRDefault="00C66EF8" w:rsidP="009D3C34">
                      <w:pPr>
                        <w:pStyle w:val="SideNoteItalicRight"/>
                      </w:pPr>
                    </w:p>
                  </w:txbxContent>
                </v:textbox>
                <w10:wrap anchorx="page"/>
                <w10:anchorlock/>
              </v:shape>
            </w:pict>
          </mc:Fallback>
        </mc:AlternateContent>
      </w:r>
      <w:r w:rsidR="00685B43">
        <w:t xml:space="preserve">Industry concentration in pesticide manufacturing is considered high in Australia, with the top </w:t>
      </w:r>
      <w:r w:rsidR="001906E7">
        <w:t xml:space="preserve">four </w:t>
      </w:r>
      <w:r w:rsidR="00685B43">
        <w:t xml:space="preserve">players estimated to account for over 97 per cent of total industry revenue in 2015-16. </w:t>
      </w:r>
      <w:r w:rsidR="001E51FE">
        <w:t xml:space="preserve">The </w:t>
      </w:r>
      <w:r w:rsidR="001906E7">
        <w:t>Australian trend is in line with the global crop protection industry, where s</w:t>
      </w:r>
      <w:r w:rsidR="00685B43">
        <w:t xml:space="preserve">ix major companies supply over 75 per cent of the </w:t>
      </w:r>
      <w:r w:rsidR="001906E7">
        <w:t xml:space="preserve">global </w:t>
      </w:r>
      <w:r w:rsidR="00685B43">
        <w:t>market</w:t>
      </w:r>
      <w:r w:rsidR="00AC6EC7">
        <w:t>.</w:t>
      </w:r>
      <w:r w:rsidR="001629AC">
        <w:t> </w:t>
      </w:r>
      <w:r w:rsidR="00685B43">
        <w:rPr>
          <w:rStyle w:val="FootnoteReference"/>
        </w:rPr>
        <w:footnoteReference w:id="20"/>
      </w:r>
      <w:r w:rsidR="001629AC" w:rsidRPr="001629AC">
        <w:rPr>
          <w:vertAlign w:val="superscript"/>
        </w:rPr>
        <w:t>,</w:t>
      </w:r>
      <w:r w:rsidR="00685B43">
        <w:rPr>
          <w:rStyle w:val="FootnoteReference"/>
        </w:rPr>
        <w:footnoteReference w:id="21"/>
      </w:r>
      <w:r w:rsidR="00685B43">
        <w:t>.</w:t>
      </w:r>
      <w:r w:rsidR="001E51FE">
        <w:t xml:space="preserve"> </w:t>
      </w:r>
      <w:r w:rsidR="00685B43">
        <w:t>Herbicides, fungicides and insecticides are common form</w:t>
      </w:r>
      <w:r w:rsidR="001E51FE">
        <w:t>s</w:t>
      </w:r>
      <w:r w:rsidR="00685B43">
        <w:t xml:space="preserve"> of pesticides, with these three groupings account for over 85 per cent of all product sales. </w:t>
      </w:r>
    </w:p>
    <w:p w:rsidR="00685B43" w:rsidRPr="00444453" w:rsidRDefault="00685B43" w:rsidP="00685B43">
      <w:pPr>
        <w:pStyle w:val="BodyText"/>
      </w:pPr>
      <w:r>
        <w:t>Major pesticide manufacturers and veterinary pharmaceutical manufacturers in Australia and their market share</w:t>
      </w:r>
      <w:r w:rsidR="001906E7">
        <w:t xml:space="preserve"> in terms of revenue</w:t>
      </w:r>
      <w:r>
        <w:t xml:space="preserve"> in 2015-16 are summarised in </w:t>
      </w:r>
      <w:r>
        <w:fldChar w:fldCharType="begin"/>
      </w:r>
      <w:r>
        <w:instrText xml:space="preserve"> REF _Ref484898033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4</w:t>
      </w:r>
      <w:r>
        <w:fldChar w:fldCharType="end"/>
      </w:r>
      <w:r>
        <w:t>.</w:t>
      </w:r>
      <w:r w:rsidR="001906E7">
        <w:rPr>
          <w:rStyle w:val="FootnoteReference"/>
        </w:rPr>
        <w:footnoteReference w:id="22"/>
      </w:r>
      <w:r>
        <w:t xml:space="preserve"> </w:t>
      </w:r>
      <w:r w:rsidRPr="00444453">
        <w:t xml:space="preserve">The figure shows that Nufarm Ltd was the largest </w:t>
      </w:r>
      <w:r>
        <w:t>pesticide manufacturer</w:t>
      </w:r>
      <w:r w:rsidRPr="00444453">
        <w:t xml:space="preserve"> in </w:t>
      </w:r>
      <w:r w:rsidR="001E51FE">
        <w:t>Australia</w:t>
      </w:r>
      <w:r w:rsidRPr="00444453">
        <w:t xml:space="preserve"> in 20</w:t>
      </w:r>
      <w:r>
        <w:t>15-16</w:t>
      </w:r>
      <w:r w:rsidRPr="00444453">
        <w:t xml:space="preserve">, </w:t>
      </w:r>
      <w:r>
        <w:t>with</w:t>
      </w:r>
      <w:r w:rsidRPr="00444453">
        <w:t xml:space="preserve"> a total market share of </w:t>
      </w:r>
      <w:r>
        <w:t>50.2</w:t>
      </w:r>
      <w:r w:rsidRPr="00444453">
        <w:t xml:space="preserve"> per cent. In second place was </w:t>
      </w:r>
      <w:r>
        <w:t xml:space="preserve">Bayer CropScience Holdings Pty Ltd which had a market share of 27.2 per cent. The third largest </w:t>
      </w:r>
      <w:r w:rsidRPr="00444453">
        <w:t xml:space="preserve">third largest pesticide manufacturer in Australia is Syngenta Crop Protection Pty Ltd, </w:t>
      </w:r>
      <w:r>
        <w:t xml:space="preserve">which </w:t>
      </w:r>
      <w:r w:rsidRPr="00444453">
        <w:t>had a market share of 1</w:t>
      </w:r>
      <w:r>
        <w:t>9.7</w:t>
      </w:r>
      <w:r w:rsidRPr="00444453">
        <w:t xml:space="preserve"> per cent. </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5497"/>
        <w:gridCol w:w="5497"/>
      </w:tblGrid>
      <w:tr w:rsidR="00E86A68" w:rsidRPr="00AA4DEE" w:rsidTr="00401D90">
        <w:trPr>
          <w:cantSplit/>
          <w:trHeight w:hRule="exact" w:val="160"/>
        </w:trPr>
        <w:tc>
          <w:tcPr>
            <w:tcW w:w="10994" w:type="dxa"/>
            <w:gridSpan w:val="2"/>
            <w:tcBorders>
              <w:bottom w:val="single" w:sz="4" w:space="0" w:color="auto"/>
            </w:tcBorders>
            <w:shd w:val="clear" w:color="auto" w:fill="auto"/>
          </w:tcPr>
          <w:p w:rsidR="00061225" w:rsidRPr="00AA4DEE" w:rsidRDefault="00061225" w:rsidP="00F31C7F">
            <w:pPr>
              <w:pStyle w:val="spacer"/>
            </w:pPr>
          </w:p>
        </w:tc>
      </w:tr>
      <w:tr w:rsidR="00E86A68" w:rsidRPr="00897E60" w:rsidTr="00401D90">
        <w:trPr>
          <w:cantSplit/>
        </w:trPr>
        <w:tc>
          <w:tcPr>
            <w:tcW w:w="10994" w:type="dxa"/>
            <w:gridSpan w:val="2"/>
            <w:tcBorders>
              <w:top w:val="single" w:sz="4" w:space="0" w:color="auto"/>
            </w:tcBorders>
            <w:shd w:val="clear" w:color="auto" w:fill="auto"/>
            <w:tcMar>
              <w:left w:w="0" w:type="dxa"/>
            </w:tcMar>
          </w:tcPr>
          <w:p w:rsidR="00061225" w:rsidRPr="00897E60" w:rsidRDefault="00061225" w:rsidP="00754C18">
            <w:pPr>
              <w:pStyle w:val="Caption"/>
            </w:pPr>
            <w:bookmarkStart w:id="33" w:name="_Ref484898033"/>
            <w:bookmarkStart w:id="34" w:name="_Toc497298087"/>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2</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4</w:t>
            </w:r>
            <w:r w:rsidR="004B55F4">
              <w:rPr>
                <w:rStyle w:val="CaptionLabel"/>
              </w:rPr>
              <w:fldChar w:fldCharType="end"/>
            </w:r>
            <w:bookmarkEnd w:id="33"/>
            <w:r>
              <w:tab/>
            </w:r>
            <w:r w:rsidR="00754C18">
              <w:t>Major agvet chemical manufAcTurers in Australia and their market share</w:t>
            </w:r>
            <w:r w:rsidR="0070042C">
              <w:t xml:space="preserve"> in terms of revenue</w:t>
            </w:r>
            <w:r w:rsidR="00FF040D">
              <w:t>, 2015-16</w:t>
            </w:r>
            <w:bookmarkEnd w:id="34"/>
          </w:p>
        </w:tc>
      </w:tr>
      <w:tr w:rsidR="00061225" w:rsidRPr="00AA4DEE" w:rsidTr="00B46B76">
        <w:trPr>
          <w:cantSplit/>
          <w:trHeight w:hRule="exact" w:val="380"/>
        </w:trPr>
        <w:tc>
          <w:tcPr>
            <w:tcW w:w="10994" w:type="dxa"/>
            <w:gridSpan w:val="2"/>
            <w:tcBorders>
              <w:bottom w:val="single" w:sz="4" w:space="0" w:color="auto"/>
            </w:tcBorders>
            <w:shd w:val="clear" w:color="auto" w:fill="auto"/>
          </w:tcPr>
          <w:p w:rsidR="00061225" w:rsidRPr="00AA4DEE" w:rsidRDefault="004F7246" w:rsidP="00F31C7F">
            <w:pPr>
              <w:pStyle w:val="spacer"/>
            </w:pPr>
            <w:r>
              <w:rPr>
                <w:noProof/>
                <w:lang w:eastAsia="en-AU"/>
              </w:rPr>
              <mc:AlternateContent>
                <mc:Choice Requires="wps">
                  <w:drawing>
                    <wp:anchor distT="0" distB="0" distL="114300" distR="114300" simplePos="0" relativeHeight="251987968" behindDoc="0" locked="1" layoutInCell="1" allowOverlap="1" wp14:anchorId="3F32A881" wp14:editId="157742D8">
                      <wp:simplePos x="0" y="0"/>
                      <wp:positionH relativeFrom="page">
                        <wp:posOffset>6409690</wp:posOffset>
                      </wp:positionH>
                      <wp:positionV relativeFrom="page">
                        <wp:posOffset>9525</wp:posOffset>
                      </wp:positionV>
                      <wp:extent cx="436880" cy="213360"/>
                      <wp:effectExtent l="0" t="0" r="1270" b="0"/>
                      <wp:wrapNone/>
                      <wp:docPr id="15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E6BB09" id="Freeform 5" o:spid="_x0000_s1026" style="position:absolute;margin-left:504.7pt;margin-top:.75pt;width:34.4pt;height:16.8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RPr="00AA4DEE" w:rsidTr="00401D90">
        <w:trPr>
          <w:cantSplit/>
        </w:trPr>
        <w:tc>
          <w:tcPr>
            <w:tcW w:w="5497" w:type="dxa"/>
            <w:tcBorders>
              <w:top w:val="single" w:sz="4" w:space="0" w:color="auto"/>
              <w:bottom w:val="single" w:sz="4" w:space="0" w:color="auto"/>
            </w:tcBorders>
            <w:shd w:val="clear" w:color="auto" w:fill="auto"/>
            <w:tcMar>
              <w:top w:w="10" w:type="dxa"/>
              <w:bottom w:w="10" w:type="dxa"/>
              <w:right w:w="0" w:type="dxa"/>
            </w:tcMar>
          </w:tcPr>
          <w:p w:rsidR="00061225" w:rsidRPr="00AA4DEE" w:rsidRDefault="00061225" w:rsidP="00061225">
            <w:pPr>
              <w:pStyle w:val="Figure"/>
            </w:pPr>
            <w:r>
              <w:t>Pesticide manufacturers</w:t>
            </w:r>
          </w:p>
        </w:tc>
        <w:tc>
          <w:tcPr>
            <w:tcW w:w="5497" w:type="dxa"/>
            <w:tcBorders>
              <w:top w:val="single" w:sz="4" w:space="0" w:color="auto"/>
              <w:bottom w:val="single" w:sz="4" w:space="0" w:color="auto"/>
            </w:tcBorders>
            <w:shd w:val="clear" w:color="auto" w:fill="auto"/>
          </w:tcPr>
          <w:p w:rsidR="00061225" w:rsidRPr="00AA4DEE" w:rsidRDefault="00061225" w:rsidP="00061225">
            <w:pPr>
              <w:pStyle w:val="Figure"/>
            </w:pPr>
            <w:r>
              <w:t>Veterinary pharmaceutical manufacturers</w:t>
            </w:r>
          </w:p>
        </w:tc>
      </w:tr>
      <w:tr w:rsidR="00061225" w:rsidRPr="00AA4DEE" w:rsidTr="00580CF7">
        <w:trPr>
          <w:cantSplit/>
        </w:trPr>
        <w:tc>
          <w:tcPr>
            <w:tcW w:w="5497" w:type="dxa"/>
            <w:tcBorders>
              <w:top w:val="single" w:sz="4" w:space="0" w:color="auto"/>
              <w:bottom w:val="single" w:sz="4" w:space="0" w:color="auto"/>
            </w:tcBorders>
            <w:shd w:val="clear" w:color="auto" w:fill="auto"/>
          </w:tcPr>
          <w:p w:rsidR="00061225" w:rsidRPr="00AA4DEE" w:rsidRDefault="00546375" w:rsidP="00F31C7F">
            <w:pPr>
              <w:pStyle w:val="Figure"/>
            </w:pPr>
            <w:r w:rsidRPr="006E33DA">
              <w:rPr>
                <w:noProof/>
                <w:lang w:eastAsia="en-AU"/>
              </w:rPr>
              <w:drawing>
                <wp:inline distT="0" distB="0" distL="0" distR="0" wp14:anchorId="5C089E73" wp14:editId="51B38F2C">
                  <wp:extent cx="3496945" cy="2099945"/>
                  <wp:effectExtent l="0" t="0" r="0" b="0"/>
                  <wp:docPr id="260" name="Char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497" w:type="dxa"/>
            <w:tcBorders>
              <w:top w:val="single" w:sz="4" w:space="0" w:color="auto"/>
              <w:bottom w:val="single" w:sz="4" w:space="0" w:color="auto"/>
            </w:tcBorders>
            <w:shd w:val="clear" w:color="auto" w:fill="auto"/>
          </w:tcPr>
          <w:p w:rsidR="00061225" w:rsidRPr="00AA4DEE" w:rsidRDefault="00546375" w:rsidP="00F31C7F">
            <w:pPr>
              <w:pStyle w:val="Figure"/>
            </w:pPr>
            <w:r w:rsidRPr="006E33DA">
              <w:rPr>
                <w:noProof/>
                <w:lang w:eastAsia="en-AU"/>
              </w:rPr>
              <w:drawing>
                <wp:inline distT="0" distB="0" distL="0" distR="0" wp14:anchorId="3CB03764" wp14:editId="4F49DAC2">
                  <wp:extent cx="3352800" cy="2014855"/>
                  <wp:effectExtent l="0" t="0" r="0" b="0"/>
                  <wp:docPr id="259" name="Char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E86A68" w:rsidRPr="00AA4DEE" w:rsidTr="00401D90">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rsidR="00061225" w:rsidRPr="00AA4DEE" w:rsidRDefault="00061225" w:rsidP="00F064FB">
            <w:pPr>
              <w:pStyle w:val="Source"/>
            </w:pPr>
            <w:r w:rsidRPr="00AA4DEE">
              <w:t xml:space="preserve">Source: </w:t>
            </w:r>
            <w:r>
              <w:t>IBISWorld Report 2016a</w:t>
            </w:r>
            <w:r w:rsidR="00F064FB">
              <w:t>,</w:t>
            </w:r>
            <w:r>
              <w:rPr>
                <w:lang w:val="en-US"/>
              </w:rPr>
              <w:t xml:space="preserve"> C1832, Pesticide Manufacturing in Australia, July 2016 and </w:t>
            </w:r>
            <w:r>
              <w:t>IBISWorld Report 2016b</w:t>
            </w:r>
            <w:r w:rsidR="00F064FB">
              <w:t xml:space="preserve">, </w:t>
            </w:r>
            <w:r>
              <w:rPr>
                <w:lang w:val="en-US"/>
              </w:rPr>
              <w:t>C1842, Veterinary Pharmaceutical Manufacturing in Australia, December 2016</w:t>
            </w:r>
          </w:p>
        </w:tc>
      </w:tr>
      <w:tr w:rsidR="00E86A68" w:rsidTr="00401D90">
        <w:trPr>
          <w:trHeight w:hRule="exact" w:val="160"/>
        </w:trPr>
        <w:tc>
          <w:tcPr>
            <w:tcW w:w="10994" w:type="dxa"/>
            <w:gridSpan w:val="2"/>
            <w:tcBorders>
              <w:top w:val="single" w:sz="4" w:space="0" w:color="auto"/>
            </w:tcBorders>
            <w:shd w:val="clear" w:color="auto" w:fill="auto"/>
          </w:tcPr>
          <w:p w:rsidR="00061225" w:rsidRDefault="00061225" w:rsidP="00F31C7F">
            <w:pPr>
              <w:pStyle w:val="spacertbl"/>
            </w:pPr>
          </w:p>
        </w:tc>
      </w:tr>
    </w:tbl>
    <w:p w:rsidR="00412E77" w:rsidRDefault="00412E77" w:rsidP="00412E77">
      <w:pPr>
        <w:pStyle w:val="BodyText"/>
        <w:rPr>
          <w:lang w:val="en-US"/>
        </w:rPr>
      </w:pPr>
      <w:r>
        <w:rPr>
          <w:lang w:val="en-US"/>
        </w:rPr>
        <w:t>Nufarm Ltd is an Australia</w:t>
      </w:r>
      <w:r w:rsidR="00BB2185">
        <w:rPr>
          <w:lang w:val="en-US"/>
        </w:rPr>
        <w:t>n</w:t>
      </w:r>
      <w:r>
        <w:rPr>
          <w:lang w:val="en-US"/>
        </w:rPr>
        <w:t>-based global company that manufactures and markets agricultural crop-</w:t>
      </w:r>
      <w:r w:rsidR="00546375">
        <w:rPr>
          <w:noProof/>
          <w:lang w:eastAsia="en-AU"/>
        </w:rPr>
        <mc:AlternateContent>
          <mc:Choice Requires="wps">
            <w:drawing>
              <wp:anchor distT="0" distB="0" distL="114300" distR="114300" simplePos="0" relativeHeight="251876352" behindDoc="0" locked="1" layoutInCell="1" allowOverlap="1" wp14:anchorId="2F597E97" wp14:editId="44032F09">
                <wp:simplePos x="0" y="0"/>
                <wp:positionH relativeFrom="page">
                  <wp:posOffset>369570</wp:posOffset>
                </wp:positionH>
                <wp:positionV relativeFrom="paragraph">
                  <wp:posOffset>435610</wp:posOffset>
                </wp:positionV>
                <wp:extent cx="1552575" cy="74612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46125"/>
                        </a:xfrm>
                        <a:prstGeom prst="rect">
                          <a:avLst/>
                        </a:prstGeom>
                        <a:noFill/>
                        <a:ln w="6350">
                          <a:noFill/>
                        </a:ln>
                        <a:effectLst/>
                      </wps:spPr>
                      <wps:txbx>
                        <w:txbxContent>
                          <w:p w:rsidR="00C66EF8" w:rsidRPr="00AE02B8" w:rsidRDefault="00C66EF8" w:rsidP="009D3C34">
                            <w:pPr>
                              <w:pStyle w:val="SideNoteItalicRight"/>
                              <w:rPr>
                                <w:lang w:val="en-US"/>
                              </w:rPr>
                            </w:pPr>
                          </w:p>
                        </w:txbxContent>
                      </wps:txbx>
                      <wps:bodyPr rot="0" spcFirstLastPara="0" vertOverflow="overflow" horzOverflow="overflow" vert="horz" wrap="square" lIns="0" tIns="0" rIns="76200" bIns="76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7E97" id="Text Box 47" o:spid="_x0000_s1027" type="#_x0000_t202" style="position:absolute;margin-left:29.1pt;margin-top:34.3pt;width:122.25pt;height:58.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" filled="f" stroked="f" strokeweight=".5pt">
                <v:path arrowok="t"/>
                <v:textbox inset="0,0,6pt,6pt">
                  <w:txbxContent>
                    <w:p w:rsidR="00C66EF8" w:rsidRPr="00AE02B8" w:rsidRDefault="00C66EF8" w:rsidP="009D3C34">
                      <w:pPr>
                        <w:pStyle w:val="SideNoteItalicRight"/>
                        <w:rPr>
                          <w:lang w:val="en-US"/>
                        </w:rPr>
                      </w:pPr>
                    </w:p>
                  </w:txbxContent>
                </v:textbox>
                <w10:wrap anchorx="page"/>
                <w10:anchorlock/>
              </v:shape>
            </w:pict>
          </mc:Fallback>
        </mc:AlternateContent>
      </w:r>
      <w:r>
        <w:rPr>
          <w:lang w:val="en-US"/>
        </w:rPr>
        <w:t xml:space="preserve">protection products and seed technologies. The group operates in Australasia, Asia, Europe and the Americas and holds over 2,700 product registrations in 100 countries. </w:t>
      </w:r>
      <w:r w:rsidRPr="00884FA5">
        <w:rPr>
          <w:lang w:val="en-US"/>
        </w:rPr>
        <w:t xml:space="preserve">The company manufactures crop protection and weed-control products, with a focus on off-patent chemicals used in herbicides, insecticides and fungicides. Nufarm </w:t>
      </w:r>
      <w:r>
        <w:rPr>
          <w:lang w:val="en-US"/>
        </w:rPr>
        <w:t xml:space="preserve">Ltd </w:t>
      </w:r>
      <w:r w:rsidR="00756B82">
        <w:rPr>
          <w:lang w:val="en-US"/>
        </w:rPr>
        <w:t>addresses</w:t>
      </w:r>
      <w:r w:rsidRPr="00884FA5">
        <w:rPr>
          <w:lang w:val="en-US"/>
        </w:rPr>
        <w:t xml:space="preserve"> </w:t>
      </w:r>
      <w:r>
        <w:rPr>
          <w:lang w:val="en-US"/>
        </w:rPr>
        <w:t xml:space="preserve">some </w:t>
      </w:r>
      <w:r w:rsidRPr="00884FA5">
        <w:rPr>
          <w:lang w:val="en-US"/>
        </w:rPr>
        <w:t>non-patented proprietary</w:t>
      </w:r>
      <w:r>
        <w:rPr>
          <w:lang w:val="en-US"/>
        </w:rPr>
        <w:t xml:space="preserve"> or generic segments of the crop protection </w:t>
      </w:r>
      <w:r w:rsidR="00756B82">
        <w:rPr>
          <w:lang w:val="en-US"/>
        </w:rPr>
        <w:t>market</w:t>
      </w:r>
      <w:r>
        <w:rPr>
          <w:lang w:val="en-US"/>
        </w:rPr>
        <w:t>. It is a large generic manufacturing company and the largest player in Australia’s generic crop protection market. It is larger than the next biggest two innovative manufacturers combined.</w:t>
      </w:r>
    </w:p>
    <w:p w:rsidR="00412E77" w:rsidRDefault="00412E77" w:rsidP="00412E77">
      <w:pPr>
        <w:pStyle w:val="BodyText"/>
      </w:pPr>
      <w:r>
        <w:t xml:space="preserve">Zoetis Australia Pty Ltd </w:t>
      </w:r>
      <w:r w:rsidR="00756B82">
        <w:t>i</w:t>
      </w:r>
      <w:r>
        <w:t>s the largest veterinary pharmaceutical manufacturer in Australia</w:t>
      </w:r>
      <w:r w:rsidR="00756B82">
        <w:t xml:space="preserve">, with </w:t>
      </w:r>
      <w:r>
        <w:t>a market share of 36.4 per cent in 2015-16. This is followed by Virbac (Australia) Pty Ltd (20.6 per cent), Intervet Australia Pty Ltd (17.1 per cent) and Jurox Pty Ltd (7 per cent).</w:t>
      </w:r>
    </w:p>
    <w:p w:rsidR="00412E77" w:rsidRDefault="00412E77" w:rsidP="004F7246">
      <w:pPr>
        <w:pStyle w:val="BodyText"/>
        <w:keepNext/>
        <w:keepLines/>
      </w:pPr>
      <w:r>
        <w:rPr>
          <w:lang w:val="en-US"/>
        </w:rPr>
        <w:t>Zoetis is involved in the global development, manufacturing and marketing of veterinary medicines and vaccines for companion animals and livestock. The company has 28 manufacturing facilities across 11 countries, producing 300 product lines. Globally, Zoetis employs 9,000 people, with 1,050 involved in R&amp;D activities. The company’s Australian operations account for roughly 3 per cent of total group revenue.</w:t>
      </w:r>
    </w:p>
    <w:p w:rsidR="00283533" w:rsidRDefault="00283533" w:rsidP="00283533">
      <w:pPr>
        <w:pStyle w:val="Heading3"/>
      </w:pPr>
      <w:r>
        <w:t>Cost structure</w:t>
      </w:r>
    </w:p>
    <w:p w:rsidR="008D2701" w:rsidRDefault="008D2701" w:rsidP="008D2701">
      <w:pPr>
        <w:pStyle w:val="BodyText"/>
      </w:pPr>
      <w:r>
        <w:t>A key feature of agvet chemical markets is that prices are inelastic—that is, demand for pesticides is not usually price sensitive. This reflects the fact that pesticides are traditionally a significant component of total farm cash outlays (4.3 per cent of total farm cash costs).</w:t>
      </w:r>
    </w:p>
    <w:p w:rsidR="00685B43" w:rsidRDefault="00A4207B" w:rsidP="008D2701">
      <w:pPr>
        <w:pStyle w:val="BodyText"/>
      </w:pPr>
      <w:r>
        <w:t>The a</w:t>
      </w:r>
      <w:r w:rsidR="008D2701">
        <w:t xml:space="preserve">verage cost structure of agvet chemical producers </w:t>
      </w:r>
      <w:r w:rsidR="00685B43">
        <w:t xml:space="preserve">in Australia is provided in </w:t>
      </w:r>
      <w:r w:rsidR="00685B43">
        <w:fldChar w:fldCharType="begin"/>
      </w:r>
      <w:r w:rsidR="00685B43">
        <w:instrText xml:space="preserve"> REF _Ref483222520 \h </w:instrText>
      </w:r>
      <w:r w:rsidR="00685B43">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5</w:t>
      </w:r>
      <w:r w:rsidR="00685B43">
        <w:fldChar w:fldCharType="end"/>
      </w:r>
      <w:r w:rsidR="00685B43">
        <w:t>. Active ingredient purchases constitutes a major share of their cost structure</w:t>
      </w:r>
      <w:r w:rsidR="0070042C">
        <w:t xml:space="preserve">, 67 per cent for pesticide manufacturing and 56 per cent for veterinary pharmaceutical </w:t>
      </w:r>
      <w:r w:rsidR="005D3C88">
        <w:t>manufacturing</w:t>
      </w:r>
      <w:r w:rsidR="00685B43">
        <w:t>.</w:t>
      </w:r>
    </w:p>
    <w:p w:rsidR="002C35E8" w:rsidRDefault="002C35E8" w:rsidP="002C35E8">
      <w:pPr>
        <w:pStyle w:val="Heading3"/>
      </w:pPr>
      <w:r>
        <w:t>Australian demand for agvet chemicals</w:t>
      </w:r>
    </w:p>
    <w:p w:rsidR="002C35E8" w:rsidRDefault="002C35E8" w:rsidP="002C35E8">
      <w:pPr>
        <w:pStyle w:val="Heading4"/>
      </w:pPr>
      <w:r>
        <w:t>Australian pesticide manufacturing</w:t>
      </w:r>
    </w:p>
    <w:p w:rsidR="002C35E8" w:rsidRDefault="002C35E8" w:rsidP="002C35E8">
      <w:pPr>
        <w:pStyle w:val="BodyText"/>
        <w:rPr>
          <w:lang w:val="en-US"/>
        </w:rPr>
      </w:pPr>
      <w:r>
        <w:rPr>
          <w:lang w:val="en-US"/>
        </w:rPr>
        <w:t xml:space="preserve">The Australian pesticide manufacturing industry is predominantly oriented towards the domestic market, with exports accounting for around 15 per cent of industry revenue. At the same time, imports play an important role in meeting domestic demand needs (see </w:t>
      </w:r>
      <w:r>
        <w:rPr>
          <w:lang w:val="en-US"/>
        </w:rPr>
        <w:fldChar w:fldCharType="begin"/>
      </w:r>
      <w:r>
        <w:rPr>
          <w:lang w:val="en-US"/>
        </w:rPr>
        <w:instrText xml:space="preserve"> REF _Ref485499585 \h </w:instrText>
      </w:r>
      <w:r>
        <w:rPr>
          <w:lang w:val="en-US"/>
        </w:rPr>
      </w:r>
      <w:r>
        <w:rPr>
          <w:lang w:val="en-US"/>
        </w:rPr>
        <w:fldChar w:fldCharType="separate"/>
      </w:r>
      <w:r w:rsidR="0087688C" w:rsidRPr="00FC077F">
        <w:rPr>
          <w:rStyle w:val="CaptionLabel"/>
          <w:lang w:val="en-US"/>
        </w:rPr>
        <w:t>Table </w:t>
      </w:r>
      <w:r w:rsidR="0087688C">
        <w:rPr>
          <w:rStyle w:val="CaptionLabel"/>
          <w:noProof/>
          <w:lang w:val="en-US"/>
        </w:rPr>
        <w:t>2</w:t>
      </w:r>
      <w:r w:rsidR="0087688C" w:rsidRPr="00FC077F">
        <w:rPr>
          <w:rStyle w:val="CaptionLabel"/>
          <w:lang w:val="en-US"/>
        </w:rPr>
        <w:t>.</w:t>
      </w:r>
      <w:r w:rsidR="0087688C">
        <w:rPr>
          <w:rStyle w:val="CaptionLabel"/>
          <w:noProof/>
          <w:lang w:val="en-US"/>
        </w:rPr>
        <w:t>1</w:t>
      </w:r>
      <w:r>
        <w:rPr>
          <w:lang w:val="en-US"/>
        </w:rPr>
        <w:fldChar w:fldCharType="end"/>
      </w:r>
      <w:r>
        <w:rPr>
          <w:lang w:val="en-US"/>
        </w:rPr>
        <w:t xml:space="preserve">). </w:t>
      </w:r>
      <w:r w:rsidRPr="00FE0805">
        <w:rPr>
          <w:lang w:val="en-US"/>
        </w:rPr>
        <w:t xml:space="preserve">This </w:t>
      </w:r>
      <w:r>
        <w:rPr>
          <w:lang w:val="en-US"/>
        </w:rPr>
        <w:t>gives rise to a significant trade imbalance. In 2015-16 the Australian pesticide manufacturing industry trade deficit was an estimated A$614 million, nearly double that of one decade earlier, as the trade gap continues to widen.</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5497"/>
        <w:gridCol w:w="5497"/>
      </w:tblGrid>
      <w:tr w:rsidR="00E86A68" w:rsidRPr="00AA4DEE" w:rsidTr="00401D90">
        <w:trPr>
          <w:cantSplit/>
          <w:trHeight w:hRule="exact" w:val="160"/>
        </w:trPr>
        <w:tc>
          <w:tcPr>
            <w:tcW w:w="10994" w:type="dxa"/>
            <w:gridSpan w:val="2"/>
            <w:tcBorders>
              <w:bottom w:val="single" w:sz="4" w:space="0" w:color="auto"/>
            </w:tcBorders>
            <w:shd w:val="clear" w:color="auto" w:fill="auto"/>
          </w:tcPr>
          <w:p w:rsidR="00D26586" w:rsidRPr="00AA4DEE" w:rsidRDefault="00D26586" w:rsidP="00D76D4B">
            <w:pPr>
              <w:pStyle w:val="spacer"/>
            </w:pPr>
          </w:p>
        </w:tc>
      </w:tr>
      <w:tr w:rsidR="00E86A68" w:rsidRPr="00897E60" w:rsidTr="00401D90">
        <w:trPr>
          <w:cantSplit/>
        </w:trPr>
        <w:tc>
          <w:tcPr>
            <w:tcW w:w="10994" w:type="dxa"/>
            <w:gridSpan w:val="2"/>
            <w:tcBorders>
              <w:top w:val="single" w:sz="4" w:space="0" w:color="auto"/>
            </w:tcBorders>
            <w:shd w:val="clear" w:color="auto" w:fill="auto"/>
            <w:tcMar>
              <w:left w:w="0" w:type="dxa"/>
            </w:tcMar>
          </w:tcPr>
          <w:p w:rsidR="00D26586" w:rsidRPr="00897E60" w:rsidRDefault="00D26586" w:rsidP="008D2701">
            <w:pPr>
              <w:pStyle w:val="Caption"/>
            </w:pPr>
            <w:bookmarkStart w:id="35" w:name="_Ref483222520"/>
            <w:bookmarkStart w:id="36" w:name="_Toc497298088"/>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2</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5</w:t>
            </w:r>
            <w:r w:rsidR="004B55F4">
              <w:rPr>
                <w:rStyle w:val="CaptionLabel"/>
              </w:rPr>
              <w:fldChar w:fldCharType="end"/>
            </w:r>
            <w:bookmarkEnd w:id="35"/>
            <w:r>
              <w:tab/>
              <w:t>Cost structure, 201</w:t>
            </w:r>
            <w:r w:rsidR="008D2701">
              <w:t>5</w:t>
            </w:r>
            <w:r>
              <w:t>-1</w:t>
            </w:r>
            <w:r w:rsidR="008D2701">
              <w:t>6</w:t>
            </w:r>
            <w:bookmarkEnd w:id="36"/>
          </w:p>
        </w:tc>
      </w:tr>
      <w:tr w:rsidR="00D26586" w:rsidRPr="00AA4DEE" w:rsidTr="00580CF7">
        <w:trPr>
          <w:cantSplit/>
          <w:trHeight w:hRule="exact" w:val="380"/>
        </w:trPr>
        <w:tc>
          <w:tcPr>
            <w:tcW w:w="10994" w:type="dxa"/>
            <w:gridSpan w:val="2"/>
            <w:tcBorders>
              <w:bottom w:val="single" w:sz="4" w:space="0" w:color="auto"/>
            </w:tcBorders>
            <w:shd w:val="clear" w:color="auto" w:fill="auto"/>
          </w:tcPr>
          <w:p w:rsidR="00D26586" w:rsidRPr="00AA4DEE" w:rsidRDefault="00546375" w:rsidP="00D76D4B">
            <w:pPr>
              <w:pStyle w:val="spacer"/>
            </w:pPr>
            <w:r>
              <w:rPr>
                <w:noProof/>
                <w:lang w:eastAsia="en-AU"/>
              </w:rPr>
              <mc:AlternateContent>
                <mc:Choice Requires="wps">
                  <w:drawing>
                    <wp:anchor distT="0" distB="0" distL="114300" distR="114300" simplePos="0" relativeHeight="251879424" behindDoc="0" locked="1" layoutInCell="1" allowOverlap="1" wp14:anchorId="5348382D" wp14:editId="149FF117">
                      <wp:simplePos x="0" y="0"/>
                      <wp:positionH relativeFrom="page">
                        <wp:posOffset>6393815</wp:posOffset>
                      </wp:positionH>
                      <wp:positionV relativeFrom="paragraph">
                        <wp:posOffset>4445</wp:posOffset>
                      </wp:positionV>
                      <wp:extent cx="435600" cy="212400"/>
                      <wp:effectExtent l="0" t="0" r="3175" b="0"/>
                      <wp:wrapNone/>
                      <wp:docPr id="4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DB965D" id="Freeform 5" o:spid="_x0000_s1026" style="position:absolute;margin-left:503.45pt;margin-top:.35pt;width:34.3pt;height:16.7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CfAMAAME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p>
        </w:tc>
      </w:tr>
      <w:tr w:rsidR="00E86A68" w:rsidRPr="00AA4DEE" w:rsidTr="00401D90">
        <w:trPr>
          <w:cantSplit/>
        </w:trPr>
        <w:tc>
          <w:tcPr>
            <w:tcW w:w="5497" w:type="dxa"/>
            <w:tcBorders>
              <w:top w:val="single" w:sz="4" w:space="0" w:color="auto"/>
              <w:bottom w:val="single" w:sz="4" w:space="0" w:color="auto"/>
            </w:tcBorders>
            <w:shd w:val="clear" w:color="auto" w:fill="auto"/>
            <w:tcMar>
              <w:top w:w="10" w:type="dxa"/>
              <w:bottom w:w="10" w:type="dxa"/>
              <w:right w:w="0" w:type="dxa"/>
            </w:tcMar>
          </w:tcPr>
          <w:p w:rsidR="00D26586" w:rsidRPr="00AA4DEE" w:rsidRDefault="00D26586" w:rsidP="00D76D4B">
            <w:pPr>
              <w:pStyle w:val="Figure"/>
            </w:pPr>
            <w:r>
              <w:t>Pesticide manufacturing</w:t>
            </w:r>
          </w:p>
        </w:tc>
        <w:tc>
          <w:tcPr>
            <w:tcW w:w="5497" w:type="dxa"/>
            <w:tcBorders>
              <w:top w:val="single" w:sz="4" w:space="0" w:color="auto"/>
              <w:bottom w:val="single" w:sz="4" w:space="0" w:color="auto"/>
            </w:tcBorders>
            <w:shd w:val="clear" w:color="auto" w:fill="auto"/>
          </w:tcPr>
          <w:p w:rsidR="00D26586" w:rsidRPr="00AA4DEE" w:rsidRDefault="00D26586" w:rsidP="00D76D4B">
            <w:pPr>
              <w:pStyle w:val="Figure"/>
            </w:pPr>
            <w:r>
              <w:t>Veterinary pharmaceutical manufacturing</w:t>
            </w:r>
          </w:p>
        </w:tc>
      </w:tr>
      <w:tr w:rsidR="00D26586" w:rsidRPr="00AA4DEE" w:rsidTr="00580CF7">
        <w:trPr>
          <w:cantSplit/>
        </w:trPr>
        <w:tc>
          <w:tcPr>
            <w:tcW w:w="5497" w:type="dxa"/>
            <w:tcBorders>
              <w:top w:val="single" w:sz="4" w:space="0" w:color="auto"/>
              <w:bottom w:val="single" w:sz="4" w:space="0" w:color="auto"/>
            </w:tcBorders>
            <w:shd w:val="clear" w:color="auto" w:fill="auto"/>
          </w:tcPr>
          <w:p w:rsidR="00D26586" w:rsidRPr="00D26586" w:rsidRDefault="00546375" w:rsidP="00D76D4B">
            <w:pPr>
              <w:pStyle w:val="Figure"/>
              <w:rPr>
                <w:szCs w:val="16"/>
              </w:rPr>
            </w:pPr>
            <w:r w:rsidRPr="006E33DA">
              <w:rPr>
                <w:noProof/>
                <w:lang w:eastAsia="en-AU"/>
              </w:rPr>
              <w:drawing>
                <wp:inline distT="0" distB="0" distL="0" distR="0" wp14:anchorId="6AD8893F" wp14:editId="10162EF9">
                  <wp:extent cx="3352800" cy="2014855"/>
                  <wp:effectExtent l="0" t="0" r="0" b="4445"/>
                  <wp:docPr id="258"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497" w:type="dxa"/>
            <w:tcBorders>
              <w:top w:val="single" w:sz="4" w:space="0" w:color="auto"/>
              <w:bottom w:val="single" w:sz="4" w:space="0" w:color="auto"/>
            </w:tcBorders>
            <w:shd w:val="clear" w:color="auto" w:fill="auto"/>
          </w:tcPr>
          <w:p w:rsidR="00D26586" w:rsidRPr="00AA4DEE" w:rsidRDefault="00546375" w:rsidP="00D76D4B">
            <w:pPr>
              <w:pStyle w:val="Figure"/>
            </w:pPr>
            <w:r w:rsidRPr="006E33DA">
              <w:rPr>
                <w:noProof/>
                <w:lang w:eastAsia="en-AU"/>
              </w:rPr>
              <w:drawing>
                <wp:inline distT="0" distB="0" distL="0" distR="0" wp14:anchorId="3F3BB452" wp14:editId="70817EC9">
                  <wp:extent cx="3352800" cy="2014855"/>
                  <wp:effectExtent l="0" t="0" r="0" b="4445"/>
                  <wp:docPr id="257" name="Chart 5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E86A68" w:rsidRPr="00AA4DEE" w:rsidTr="00401D90">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rsidR="001E51FE" w:rsidRDefault="001E51FE" w:rsidP="00D26586">
            <w:pPr>
              <w:pStyle w:val="Source"/>
            </w:pPr>
            <w:r>
              <w:t>note: These figures do not include pool and spa chemicals.</w:t>
            </w:r>
          </w:p>
          <w:p w:rsidR="00D26586" w:rsidRPr="00AA4DEE" w:rsidRDefault="00D26586" w:rsidP="00D26586">
            <w:pPr>
              <w:pStyle w:val="Source"/>
            </w:pPr>
            <w:r w:rsidRPr="00AA4DEE">
              <w:t xml:space="preserve">Source: </w:t>
            </w:r>
            <w:r>
              <w:t>IBISWorld Report (2016a)</w:t>
            </w:r>
            <w:r>
              <w:rPr>
                <w:lang w:val="en-US"/>
              </w:rPr>
              <w:t xml:space="preserve"> C1832, Pesticide Manufacturing in Australia, July 2016 and </w:t>
            </w:r>
            <w:r>
              <w:t>IBISWorld Report (2016b)</w:t>
            </w:r>
            <w:r>
              <w:rPr>
                <w:lang w:val="en-US"/>
              </w:rPr>
              <w:t xml:space="preserve"> C1842, Veterinary Pharmaceutical Manufacturing in Australia, December 2016</w:t>
            </w:r>
          </w:p>
        </w:tc>
      </w:tr>
      <w:tr w:rsidR="00E86A68" w:rsidTr="00401D90">
        <w:trPr>
          <w:trHeight w:hRule="exact" w:val="160"/>
        </w:trPr>
        <w:tc>
          <w:tcPr>
            <w:tcW w:w="10994" w:type="dxa"/>
            <w:gridSpan w:val="2"/>
            <w:tcBorders>
              <w:top w:val="single" w:sz="4" w:space="0" w:color="auto"/>
            </w:tcBorders>
            <w:shd w:val="clear" w:color="auto" w:fill="auto"/>
          </w:tcPr>
          <w:p w:rsidR="00D26586" w:rsidRDefault="00D26586" w:rsidP="00D76D4B">
            <w:pPr>
              <w:pStyle w:val="spacertbl"/>
            </w:pPr>
          </w:p>
        </w:tc>
      </w:tr>
    </w:tbl>
    <w:p w:rsidR="00412E77" w:rsidRPr="00FE0805" w:rsidRDefault="00412E77" w:rsidP="00412E77">
      <w:pPr>
        <w:pStyle w:val="BodyText"/>
        <w:rPr>
          <w:lang w:val="en-US"/>
        </w:rPr>
      </w:pPr>
      <w:bookmarkStart w:id="37" w:name="_Toc485482847"/>
      <w:r>
        <w:rPr>
          <w:lang w:val="en-US"/>
        </w:rPr>
        <w:t xml:space="preserve">In 2007-08, 33 per cent of domestic pesticide demand was met by imports. This increased to 46 per cent in 2015-16. These data </w:t>
      </w:r>
      <w:r w:rsidR="00F064FB">
        <w:rPr>
          <w:lang w:val="en-US"/>
        </w:rPr>
        <w:t>show</w:t>
      </w:r>
      <w:r>
        <w:rPr>
          <w:lang w:val="en-US"/>
        </w:rPr>
        <w:t xml:space="preserve"> that imports play a significant role in Australian pesticide consumption. Since nearly half of the domestic consumption comes from imports, there is a strong policy rationale for fast access to products that have already been approved by a comparable overseas regulator.</w:t>
      </w:r>
    </w:p>
    <w:p w:rsidR="00D31F8C" w:rsidRDefault="00D31F8C" w:rsidP="00D31F8C">
      <w:pPr>
        <w:pStyle w:val="Heading4"/>
      </w:pPr>
      <w:r>
        <w:t>Australian veterinary pharmaceutical manufacturing</w:t>
      </w:r>
    </w:p>
    <w:p w:rsidR="00D31F8C" w:rsidRDefault="00D31F8C" w:rsidP="00D31F8C">
      <w:pPr>
        <w:pStyle w:val="BodyText"/>
        <w:rPr>
          <w:lang w:val="en-US"/>
        </w:rPr>
      </w:pPr>
      <w:r>
        <w:rPr>
          <w:lang w:val="en-US"/>
        </w:rPr>
        <w:t xml:space="preserve">This section discusses Australian </w:t>
      </w:r>
      <w:r w:rsidRPr="00190A62">
        <w:rPr>
          <w:i/>
          <w:lang w:val="en-US"/>
        </w:rPr>
        <w:t>veterinary pharmaceutical manufacturing</w:t>
      </w:r>
      <w:r w:rsidRPr="00A4207B">
        <w:rPr>
          <w:lang w:val="en-US"/>
        </w:rPr>
        <w:t xml:space="preserve"> rather than chemical</w:t>
      </w:r>
      <w:r>
        <w:rPr>
          <w:lang w:val="en-US"/>
        </w:rPr>
        <w:t xml:space="preserve"> manufacturing. This is because of the availability of IBISWorld data. The Australian veterinary pharmaceutical manufacturing industry is predominantly oriented towards the domestic market, with exports account</w:t>
      </w:r>
      <w:r w:rsidR="00A4207B">
        <w:rPr>
          <w:lang w:val="en-US"/>
        </w:rPr>
        <w:t>ing</w:t>
      </w:r>
      <w:r>
        <w:rPr>
          <w:lang w:val="en-US"/>
        </w:rPr>
        <w:t xml:space="preserve"> for around 4 per cent of industry revenue. Unlike pesticides, imports play a small role in meeting domestic demand needs (see </w:t>
      </w:r>
      <w:r>
        <w:rPr>
          <w:lang w:val="en-US"/>
        </w:rPr>
        <w:fldChar w:fldCharType="begin"/>
      </w:r>
      <w:r>
        <w:rPr>
          <w:lang w:val="en-US"/>
        </w:rPr>
        <w:instrText xml:space="preserve"> REF _Ref485499601 \h </w:instrText>
      </w:r>
      <w:r>
        <w:rPr>
          <w:lang w:val="en-US"/>
        </w:rPr>
      </w:r>
      <w:r>
        <w:rPr>
          <w:lang w:val="en-US"/>
        </w:rPr>
        <w:fldChar w:fldCharType="separate"/>
      </w:r>
      <w:r w:rsidR="0087688C" w:rsidRPr="00FC077F">
        <w:rPr>
          <w:rStyle w:val="CaptionLabel"/>
          <w:lang w:val="en-US"/>
        </w:rPr>
        <w:t>Table </w:t>
      </w:r>
      <w:r w:rsidR="0087688C">
        <w:rPr>
          <w:rStyle w:val="CaptionLabel"/>
          <w:noProof/>
          <w:lang w:val="en-US"/>
        </w:rPr>
        <w:t>2</w:t>
      </w:r>
      <w:r w:rsidR="0087688C" w:rsidRPr="00FC077F">
        <w:rPr>
          <w:rStyle w:val="CaptionLabel"/>
          <w:lang w:val="en-US"/>
        </w:rPr>
        <w:t>.</w:t>
      </w:r>
      <w:r w:rsidR="0087688C">
        <w:rPr>
          <w:rStyle w:val="CaptionLabel"/>
          <w:noProof/>
          <w:lang w:val="en-US"/>
        </w:rPr>
        <w:t>2</w:t>
      </w:r>
      <w:r>
        <w:rPr>
          <w:lang w:val="en-US"/>
        </w:rPr>
        <w:fldChar w:fldCharType="end"/>
      </w:r>
      <w:r>
        <w:rPr>
          <w:lang w:val="en-US"/>
        </w:rPr>
        <w:t xml:space="preserve">). Though small, this </w:t>
      </w:r>
      <w:r w:rsidR="00190A62">
        <w:rPr>
          <w:lang w:val="en-US"/>
        </w:rPr>
        <w:t xml:space="preserve">manufacturing </w:t>
      </w:r>
      <w:r>
        <w:rPr>
          <w:lang w:val="en-US"/>
        </w:rPr>
        <w:t xml:space="preserve">gives rise to </w:t>
      </w:r>
      <w:r w:rsidR="00190A62">
        <w:rPr>
          <w:lang w:val="en-US"/>
        </w:rPr>
        <w:t xml:space="preserve">only </w:t>
      </w:r>
      <w:r>
        <w:rPr>
          <w:lang w:val="en-US"/>
        </w:rPr>
        <w:t xml:space="preserve">a small trade imbalance. In 2015-16 the Australian </w:t>
      </w:r>
      <w:r w:rsidR="00A4207B">
        <w:rPr>
          <w:lang w:val="en-US"/>
        </w:rPr>
        <w:t>v</w:t>
      </w:r>
      <w:r>
        <w:rPr>
          <w:lang w:val="en-US"/>
        </w:rPr>
        <w:t xml:space="preserve">eterinary </w:t>
      </w:r>
      <w:r w:rsidR="00A4207B">
        <w:rPr>
          <w:lang w:val="en-US"/>
        </w:rPr>
        <w:t>p</w:t>
      </w:r>
      <w:r>
        <w:rPr>
          <w:lang w:val="en-US"/>
        </w:rPr>
        <w:t xml:space="preserve">harmaceutical </w:t>
      </w:r>
      <w:r w:rsidR="00A4207B">
        <w:rPr>
          <w:lang w:val="en-US"/>
        </w:rPr>
        <w:t>m</w:t>
      </w:r>
      <w:r>
        <w:rPr>
          <w:lang w:val="en-US"/>
        </w:rPr>
        <w:t xml:space="preserve">anufacturing industry trade deficit was estimated </w:t>
      </w:r>
      <w:r w:rsidR="00A4207B">
        <w:rPr>
          <w:lang w:val="en-US"/>
        </w:rPr>
        <w:t xml:space="preserve">at </w:t>
      </w:r>
      <w:r>
        <w:rPr>
          <w:lang w:val="en-US"/>
        </w:rPr>
        <w:t>$28.9 million</w:t>
      </w:r>
      <w:r w:rsidR="00F064FB">
        <w:rPr>
          <w:lang w:val="en-US"/>
        </w:rPr>
        <w:t>—</w:t>
      </w:r>
      <w:r>
        <w:rPr>
          <w:lang w:val="en-US"/>
        </w:rPr>
        <w:t>it was $0.9 million a decade ago.</w:t>
      </w:r>
    </w:p>
    <w:p w:rsidR="00FC077F" w:rsidRDefault="00FC077F" w:rsidP="00FC077F">
      <w:pPr>
        <w:pStyle w:val="Caption"/>
        <w:spacing w:before="160"/>
        <w:ind w:left="-1753" w:firstLine="0"/>
        <w:rPr>
          <w:lang w:val="en-US"/>
        </w:rPr>
      </w:pPr>
      <w:bookmarkStart w:id="38" w:name="_Ref485499585"/>
      <w:bookmarkStart w:id="39" w:name="_Toc497132800"/>
      <w:r w:rsidRPr="00FC077F">
        <w:rPr>
          <w:rStyle w:val="CaptionLabel"/>
          <w:lang w:val="en-US"/>
        </w:rPr>
        <w:t>Table </w:t>
      </w:r>
      <w:r w:rsidRPr="00FC077F">
        <w:rPr>
          <w:rStyle w:val="CaptionLabel"/>
          <w:lang w:val="en-US"/>
        </w:rPr>
        <w:fldChar w:fldCharType="begin"/>
      </w:r>
      <w:r w:rsidRPr="00FC077F">
        <w:rPr>
          <w:rStyle w:val="CaptionLabel"/>
          <w:lang w:val="en-US"/>
        </w:rPr>
        <w:instrText xml:space="preserve"> STYLEREF 1 \s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r w:rsidRPr="00FC077F">
        <w:rPr>
          <w:rStyle w:val="CaptionLabel"/>
          <w:lang w:val="en-US"/>
        </w:rPr>
        <w:t>.</w:t>
      </w:r>
      <w:r w:rsidRPr="00FC077F">
        <w:rPr>
          <w:rStyle w:val="CaptionLabel"/>
          <w:lang w:val="en-US"/>
        </w:rPr>
        <w:fldChar w:fldCharType="begin"/>
      </w:r>
      <w:r w:rsidRPr="00FC077F">
        <w:rPr>
          <w:rStyle w:val="CaptionLabel"/>
          <w:lang w:val="en-US"/>
        </w:rPr>
        <w:instrText xml:space="preserve"> SEQ Table \* ARABIC \s 1 </w:instrText>
      </w:r>
      <w:r w:rsidRPr="00FC077F">
        <w:rPr>
          <w:rStyle w:val="CaptionLabel"/>
          <w:lang w:val="en-US"/>
        </w:rPr>
        <w:fldChar w:fldCharType="separate"/>
      </w:r>
      <w:r w:rsidR="001977DE">
        <w:rPr>
          <w:rStyle w:val="CaptionLabel"/>
          <w:noProof/>
          <w:lang w:val="en-US"/>
        </w:rPr>
        <w:t>1</w:t>
      </w:r>
      <w:r w:rsidRPr="00FC077F">
        <w:rPr>
          <w:rStyle w:val="CaptionLabel"/>
          <w:lang w:val="en-US"/>
        </w:rPr>
        <w:fldChar w:fldCharType="end"/>
      </w:r>
      <w:bookmarkEnd w:id="38"/>
      <w:r w:rsidRPr="00FC077F">
        <w:rPr>
          <w:lang w:val="en-US"/>
        </w:rPr>
        <w:tab/>
      </w:r>
      <w:r>
        <w:rPr>
          <w:lang w:val="en-US"/>
        </w:rPr>
        <w:t>Australian pesticide manufacturing industry</w:t>
      </w:r>
      <w:r w:rsidR="00471FA8">
        <w:rPr>
          <w:lang w:val="en-US"/>
        </w:rPr>
        <w:t>, 2007-08 – 2015-16</w:t>
      </w:r>
      <w:bookmarkEnd w:id="39"/>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5"/>
        <w:gridCol w:w="1428"/>
        <w:gridCol w:w="1417"/>
        <w:gridCol w:w="1417"/>
        <w:gridCol w:w="1417"/>
        <w:gridCol w:w="1417"/>
        <w:gridCol w:w="1417"/>
        <w:gridCol w:w="1407"/>
      </w:tblGrid>
      <w:tr w:rsidR="00E86A68" w:rsidTr="002D3C65">
        <w:trPr>
          <w:cantSplit/>
          <w:tblHeader/>
        </w:trPr>
        <w:tc>
          <w:tcPr>
            <w:tcW w:w="907" w:type="pct"/>
            <w:gridSpan w:val="2"/>
            <w:shd w:val="clear" w:color="auto" w:fill="9D57A6"/>
            <w:tcMar>
              <w:left w:w="454" w:type="dxa"/>
              <w:bottom w:w="0" w:type="dxa"/>
            </w:tcMar>
          </w:tcPr>
          <w:p w:rsidR="00FC077F" w:rsidRDefault="00FC077F" w:rsidP="00FC077F">
            <w:pPr>
              <w:pStyle w:val="Tablecolumnheadings"/>
              <w:rPr>
                <w:lang w:val="en-US"/>
              </w:rPr>
            </w:pPr>
            <w:r>
              <w:rPr>
                <w:lang w:val="en-US"/>
              </w:rPr>
              <w:t>Year</w:t>
            </w:r>
          </w:p>
        </w:tc>
        <w:tc>
          <w:tcPr>
            <w:tcW w:w="683" w:type="pct"/>
            <w:shd w:val="clear" w:color="auto" w:fill="9D57A6"/>
            <w:tcMar>
              <w:bottom w:w="0" w:type="dxa"/>
            </w:tcMar>
          </w:tcPr>
          <w:p w:rsidR="00FC077F" w:rsidRDefault="00FC077F" w:rsidP="002D3C65">
            <w:pPr>
              <w:pStyle w:val="Tablecolumnheadings"/>
              <w:jc w:val="right"/>
              <w:rPr>
                <w:lang w:val="en-US"/>
              </w:rPr>
            </w:pPr>
            <w:r>
              <w:rPr>
                <w:lang w:val="en-US"/>
              </w:rPr>
              <w:t xml:space="preserve">Revenue </w:t>
            </w:r>
          </w:p>
        </w:tc>
        <w:tc>
          <w:tcPr>
            <w:tcW w:w="683" w:type="pct"/>
            <w:shd w:val="clear" w:color="auto" w:fill="9D57A6"/>
            <w:tcMar>
              <w:bottom w:w="0" w:type="dxa"/>
            </w:tcMar>
          </w:tcPr>
          <w:p w:rsidR="00FC077F" w:rsidRDefault="00FC077F" w:rsidP="002D3C65">
            <w:pPr>
              <w:pStyle w:val="Tablecolumnheadings"/>
              <w:jc w:val="right"/>
              <w:rPr>
                <w:lang w:val="en-US"/>
              </w:rPr>
            </w:pPr>
            <w:r>
              <w:rPr>
                <w:lang w:val="en-US"/>
              </w:rPr>
              <w:t xml:space="preserve">Industry gross value-add </w:t>
            </w:r>
          </w:p>
        </w:tc>
        <w:tc>
          <w:tcPr>
            <w:tcW w:w="683" w:type="pct"/>
            <w:shd w:val="clear" w:color="auto" w:fill="9D57A6"/>
            <w:tcMar>
              <w:bottom w:w="0" w:type="dxa"/>
            </w:tcMar>
          </w:tcPr>
          <w:p w:rsidR="00FC077F" w:rsidRDefault="00FC077F" w:rsidP="002D3C65">
            <w:pPr>
              <w:pStyle w:val="Tablecolumnheadings"/>
              <w:jc w:val="right"/>
              <w:rPr>
                <w:lang w:val="en-US"/>
              </w:rPr>
            </w:pPr>
            <w:r>
              <w:rPr>
                <w:lang w:val="en-US"/>
              </w:rPr>
              <w:t>Exports</w:t>
            </w:r>
          </w:p>
        </w:tc>
        <w:tc>
          <w:tcPr>
            <w:tcW w:w="683" w:type="pct"/>
            <w:shd w:val="clear" w:color="auto" w:fill="9D57A6"/>
            <w:tcMar>
              <w:bottom w:w="0" w:type="dxa"/>
            </w:tcMar>
          </w:tcPr>
          <w:p w:rsidR="00FC077F" w:rsidRDefault="00FC077F" w:rsidP="002D3C65">
            <w:pPr>
              <w:pStyle w:val="Tablecolumnheadings"/>
              <w:jc w:val="right"/>
              <w:rPr>
                <w:lang w:val="en-US"/>
              </w:rPr>
            </w:pPr>
            <w:r>
              <w:rPr>
                <w:lang w:val="en-US"/>
              </w:rPr>
              <w:t xml:space="preserve">Imports </w:t>
            </w:r>
          </w:p>
        </w:tc>
        <w:tc>
          <w:tcPr>
            <w:tcW w:w="683" w:type="pct"/>
            <w:shd w:val="clear" w:color="auto" w:fill="9D57A6"/>
            <w:tcMar>
              <w:bottom w:w="0" w:type="dxa"/>
            </w:tcMar>
          </w:tcPr>
          <w:p w:rsidR="00FC077F" w:rsidRDefault="00FC077F" w:rsidP="002D3C65">
            <w:pPr>
              <w:pStyle w:val="Tablecolumnheadings"/>
              <w:jc w:val="right"/>
              <w:rPr>
                <w:lang w:val="en-US"/>
              </w:rPr>
            </w:pPr>
            <w:r>
              <w:rPr>
                <w:lang w:val="en-US"/>
              </w:rPr>
              <w:t>Domestic demand</w:t>
            </w:r>
          </w:p>
        </w:tc>
        <w:tc>
          <w:tcPr>
            <w:tcW w:w="678" w:type="pct"/>
            <w:shd w:val="clear" w:color="auto" w:fill="9D57A6"/>
            <w:tcMar>
              <w:bottom w:w="0" w:type="dxa"/>
            </w:tcMar>
          </w:tcPr>
          <w:p w:rsidR="00FC077F" w:rsidRDefault="00FC077F" w:rsidP="002D3C65">
            <w:pPr>
              <w:pStyle w:val="Tablecolumnheadings"/>
              <w:jc w:val="right"/>
              <w:rPr>
                <w:lang w:val="en-US"/>
              </w:rPr>
            </w:pPr>
            <w:r>
              <w:rPr>
                <w:lang w:val="en-US"/>
              </w:rPr>
              <w:t xml:space="preserve">Trade balance </w:t>
            </w:r>
          </w:p>
        </w:tc>
      </w:tr>
      <w:tr w:rsidR="00E86A68" w:rsidTr="00C3532A">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DDDDDD"/>
            <w:vAlign w:val="bottom"/>
          </w:tcPr>
          <w:p w:rsidR="005C2FBD" w:rsidRDefault="005C2FBD" w:rsidP="005C2FBD">
            <w:pPr>
              <w:pStyle w:val="Tabletext"/>
              <w:jc w:val="right"/>
              <w:rPr>
                <w:lang w:val="en-US"/>
              </w:rPr>
            </w:pPr>
          </w:p>
        </w:tc>
        <w:tc>
          <w:tcPr>
            <w:tcW w:w="683" w:type="pct"/>
            <w:tcBorders>
              <w:top w:val="nil"/>
            </w:tcBorders>
            <w:shd w:val="clear" w:color="auto" w:fill="DDDDDD"/>
            <w:vAlign w:val="bottom"/>
          </w:tcPr>
          <w:p w:rsidR="005C2FBD" w:rsidRDefault="005C2FBD" w:rsidP="005C2FBD">
            <w:pPr>
              <w:pStyle w:val="Tabletext"/>
              <w:jc w:val="right"/>
              <w:rPr>
                <w:sz w:val="22"/>
              </w:rPr>
            </w:pPr>
            <w:r>
              <w:t>$ million</w:t>
            </w:r>
          </w:p>
        </w:tc>
        <w:tc>
          <w:tcPr>
            <w:tcW w:w="683" w:type="pct"/>
            <w:tcBorders>
              <w:top w:val="nil"/>
            </w:tcBorders>
            <w:shd w:val="clear" w:color="auto" w:fill="DDDDDD"/>
          </w:tcPr>
          <w:p w:rsidR="005C2FBD" w:rsidRDefault="005C2FBD" w:rsidP="005C2FBD">
            <w:pPr>
              <w:pStyle w:val="Tabletext"/>
              <w:jc w:val="right"/>
            </w:pPr>
            <w:r w:rsidRPr="00ED7ED1">
              <w:t>$ million</w:t>
            </w:r>
          </w:p>
        </w:tc>
        <w:tc>
          <w:tcPr>
            <w:tcW w:w="683" w:type="pct"/>
            <w:tcBorders>
              <w:top w:val="nil"/>
            </w:tcBorders>
            <w:shd w:val="clear" w:color="auto" w:fill="DDDDDD"/>
          </w:tcPr>
          <w:p w:rsidR="005C2FBD" w:rsidRDefault="005C2FBD" w:rsidP="005C2FBD">
            <w:pPr>
              <w:pStyle w:val="Tabletext"/>
              <w:jc w:val="right"/>
            </w:pPr>
            <w:r w:rsidRPr="00ED7ED1">
              <w:t>$ million</w:t>
            </w:r>
          </w:p>
        </w:tc>
        <w:tc>
          <w:tcPr>
            <w:tcW w:w="683" w:type="pct"/>
            <w:tcBorders>
              <w:top w:val="nil"/>
            </w:tcBorders>
            <w:shd w:val="clear" w:color="auto" w:fill="DDDDDD"/>
          </w:tcPr>
          <w:p w:rsidR="005C2FBD" w:rsidRDefault="005C2FBD" w:rsidP="005C2FBD">
            <w:pPr>
              <w:pStyle w:val="Tabletext"/>
              <w:jc w:val="right"/>
            </w:pPr>
            <w:r w:rsidRPr="00ED7ED1">
              <w:t>$ million</w:t>
            </w:r>
          </w:p>
        </w:tc>
        <w:tc>
          <w:tcPr>
            <w:tcW w:w="683" w:type="pct"/>
            <w:tcBorders>
              <w:top w:val="nil"/>
            </w:tcBorders>
            <w:shd w:val="clear" w:color="auto" w:fill="DDDDDD"/>
          </w:tcPr>
          <w:p w:rsidR="005C2FBD" w:rsidRDefault="005C2FBD" w:rsidP="005C2FBD">
            <w:pPr>
              <w:pStyle w:val="Tabletext"/>
              <w:jc w:val="right"/>
            </w:pPr>
            <w:r w:rsidRPr="00ED7ED1">
              <w:t>$ million</w:t>
            </w:r>
          </w:p>
        </w:tc>
        <w:tc>
          <w:tcPr>
            <w:tcW w:w="678" w:type="pct"/>
            <w:tcBorders>
              <w:top w:val="nil"/>
            </w:tcBorders>
            <w:shd w:val="clear" w:color="auto" w:fill="DDDDDD"/>
          </w:tcPr>
          <w:p w:rsidR="005C2FBD" w:rsidRDefault="005C2FBD" w:rsidP="005C2FBD">
            <w:pPr>
              <w:pStyle w:val="Tabletext"/>
              <w:jc w:val="right"/>
            </w:pPr>
            <w:r w:rsidRPr="00ED7ED1">
              <w:t>$ million</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auto"/>
            <w:vAlign w:val="bottom"/>
          </w:tcPr>
          <w:p w:rsidR="002D3C65" w:rsidRDefault="002D3C65" w:rsidP="005C2FBD">
            <w:pPr>
              <w:pStyle w:val="Tabletext"/>
              <w:rPr>
                <w:lang w:val="en-US"/>
              </w:rPr>
            </w:pPr>
            <w:r>
              <w:t>2007-08</w:t>
            </w:r>
          </w:p>
        </w:tc>
        <w:tc>
          <w:tcPr>
            <w:tcW w:w="683" w:type="pct"/>
            <w:tcBorders>
              <w:top w:val="nil"/>
            </w:tcBorders>
            <w:shd w:val="clear" w:color="auto" w:fill="auto"/>
            <w:vAlign w:val="bottom"/>
          </w:tcPr>
          <w:p w:rsidR="002D3C65" w:rsidRDefault="002D3C65" w:rsidP="005C2FBD">
            <w:pPr>
              <w:pStyle w:val="Tabletext"/>
              <w:jc w:val="right"/>
            </w:pPr>
            <w:r>
              <w:t>982.9</w:t>
            </w:r>
          </w:p>
        </w:tc>
        <w:tc>
          <w:tcPr>
            <w:tcW w:w="683" w:type="pct"/>
            <w:tcBorders>
              <w:top w:val="nil"/>
            </w:tcBorders>
            <w:shd w:val="clear" w:color="auto" w:fill="auto"/>
            <w:vAlign w:val="bottom"/>
          </w:tcPr>
          <w:p w:rsidR="002D3C65" w:rsidRDefault="002D3C65" w:rsidP="005C2FBD">
            <w:pPr>
              <w:pStyle w:val="Tabletext"/>
              <w:jc w:val="right"/>
            </w:pPr>
            <w:r>
              <w:t>209.9</w:t>
            </w:r>
          </w:p>
        </w:tc>
        <w:tc>
          <w:tcPr>
            <w:tcW w:w="683" w:type="pct"/>
            <w:tcBorders>
              <w:top w:val="nil"/>
            </w:tcBorders>
            <w:shd w:val="clear" w:color="auto" w:fill="auto"/>
            <w:vAlign w:val="bottom"/>
          </w:tcPr>
          <w:p w:rsidR="002D3C65" w:rsidRDefault="002D3C65" w:rsidP="005C2FBD">
            <w:pPr>
              <w:pStyle w:val="Tabletext"/>
              <w:jc w:val="right"/>
            </w:pPr>
            <w:r>
              <w:t>98.9</w:t>
            </w:r>
          </w:p>
        </w:tc>
        <w:tc>
          <w:tcPr>
            <w:tcW w:w="683" w:type="pct"/>
            <w:tcBorders>
              <w:top w:val="nil"/>
            </w:tcBorders>
            <w:shd w:val="clear" w:color="auto" w:fill="auto"/>
            <w:vAlign w:val="bottom"/>
          </w:tcPr>
          <w:p w:rsidR="002D3C65" w:rsidRDefault="002D3C65" w:rsidP="005C2FBD">
            <w:pPr>
              <w:pStyle w:val="Tabletext"/>
              <w:jc w:val="right"/>
            </w:pPr>
            <w:r>
              <w:t>439.8</w:t>
            </w:r>
          </w:p>
        </w:tc>
        <w:tc>
          <w:tcPr>
            <w:tcW w:w="683" w:type="pct"/>
            <w:tcBorders>
              <w:top w:val="nil"/>
            </w:tcBorders>
            <w:shd w:val="clear" w:color="auto" w:fill="auto"/>
            <w:vAlign w:val="bottom"/>
          </w:tcPr>
          <w:p w:rsidR="002D3C65" w:rsidRDefault="002D3C65" w:rsidP="005C2FBD">
            <w:pPr>
              <w:pStyle w:val="Tabletext"/>
              <w:jc w:val="right"/>
            </w:pPr>
            <w:r>
              <w:t>1,323.8</w:t>
            </w:r>
          </w:p>
        </w:tc>
        <w:tc>
          <w:tcPr>
            <w:tcW w:w="678" w:type="pct"/>
            <w:tcBorders>
              <w:top w:val="nil"/>
            </w:tcBorders>
            <w:shd w:val="clear" w:color="auto" w:fill="auto"/>
            <w:vAlign w:val="bottom"/>
          </w:tcPr>
          <w:p w:rsidR="002D3C65" w:rsidRDefault="002D3C65" w:rsidP="005C2FBD">
            <w:pPr>
              <w:pStyle w:val="Tabletext"/>
              <w:jc w:val="right"/>
            </w:pPr>
            <w:r>
              <w:t>-340.9</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2008-09</w:t>
            </w:r>
          </w:p>
        </w:tc>
        <w:tc>
          <w:tcPr>
            <w:tcW w:w="683" w:type="pct"/>
            <w:shd w:val="clear" w:color="auto" w:fill="auto"/>
            <w:vAlign w:val="bottom"/>
          </w:tcPr>
          <w:p w:rsidR="002D3C65" w:rsidRDefault="002D3C65" w:rsidP="005C2FBD">
            <w:pPr>
              <w:pStyle w:val="Tabletext"/>
              <w:jc w:val="right"/>
            </w:pPr>
            <w:r>
              <w:t>1,112.1</w:t>
            </w:r>
          </w:p>
        </w:tc>
        <w:tc>
          <w:tcPr>
            <w:tcW w:w="683" w:type="pct"/>
            <w:shd w:val="clear" w:color="auto" w:fill="auto"/>
            <w:vAlign w:val="bottom"/>
          </w:tcPr>
          <w:p w:rsidR="002D3C65" w:rsidRDefault="002D3C65" w:rsidP="005C2FBD">
            <w:pPr>
              <w:pStyle w:val="Tabletext"/>
              <w:jc w:val="right"/>
            </w:pPr>
            <w:r>
              <w:t>233.3</w:t>
            </w:r>
          </w:p>
        </w:tc>
        <w:tc>
          <w:tcPr>
            <w:tcW w:w="683" w:type="pct"/>
            <w:shd w:val="clear" w:color="auto" w:fill="auto"/>
            <w:vAlign w:val="bottom"/>
          </w:tcPr>
          <w:p w:rsidR="002D3C65" w:rsidRDefault="002D3C65" w:rsidP="005C2FBD">
            <w:pPr>
              <w:pStyle w:val="Tabletext"/>
              <w:jc w:val="right"/>
            </w:pPr>
            <w:r>
              <w:t>131.1</w:t>
            </w:r>
          </w:p>
        </w:tc>
        <w:tc>
          <w:tcPr>
            <w:tcW w:w="683" w:type="pct"/>
            <w:shd w:val="clear" w:color="auto" w:fill="auto"/>
            <w:vAlign w:val="bottom"/>
          </w:tcPr>
          <w:p w:rsidR="002D3C65" w:rsidRDefault="002D3C65" w:rsidP="005C2FBD">
            <w:pPr>
              <w:pStyle w:val="Tabletext"/>
              <w:jc w:val="right"/>
            </w:pPr>
            <w:r>
              <w:t>481.4</w:t>
            </w:r>
          </w:p>
        </w:tc>
        <w:tc>
          <w:tcPr>
            <w:tcW w:w="683" w:type="pct"/>
            <w:shd w:val="clear" w:color="auto" w:fill="auto"/>
            <w:vAlign w:val="bottom"/>
          </w:tcPr>
          <w:p w:rsidR="002D3C65" w:rsidRDefault="002D3C65" w:rsidP="005C2FBD">
            <w:pPr>
              <w:pStyle w:val="Tabletext"/>
              <w:jc w:val="right"/>
            </w:pPr>
            <w:r>
              <w:t>1,462.4</w:t>
            </w:r>
          </w:p>
        </w:tc>
        <w:tc>
          <w:tcPr>
            <w:tcW w:w="678" w:type="pct"/>
            <w:shd w:val="clear" w:color="auto" w:fill="auto"/>
            <w:vAlign w:val="bottom"/>
          </w:tcPr>
          <w:p w:rsidR="002D3C65" w:rsidRDefault="002D3C65" w:rsidP="005C2FBD">
            <w:pPr>
              <w:pStyle w:val="Tabletext"/>
              <w:jc w:val="right"/>
            </w:pPr>
            <w:r>
              <w:t>-350.3</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2009-10</w:t>
            </w:r>
          </w:p>
        </w:tc>
        <w:tc>
          <w:tcPr>
            <w:tcW w:w="683" w:type="pct"/>
            <w:shd w:val="clear" w:color="auto" w:fill="auto"/>
            <w:vAlign w:val="bottom"/>
          </w:tcPr>
          <w:p w:rsidR="002D3C65" w:rsidRDefault="002D3C65" w:rsidP="005C2FBD">
            <w:pPr>
              <w:pStyle w:val="Tabletext"/>
              <w:jc w:val="right"/>
            </w:pPr>
            <w:r>
              <w:t>1,140.8</w:t>
            </w:r>
          </w:p>
        </w:tc>
        <w:tc>
          <w:tcPr>
            <w:tcW w:w="683" w:type="pct"/>
            <w:shd w:val="clear" w:color="auto" w:fill="auto"/>
            <w:vAlign w:val="bottom"/>
          </w:tcPr>
          <w:p w:rsidR="002D3C65" w:rsidRDefault="002D3C65" w:rsidP="005C2FBD">
            <w:pPr>
              <w:pStyle w:val="Tabletext"/>
              <w:jc w:val="right"/>
            </w:pPr>
            <w:r>
              <w:t>211.2</w:t>
            </w:r>
          </w:p>
        </w:tc>
        <w:tc>
          <w:tcPr>
            <w:tcW w:w="683" w:type="pct"/>
            <w:shd w:val="clear" w:color="auto" w:fill="auto"/>
            <w:vAlign w:val="bottom"/>
          </w:tcPr>
          <w:p w:rsidR="002D3C65" w:rsidRDefault="002D3C65" w:rsidP="005C2FBD">
            <w:pPr>
              <w:pStyle w:val="Tabletext"/>
              <w:jc w:val="right"/>
            </w:pPr>
            <w:r>
              <w:t>102.0</w:t>
            </w:r>
          </w:p>
        </w:tc>
        <w:tc>
          <w:tcPr>
            <w:tcW w:w="683" w:type="pct"/>
            <w:shd w:val="clear" w:color="auto" w:fill="auto"/>
            <w:vAlign w:val="bottom"/>
          </w:tcPr>
          <w:p w:rsidR="002D3C65" w:rsidRDefault="002D3C65" w:rsidP="005C2FBD">
            <w:pPr>
              <w:pStyle w:val="Tabletext"/>
              <w:jc w:val="right"/>
            </w:pPr>
            <w:r>
              <w:t>456.5</w:t>
            </w:r>
          </w:p>
        </w:tc>
        <w:tc>
          <w:tcPr>
            <w:tcW w:w="683" w:type="pct"/>
            <w:shd w:val="clear" w:color="auto" w:fill="auto"/>
            <w:vAlign w:val="bottom"/>
          </w:tcPr>
          <w:p w:rsidR="002D3C65" w:rsidRDefault="002D3C65" w:rsidP="005C2FBD">
            <w:pPr>
              <w:pStyle w:val="Tabletext"/>
              <w:jc w:val="right"/>
            </w:pPr>
            <w:r>
              <w:t>1,495.3</w:t>
            </w:r>
          </w:p>
        </w:tc>
        <w:tc>
          <w:tcPr>
            <w:tcW w:w="678" w:type="pct"/>
            <w:shd w:val="clear" w:color="auto" w:fill="auto"/>
            <w:vAlign w:val="bottom"/>
          </w:tcPr>
          <w:p w:rsidR="002D3C65" w:rsidRDefault="002D3C65" w:rsidP="005C2FBD">
            <w:pPr>
              <w:pStyle w:val="Tabletext"/>
              <w:jc w:val="right"/>
            </w:pPr>
            <w:r>
              <w:t>-354.5</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2010-11</w:t>
            </w:r>
          </w:p>
        </w:tc>
        <w:tc>
          <w:tcPr>
            <w:tcW w:w="683" w:type="pct"/>
            <w:shd w:val="clear" w:color="auto" w:fill="auto"/>
            <w:vAlign w:val="bottom"/>
          </w:tcPr>
          <w:p w:rsidR="002D3C65" w:rsidRDefault="002D3C65" w:rsidP="005C2FBD">
            <w:pPr>
              <w:pStyle w:val="Tabletext"/>
              <w:jc w:val="right"/>
            </w:pPr>
            <w:r>
              <w:t>1,100.4</w:t>
            </w:r>
          </w:p>
        </w:tc>
        <w:tc>
          <w:tcPr>
            <w:tcW w:w="683" w:type="pct"/>
            <w:shd w:val="clear" w:color="auto" w:fill="auto"/>
            <w:vAlign w:val="bottom"/>
          </w:tcPr>
          <w:p w:rsidR="002D3C65" w:rsidRDefault="002D3C65" w:rsidP="005C2FBD">
            <w:pPr>
              <w:pStyle w:val="Tabletext"/>
              <w:jc w:val="right"/>
            </w:pPr>
            <w:r>
              <w:t>231.1</w:t>
            </w:r>
          </w:p>
        </w:tc>
        <w:tc>
          <w:tcPr>
            <w:tcW w:w="683" w:type="pct"/>
            <w:shd w:val="clear" w:color="auto" w:fill="auto"/>
            <w:vAlign w:val="bottom"/>
          </w:tcPr>
          <w:p w:rsidR="002D3C65" w:rsidRDefault="002D3C65" w:rsidP="005C2FBD">
            <w:pPr>
              <w:pStyle w:val="Tabletext"/>
              <w:jc w:val="right"/>
            </w:pPr>
            <w:r>
              <w:t>111.7</w:t>
            </w:r>
          </w:p>
        </w:tc>
        <w:tc>
          <w:tcPr>
            <w:tcW w:w="683" w:type="pct"/>
            <w:shd w:val="clear" w:color="auto" w:fill="auto"/>
            <w:vAlign w:val="bottom"/>
          </w:tcPr>
          <w:p w:rsidR="002D3C65" w:rsidRDefault="002D3C65" w:rsidP="005C2FBD">
            <w:pPr>
              <w:pStyle w:val="Tabletext"/>
              <w:jc w:val="right"/>
            </w:pPr>
            <w:r>
              <w:t>622.3</w:t>
            </w:r>
          </w:p>
        </w:tc>
        <w:tc>
          <w:tcPr>
            <w:tcW w:w="683" w:type="pct"/>
            <w:shd w:val="clear" w:color="auto" w:fill="auto"/>
            <w:vAlign w:val="bottom"/>
          </w:tcPr>
          <w:p w:rsidR="002D3C65" w:rsidRDefault="002D3C65" w:rsidP="005C2FBD">
            <w:pPr>
              <w:pStyle w:val="Tabletext"/>
              <w:jc w:val="right"/>
            </w:pPr>
            <w:r>
              <w:t>1,611.0</w:t>
            </w:r>
          </w:p>
        </w:tc>
        <w:tc>
          <w:tcPr>
            <w:tcW w:w="678" w:type="pct"/>
            <w:shd w:val="clear" w:color="auto" w:fill="auto"/>
            <w:vAlign w:val="bottom"/>
          </w:tcPr>
          <w:p w:rsidR="002D3C65" w:rsidRDefault="002D3C65" w:rsidP="005C2FBD">
            <w:pPr>
              <w:pStyle w:val="Tabletext"/>
              <w:jc w:val="right"/>
            </w:pPr>
            <w:r>
              <w:t>-510.6</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2011-12</w:t>
            </w:r>
          </w:p>
        </w:tc>
        <w:tc>
          <w:tcPr>
            <w:tcW w:w="683" w:type="pct"/>
            <w:shd w:val="clear" w:color="auto" w:fill="auto"/>
            <w:vAlign w:val="bottom"/>
          </w:tcPr>
          <w:p w:rsidR="002D3C65" w:rsidRDefault="002D3C65" w:rsidP="005C2FBD">
            <w:pPr>
              <w:pStyle w:val="Tabletext"/>
              <w:jc w:val="right"/>
            </w:pPr>
            <w:r>
              <w:t>1,001.8</w:t>
            </w:r>
          </w:p>
        </w:tc>
        <w:tc>
          <w:tcPr>
            <w:tcW w:w="683" w:type="pct"/>
            <w:shd w:val="clear" w:color="auto" w:fill="auto"/>
            <w:vAlign w:val="bottom"/>
          </w:tcPr>
          <w:p w:rsidR="002D3C65" w:rsidRDefault="002D3C65" w:rsidP="005C2FBD">
            <w:pPr>
              <w:pStyle w:val="Tabletext"/>
              <w:jc w:val="right"/>
            </w:pPr>
            <w:r>
              <w:t>226.6</w:t>
            </w:r>
          </w:p>
        </w:tc>
        <w:tc>
          <w:tcPr>
            <w:tcW w:w="683" w:type="pct"/>
            <w:shd w:val="clear" w:color="auto" w:fill="auto"/>
            <w:vAlign w:val="bottom"/>
          </w:tcPr>
          <w:p w:rsidR="002D3C65" w:rsidRDefault="002D3C65" w:rsidP="005C2FBD">
            <w:pPr>
              <w:pStyle w:val="Tabletext"/>
              <w:jc w:val="right"/>
            </w:pPr>
            <w:r>
              <w:t>115.8</w:t>
            </w:r>
          </w:p>
        </w:tc>
        <w:tc>
          <w:tcPr>
            <w:tcW w:w="683" w:type="pct"/>
            <w:shd w:val="clear" w:color="auto" w:fill="auto"/>
            <w:vAlign w:val="bottom"/>
          </w:tcPr>
          <w:p w:rsidR="002D3C65" w:rsidRDefault="002D3C65" w:rsidP="005C2FBD">
            <w:pPr>
              <w:pStyle w:val="Tabletext"/>
              <w:jc w:val="right"/>
            </w:pPr>
            <w:r>
              <w:t>559.7</w:t>
            </w:r>
          </w:p>
        </w:tc>
        <w:tc>
          <w:tcPr>
            <w:tcW w:w="683" w:type="pct"/>
            <w:shd w:val="clear" w:color="auto" w:fill="auto"/>
            <w:vAlign w:val="bottom"/>
          </w:tcPr>
          <w:p w:rsidR="002D3C65" w:rsidRDefault="002D3C65" w:rsidP="005C2FBD">
            <w:pPr>
              <w:pStyle w:val="Tabletext"/>
              <w:jc w:val="right"/>
            </w:pPr>
            <w:r>
              <w:t>1,445.7</w:t>
            </w:r>
          </w:p>
        </w:tc>
        <w:tc>
          <w:tcPr>
            <w:tcW w:w="678" w:type="pct"/>
            <w:shd w:val="clear" w:color="auto" w:fill="auto"/>
            <w:vAlign w:val="bottom"/>
          </w:tcPr>
          <w:p w:rsidR="002D3C65" w:rsidRDefault="002D3C65" w:rsidP="005C2FBD">
            <w:pPr>
              <w:pStyle w:val="Tabletext"/>
              <w:jc w:val="right"/>
            </w:pPr>
            <w:r>
              <w:t>-443.9</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2012-13</w:t>
            </w:r>
          </w:p>
        </w:tc>
        <w:tc>
          <w:tcPr>
            <w:tcW w:w="683" w:type="pct"/>
            <w:shd w:val="clear" w:color="auto" w:fill="auto"/>
            <w:vAlign w:val="bottom"/>
          </w:tcPr>
          <w:p w:rsidR="002D3C65" w:rsidRDefault="002D3C65" w:rsidP="005C2FBD">
            <w:pPr>
              <w:pStyle w:val="Tabletext"/>
              <w:jc w:val="right"/>
            </w:pPr>
            <w:r>
              <w:t>1,024.7</w:t>
            </w:r>
          </w:p>
        </w:tc>
        <w:tc>
          <w:tcPr>
            <w:tcW w:w="683" w:type="pct"/>
            <w:shd w:val="clear" w:color="auto" w:fill="auto"/>
            <w:vAlign w:val="bottom"/>
          </w:tcPr>
          <w:p w:rsidR="002D3C65" w:rsidRDefault="002D3C65" w:rsidP="005C2FBD">
            <w:pPr>
              <w:pStyle w:val="Tabletext"/>
              <w:jc w:val="right"/>
            </w:pPr>
            <w:r>
              <w:t>219.8</w:t>
            </w:r>
          </w:p>
        </w:tc>
        <w:tc>
          <w:tcPr>
            <w:tcW w:w="683" w:type="pct"/>
            <w:shd w:val="clear" w:color="auto" w:fill="auto"/>
            <w:vAlign w:val="bottom"/>
          </w:tcPr>
          <w:p w:rsidR="002D3C65" w:rsidRDefault="002D3C65" w:rsidP="005C2FBD">
            <w:pPr>
              <w:pStyle w:val="Tabletext"/>
              <w:jc w:val="right"/>
            </w:pPr>
            <w:r>
              <w:t>131.3</w:t>
            </w:r>
          </w:p>
        </w:tc>
        <w:tc>
          <w:tcPr>
            <w:tcW w:w="683" w:type="pct"/>
            <w:shd w:val="clear" w:color="auto" w:fill="auto"/>
            <w:vAlign w:val="bottom"/>
          </w:tcPr>
          <w:p w:rsidR="002D3C65" w:rsidRDefault="002D3C65" w:rsidP="005C2FBD">
            <w:pPr>
              <w:pStyle w:val="Tabletext"/>
              <w:jc w:val="right"/>
            </w:pPr>
            <w:r>
              <w:t>582.4</w:t>
            </w:r>
          </w:p>
        </w:tc>
        <w:tc>
          <w:tcPr>
            <w:tcW w:w="683" w:type="pct"/>
            <w:shd w:val="clear" w:color="auto" w:fill="auto"/>
            <w:vAlign w:val="bottom"/>
          </w:tcPr>
          <w:p w:rsidR="002D3C65" w:rsidRDefault="002D3C65" w:rsidP="005C2FBD">
            <w:pPr>
              <w:pStyle w:val="Tabletext"/>
              <w:jc w:val="right"/>
            </w:pPr>
            <w:r>
              <w:t>1,475.8</w:t>
            </w:r>
          </w:p>
        </w:tc>
        <w:tc>
          <w:tcPr>
            <w:tcW w:w="678" w:type="pct"/>
            <w:shd w:val="clear" w:color="auto" w:fill="auto"/>
            <w:vAlign w:val="bottom"/>
          </w:tcPr>
          <w:p w:rsidR="002D3C65" w:rsidRDefault="002D3C65" w:rsidP="005C2FBD">
            <w:pPr>
              <w:pStyle w:val="Tabletext"/>
              <w:jc w:val="right"/>
            </w:pPr>
            <w:r>
              <w:t>-451.1</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2013-14</w:t>
            </w:r>
          </w:p>
        </w:tc>
        <w:tc>
          <w:tcPr>
            <w:tcW w:w="683" w:type="pct"/>
            <w:shd w:val="clear" w:color="auto" w:fill="auto"/>
            <w:vAlign w:val="bottom"/>
          </w:tcPr>
          <w:p w:rsidR="002D3C65" w:rsidRDefault="002D3C65" w:rsidP="005C2FBD">
            <w:pPr>
              <w:pStyle w:val="Tabletext"/>
              <w:jc w:val="right"/>
            </w:pPr>
            <w:r>
              <w:t>1,039.7</w:t>
            </w:r>
          </w:p>
        </w:tc>
        <w:tc>
          <w:tcPr>
            <w:tcW w:w="683" w:type="pct"/>
            <w:shd w:val="clear" w:color="auto" w:fill="auto"/>
            <w:vAlign w:val="bottom"/>
          </w:tcPr>
          <w:p w:rsidR="002D3C65" w:rsidRDefault="002D3C65" w:rsidP="005C2FBD">
            <w:pPr>
              <w:pStyle w:val="Tabletext"/>
              <w:jc w:val="right"/>
            </w:pPr>
            <w:r>
              <w:t>193.5</w:t>
            </w:r>
          </w:p>
        </w:tc>
        <w:tc>
          <w:tcPr>
            <w:tcW w:w="683" w:type="pct"/>
            <w:shd w:val="clear" w:color="auto" w:fill="auto"/>
            <w:vAlign w:val="bottom"/>
          </w:tcPr>
          <w:p w:rsidR="002D3C65" w:rsidRDefault="002D3C65" w:rsidP="005C2FBD">
            <w:pPr>
              <w:pStyle w:val="Tabletext"/>
              <w:jc w:val="right"/>
            </w:pPr>
            <w:r>
              <w:t>118.5</w:t>
            </w:r>
          </w:p>
        </w:tc>
        <w:tc>
          <w:tcPr>
            <w:tcW w:w="683" w:type="pct"/>
            <w:shd w:val="clear" w:color="auto" w:fill="auto"/>
            <w:vAlign w:val="bottom"/>
          </w:tcPr>
          <w:p w:rsidR="002D3C65" w:rsidRDefault="002D3C65" w:rsidP="005C2FBD">
            <w:pPr>
              <w:pStyle w:val="Tabletext"/>
              <w:jc w:val="right"/>
            </w:pPr>
            <w:r>
              <w:t>771.7</w:t>
            </w:r>
          </w:p>
        </w:tc>
        <w:tc>
          <w:tcPr>
            <w:tcW w:w="683" w:type="pct"/>
            <w:shd w:val="clear" w:color="auto" w:fill="auto"/>
            <w:vAlign w:val="bottom"/>
          </w:tcPr>
          <w:p w:rsidR="002D3C65" w:rsidRDefault="002D3C65" w:rsidP="005C2FBD">
            <w:pPr>
              <w:pStyle w:val="Tabletext"/>
              <w:jc w:val="right"/>
            </w:pPr>
            <w:r>
              <w:t>1,692.9</w:t>
            </w:r>
          </w:p>
        </w:tc>
        <w:tc>
          <w:tcPr>
            <w:tcW w:w="678" w:type="pct"/>
            <w:shd w:val="clear" w:color="auto" w:fill="auto"/>
            <w:vAlign w:val="bottom"/>
          </w:tcPr>
          <w:p w:rsidR="002D3C65" w:rsidRDefault="002D3C65" w:rsidP="005C2FBD">
            <w:pPr>
              <w:pStyle w:val="Tabletext"/>
              <w:jc w:val="right"/>
            </w:pPr>
            <w:r>
              <w:t>-653.2</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2014-15</w:t>
            </w:r>
          </w:p>
        </w:tc>
        <w:tc>
          <w:tcPr>
            <w:tcW w:w="683" w:type="pct"/>
            <w:shd w:val="clear" w:color="auto" w:fill="auto"/>
            <w:vAlign w:val="bottom"/>
          </w:tcPr>
          <w:p w:rsidR="002D3C65" w:rsidRDefault="002D3C65" w:rsidP="005C2FBD">
            <w:pPr>
              <w:pStyle w:val="Tabletext"/>
              <w:jc w:val="right"/>
            </w:pPr>
            <w:r>
              <w:t>1,061.4</w:t>
            </w:r>
          </w:p>
        </w:tc>
        <w:tc>
          <w:tcPr>
            <w:tcW w:w="683" w:type="pct"/>
            <w:shd w:val="clear" w:color="auto" w:fill="auto"/>
            <w:vAlign w:val="bottom"/>
          </w:tcPr>
          <w:p w:rsidR="002D3C65" w:rsidRDefault="002D3C65" w:rsidP="005C2FBD">
            <w:pPr>
              <w:pStyle w:val="Tabletext"/>
              <w:jc w:val="right"/>
            </w:pPr>
            <w:r>
              <w:t>216.1</w:t>
            </w:r>
          </w:p>
        </w:tc>
        <w:tc>
          <w:tcPr>
            <w:tcW w:w="683" w:type="pct"/>
            <w:shd w:val="clear" w:color="auto" w:fill="auto"/>
            <w:vAlign w:val="bottom"/>
          </w:tcPr>
          <w:p w:rsidR="002D3C65" w:rsidRDefault="002D3C65" w:rsidP="005C2FBD">
            <w:pPr>
              <w:pStyle w:val="Tabletext"/>
              <w:jc w:val="right"/>
            </w:pPr>
            <w:r>
              <w:t>154.0</w:t>
            </w:r>
          </w:p>
        </w:tc>
        <w:tc>
          <w:tcPr>
            <w:tcW w:w="683" w:type="pct"/>
            <w:shd w:val="clear" w:color="auto" w:fill="auto"/>
            <w:vAlign w:val="bottom"/>
          </w:tcPr>
          <w:p w:rsidR="002D3C65" w:rsidRDefault="002D3C65" w:rsidP="005C2FBD">
            <w:pPr>
              <w:pStyle w:val="Tabletext"/>
              <w:jc w:val="right"/>
            </w:pPr>
            <w:r>
              <w:t>751.1</w:t>
            </w:r>
          </w:p>
        </w:tc>
        <w:tc>
          <w:tcPr>
            <w:tcW w:w="683" w:type="pct"/>
            <w:shd w:val="clear" w:color="auto" w:fill="auto"/>
            <w:vAlign w:val="bottom"/>
          </w:tcPr>
          <w:p w:rsidR="002D3C65" w:rsidRDefault="002D3C65" w:rsidP="005C2FBD">
            <w:pPr>
              <w:pStyle w:val="Tabletext"/>
              <w:jc w:val="right"/>
            </w:pPr>
            <w:r>
              <w:t>1,658.5</w:t>
            </w:r>
          </w:p>
        </w:tc>
        <w:tc>
          <w:tcPr>
            <w:tcW w:w="678" w:type="pct"/>
            <w:shd w:val="clear" w:color="auto" w:fill="auto"/>
            <w:vAlign w:val="bottom"/>
          </w:tcPr>
          <w:p w:rsidR="002D3C65" w:rsidRDefault="002D3C65" w:rsidP="005C2FBD">
            <w:pPr>
              <w:pStyle w:val="Tabletext"/>
              <w:jc w:val="right"/>
            </w:pPr>
            <w:r>
              <w:t>-597.1</w:t>
            </w:r>
          </w:p>
        </w:tc>
      </w:tr>
      <w:tr w:rsidR="00E86A68" w:rsidTr="002D3C6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2D3C65" w:rsidRDefault="002D3C65" w:rsidP="005C2FBD">
            <w:pPr>
              <w:pStyle w:val="Tabletext"/>
            </w:pPr>
            <w:r>
              <w:t>2015-16</w:t>
            </w:r>
          </w:p>
        </w:tc>
        <w:tc>
          <w:tcPr>
            <w:tcW w:w="683" w:type="pct"/>
            <w:shd w:val="clear" w:color="auto" w:fill="auto"/>
            <w:vAlign w:val="bottom"/>
          </w:tcPr>
          <w:p w:rsidR="002D3C65" w:rsidRDefault="002D3C65" w:rsidP="00555113">
            <w:pPr>
              <w:pStyle w:val="Tabletext"/>
              <w:jc w:val="right"/>
            </w:pPr>
            <w:r>
              <w:t>1,076.2</w:t>
            </w:r>
          </w:p>
        </w:tc>
        <w:tc>
          <w:tcPr>
            <w:tcW w:w="683" w:type="pct"/>
            <w:shd w:val="clear" w:color="auto" w:fill="auto"/>
            <w:vAlign w:val="bottom"/>
          </w:tcPr>
          <w:p w:rsidR="002D3C65" w:rsidRDefault="002D3C65" w:rsidP="005C2FBD">
            <w:pPr>
              <w:pStyle w:val="Tabletext"/>
              <w:jc w:val="right"/>
            </w:pPr>
            <w:r>
              <w:t>205.6</w:t>
            </w:r>
          </w:p>
        </w:tc>
        <w:tc>
          <w:tcPr>
            <w:tcW w:w="683" w:type="pct"/>
            <w:shd w:val="clear" w:color="auto" w:fill="auto"/>
            <w:vAlign w:val="bottom"/>
          </w:tcPr>
          <w:p w:rsidR="002D3C65" w:rsidRDefault="002D3C65" w:rsidP="005C2FBD">
            <w:pPr>
              <w:pStyle w:val="Tabletext"/>
              <w:jc w:val="right"/>
            </w:pPr>
            <w:r>
              <w:t>164.3</w:t>
            </w:r>
          </w:p>
        </w:tc>
        <w:tc>
          <w:tcPr>
            <w:tcW w:w="683" w:type="pct"/>
            <w:shd w:val="clear" w:color="auto" w:fill="auto"/>
            <w:vAlign w:val="bottom"/>
          </w:tcPr>
          <w:p w:rsidR="002D3C65" w:rsidRDefault="002D3C65" w:rsidP="005C2FBD">
            <w:pPr>
              <w:pStyle w:val="Tabletext"/>
              <w:jc w:val="right"/>
            </w:pPr>
            <w:r>
              <w:t>778.3</w:t>
            </w:r>
          </w:p>
        </w:tc>
        <w:tc>
          <w:tcPr>
            <w:tcW w:w="683" w:type="pct"/>
            <w:shd w:val="clear" w:color="auto" w:fill="auto"/>
            <w:vAlign w:val="bottom"/>
          </w:tcPr>
          <w:p w:rsidR="002D3C65" w:rsidRDefault="002D3C65" w:rsidP="005C2FBD">
            <w:pPr>
              <w:pStyle w:val="Tabletext"/>
              <w:jc w:val="right"/>
            </w:pPr>
            <w:r>
              <w:t>1,690.2</w:t>
            </w:r>
          </w:p>
        </w:tc>
        <w:tc>
          <w:tcPr>
            <w:tcW w:w="678" w:type="pct"/>
            <w:shd w:val="clear" w:color="auto" w:fill="auto"/>
            <w:vAlign w:val="bottom"/>
          </w:tcPr>
          <w:p w:rsidR="002D3C65" w:rsidRDefault="002D3C65" w:rsidP="005C2FBD">
            <w:pPr>
              <w:pStyle w:val="Tabletext"/>
              <w:jc w:val="right"/>
            </w:pPr>
            <w:r>
              <w:t>-614.0</w:t>
            </w:r>
          </w:p>
        </w:tc>
      </w:tr>
      <w:tr w:rsidR="00E86A68" w:rsidTr="00FC077F">
        <w:tblPrEx>
          <w:tblBorders>
            <w:bottom w:val="single" w:sz="4" w:space="0" w:color="646464"/>
            <w:insideH w:val="single" w:sz="4" w:space="0" w:color="646464"/>
          </w:tblBorders>
        </w:tblPrEx>
        <w:trPr>
          <w:gridBefore w:val="1"/>
          <w:wBefore w:w="219" w:type="pct"/>
          <w:cantSplit/>
        </w:trPr>
        <w:tc>
          <w:tcPr>
            <w:tcW w:w="4781" w:type="pct"/>
            <w:gridSpan w:val="7"/>
            <w:tcBorders>
              <w:bottom w:val="single" w:sz="4" w:space="0" w:color="646464"/>
            </w:tcBorders>
            <w:shd w:val="clear" w:color="auto" w:fill="auto"/>
          </w:tcPr>
          <w:p w:rsidR="002D3C65" w:rsidRDefault="002D3C65" w:rsidP="00F064FB">
            <w:pPr>
              <w:pStyle w:val="Source"/>
              <w:rPr>
                <w:lang w:val="en-US"/>
              </w:rPr>
            </w:pPr>
            <w:r>
              <w:t>Source:</w:t>
            </w:r>
            <w:r>
              <w:rPr>
                <w:lang w:val="en-US"/>
              </w:rPr>
              <w:t xml:space="preserve"> </w:t>
            </w:r>
            <w:r w:rsidR="005C2FBD">
              <w:t>IBISWorld Report 2016a</w:t>
            </w:r>
            <w:r w:rsidR="00F064FB">
              <w:t>,</w:t>
            </w:r>
            <w:r w:rsidR="005C2FBD">
              <w:rPr>
                <w:lang w:val="en-US"/>
              </w:rPr>
              <w:t xml:space="preserve"> C1832, Pesticide Manufacturing in Australia, July 2016</w:t>
            </w:r>
          </w:p>
        </w:tc>
      </w:tr>
      <w:tr w:rsidR="00E86A68" w:rsidTr="00FC077F">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top w:val="single" w:sz="4" w:space="0" w:color="646464"/>
              <w:bottom w:val="nil"/>
            </w:tcBorders>
            <w:shd w:val="clear" w:color="auto" w:fill="auto"/>
          </w:tcPr>
          <w:p w:rsidR="002D3C65" w:rsidRDefault="002D3C65" w:rsidP="002D3C65">
            <w:pPr>
              <w:pStyle w:val="spacertbl"/>
              <w:rPr>
                <w:lang w:val="en-US"/>
              </w:rPr>
            </w:pPr>
          </w:p>
        </w:tc>
      </w:tr>
    </w:tbl>
    <w:p w:rsidR="00D31F8C" w:rsidRDefault="00D31F8C" w:rsidP="004A0A51">
      <w:pPr>
        <w:pStyle w:val="BodyText"/>
        <w:rPr>
          <w:lang w:val="en-US"/>
        </w:rPr>
      </w:pPr>
    </w:p>
    <w:p w:rsidR="004A0A51" w:rsidRDefault="004A0A51" w:rsidP="004A0A51">
      <w:pPr>
        <w:pStyle w:val="Caption"/>
        <w:spacing w:before="160"/>
        <w:ind w:left="-1753" w:firstLine="0"/>
        <w:rPr>
          <w:lang w:val="en-US"/>
        </w:rPr>
      </w:pPr>
      <w:bookmarkStart w:id="40" w:name="_Ref485499601"/>
      <w:bookmarkStart w:id="41" w:name="_Toc497132801"/>
      <w:r w:rsidRPr="00FC077F">
        <w:rPr>
          <w:rStyle w:val="CaptionLabel"/>
          <w:lang w:val="en-US"/>
        </w:rPr>
        <w:t>Table </w:t>
      </w:r>
      <w:r w:rsidRPr="00FC077F">
        <w:rPr>
          <w:rStyle w:val="CaptionLabel"/>
          <w:lang w:val="en-US"/>
        </w:rPr>
        <w:fldChar w:fldCharType="begin"/>
      </w:r>
      <w:r w:rsidRPr="00FC077F">
        <w:rPr>
          <w:rStyle w:val="CaptionLabel"/>
          <w:lang w:val="en-US"/>
        </w:rPr>
        <w:instrText xml:space="preserve"> STYLEREF 1 \s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r w:rsidRPr="00FC077F">
        <w:rPr>
          <w:rStyle w:val="CaptionLabel"/>
          <w:lang w:val="en-US"/>
        </w:rPr>
        <w:t>.</w:t>
      </w:r>
      <w:r w:rsidRPr="00FC077F">
        <w:rPr>
          <w:rStyle w:val="CaptionLabel"/>
          <w:lang w:val="en-US"/>
        </w:rPr>
        <w:fldChar w:fldCharType="begin"/>
      </w:r>
      <w:r w:rsidRPr="00FC077F">
        <w:rPr>
          <w:rStyle w:val="CaptionLabel"/>
          <w:lang w:val="en-US"/>
        </w:rPr>
        <w:instrText xml:space="preserve"> SEQ Table \* ARABIC \s 1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bookmarkEnd w:id="40"/>
      <w:r w:rsidRPr="00FC077F">
        <w:rPr>
          <w:lang w:val="en-US"/>
        </w:rPr>
        <w:tab/>
      </w:r>
      <w:r>
        <w:rPr>
          <w:lang w:val="en-US"/>
        </w:rPr>
        <w:t xml:space="preserve">Australian </w:t>
      </w:r>
      <w:r w:rsidR="00DB7AB8">
        <w:rPr>
          <w:lang w:val="en-US"/>
        </w:rPr>
        <w:t>veterinary</w:t>
      </w:r>
      <w:r>
        <w:rPr>
          <w:lang w:val="en-US"/>
        </w:rPr>
        <w:t xml:space="preserve"> </w:t>
      </w:r>
      <w:r w:rsidR="00A01419">
        <w:rPr>
          <w:lang w:val="en-US"/>
        </w:rPr>
        <w:t xml:space="preserve">Pharmaceutical </w:t>
      </w:r>
      <w:r>
        <w:rPr>
          <w:lang w:val="en-US"/>
        </w:rPr>
        <w:t>manufacturing</w:t>
      </w:r>
      <w:r w:rsidR="00471FA8">
        <w:rPr>
          <w:lang w:val="en-US"/>
        </w:rPr>
        <w:t>, 2007-08 – 2015-16</w:t>
      </w:r>
      <w:bookmarkEnd w:id="41"/>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5"/>
        <w:gridCol w:w="1428"/>
        <w:gridCol w:w="1417"/>
        <w:gridCol w:w="1417"/>
        <w:gridCol w:w="1417"/>
        <w:gridCol w:w="1417"/>
        <w:gridCol w:w="1417"/>
        <w:gridCol w:w="1407"/>
      </w:tblGrid>
      <w:tr w:rsidR="00E86A68" w:rsidTr="002109B9">
        <w:trPr>
          <w:cantSplit/>
          <w:tblHeader/>
        </w:trPr>
        <w:tc>
          <w:tcPr>
            <w:tcW w:w="907" w:type="pct"/>
            <w:gridSpan w:val="2"/>
            <w:shd w:val="clear" w:color="auto" w:fill="9D57A6"/>
            <w:tcMar>
              <w:left w:w="454" w:type="dxa"/>
              <w:bottom w:w="0" w:type="dxa"/>
            </w:tcMar>
          </w:tcPr>
          <w:p w:rsidR="004A0A51" w:rsidRDefault="004A0A51" w:rsidP="002109B9">
            <w:pPr>
              <w:pStyle w:val="Tablecolumnheadings"/>
              <w:rPr>
                <w:lang w:val="en-US"/>
              </w:rPr>
            </w:pPr>
            <w:r>
              <w:rPr>
                <w:lang w:val="en-US"/>
              </w:rPr>
              <w:t>Year</w:t>
            </w:r>
          </w:p>
        </w:tc>
        <w:tc>
          <w:tcPr>
            <w:tcW w:w="683" w:type="pct"/>
            <w:shd w:val="clear" w:color="auto" w:fill="9D57A6"/>
            <w:tcMar>
              <w:bottom w:w="0" w:type="dxa"/>
            </w:tcMar>
          </w:tcPr>
          <w:p w:rsidR="004A0A51" w:rsidRDefault="004A0A51" w:rsidP="002109B9">
            <w:pPr>
              <w:pStyle w:val="Tablecolumnheadings"/>
              <w:jc w:val="right"/>
              <w:rPr>
                <w:lang w:val="en-US"/>
              </w:rPr>
            </w:pPr>
            <w:r>
              <w:rPr>
                <w:lang w:val="en-US"/>
              </w:rPr>
              <w:t xml:space="preserve">Revenue </w:t>
            </w:r>
          </w:p>
        </w:tc>
        <w:tc>
          <w:tcPr>
            <w:tcW w:w="683" w:type="pct"/>
            <w:shd w:val="clear" w:color="auto" w:fill="9D57A6"/>
            <w:tcMar>
              <w:bottom w:w="0" w:type="dxa"/>
            </w:tcMar>
          </w:tcPr>
          <w:p w:rsidR="004A0A51" w:rsidRDefault="004A0A51" w:rsidP="002109B9">
            <w:pPr>
              <w:pStyle w:val="Tablecolumnheadings"/>
              <w:jc w:val="right"/>
              <w:rPr>
                <w:lang w:val="en-US"/>
              </w:rPr>
            </w:pPr>
            <w:r>
              <w:rPr>
                <w:lang w:val="en-US"/>
              </w:rPr>
              <w:t xml:space="preserve">Industry gross value-add </w:t>
            </w:r>
          </w:p>
        </w:tc>
        <w:tc>
          <w:tcPr>
            <w:tcW w:w="683" w:type="pct"/>
            <w:shd w:val="clear" w:color="auto" w:fill="9D57A6"/>
            <w:tcMar>
              <w:bottom w:w="0" w:type="dxa"/>
            </w:tcMar>
          </w:tcPr>
          <w:p w:rsidR="004A0A51" w:rsidRDefault="004A0A51" w:rsidP="002109B9">
            <w:pPr>
              <w:pStyle w:val="Tablecolumnheadings"/>
              <w:jc w:val="right"/>
              <w:rPr>
                <w:lang w:val="en-US"/>
              </w:rPr>
            </w:pPr>
            <w:r>
              <w:rPr>
                <w:lang w:val="en-US"/>
              </w:rPr>
              <w:t>Exports</w:t>
            </w:r>
          </w:p>
        </w:tc>
        <w:tc>
          <w:tcPr>
            <w:tcW w:w="683" w:type="pct"/>
            <w:shd w:val="clear" w:color="auto" w:fill="9D57A6"/>
            <w:tcMar>
              <w:bottom w:w="0" w:type="dxa"/>
            </w:tcMar>
          </w:tcPr>
          <w:p w:rsidR="004A0A51" w:rsidRDefault="004A0A51" w:rsidP="002109B9">
            <w:pPr>
              <w:pStyle w:val="Tablecolumnheadings"/>
              <w:jc w:val="right"/>
              <w:rPr>
                <w:lang w:val="en-US"/>
              </w:rPr>
            </w:pPr>
            <w:r>
              <w:rPr>
                <w:lang w:val="en-US"/>
              </w:rPr>
              <w:t xml:space="preserve">Imports </w:t>
            </w:r>
          </w:p>
        </w:tc>
        <w:tc>
          <w:tcPr>
            <w:tcW w:w="683" w:type="pct"/>
            <w:shd w:val="clear" w:color="auto" w:fill="9D57A6"/>
            <w:tcMar>
              <w:bottom w:w="0" w:type="dxa"/>
            </w:tcMar>
          </w:tcPr>
          <w:p w:rsidR="004A0A51" w:rsidRDefault="004A0A51" w:rsidP="002109B9">
            <w:pPr>
              <w:pStyle w:val="Tablecolumnheadings"/>
              <w:jc w:val="right"/>
              <w:rPr>
                <w:lang w:val="en-US"/>
              </w:rPr>
            </w:pPr>
            <w:r>
              <w:rPr>
                <w:lang w:val="en-US"/>
              </w:rPr>
              <w:t>Domestic demand</w:t>
            </w:r>
          </w:p>
        </w:tc>
        <w:tc>
          <w:tcPr>
            <w:tcW w:w="678" w:type="pct"/>
            <w:shd w:val="clear" w:color="auto" w:fill="9D57A6"/>
            <w:tcMar>
              <w:bottom w:w="0" w:type="dxa"/>
            </w:tcMar>
          </w:tcPr>
          <w:p w:rsidR="004A0A51" w:rsidRDefault="004A0A51" w:rsidP="002109B9">
            <w:pPr>
              <w:pStyle w:val="Tablecolumnheadings"/>
              <w:jc w:val="right"/>
              <w:rPr>
                <w:lang w:val="en-US"/>
              </w:rPr>
            </w:pPr>
            <w:r>
              <w:rPr>
                <w:lang w:val="en-US"/>
              </w:rPr>
              <w:t xml:space="preserve">Trade balance </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DDDDDD"/>
            <w:vAlign w:val="bottom"/>
          </w:tcPr>
          <w:p w:rsidR="004A0A51" w:rsidRDefault="004A0A51" w:rsidP="002109B9">
            <w:pPr>
              <w:pStyle w:val="Tabletext"/>
              <w:jc w:val="right"/>
              <w:rPr>
                <w:lang w:val="en-US"/>
              </w:rPr>
            </w:pPr>
          </w:p>
        </w:tc>
        <w:tc>
          <w:tcPr>
            <w:tcW w:w="683" w:type="pct"/>
            <w:tcBorders>
              <w:top w:val="nil"/>
            </w:tcBorders>
            <w:shd w:val="clear" w:color="auto" w:fill="DDDDDD"/>
            <w:vAlign w:val="bottom"/>
          </w:tcPr>
          <w:p w:rsidR="004A0A51" w:rsidRDefault="004A0A51" w:rsidP="002109B9">
            <w:pPr>
              <w:pStyle w:val="Tabletext"/>
              <w:jc w:val="right"/>
              <w:rPr>
                <w:sz w:val="22"/>
              </w:rPr>
            </w:pPr>
            <w:r>
              <w:t>$ million</w:t>
            </w:r>
          </w:p>
        </w:tc>
        <w:tc>
          <w:tcPr>
            <w:tcW w:w="683" w:type="pct"/>
            <w:tcBorders>
              <w:top w:val="nil"/>
            </w:tcBorders>
            <w:shd w:val="clear" w:color="auto" w:fill="DDDDDD"/>
          </w:tcPr>
          <w:p w:rsidR="004A0A51" w:rsidRDefault="004A0A51" w:rsidP="002109B9">
            <w:pPr>
              <w:pStyle w:val="Tabletext"/>
              <w:jc w:val="right"/>
            </w:pPr>
            <w:r w:rsidRPr="00ED7ED1">
              <w:t>$ million</w:t>
            </w:r>
          </w:p>
        </w:tc>
        <w:tc>
          <w:tcPr>
            <w:tcW w:w="683" w:type="pct"/>
            <w:tcBorders>
              <w:top w:val="nil"/>
            </w:tcBorders>
            <w:shd w:val="clear" w:color="auto" w:fill="DDDDDD"/>
          </w:tcPr>
          <w:p w:rsidR="004A0A51" w:rsidRDefault="004A0A51" w:rsidP="002109B9">
            <w:pPr>
              <w:pStyle w:val="Tabletext"/>
              <w:jc w:val="right"/>
            </w:pPr>
            <w:r w:rsidRPr="00ED7ED1">
              <w:t>$ million</w:t>
            </w:r>
          </w:p>
        </w:tc>
        <w:tc>
          <w:tcPr>
            <w:tcW w:w="683" w:type="pct"/>
            <w:tcBorders>
              <w:top w:val="nil"/>
            </w:tcBorders>
            <w:shd w:val="clear" w:color="auto" w:fill="DDDDDD"/>
          </w:tcPr>
          <w:p w:rsidR="004A0A51" w:rsidRDefault="004A0A51" w:rsidP="002109B9">
            <w:pPr>
              <w:pStyle w:val="Tabletext"/>
              <w:jc w:val="right"/>
            </w:pPr>
            <w:r w:rsidRPr="00ED7ED1">
              <w:t>$ million</w:t>
            </w:r>
          </w:p>
        </w:tc>
        <w:tc>
          <w:tcPr>
            <w:tcW w:w="683" w:type="pct"/>
            <w:tcBorders>
              <w:top w:val="nil"/>
            </w:tcBorders>
            <w:shd w:val="clear" w:color="auto" w:fill="DDDDDD"/>
          </w:tcPr>
          <w:p w:rsidR="004A0A51" w:rsidRDefault="004A0A51" w:rsidP="002109B9">
            <w:pPr>
              <w:pStyle w:val="Tabletext"/>
              <w:jc w:val="right"/>
            </w:pPr>
            <w:r w:rsidRPr="00ED7ED1">
              <w:t>$ million</w:t>
            </w:r>
          </w:p>
        </w:tc>
        <w:tc>
          <w:tcPr>
            <w:tcW w:w="678" w:type="pct"/>
            <w:tcBorders>
              <w:top w:val="nil"/>
            </w:tcBorders>
            <w:shd w:val="clear" w:color="auto" w:fill="DDDDDD"/>
          </w:tcPr>
          <w:p w:rsidR="004A0A51" w:rsidRDefault="004A0A51" w:rsidP="002109B9">
            <w:pPr>
              <w:pStyle w:val="Tabletext"/>
              <w:jc w:val="right"/>
            </w:pPr>
            <w:r w:rsidRPr="00ED7ED1">
              <w:t>$ million</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auto"/>
            <w:vAlign w:val="bottom"/>
          </w:tcPr>
          <w:p w:rsidR="00B95946" w:rsidRDefault="00B95946" w:rsidP="00B95946">
            <w:pPr>
              <w:pStyle w:val="Tabletext"/>
              <w:rPr>
                <w:lang w:val="en-US"/>
              </w:rPr>
            </w:pPr>
            <w:r>
              <w:t>2007-08</w:t>
            </w:r>
          </w:p>
        </w:tc>
        <w:tc>
          <w:tcPr>
            <w:tcW w:w="683" w:type="pct"/>
            <w:tcBorders>
              <w:top w:val="nil"/>
            </w:tcBorders>
            <w:shd w:val="clear" w:color="auto" w:fill="auto"/>
            <w:vAlign w:val="bottom"/>
          </w:tcPr>
          <w:p w:rsidR="00B95946" w:rsidRDefault="00B95946" w:rsidP="00B95946">
            <w:pPr>
              <w:pStyle w:val="Tabletext"/>
              <w:jc w:val="right"/>
              <w:rPr>
                <w:lang w:val="en-US"/>
              </w:rPr>
            </w:pPr>
            <w:r>
              <w:t>501.3</w:t>
            </w:r>
          </w:p>
        </w:tc>
        <w:tc>
          <w:tcPr>
            <w:tcW w:w="683" w:type="pct"/>
            <w:tcBorders>
              <w:top w:val="nil"/>
            </w:tcBorders>
            <w:shd w:val="clear" w:color="auto" w:fill="auto"/>
            <w:vAlign w:val="bottom"/>
          </w:tcPr>
          <w:p w:rsidR="00B95946" w:rsidRDefault="00B95946" w:rsidP="00B95946">
            <w:pPr>
              <w:pStyle w:val="Tabletext"/>
              <w:jc w:val="right"/>
            </w:pPr>
            <w:r>
              <w:t>172.6</w:t>
            </w:r>
          </w:p>
        </w:tc>
        <w:tc>
          <w:tcPr>
            <w:tcW w:w="683" w:type="pct"/>
            <w:tcBorders>
              <w:top w:val="nil"/>
            </w:tcBorders>
            <w:shd w:val="clear" w:color="auto" w:fill="auto"/>
            <w:vAlign w:val="bottom"/>
          </w:tcPr>
          <w:p w:rsidR="00B95946" w:rsidRDefault="00B95946" w:rsidP="00B95946">
            <w:pPr>
              <w:pStyle w:val="Tabletext"/>
              <w:jc w:val="right"/>
            </w:pPr>
            <w:r>
              <w:t>19.2</w:t>
            </w:r>
          </w:p>
        </w:tc>
        <w:tc>
          <w:tcPr>
            <w:tcW w:w="683" w:type="pct"/>
            <w:tcBorders>
              <w:top w:val="nil"/>
            </w:tcBorders>
            <w:shd w:val="clear" w:color="auto" w:fill="auto"/>
            <w:vAlign w:val="bottom"/>
          </w:tcPr>
          <w:p w:rsidR="00B95946" w:rsidRDefault="00B95946" w:rsidP="00B95946">
            <w:pPr>
              <w:pStyle w:val="Tabletext"/>
              <w:jc w:val="right"/>
            </w:pPr>
            <w:r>
              <w:t>20.1</w:t>
            </w:r>
          </w:p>
        </w:tc>
        <w:tc>
          <w:tcPr>
            <w:tcW w:w="683" w:type="pct"/>
            <w:tcBorders>
              <w:top w:val="nil"/>
            </w:tcBorders>
            <w:shd w:val="clear" w:color="auto" w:fill="auto"/>
            <w:vAlign w:val="bottom"/>
          </w:tcPr>
          <w:p w:rsidR="00B95946" w:rsidRDefault="00B95946" w:rsidP="00B95946">
            <w:pPr>
              <w:pStyle w:val="Tabletext"/>
              <w:jc w:val="right"/>
            </w:pPr>
            <w:r>
              <w:t>502.2</w:t>
            </w:r>
          </w:p>
        </w:tc>
        <w:tc>
          <w:tcPr>
            <w:tcW w:w="678" w:type="pct"/>
            <w:tcBorders>
              <w:top w:val="nil"/>
            </w:tcBorders>
            <w:shd w:val="clear" w:color="auto" w:fill="auto"/>
            <w:vAlign w:val="bottom"/>
          </w:tcPr>
          <w:p w:rsidR="00B95946" w:rsidRDefault="00B95946" w:rsidP="00B95946">
            <w:pPr>
              <w:pStyle w:val="Tabletext"/>
              <w:jc w:val="right"/>
            </w:pPr>
            <w:r>
              <w:t>-0.9</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2008-09</w:t>
            </w:r>
          </w:p>
        </w:tc>
        <w:tc>
          <w:tcPr>
            <w:tcW w:w="683" w:type="pct"/>
            <w:shd w:val="clear" w:color="auto" w:fill="auto"/>
            <w:vAlign w:val="bottom"/>
          </w:tcPr>
          <w:p w:rsidR="00B95946" w:rsidRDefault="00B95946" w:rsidP="00B95946">
            <w:pPr>
              <w:pStyle w:val="Tabletext"/>
              <w:jc w:val="right"/>
            </w:pPr>
            <w:r>
              <w:t>495.5</w:t>
            </w:r>
          </w:p>
        </w:tc>
        <w:tc>
          <w:tcPr>
            <w:tcW w:w="683" w:type="pct"/>
            <w:shd w:val="clear" w:color="auto" w:fill="auto"/>
            <w:vAlign w:val="bottom"/>
          </w:tcPr>
          <w:p w:rsidR="00B95946" w:rsidRDefault="00B95946" w:rsidP="00B95946">
            <w:pPr>
              <w:pStyle w:val="Tabletext"/>
              <w:jc w:val="right"/>
            </w:pPr>
            <w:r>
              <w:t>157.8</w:t>
            </w:r>
          </w:p>
        </w:tc>
        <w:tc>
          <w:tcPr>
            <w:tcW w:w="683" w:type="pct"/>
            <w:shd w:val="clear" w:color="auto" w:fill="auto"/>
            <w:vAlign w:val="bottom"/>
          </w:tcPr>
          <w:p w:rsidR="00B95946" w:rsidRDefault="00B95946" w:rsidP="00B95946">
            <w:pPr>
              <w:pStyle w:val="Tabletext"/>
              <w:jc w:val="right"/>
            </w:pPr>
            <w:r>
              <w:t>19.2</w:t>
            </w:r>
          </w:p>
        </w:tc>
        <w:tc>
          <w:tcPr>
            <w:tcW w:w="683" w:type="pct"/>
            <w:shd w:val="clear" w:color="auto" w:fill="auto"/>
            <w:vAlign w:val="bottom"/>
          </w:tcPr>
          <w:p w:rsidR="00B95946" w:rsidRDefault="00B95946" w:rsidP="00B95946">
            <w:pPr>
              <w:pStyle w:val="Tabletext"/>
              <w:jc w:val="right"/>
            </w:pPr>
            <w:r>
              <w:t>20.4</w:t>
            </w:r>
          </w:p>
        </w:tc>
        <w:tc>
          <w:tcPr>
            <w:tcW w:w="683" w:type="pct"/>
            <w:shd w:val="clear" w:color="auto" w:fill="auto"/>
            <w:vAlign w:val="bottom"/>
          </w:tcPr>
          <w:p w:rsidR="00B95946" w:rsidRDefault="00B95946" w:rsidP="00B95946">
            <w:pPr>
              <w:pStyle w:val="Tabletext"/>
              <w:jc w:val="right"/>
            </w:pPr>
            <w:r>
              <w:t>496.7</w:t>
            </w:r>
          </w:p>
        </w:tc>
        <w:tc>
          <w:tcPr>
            <w:tcW w:w="678" w:type="pct"/>
            <w:shd w:val="clear" w:color="auto" w:fill="auto"/>
            <w:vAlign w:val="bottom"/>
          </w:tcPr>
          <w:p w:rsidR="00B95946" w:rsidRDefault="00B95946" w:rsidP="00B95946">
            <w:pPr>
              <w:pStyle w:val="Tabletext"/>
              <w:jc w:val="right"/>
            </w:pPr>
            <w:r>
              <w:t>-1.2</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2009-10</w:t>
            </w:r>
          </w:p>
        </w:tc>
        <w:tc>
          <w:tcPr>
            <w:tcW w:w="683" w:type="pct"/>
            <w:shd w:val="clear" w:color="auto" w:fill="auto"/>
            <w:vAlign w:val="bottom"/>
          </w:tcPr>
          <w:p w:rsidR="00B95946" w:rsidRDefault="00B95946" w:rsidP="00B95946">
            <w:pPr>
              <w:pStyle w:val="Tabletext"/>
              <w:jc w:val="right"/>
            </w:pPr>
            <w:r>
              <w:t>495.0</w:t>
            </w:r>
          </w:p>
        </w:tc>
        <w:tc>
          <w:tcPr>
            <w:tcW w:w="683" w:type="pct"/>
            <w:shd w:val="clear" w:color="auto" w:fill="auto"/>
            <w:vAlign w:val="bottom"/>
          </w:tcPr>
          <w:p w:rsidR="00B95946" w:rsidRDefault="00B95946" w:rsidP="00B95946">
            <w:pPr>
              <w:pStyle w:val="Tabletext"/>
              <w:jc w:val="right"/>
            </w:pPr>
            <w:r>
              <w:t>146.3</w:t>
            </w:r>
          </w:p>
        </w:tc>
        <w:tc>
          <w:tcPr>
            <w:tcW w:w="683" w:type="pct"/>
            <w:shd w:val="clear" w:color="auto" w:fill="auto"/>
            <w:vAlign w:val="bottom"/>
          </w:tcPr>
          <w:p w:rsidR="00B95946" w:rsidRDefault="00B95946" w:rsidP="00B95946">
            <w:pPr>
              <w:pStyle w:val="Tabletext"/>
              <w:jc w:val="right"/>
            </w:pPr>
            <w:r>
              <w:t>19.7</w:t>
            </w:r>
          </w:p>
        </w:tc>
        <w:tc>
          <w:tcPr>
            <w:tcW w:w="683" w:type="pct"/>
            <w:shd w:val="clear" w:color="auto" w:fill="auto"/>
            <w:vAlign w:val="bottom"/>
          </w:tcPr>
          <w:p w:rsidR="00B95946" w:rsidRDefault="00B95946" w:rsidP="00B95946">
            <w:pPr>
              <w:pStyle w:val="Tabletext"/>
              <w:jc w:val="right"/>
            </w:pPr>
            <w:r>
              <w:t>20.9</w:t>
            </w:r>
          </w:p>
        </w:tc>
        <w:tc>
          <w:tcPr>
            <w:tcW w:w="683" w:type="pct"/>
            <w:shd w:val="clear" w:color="auto" w:fill="auto"/>
            <w:vAlign w:val="bottom"/>
          </w:tcPr>
          <w:p w:rsidR="00B95946" w:rsidRDefault="00B95946" w:rsidP="00B95946">
            <w:pPr>
              <w:pStyle w:val="Tabletext"/>
              <w:jc w:val="right"/>
            </w:pPr>
            <w:r>
              <w:t>496.2</w:t>
            </w:r>
          </w:p>
        </w:tc>
        <w:tc>
          <w:tcPr>
            <w:tcW w:w="678" w:type="pct"/>
            <w:shd w:val="clear" w:color="auto" w:fill="auto"/>
            <w:vAlign w:val="bottom"/>
          </w:tcPr>
          <w:p w:rsidR="00B95946" w:rsidRDefault="00B95946" w:rsidP="00B95946">
            <w:pPr>
              <w:pStyle w:val="Tabletext"/>
              <w:jc w:val="right"/>
            </w:pPr>
            <w:r>
              <w:t>-1.2</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2010-11</w:t>
            </w:r>
          </w:p>
        </w:tc>
        <w:tc>
          <w:tcPr>
            <w:tcW w:w="683" w:type="pct"/>
            <w:shd w:val="clear" w:color="auto" w:fill="auto"/>
            <w:vAlign w:val="bottom"/>
          </w:tcPr>
          <w:p w:rsidR="00B95946" w:rsidRDefault="00B95946" w:rsidP="00B95946">
            <w:pPr>
              <w:pStyle w:val="Tabletext"/>
              <w:jc w:val="right"/>
            </w:pPr>
            <w:r>
              <w:t>403.1</w:t>
            </w:r>
          </w:p>
        </w:tc>
        <w:tc>
          <w:tcPr>
            <w:tcW w:w="683" w:type="pct"/>
            <w:shd w:val="clear" w:color="auto" w:fill="auto"/>
            <w:vAlign w:val="bottom"/>
          </w:tcPr>
          <w:p w:rsidR="00B95946" w:rsidRDefault="00B95946" w:rsidP="00B95946">
            <w:pPr>
              <w:pStyle w:val="Tabletext"/>
              <w:jc w:val="right"/>
            </w:pPr>
            <w:r>
              <w:t>127.4</w:t>
            </w:r>
          </w:p>
        </w:tc>
        <w:tc>
          <w:tcPr>
            <w:tcW w:w="683" w:type="pct"/>
            <w:shd w:val="clear" w:color="auto" w:fill="auto"/>
            <w:vAlign w:val="bottom"/>
          </w:tcPr>
          <w:p w:rsidR="00B95946" w:rsidRDefault="00B95946" w:rsidP="00B95946">
            <w:pPr>
              <w:pStyle w:val="Tabletext"/>
              <w:jc w:val="right"/>
            </w:pPr>
            <w:r>
              <w:t>17.8</w:t>
            </w:r>
          </w:p>
        </w:tc>
        <w:tc>
          <w:tcPr>
            <w:tcW w:w="683" w:type="pct"/>
            <w:shd w:val="clear" w:color="auto" w:fill="auto"/>
            <w:vAlign w:val="bottom"/>
          </w:tcPr>
          <w:p w:rsidR="00B95946" w:rsidRDefault="00B95946" w:rsidP="00B95946">
            <w:pPr>
              <w:pStyle w:val="Tabletext"/>
              <w:jc w:val="right"/>
            </w:pPr>
            <w:r>
              <w:t>37.2</w:t>
            </w:r>
          </w:p>
        </w:tc>
        <w:tc>
          <w:tcPr>
            <w:tcW w:w="683" w:type="pct"/>
            <w:shd w:val="clear" w:color="auto" w:fill="auto"/>
            <w:vAlign w:val="bottom"/>
          </w:tcPr>
          <w:p w:rsidR="00B95946" w:rsidRDefault="00B95946" w:rsidP="00B95946">
            <w:pPr>
              <w:pStyle w:val="Tabletext"/>
              <w:jc w:val="right"/>
            </w:pPr>
            <w:r>
              <w:t>422.5</w:t>
            </w:r>
          </w:p>
        </w:tc>
        <w:tc>
          <w:tcPr>
            <w:tcW w:w="678" w:type="pct"/>
            <w:shd w:val="clear" w:color="auto" w:fill="auto"/>
            <w:vAlign w:val="bottom"/>
          </w:tcPr>
          <w:p w:rsidR="00B95946" w:rsidRDefault="00B95946" w:rsidP="00B95946">
            <w:pPr>
              <w:pStyle w:val="Tabletext"/>
              <w:jc w:val="right"/>
            </w:pPr>
            <w:r>
              <w:t>-19.4</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2011-12</w:t>
            </w:r>
          </w:p>
        </w:tc>
        <w:tc>
          <w:tcPr>
            <w:tcW w:w="683" w:type="pct"/>
            <w:shd w:val="clear" w:color="auto" w:fill="auto"/>
            <w:vAlign w:val="bottom"/>
          </w:tcPr>
          <w:p w:rsidR="00B95946" w:rsidRDefault="00B95946" w:rsidP="00B95946">
            <w:pPr>
              <w:pStyle w:val="Tabletext"/>
              <w:jc w:val="right"/>
            </w:pPr>
            <w:r>
              <w:t>437.9</w:t>
            </w:r>
          </w:p>
        </w:tc>
        <w:tc>
          <w:tcPr>
            <w:tcW w:w="683" w:type="pct"/>
            <w:shd w:val="clear" w:color="auto" w:fill="auto"/>
            <w:vAlign w:val="bottom"/>
          </w:tcPr>
          <w:p w:rsidR="00B95946" w:rsidRDefault="00B95946" w:rsidP="00B95946">
            <w:pPr>
              <w:pStyle w:val="Tabletext"/>
              <w:jc w:val="right"/>
            </w:pPr>
            <w:r>
              <w:t>150.4</w:t>
            </w:r>
          </w:p>
        </w:tc>
        <w:tc>
          <w:tcPr>
            <w:tcW w:w="683" w:type="pct"/>
            <w:shd w:val="clear" w:color="auto" w:fill="auto"/>
            <w:vAlign w:val="bottom"/>
          </w:tcPr>
          <w:p w:rsidR="00B95946" w:rsidRDefault="00B95946" w:rsidP="00B95946">
            <w:pPr>
              <w:pStyle w:val="Tabletext"/>
              <w:jc w:val="right"/>
            </w:pPr>
            <w:r>
              <w:t>19.9</w:t>
            </w:r>
          </w:p>
        </w:tc>
        <w:tc>
          <w:tcPr>
            <w:tcW w:w="683" w:type="pct"/>
            <w:shd w:val="clear" w:color="auto" w:fill="auto"/>
            <w:vAlign w:val="bottom"/>
          </w:tcPr>
          <w:p w:rsidR="00B95946" w:rsidRDefault="00B95946" w:rsidP="00B95946">
            <w:pPr>
              <w:pStyle w:val="Tabletext"/>
              <w:jc w:val="right"/>
            </w:pPr>
            <w:r>
              <w:t>44.4</w:t>
            </w:r>
          </w:p>
        </w:tc>
        <w:tc>
          <w:tcPr>
            <w:tcW w:w="683" w:type="pct"/>
            <w:shd w:val="clear" w:color="auto" w:fill="auto"/>
            <w:vAlign w:val="bottom"/>
          </w:tcPr>
          <w:p w:rsidR="00B95946" w:rsidRDefault="00B95946" w:rsidP="00B95946">
            <w:pPr>
              <w:pStyle w:val="Tabletext"/>
              <w:jc w:val="right"/>
            </w:pPr>
            <w:r>
              <w:t>462.4</w:t>
            </w:r>
          </w:p>
        </w:tc>
        <w:tc>
          <w:tcPr>
            <w:tcW w:w="678" w:type="pct"/>
            <w:shd w:val="clear" w:color="auto" w:fill="auto"/>
            <w:vAlign w:val="bottom"/>
          </w:tcPr>
          <w:p w:rsidR="00B95946" w:rsidRDefault="00B95946" w:rsidP="00B95946">
            <w:pPr>
              <w:pStyle w:val="Tabletext"/>
              <w:jc w:val="right"/>
            </w:pPr>
            <w:r>
              <w:t>-24.5</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2012-13</w:t>
            </w:r>
          </w:p>
        </w:tc>
        <w:tc>
          <w:tcPr>
            <w:tcW w:w="683" w:type="pct"/>
            <w:shd w:val="clear" w:color="auto" w:fill="auto"/>
            <w:vAlign w:val="bottom"/>
          </w:tcPr>
          <w:p w:rsidR="00B95946" w:rsidRDefault="00B95946" w:rsidP="00B95946">
            <w:pPr>
              <w:pStyle w:val="Tabletext"/>
              <w:jc w:val="right"/>
            </w:pPr>
            <w:r>
              <w:t>457.9</w:t>
            </w:r>
          </w:p>
        </w:tc>
        <w:tc>
          <w:tcPr>
            <w:tcW w:w="683" w:type="pct"/>
            <w:shd w:val="clear" w:color="auto" w:fill="auto"/>
            <w:vAlign w:val="bottom"/>
          </w:tcPr>
          <w:p w:rsidR="00B95946" w:rsidRDefault="00B95946" w:rsidP="00B95946">
            <w:pPr>
              <w:pStyle w:val="Tabletext"/>
              <w:jc w:val="right"/>
            </w:pPr>
            <w:r>
              <w:t>182.2</w:t>
            </w:r>
          </w:p>
        </w:tc>
        <w:tc>
          <w:tcPr>
            <w:tcW w:w="683" w:type="pct"/>
            <w:shd w:val="clear" w:color="auto" w:fill="auto"/>
            <w:vAlign w:val="bottom"/>
          </w:tcPr>
          <w:p w:rsidR="00B95946" w:rsidRDefault="00B95946" w:rsidP="00B95946">
            <w:pPr>
              <w:pStyle w:val="Tabletext"/>
              <w:jc w:val="right"/>
            </w:pPr>
            <w:r>
              <w:t>20.6</w:t>
            </w:r>
          </w:p>
        </w:tc>
        <w:tc>
          <w:tcPr>
            <w:tcW w:w="683" w:type="pct"/>
            <w:shd w:val="clear" w:color="auto" w:fill="auto"/>
            <w:vAlign w:val="bottom"/>
          </w:tcPr>
          <w:p w:rsidR="00B95946" w:rsidRDefault="00B95946" w:rsidP="00B95946">
            <w:pPr>
              <w:pStyle w:val="Tabletext"/>
              <w:jc w:val="right"/>
            </w:pPr>
            <w:r>
              <w:t>39.7</w:t>
            </w:r>
          </w:p>
        </w:tc>
        <w:tc>
          <w:tcPr>
            <w:tcW w:w="683" w:type="pct"/>
            <w:shd w:val="clear" w:color="auto" w:fill="auto"/>
            <w:vAlign w:val="bottom"/>
          </w:tcPr>
          <w:p w:rsidR="00B95946" w:rsidRDefault="00B95946" w:rsidP="00B95946">
            <w:pPr>
              <w:pStyle w:val="Tabletext"/>
              <w:jc w:val="right"/>
            </w:pPr>
            <w:r>
              <w:t>477.0</w:t>
            </w:r>
          </w:p>
        </w:tc>
        <w:tc>
          <w:tcPr>
            <w:tcW w:w="678" w:type="pct"/>
            <w:shd w:val="clear" w:color="auto" w:fill="auto"/>
            <w:vAlign w:val="bottom"/>
          </w:tcPr>
          <w:p w:rsidR="00B95946" w:rsidRDefault="00B95946" w:rsidP="00B95946">
            <w:pPr>
              <w:pStyle w:val="Tabletext"/>
              <w:jc w:val="right"/>
            </w:pPr>
            <w:r>
              <w:t>-19.1</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2013-14</w:t>
            </w:r>
          </w:p>
        </w:tc>
        <w:tc>
          <w:tcPr>
            <w:tcW w:w="683" w:type="pct"/>
            <w:shd w:val="clear" w:color="auto" w:fill="auto"/>
            <w:vAlign w:val="bottom"/>
          </w:tcPr>
          <w:p w:rsidR="00B95946" w:rsidRDefault="00B95946" w:rsidP="00B95946">
            <w:pPr>
              <w:pStyle w:val="Tabletext"/>
              <w:jc w:val="right"/>
            </w:pPr>
            <w:r>
              <w:t>496.3</w:t>
            </w:r>
          </w:p>
        </w:tc>
        <w:tc>
          <w:tcPr>
            <w:tcW w:w="683" w:type="pct"/>
            <w:shd w:val="clear" w:color="auto" w:fill="auto"/>
            <w:vAlign w:val="bottom"/>
          </w:tcPr>
          <w:p w:rsidR="00B95946" w:rsidRDefault="00B95946" w:rsidP="00B95946">
            <w:pPr>
              <w:pStyle w:val="Tabletext"/>
              <w:jc w:val="right"/>
            </w:pPr>
            <w:r>
              <w:t>164.4</w:t>
            </w:r>
          </w:p>
        </w:tc>
        <w:tc>
          <w:tcPr>
            <w:tcW w:w="683" w:type="pct"/>
            <w:shd w:val="clear" w:color="auto" w:fill="auto"/>
            <w:vAlign w:val="bottom"/>
          </w:tcPr>
          <w:p w:rsidR="00B95946" w:rsidRDefault="00B95946" w:rsidP="00B95946">
            <w:pPr>
              <w:pStyle w:val="Tabletext"/>
              <w:jc w:val="right"/>
            </w:pPr>
            <w:r>
              <w:t>21.2</w:t>
            </w:r>
          </w:p>
        </w:tc>
        <w:tc>
          <w:tcPr>
            <w:tcW w:w="683" w:type="pct"/>
            <w:shd w:val="clear" w:color="auto" w:fill="auto"/>
            <w:vAlign w:val="bottom"/>
          </w:tcPr>
          <w:p w:rsidR="00B95946" w:rsidRDefault="00B95946" w:rsidP="00B95946">
            <w:pPr>
              <w:pStyle w:val="Tabletext"/>
              <w:jc w:val="right"/>
            </w:pPr>
            <w:r>
              <w:t>44.8</w:t>
            </w:r>
          </w:p>
        </w:tc>
        <w:tc>
          <w:tcPr>
            <w:tcW w:w="683" w:type="pct"/>
            <w:shd w:val="clear" w:color="auto" w:fill="auto"/>
            <w:vAlign w:val="bottom"/>
          </w:tcPr>
          <w:p w:rsidR="00B95946" w:rsidRDefault="00B95946" w:rsidP="00B95946">
            <w:pPr>
              <w:pStyle w:val="Tabletext"/>
              <w:jc w:val="right"/>
            </w:pPr>
            <w:r>
              <w:t>519.9</w:t>
            </w:r>
          </w:p>
        </w:tc>
        <w:tc>
          <w:tcPr>
            <w:tcW w:w="678" w:type="pct"/>
            <w:shd w:val="clear" w:color="auto" w:fill="auto"/>
            <w:vAlign w:val="bottom"/>
          </w:tcPr>
          <w:p w:rsidR="00B95946" w:rsidRDefault="00B95946" w:rsidP="00B95946">
            <w:pPr>
              <w:pStyle w:val="Tabletext"/>
              <w:jc w:val="right"/>
            </w:pPr>
            <w:r>
              <w:t>-23.6</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2014-15</w:t>
            </w:r>
          </w:p>
        </w:tc>
        <w:tc>
          <w:tcPr>
            <w:tcW w:w="683" w:type="pct"/>
            <w:shd w:val="clear" w:color="auto" w:fill="auto"/>
            <w:vAlign w:val="bottom"/>
          </w:tcPr>
          <w:p w:rsidR="00B95946" w:rsidRDefault="00B95946" w:rsidP="00B95946">
            <w:pPr>
              <w:pStyle w:val="Tabletext"/>
              <w:jc w:val="right"/>
            </w:pPr>
            <w:r>
              <w:t>558.5</w:t>
            </w:r>
          </w:p>
        </w:tc>
        <w:tc>
          <w:tcPr>
            <w:tcW w:w="683" w:type="pct"/>
            <w:shd w:val="clear" w:color="auto" w:fill="auto"/>
            <w:vAlign w:val="bottom"/>
          </w:tcPr>
          <w:p w:rsidR="00B95946" w:rsidRDefault="00B95946" w:rsidP="00B95946">
            <w:pPr>
              <w:pStyle w:val="Tabletext"/>
              <w:jc w:val="right"/>
            </w:pPr>
            <w:r>
              <w:t>177.7</w:t>
            </w:r>
          </w:p>
        </w:tc>
        <w:tc>
          <w:tcPr>
            <w:tcW w:w="683" w:type="pct"/>
            <w:shd w:val="clear" w:color="auto" w:fill="auto"/>
            <w:vAlign w:val="bottom"/>
          </w:tcPr>
          <w:p w:rsidR="00B95946" w:rsidRDefault="00B95946" w:rsidP="00B95946">
            <w:pPr>
              <w:pStyle w:val="Tabletext"/>
              <w:jc w:val="right"/>
            </w:pPr>
            <w:r>
              <w:t>21.5</w:t>
            </w:r>
          </w:p>
        </w:tc>
        <w:tc>
          <w:tcPr>
            <w:tcW w:w="683" w:type="pct"/>
            <w:shd w:val="clear" w:color="auto" w:fill="auto"/>
            <w:vAlign w:val="bottom"/>
          </w:tcPr>
          <w:p w:rsidR="00B95946" w:rsidRDefault="00B95946" w:rsidP="00B95946">
            <w:pPr>
              <w:pStyle w:val="Tabletext"/>
              <w:jc w:val="right"/>
            </w:pPr>
            <w:r>
              <w:t>52.3</w:t>
            </w:r>
          </w:p>
        </w:tc>
        <w:tc>
          <w:tcPr>
            <w:tcW w:w="683" w:type="pct"/>
            <w:shd w:val="clear" w:color="auto" w:fill="auto"/>
            <w:vAlign w:val="bottom"/>
          </w:tcPr>
          <w:p w:rsidR="00B95946" w:rsidRDefault="00B95946" w:rsidP="00B95946">
            <w:pPr>
              <w:pStyle w:val="Tabletext"/>
              <w:jc w:val="right"/>
            </w:pPr>
            <w:r>
              <w:t>589.3</w:t>
            </w:r>
          </w:p>
        </w:tc>
        <w:tc>
          <w:tcPr>
            <w:tcW w:w="678" w:type="pct"/>
            <w:shd w:val="clear" w:color="auto" w:fill="auto"/>
            <w:vAlign w:val="bottom"/>
          </w:tcPr>
          <w:p w:rsidR="00B95946" w:rsidRDefault="00B95946" w:rsidP="00B95946">
            <w:pPr>
              <w:pStyle w:val="Tabletext"/>
              <w:jc w:val="right"/>
            </w:pPr>
            <w:r>
              <w:t>-30.8</w:t>
            </w:r>
          </w:p>
        </w:tc>
      </w:tr>
      <w:tr w:rsidR="00E86A68" w:rsidTr="002109B9">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B95946" w:rsidRDefault="00B95946" w:rsidP="00B95946">
            <w:pPr>
              <w:pStyle w:val="Tabletext"/>
            </w:pPr>
            <w:r>
              <w:t>2015-16</w:t>
            </w:r>
          </w:p>
        </w:tc>
        <w:tc>
          <w:tcPr>
            <w:tcW w:w="683" w:type="pct"/>
            <w:shd w:val="clear" w:color="auto" w:fill="auto"/>
            <w:vAlign w:val="bottom"/>
          </w:tcPr>
          <w:p w:rsidR="00B95946" w:rsidRDefault="00B95946" w:rsidP="00B95946">
            <w:pPr>
              <w:pStyle w:val="Tabletext"/>
              <w:jc w:val="right"/>
            </w:pPr>
            <w:r>
              <w:t>576.2</w:t>
            </w:r>
          </w:p>
        </w:tc>
        <w:tc>
          <w:tcPr>
            <w:tcW w:w="683" w:type="pct"/>
            <w:shd w:val="clear" w:color="auto" w:fill="auto"/>
            <w:vAlign w:val="bottom"/>
          </w:tcPr>
          <w:p w:rsidR="00B95946" w:rsidRDefault="00B95946" w:rsidP="00B95946">
            <w:pPr>
              <w:pStyle w:val="Tabletext"/>
              <w:jc w:val="right"/>
            </w:pPr>
            <w:r>
              <w:t>182.7</w:t>
            </w:r>
          </w:p>
        </w:tc>
        <w:tc>
          <w:tcPr>
            <w:tcW w:w="683" w:type="pct"/>
            <w:shd w:val="clear" w:color="auto" w:fill="auto"/>
            <w:vAlign w:val="bottom"/>
          </w:tcPr>
          <w:p w:rsidR="00B95946" w:rsidRDefault="00B95946" w:rsidP="00B95946">
            <w:pPr>
              <w:pStyle w:val="Tabletext"/>
              <w:jc w:val="right"/>
            </w:pPr>
            <w:r>
              <w:t>25.1</w:t>
            </w:r>
          </w:p>
        </w:tc>
        <w:tc>
          <w:tcPr>
            <w:tcW w:w="683" w:type="pct"/>
            <w:shd w:val="clear" w:color="auto" w:fill="auto"/>
            <w:vAlign w:val="bottom"/>
          </w:tcPr>
          <w:p w:rsidR="00B95946" w:rsidRDefault="00B95946" w:rsidP="00B95946">
            <w:pPr>
              <w:pStyle w:val="Tabletext"/>
              <w:jc w:val="right"/>
            </w:pPr>
            <w:r>
              <w:t>54.0</w:t>
            </w:r>
          </w:p>
        </w:tc>
        <w:tc>
          <w:tcPr>
            <w:tcW w:w="683" w:type="pct"/>
            <w:shd w:val="clear" w:color="auto" w:fill="auto"/>
            <w:vAlign w:val="bottom"/>
          </w:tcPr>
          <w:p w:rsidR="00B95946" w:rsidRDefault="00B95946" w:rsidP="00B95946">
            <w:pPr>
              <w:pStyle w:val="Tabletext"/>
              <w:jc w:val="right"/>
            </w:pPr>
            <w:r>
              <w:t>605.1</w:t>
            </w:r>
          </w:p>
        </w:tc>
        <w:tc>
          <w:tcPr>
            <w:tcW w:w="678" w:type="pct"/>
            <w:shd w:val="clear" w:color="auto" w:fill="auto"/>
            <w:vAlign w:val="bottom"/>
          </w:tcPr>
          <w:p w:rsidR="00B95946" w:rsidRDefault="00B95946" w:rsidP="00B95946">
            <w:pPr>
              <w:pStyle w:val="Tabletext"/>
              <w:jc w:val="right"/>
            </w:pPr>
            <w:r>
              <w:t>-28.9</w:t>
            </w:r>
          </w:p>
        </w:tc>
      </w:tr>
      <w:tr w:rsidR="00E86A68" w:rsidTr="002109B9">
        <w:tblPrEx>
          <w:tblBorders>
            <w:bottom w:val="single" w:sz="4" w:space="0" w:color="646464"/>
            <w:insideH w:val="single" w:sz="4" w:space="0" w:color="646464"/>
          </w:tblBorders>
        </w:tblPrEx>
        <w:trPr>
          <w:gridBefore w:val="1"/>
          <w:wBefore w:w="219" w:type="pct"/>
          <w:cantSplit/>
        </w:trPr>
        <w:tc>
          <w:tcPr>
            <w:tcW w:w="4781" w:type="pct"/>
            <w:gridSpan w:val="7"/>
            <w:tcBorders>
              <w:bottom w:val="single" w:sz="4" w:space="0" w:color="646464"/>
            </w:tcBorders>
            <w:shd w:val="clear" w:color="auto" w:fill="auto"/>
          </w:tcPr>
          <w:p w:rsidR="004A0A51" w:rsidRDefault="004A0A51" w:rsidP="00F064FB">
            <w:pPr>
              <w:pStyle w:val="Source"/>
              <w:rPr>
                <w:lang w:val="en-US"/>
              </w:rPr>
            </w:pPr>
            <w:r>
              <w:t>Source:</w:t>
            </w:r>
            <w:r>
              <w:rPr>
                <w:lang w:val="en-US"/>
              </w:rPr>
              <w:t xml:space="preserve"> </w:t>
            </w:r>
            <w:r>
              <w:t>IBISWorld Report 2016</w:t>
            </w:r>
            <w:r w:rsidR="00F51827">
              <w:t>B</w:t>
            </w:r>
            <w:r w:rsidR="00F064FB">
              <w:t>,</w:t>
            </w:r>
            <w:r>
              <w:rPr>
                <w:lang w:val="en-US"/>
              </w:rPr>
              <w:t xml:space="preserve"> C1832, </w:t>
            </w:r>
            <w:r w:rsidR="00F51827">
              <w:rPr>
                <w:lang w:val="en-US"/>
              </w:rPr>
              <w:t>Veterinary</w:t>
            </w:r>
            <w:r>
              <w:rPr>
                <w:lang w:val="en-US"/>
              </w:rPr>
              <w:t xml:space="preserve"> Manufacturing in Australia, July 2016</w:t>
            </w:r>
          </w:p>
        </w:tc>
      </w:tr>
      <w:tr w:rsidR="00E86A68" w:rsidTr="002109B9">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top w:val="single" w:sz="4" w:space="0" w:color="646464"/>
              <w:bottom w:val="nil"/>
            </w:tcBorders>
            <w:shd w:val="clear" w:color="auto" w:fill="auto"/>
          </w:tcPr>
          <w:p w:rsidR="004A0A51" w:rsidRDefault="004A0A51" w:rsidP="002109B9">
            <w:pPr>
              <w:pStyle w:val="spacertbl"/>
              <w:rPr>
                <w:lang w:val="en-US"/>
              </w:rPr>
            </w:pPr>
          </w:p>
        </w:tc>
      </w:tr>
    </w:tbl>
    <w:p w:rsidR="00376E22" w:rsidRDefault="00376E22" w:rsidP="00376E22">
      <w:pPr>
        <w:pStyle w:val="BodyText"/>
        <w:rPr>
          <w:lang w:val="en-US"/>
        </w:rPr>
      </w:pPr>
      <w:r>
        <w:rPr>
          <w:lang w:val="en-US"/>
        </w:rPr>
        <w:t xml:space="preserve">In 2007-08, 4 per cent of </w:t>
      </w:r>
      <w:r w:rsidR="00F867C7">
        <w:rPr>
          <w:lang w:val="en-US"/>
        </w:rPr>
        <w:t xml:space="preserve">veterinary </w:t>
      </w:r>
      <w:r w:rsidR="000A09C4">
        <w:rPr>
          <w:lang w:val="en-US"/>
        </w:rPr>
        <w:t>pharmaceutical</w:t>
      </w:r>
      <w:r>
        <w:rPr>
          <w:lang w:val="en-US"/>
        </w:rPr>
        <w:t xml:space="preserve"> demand was met by imports. This increased to 9</w:t>
      </w:r>
      <w:r w:rsidR="00F064FB">
        <w:rPr>
          <w:lang w:val="en-US"/>
        </w:rPr>
        <w:t> </w:t>
      </w:r>
      <w:r>
        <w:rPr>
          <w:lang w:val="en-US"/>
        </w:rPr>
        <w:t xml:space="preserve">per cent in 2015-16. This indicates </w:t>
      </w:r>
      <w:r w:rsidR="00F064FB">
        <w:rPr>
          <w:lang w:val="en-US"/>
        </w:rPr>
        <w:t xml:space="preserve">that </w:t>
      </w:r>
      <w:r>
        <w:rPr>
          <w:lang w:val="en-US"/>
        </w:rPr>
        <w:t xml:space="preserve">imports play </w:t>
      </w:r>
      <w:r w:rsidR="00A4207B">
        <w:rPr>
          <w:lang w:val="en-US"/>
        </w:rPr>
        <w:t>a limited</w:t>
      </w:r>
      <w:r>
        <w:rPr>
          <w:lang w:val="en-US"/>
        </w:rPr>
        <w:t xml:space="preserve"> role in Australian veterinary pharmaceutical consumption. </w:t>
      </w:r>
    </w:p>
    <w:p w:rsidR="00376E22" w:rsidRDefault="00376E22" w:rsidP="00376E22">
      <w:pPr>
        <w:pStyle w:val="BodyText"/>
      </w:pPr>
      <w:r w:rsidRPr="00376E22">
        <w:rPr>
          <w:lang w:val="en-US"/>
        </w:rPr>
        <w:t xml:space="preserve">For veterinary pharmaceutical products, </w:t>
      </w:r>
      <w:r w:rsidRPr="00376E22">
        <w:t xml:space="preserve">the Australian market tends to make extensive use of products that are imported in a ready-to-use form through ‘toll’ manufacturing arrangements. Toll manufacture is where all or parts of the manufacture of veterinary medicines is contracted to another party. For example, an Australian company with specialised inputs, equipment and expertise </w:t>
      </w:r>
      <w:r w:rsidR="00F064FB">
        <w:t xml:space="preserve">can </w:t>
      </w:r>
      <w:r w:rsidRPr="00376E22">
        <w:t xml:space="preserve">produce </w:t>
      </w:r>
      <w:r w:rsidR="00F064FB">
        <w:t>a</w:t>
      </w:r>
      <w:r w:rsidRPr="00376E22">
        <w:t xml:space="preserve"> veterinary medicine from materials supplied by the parent organisation. Toll manufacture</w:t>
      </w:r>
      <w:r w:rsidR="00784A1E">
        <w:t>r</w:t>
      </w:r>
      <w:r w:rsidRPr="00376E22">
        <w:t>s are also called contract manufacture</w:t>
      </w:r>
      <w:r w:rsidR="00784A1E">
        <w:t>r</w:t>
      </w:r>
      <w:r w:rsidR="000A09C4">
        <w:t>s. T</w:t>
      </w:r>
      <w:r w:rsidRPr="00376E22">
        <w:t>he APV</w:t>
      </w:r>
      <w:r w:rsidR="00F867C7">
        <w:t>M</w:t>
      </w:r>
      <w:r w:rsidRPr="00376E22">
        <w:t xml:space="preserve">A </w:t>
      </w:r>
      <w:r w:rsidR="00F867C7">
        <w:t>licenc</w:t>
      </w:r>
      <w:r w:rsidR="000A09C4">
        <w:t xml:space="preserve">es </w:t>
      </w:r>
      <w:r w:rsidR="00A4207B">
        <w:t>veterinary chemical</w:t>
      </w:r>
      <w:r w:rsidR="000A09C4">
        <w:t xml:space="preserve"> manufacturers, </w:t>
      </w:r>
      <w:r w:rsidR="00F867C7">
        <w:t>consistent with global best practice</w:t>
      </w:r>
      <w:r>
        <w:t>.</w:t>
      </w:r>
    </w:p>
    <w:p w:rsidR="00080206" w:rsidRDefault="00080206" w:rsidP="004B224B">
      <w:pPr>
        <w:pStyle w:val="Heading3"/>
      </w:pPr>
      <w:r>
        <w:t>Patents filed in Australia</w:t>
      </w:r>
    </w:p>
    <w:p w:rsidR="00080206" w:rsidRDefault="00FC3E44" w:rsidP="00080206">
      <w:pPr>
        <w:pStyle w:val="BodyText"/>
      </w:pPr>
      <w:r>
        <w:t>I</w:t>
      </w:r>
      <w:r w:rsidR="00080206">
        <w:t xml:space="preserve">P Australia </w:t>
      </w:r>
      <w:r>
        <w:t xml:space="preserve">data, </w:t>
      </w:r>
      <w:r w:rsidR="00080206">
        <w:t xml:space="preserve">provided in </w:t>
      </w:r>
      <w:r w:rsidR="000A344D">
        <w:fldChar w:fldCharType="begin"/>
      </w:r>
      <w:r w:rsidR="000A344D">
        <w:instrText xml:space="preserve"> REF _Ref488080066 \h </w:instrText>
      </w:r>
      <w:r w:rsidR="000A344D">
        <w:fldChar w:fldCharType="separate"/>
      </w:r>
      <w:r w:rsidR="0087688C" w:rsidRPr="00FC29C8">
        <w:rPr>
          <w:rStyle w:val="CaptionLabel"/>
        </w:rPr>
        <w:t>Table</w:t>
      </w:r>
      <w:r w:rsidR="0087688C">
        <w:rPr>
          <w:rStyle w:val="CaptionLabel"/>
        </w:rPr>
        <w:t> </w:t>
      </w:r>
      <w:r w:rsidR="0087688C">
        <w:rPr>
          <w:rStyle w:val="CaptionLabel"/>
          <w:noProof/>
        </w:rPr>
        <w:t>2</w:t>
      </w:r>
      <w:r w:rsidR="0087688C" w:rsidRPr="00FC29C8">
        <w:rPr>
          <w:rStyle w:val="CaptionLabel"/>
        </w:rPr>
        <w:t>.</w:t>
      </w:r>
      <w:r w:rsidR="0087688C">
        <w:rPr>
          <w:rStyle w:val="CaptionLabel"/>
          <w:noProof/>
        </w:rPr>
        <w:t>3</w:t>
      </w:r>
      <w:r w:rsidR="000A344D">
        <w:fldChar w:fldCharType="end"/>
      </w:r>
      <w:r>
        <w:t>,</w:t>
      </w:r>
      <w:r w:rsidR="00080206">
        <w:t xml:space="preserve"> shows that Australian applicants are minor patent owners of class A01 - Agriculture, forestry, animal husbandry, hunting, trapping and fishing. Of the 17 Australian patents owned by Australian based companies:</w:t>
      </w:r>
    </w:p>
    <w:p w:rsidR="00080206" w:rsidRDefault="00080206" w:rsidP="00080206">
      <w:pPr>
        <w:pStyle w:val="ListBullet"/>
      </w:pPr>
      <w:r>
        <w:t xml:space="preserve">12 patents are by </w:t>
      </w:r>
      <w:r w:rsidRPr="00CF48DF">
        <w:t>Nufarm Australia L</w:t>
      </w:r>
      <w:r>
        <w:t>td</w:t>
      </w:r>
      <w:r w:rsidR="00592F5C">
        <w:t xml:space="preserve"> </w:t>
      </w:r>
    </w:p>
    <w:p w:rsidR="00080206" w:rsidRDefault="00080206" w:rsidP="00080206">
      <w:pPr>
        <w:pStyle w:val="ListBullet"/>
      </w:pPr>
      <w:r>
        <w:t xml:space="preserve">3 patents are by </w:t>
      </w:r>
      <w:r w:rsidRPr="00CF48DF">
        <w:t>Jurox Pty Ltd</w:t>
      </w:r>
    </w:p>
    <w:p w:rsidR="00080206" w:rsidRDefault="00080206" w:rsidP="00080206">
      <w:pPr>
        <w:pStyle w:val="ListBullet"/>
      </w:pPr>
      <w:r>
        <w:t xml:space="preserve">1 patent is by </w:t>
      </w:r>
      <w:r w:rsidRPr="00CF48DF">
        <w:t>Syngenta Seeds Pty Ltd</w:t>
      </w:r>
    </w:p>
    <w:p w:rsidR="00080206" w:rsidRPr="00CF48DF" w:rsidRDefault="00080206" w:rsidP="00080206">
      <w:pPr>
        <w:pStyle w:val="ListBullet"/>
      </w:pPr>
      <w:r>
        <w:t xml:space="preserve">1 patent is by </w:t>
      </w:r>
      <w:r w:rsidRPr="00CF48DF">
        <w:t>Virbac (Australia) Pty L</w:t>
      </w:r>
      <w:r>
        <w:t>td</w:t>
      </w:r>
    </w:p>
    <w:p w:rsidR="00080206" w:rsidRDefault="00080206" w:rsidP="00080206">
      <w:pPr>
        <w:pStyle w:val="BodyText"/>
      </w:pPr>
      <w:r>
        <w:t>The data indicates that Australian firms (some are clearly subsidiaries of multinationals) have only one per cent of Australian agvet patents in force. German and US companies dominate patents filed in Australia.</w:t>
      </w:r>
    </w:p>
    <w:p w:rsidR="002C35E8" w:rsidRDefault="002C35E8" w:rsidP="002C35E8">
      <w:pPr>
        <w:pStyle w:val="Heading3"/>
        <w:rPr>
          <w:lang w:val="en-US"/>
        </w:rPr>
      </w:pPr>
      <w:bookmarkStart w:id="42" w:name="_Toc485482848"/>
      <w:r>
        <w:rPr>
          <w:lang w:val="en-US"/>
        </w:rPr>
        <w:t>Generic plant protection products</w:t>
      </w:r>
      <w:bookmarkEnd w:id="42"/>
      <w:r>
        <w:rPr>
          <w:lang w:val="en-US"/>
        </w:rPr>
        <w:t xml:space="preserve"> in Australia</w:t>
      </w:r>
    </w:p>
    <w:p w:rsidR="002C35E8" w:rsidRDefault="002C35E8" w:rsidP="002C35E8">
      <w:pPr>
        <w:pStyle w:val="BodyText"/>
        <w:rPr>
          <w:lang w:val="en-US"/>
        </w:rPr>
      </w:pPr>
      <w:r>
        <w:rPr>
          <w:lang w:val="en-US"/>
        </w:rPr>
        <w:t xml:space="preserve">The growth in the availability of generic chemical plant protection products in Australia is shown in </w:t>
      </w:r>
      <w:r>
        <w:rPr>
          <w:lang w:val="en-US"/>
        </w:rPr>
        <w:fldChar w:fldCharType="begin"/>
      </w:r>
      <w:r>
        <w:rPr>
          <w:lang w:val="en-US"/>
        </w:rPr>
        <w:instrText xml:space="preserve"> REF _Ref483923218 \h </w:instrText>
      </w:r>
      <w:r>
        <w:rPr>
          <w:lang w:val="en-US"/>
        </w:rPr>
      </w:r>
      <w:r>
        <w:rPr>
          <w:lang w:val="en-US"/>
        </w:rPr>
        <w:fldChar w:fldCharType="separate"/>
      </w:r>
      <w:r w:rsidR="0087688C" w:rsidRPr="009B3A73">
        <w:rPr>
          <w:rStyle w:val="CaptionLabel"/>
          <w:lang w:val="en-US"/>
        </w:rPr>
        <w:t>Table </w:t>
      </w:r>
      <w:r w:rsidR="0087688C">
        <w:rPr>
          <w:rStyle w:val="CaptionLabel"/>
          <w:noProof/>
          <w:lang w:val="en-US"/>
        </w:rPr>
        <w:t>2</w:t>
      </w:r>
      <w:r w:rsidR="0087688C">
        <w:rPr>
          <w:rStyle w:val="CaptionLabel"/>
          <w:lang w:val="en-US"/>
        </w:rPr>
        <w:t>.</w:t>
      </w:r>
      <w:r w:rsidR="0087688C">
        <w:rPr>
          <w:rStyle w:val="CaptionLabel"/>
          <w:noProof/>
          <w:lang w:val="en-US"/>
        </w:rPr>
        <w:t>4</w:t>
      </w:r>
      <w:r>
        <w:rPr>
          <w:lang w:val="en-US"/>
        </w:rPr>
        <w:fldChar w:fldCharType="end"/>
      </w:r>
      <w:r>
        <w:rPr>
          <w:lang w:val="en-US"/>
        </w:rPr>
        <w:t xml:space="preserve">. There has been a rapid increase in the supply of a number of generic agricultural chemical products between 2004 and 2017 in Australia. </w:t>
      </w:r>
    </w:p>
    <w:p w:rsidR="002C35E8" w:rsidRDefault="002C35E8" w:rsidP="002C35E8">
      <w:pPr>
        <w:pStyle w:val="BodyText"/>
        <w:rPr>
          <w:lang w:val="en-US"/>
        </w:rPr>
      </w:pPr>
      <w:r>
        <w:rPr>
          <w:lang w:val="en-US"/>
        </w:rPr>
        <w:t>In the past, the agvet chemical industry was dominated by patent-protected solutions. But as active ingredients have aged out of their patents, the use off-patent products has grown significantly. For example, in 2012, there were 305 plant protection chemicals with glyphosate as the active ingredient. Now the number has reached 545,</w:t>
      </w:r>
      <w:r>
        <w:rPr>
          <w:rStyle w:val="FootnoteReference"/>
          <w:lang w:val="en-US"/>
        </w:rPr>
        <w:footnoteReference w:id="23"/>
      </w:r>
      <w:r>
        <w:rPr>
          <w:lang w:val="en-US"/>
        </w:rPr>
        <w:t xml:space="preserve"> an increase of 78 per cent within a span of five years. </w:t>
      </w:r>
    </w:p>
    <w:p w:rsidR="00080206" w:rsidRDefault="00080206" w:rsidP="00080206">
      <w:pPr>
        <w:pStyle w:val="Caption"/>
        <w:spacing w:before="160"/>
      </w:pPr>
      <w:bookmarkStart w:id="43" w:name="_Ref488080066"/>
      <w:bookmarkStart w:id="44" w:name="_Toc497132802"/>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3</w:t>
      </w:r>
      <w:r w:rsidRPr="00FC29C8">
        <w:rPr>
          <w:rStyle w:val="CaptionLabel"/>
        </w:rPr>
        <w:fldChar w:fldCharType="end"/>
      </w:r>
      <w:bookmarkEnd w:id="43"/>
      <w:r>
        <w:tab/>
      </w:r>
      <w:r w:rsidRPr="00347C0E">
        <w:t>Patent applications filed</w:t>
      </w:r>
      <w:r w:rsidR="008079E4">
        <w:t xml:space="preserve"> </w:t>
      </w:r>
      <w:r>
        <w:t>/</w:t>
      </w:r>
      <w:r w:rsidR="008079E4">
        <w:t xml:space="preserve"> </w:t>
      </w:r>
      <w:r>
        <w:t>granted by</w:t>
      </w:r>
      <w:r w:rsidRPr="00347C0E">
        <w:t xml:space="preserve"> IP Australia 2000-16 </w:t>
      </w:r>
      <w:r>
        <w:t>by country</w:t>
      </w:r>
      <w:bookmarkEnd w:id="44"/>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5"/>
        <w:gridCol w:w="1633"/>
        <w:gridCol w:w="1059"/>
        <w:gridCol w:w="1275"/>
        <w:gridCol w:w="1701"/>
        <w:gridCol w:w="2501"/>
      </w:tblGrid>
      <w:tr w:rsidR="00E86A68" w:rsidTr="00573CCE">
        <w:trPr>
          <w:cantSplit/>
          <w:tblHeader/>
        </w:trPr>
        <w:tc>
          <w:tcPr>
            <w:tcW w:w="1211" w:type="pct"/>
            <w:gridSpan w:val="2"/>
            <w:shd w:val="clear" w:color="auto" w:fill="9D57A6"/>
            <w:tcMar>
              <w:left w:w="454" w:type="dxa"/>
              <w:bottom w:w="0" w:type="dxa"/>
            </w:tcMar>
          </w:tcPr>
          <w:p w:rsidR="00080206" w:rsidRDefault="00080206" w:rsidP="00573CCE">
            <w:pPr>
              <w:pStyle w:val="Tablecolumnheadings"/>
            </w:pPr>
            <w:r>
              <w:t>Country</w:t>
            </w:r>
          </w:p>
        </w:tc>
        <w:tc>
          <w:tcPr>
            <w:tcW w:w="614" w:type="pct"/>
            <w:shd w:val="clear" w:color="auto" w:fill="9D57A6"/>
            <w:tcMar>
              <w:bottom w:w="0" w:type="dxa"/>
            </w:tcMar>
          </w:tcPr>
          <w:p w:rsidR="00080206" w:rsidRDefault="00080206" w:rsidP="00573CCE">
            <w:pPr>
              <w:pStyle w:val="Tablecolumnheadings"/>
              <w:jc w:val="right"/>
            </w:pPr>
            <w:r>
              <w:t>A01</w:t>
            </w:r>
          </w:p>
        </w:tc>
        <w:tc>
          <w:tcPr>
            <w:tcW w:w="739" w:type="pct"/>
            <w:shd w:val="clear" w:color="auto" w:fill="9D57A6"/>
            <w:tcMar>
              <w:bottom w:w="0" w:type="dxa"/>
            </w:tcMar>
          </w:tcPr>
          <w:p w:rsidR="00080206" w:rsidRDefault="00080206" w:rsidP="00573CCE">
            <w:pPr>
              <w:pStyle w:val="Tablecolumnheadings"/>
              <w:jc w:val="right"/>
            </w:pPr>
            <w:r>
              <w:t>Other</w:t>
            </w:r>
          </w:p>
        </w:tc>
        <w:tc>
          <w:tcPr>
            <w:tcW w:w="986" w:type="pct"/>
            <w:shd w:val="clear" w:color="auto" w:fill="9D57A6"/>
            <w:tcMar>
              <w:bottom w:w="0" w:type="dxa"/>
            </w:tcMar>
          </w:tcPr>
          <w:p w:rsidR="00080206" w:rsidRDefault="00080206" w:rsidP="00573CCE">
            <w:pPr>
              <w:pStyle w:val="Tablecolumnheadings"/>
              <w:jc w:val="right"/>
            </w:pPr>
            <w:r>
              <w:t>Total</w:t>
            </w:r>
          </w:p>
        </w:tc>
        <w:tc>
          <w:tcPr>
            <w:tcW w:w="1450" w:type="pct"/>
            <w:shd w:val="clear" w:color="auto" w:fill="9D57A6"/>
            <w:tcMar>
              <w:bottom w:w="0" w:type="dxa"/>
            </w:tcMar>
          </w:tcPr>
          <w:p w:rsidR="00080206" w:rsidRDefault="00080206" w:rsidP="00573CCE">
            <w:pPr>
              <w:pStyle w:val="Tablecolumnheadings"/>
              <w:jc w:val="right"/>
            </w:pPr>
            <w:r>
              <w:t>A01 as per cent of total</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tcBorders>
              <w:top w:val="nil"/>
            </w:tcBorders>
            <w:shd w:val="clear" w:color="auto" w:fill="auto"/>
            <w:vAlign w:val="bottom"/>
          </w:tcPr>
          <w:p w:rsidR="00080206" w:rsidRDefault="00080206" w:rsidP="00573CCE">
            <w:pPr>
              <w:pStyle w:val="Tabletext"/>
              <w:rPr>
                <w:lang w:val="en-US"/>
              </w:rPr>
            </w:pPr>
            <w:r>
              <w:t>Australia</w:t>
            </w:r>
          </w:p>
        </w:tc>
        <w:tc>
          <w:tcPr>
            <w:tcW w:w="614" w:type="pct"/>
            <w:tcBorders>
              <w:top w:val="nil"/>
            </w:tcBorders>
            <w:shd w:val="clear" w:color="auto" w:fill="auto"/>
            <w:vAlign w:val="center"/>
          </w:tcPr>
          <w:p w:rsidR="00080206" w:rsidRPr="00C96A8F" w:rsidRDefault="00080206" w:rsidP="00573CCE">
            <w:pPr>
              <w:pStyle w:val="Tabletext"/>
              <w:jc w:val="right"/>
              <w:rPr>
                <w:b/>
              </w:rPr>
            </w:pPr>
            <w:r w:rsidRPr="00C96A8F">
              <w:rPr>
                <w:b/>
              </w:rPr>
              <w:t>17</w:t>
            </w:r>
          </w:p>
        </w:tc>
        <w:tc>
          <w:tcPr>
            <w:tcW w:w="739" w:type="pct"/>
            <w:tcBorders>
              <w:top w:val="nil"/>
            </w:tcBorders>
            <w:shd w:val="clear" w:color="auto" w:fill="auto"/>
            <w:vAlign w:val="center"/>
          </w:tcPr>
          <w:p w:rsidR="00080206" w:rsidRDefault="00080206" w:rsidP="00573CCE">
            <w:pPr>
              <w:pStyle w:val="Tabletext"/>
              <w:jc w:val="right"/>
            </w:pPr>
            <w:r>
              <w:t>14</w:t>
            </w:r>
          </w:p>
        </w:tc>
        <w:tc>
          <w:tcPr>
            <w:tcW w:w="986" w:type="pct"/>
            <w:tcBorders>
              <w:top w:val="nil"/>
            </w:tcBorders>
            <w:shd w:val="clear" w:color="auto" w:fill="auto"/>
            <w:vAlign w:val="center"/>
          </w:tcPr>
          <w:p w:rsidR="00080206" w:rsidRDefault="00080206" w:rsidP="00573CCE">
            <w:pPr>
              <w:pStyle w:val="Tabletext"/>
              <w:jc w:val="right"/>
            </w:pPr>
            <w:r>
              <w:t>31</w:t>
            </w:r>
          </w:p>
        </w:tc>
        <w:tc>
          <w:tcPr>
            <w:tcW w:w="1450" w:type="pct"/>
            <w:tcBorders>
              <w:top w:val="nil"/>
            </w:tcBorders>
            <w:shd w:val="clear" w:color="auto" w:fill="auto"/>
            <w:vAlign w:val="bottom"/>
          </w:tcPr>
          <w:p w:rsidR="00080206" w:rsidRDefault="00080206" w:rsidP="00573CCE">
            <w:pPr>
              <w:pStyle w:val="Tabletext"/>
              <w:jc w:val="right"/>
            </w:pPr>
            <w:r>
              <w:t>55</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Belgium</w:t>
            </w:r>
          </w:p>
        </w:tc>
        <w:tc>
          <w:tcPr>
            <w:tcW w:w="614" w:type="pct"/>
            <w:shd w:val="clear" w:color="auto" w:fill="auto"/>
            <w:vAlign w:val="center"/>
          </w:tcPr>
          <w:p w:rsidR="00080206" w:rsidRDefault="00080206" w:rsidP="00573CCE">
            <w:pPr>
              <w:pStyle w:val="Tabletext"/>
              <w:jc w:val="right"/>
            </w:pPr>
            <w:r>
              <w:t>27</w:t>
            </w:r>
          </w:p>
        </w:tc>
        <w:tc>
          <w:tcPr>
            <w:tcW w:w="739" w:type="pct"/>
            <w:shd w:val="clear" w:color="auto" w:fill="auto"/>
            <w:vAlign w:val="center"/>
          </w:tcPr>
          <w:p w:rsidR="00080206" w:rsidRDefault="00080206" w:rsidP="00573CCE">
            <w:pPr>
              <w:pStyle w:val="Tabletext"/>
              <w:jc w:val="right"/>
            </w:pPr>
            <w:r>
              <w:t>36</w:t>
            </w:r>
          </w:p>
        </w:tc>
        <w:tc>
          <w:tcPr>
            <w:tcW w:w="986" w:type="pct"/>
            <w:shd w:val="clear" w:color="auto" w:fill="auto"/>
            <w:vAlign w:val="center"/>
          </w:tcPr>
          <w:p w:rsidR="00080206" w:rsidRDefault="00080206" w:rsidP="00573CCE">
            <w:pPr>
              <w:pStyle w:val="Tabletext"/>
              <w:jc w:val="right"/>
            </w:pPr>
            <w:r>
              <w:t>63</w:t>
            </w:r>
          </w:p>
        </w:tc>
        <w:tc>
          <w:tcPr>
            <w:tcW w:w="1450" w:type="pct"/>
            <w:shd w:val="clear" w:color="auto" w:fill="auto"/>
            <w:vAlign w:val="bottom"/>
          </w:tcPr>
          <w:p w:rsidR="00080206" w:rsidRDefault="00080206" w:rsidP="00573CCE">
            <w:pPr>
              <w:pStyle w:val="Tabletext"/>
              <w:jc w:val="right"/>
            </w:pPr>
            <w:r>
              <w:t>43</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Canada</w:t>
            </w:r>
          </w:p>
        </w:tc>
        <w:tc>
          <w:tcPr>
            <w:tcW w:w="614" w:type="pct"/>
            <w:shd w:val="clear" w:color="auto" w:fill="auto"/>
            <w:vAlign w:val="center"/>
          </w:tcPr>
          <w:p w:rsidR="00080206" w:rsidRDefault="00080206" w:rsidP="00573CCE">
            <w:pPr>
              <w:pStyle w:val="Tabletext"/>
              <w:jc w:val="right"/>
            </w:pPr>
            <w:r>
              <w:t>1</w:t>
            </w:r>
          </w:p>
        </w:tc>
        <w:tc>
          <w:tcPr>
            <w:tcW w:w="739" w:type="pct"/>
            <w:shd w:val="clear" w:color="auto" w:fill="auto"/>
            <w:vAlign w:val="center"/>
          </w:tcPr>
          <w:p w:rsidR="00080206" w:rsidRDefault="00080206" w:rsidP="00573CCE">
            <w:pPr>
              <w:pStyle w:val="Tabletext"/>
              <w:jc w:val="right"/>
            </w:pPr>
            <w:r>
              <w:t>24</w:t>
            </w:r>
          </w:p>
        </w:tc>
        <w:tc>
          <w:tcPr>
            <w:tcW w:w="986" w:type="pct"/>
            <w:shd w:val="clear" w:color="auto" w:fill="auto"/>
            <w:vAlign w:val="center"/>
          </w:tcPr>
          <w:p w:rsidR="00080206" w:rsidRDefault="00080206" w:rsidP="00573CCE">
            <w:pPr>
              <w:pStyle w:val="Tabletext"/>
              <w:jc w:val="right"/>
            </w:pPr>
            <w:r>
              <w:t>25</w:t>
            </w:r>
          </w:p>
        </w:tc>
        <w:tc>
          <w:tcPr>
            <w:tcW w:w="1450" w:type="pct"/>
            <w:shd w:val="clear" w:color="auto" w:fill="auto"/>
            <w:vAlign w:val="bottom"/>
          </w:tcPr>
          <w:p w:rsidR="00080206" w:rsidRDefault="00080206" w:rsidP="00573CCE">
            <w:pPr>
              <w:pStyle w:val="Tabletext"/>
              <w:jc w:val="right"/>
            </w:pPr>
            <w:r>
              <w:t>4</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Switzerland</w:t>
            </w:r>
          </w:p>
        </w:tc>
        <w:tc>
          <w:tcPr>
            <w:tcW w:w="614" w:type="pct"/>
            <w:shd w:val="clear" w:color="auto" w:fill="auto"/>
            <w:vAlign w:val="center"/>
          </w:tcPr>
          <w:p w:rsidR="00080206" w:rsidRDefault="00080206" w:rsidP="00573CCE">
            <w:pPr>
              <w:pStyle w:val="Tabletext"/>
              <w:jc w:val="right"/>
            </w:pPr>
            <w:r>
              <w:t>202</w:t>
            </w:r>
          </w:p>
        </w:tc>
        <w:tc>
          <w:tcPr>
            <w:tcW w:w="739" w:type="pct"/>
            <w:shd w:val="clear" w:color="auto" w:fill="auto"/>
            <w:vAlign w:val="center"/>
          </w:tcPr>
          <w:p w:rsidR="00080206" w:rsidRDefault="00080206" w:rsidP="00573CCE">
            <w:pPr>
              <w:pStyle w:val="Tabletext"/>
              <w:jc w:val="right"/>
            </w:pPr>
            <w:r>
              <w:t>143</w:t>
            </w:r>
          </w:p>
        </w:tc>
        <w:tc>
          <w:tcPr>
            <w:tcW w:w="986" w:type="pct"/>
            <w:shd w:val="clear" w:color="auto" w:fill="auto"/>
            <w:vAlign w:val="center"/>
          </w:tcPr>
          <w:p w:rsidR="00080206" w:rsidRDefault="00080206" w:rsidP="00573CCE">
            <w:pPr>
              <w:pStyle w:val="Tabletext"/>
              <w:jc w:val="right"/>
            </w:pPr>
            <w:r>
              <w:t>345</w:t>
            </w:r>
          </w:p>
        </w:tc>
        <w:tc>
          <w:tcPr>
            <w:tcW w:w="1450" w:type="pct"/>
            <w:shd w:val="clear" w:color="auto" w:fill="auto"/>
            <w:vAlign w:val="bottom"/>
          </w:tcPr>
          <w:p w:rsidR="00080206" w:rsidRDefault="00080206" w:rsidP="00573CCE">
            <w:pPr>
              <w:pStyle w:val="Tabletext"/>
              <w:jc w:val="right"/>
            </w:pPr>
            <w:r>
              <w:t>59</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China</w:t>
            </w:r>
          </w:p>
        </w:tc>
        <w:tc>
          <w:tcPr>
            <w:tcW w:w="614" w:type="pct"/>
            <w:shd w:val="clear" w:color="auto" w:fill="auto"/>
            <w:vAlign w:val="center"/>
          </w:tcPr>
          <w:p w:rsidR="00080206" w:rsidRDefault="00080206" w:rsidP="00573CCE">
            <w:pPr>
              <w:pStyle w:val="Tabletext"/>
              <w:jc w:val="right"/>
            </w:pPr>
            <w:r>
              <w:t>0</w:t>
            </w:r>
          </w:p>
        </w:tc>
        <w:tc>
          <w:tcPr>
            <w:tcW w:w="739" w:type="pct"/>
            <w:shd w:val="clear" w:color="auto" w:fill="auto"/>
            <w:vAlign w:val="center"/>
          </w:tcPr>
          <w:p w:rsidR="00080206" w:rsidRDefault="00080206" w:rsidP="00573CCE">
            <w:pPr>
              <w:pStyle w:val="Tabletext"/>
              <w:jc w:val="right"/>
            </w:pPr>
            <w:r>
              <w:t>1</w:t>
            </w:r>
          </w:p>
        </w:tc>
        <w:tc>
          <w:tcPr>
            <w:tcW w:w="986" w:type="pct"/>
            <w:shd w:val="clear" w:color="auto" w:fill="auto"/>
            <w:vAlign w:val="center"/>
          </w:tcPr>
          <w:p w:rsidR="00080206" w:rsidRDefault="00080206" w:rsidP="00573CCE">
            <w:pPr>
              <w:pStyle w:val="Tabletext"/>
              <w:jc w:val="right"/>
            </w:pPr>
            <w:r>
              <w:t>1</w:t>
            </w:r>
          </w:p>
        </w:tc>
        <w:tc>
          <w:tcPr>
            <w:tcW w:w="1450" w:type="pct"/>
            <w:shd w:val="clear" w:color="auto" w:fill="auto"/>
            <w:vAlign w:val="bottom"/>
          </w:tcPr>
          <w:p w:rsidR="00080206" w:rsidRDefault="00080206" w:rsidP="00573CCE">
            <w:pPr>
              <w:pStyle w:val="Tabletext"/>
              <w:jc w:val="right"/>
            </w:pPr>
            <w:r>
              <w:t>0</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Germany</w:t>
            </w:r>
          </w:p>
        </w:tc>
        <w:tc>
          <w:tcPr>
            <w:tcW w:w="614" w:type="pct"/>
            <w:shd w:val="clear" w:color="auto" w:fill="auto"/>
            <w:vAlign w:val="center"/>
          </w:tcPr>
          <w:p w:rsidR="00080206" w:rsidRDefault="00080206" w:rsidP="00573CCE">
            <w:pPr>
              <w:pStyle w:val="Tabletext"/>
              <w:jc w:val="right"/>
            </w:pPr>
            <w:r>
              <w:t>676</w:t>
            </w:r>
          </w:p>
        </w:tc>
        <w:tc>
          <w:tcPr>
            <w:tcW w:w="739" w:type="pct"/>
            <w:shd w:val="clear" w:color="auto" w:fill="auto"/>
            <w:vAlign w:val="center"/>
          </w:tcPr>
          <w:p w:rsidR="00080206" w:rsidRDefault="00080206" w:rsidP="00573CCE">
            <w:pPr>
              <w:pStyle w:val="Tabletext"/>
              <w:jc w:val="right"/>
            </w:pPr>
            <w:r>
              <w:t>937</w:t>
            </w:r>
          </w:p>
        </w:tc>
        <w:tc>
          <w:tcPr>
            <w:tcW w:w="986" w:type="pct"/>
            <w:shd w:val="clear" w:color="auto" w:fill="auto"/>
            <w:vAlign w:val="center"/>
          </w:tcPr>
          <w:p w:rsidR="00080206" w:rsidRDefault="00080206" w:rsidP="00573CCE">
            <w:pPr>
              <w:pStyle w:val="Tabletext"/>
              <w:jc w:val="right"/>
            </w:pPr>
            <w:r>
              <w:t>1,613</w:t>
            </w:r>
          </w:p>
        </w:tc>
        <w:tc>
          <w:tcPr>
            <w:tcW w:w="1450" w:type="pct"/>
            <w:shd w:val="clear" w:color="auto" w:fill="auto"/>
            <w:vAlign w:val="bottom"/>
          </w:tcPr>
          <w:p w:rsidR="00080206" w:rsidRDefault="00080206" w:rsidP="00573CCE">
            <w:pPr>
              <w:pStyle w:val="Tabletext"/>
              <w:jc w:val="right"/>
            </w:pPr>
            <w:r>
              <w:t>42</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Denmark</w:t>
            </w:r>
          </w:p>
        </w:tc>
        <w:tc>
          <w:tcPr>
            <w:tcW w:w="614" w:type="pct"/>
            <w:shd w:val="clear" w:color="auto" w:fill="auto"/>
            <w:vAlign w:val="center"/>
          </w:tcPr>
          <w:p w:rsidR="00080206" w:rsidRDefault="00080206" w:rsidP="00573CCE">
            <w:pPr>
              <w:pStyle w:val="Tabletext"/>
              <w:jc w:val="right"/>
            </w:pPr>
            <w:r>
              <w:t>1</w:t>
            </w:r>
          </w:p>
        </w:tc>
        <w:tc>
          <w:tcPr>
            <w:tcW w:w="739" w:type="pct"/>
            <w:shd w:val="clear" w:color="auto" w:fill="auto"/>
            <w:vAlign w:val="center"/>
          </w:tcPr>
          <w:p w:rsidR="00080206" w:rsidRDefault="00080206" w:rsidP="00573CCE">
            <w:pPr>
              <w:pStyle w:val="Tabletext"/>
              <w:jc w:val="right"/>
            </w:pPr>
            <w:r>
              <w:t>79</w:t>
            </w:r>
          </w:p>
        </w:tc>
        <w:tc>
          <w:tcPr>
            <w:tcW w:w="986" w:type="pct"/>
            <w:shd w:val="clear" w:color="auto" w:fill="auto"/>
            <w:vAlign w:val="center"/>
          </w:tcPr>
          <w:p w:rsidR="00080206" w:rsidRDefault="00080206" w:rsidP="00573CCE">
            <w:pPr>
              <w:pStyle w:val="Tabletext"/>
              <w:jc w:val="right"/>
            </w:pPr>
            <w:r>
              <w:t>80</w:t>
            </w:r>
          </w:p>
        </w:tc>
        <w:tc>
          <w:tcPr>
            <w:tcW w:w="1450" w:type="pct"/>
            <w:shd w:val="clear" w:color="auto" w:fill="auto"/>
            <w:vAlign w:val="bottom"/>
          </w:tcPr>
          <w:p w:rsidR="00080206" w:rsidRDefault="00080206" w:rsidP="00573CCE">
            <w:pPr>
              <w:pStyle w:val="Tabletext"/>
              <w:jc w:val="right"/>
            </w:pPr>
            <w:r>
              <w:t>1</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Spain</w:t>
            </w:r>
          </w:p>
        </w:tc>
        <w:tc>
          <w:tcPr>
            <w:tcW w:w="614" w:type="pct"/>
            <w:shd w:val="clear" w:color="auto" w:fill="auto"/>
            <w:vAlign w:val="center"/>
          </w:tcPr>
          <w:p w:rsidR="00080206" w:rsidRDefault="00080206" w:rsidP="00573CCE">
            <w:pPr>
              <w:pStyle w:val="Tabletext"/>
              <w:jc w:val="right"/>
            </w:pPr>
            <w:r>
              <w:t>0</w:t>
            </w:r>
          </w:p>
        </w:tc>
        <w:tc>
          <w:tcPr>
            <w:tcW w:w="739" w:type="pct"/>
            <w:shd w:val="clear" w:color="auto" w:fill="auto"/>
            <w:vAlign w:val="center"/>
          </w:tcPr>
          <w:p w:rsidR="00080206" w:rsidRDefault="00080206" w:rsidP="00573CCE">
            <w:pPr>
              <w:pStyle w:val="Tabletext"/>
              <w:jc w:val="right"/>
            </w:pPr>
            <w:r>
              <w:t>2</w:t>
            </w:r>
          </w:p>
        </w:tc>
        <w:tc>
          <w:tcPr>
            <w:tcW w:w="986" w:type="pct"/>
            <w:shd w:val="clear" w:color="auto" w:fill="auto"/>
            <w:vAlign w:val="center"/>
          </w:tcPr>
          <w:p w:rsidR="00080206" w:rsidRDefault="00080206" w:rsidP="00573CCE">
            <w:pPr>
              <w:pStyle w:val="Tabletext"/>
              <w:jc w:val="right"/>
            </w:pPr>
            <w:r>
              <w:t>2</w:t>
            </w:r>
          </w:p>
        </w:tc>
        <w:tc>
          <w:tcPr>
            <w:tcW w:w="1450" w:type="pct"/>
            <w:shd w:val="clear" w:color="auto" w:fill="auto"/>
            <w:vAlign w:val="bottom"/>
          </w:tcPr>
          <w:p w:rsidR="00080206" w:rsidRDefault="00080206" w:rsidP="00573CCE">
            <w:pPr>
              <w:pStyle w:val="Tabletext"/>
              <w:jc w:val="right"/>
            </w:pPr>
            <w:r>
              <w:t>0</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Finland</w:t>
            </w:r>
          </w:p>
        </w:tc>
        <w:tc>
          <w:tcPr>
            <w:tcW w:w="614" w:type="pct"/>
            <w:shd w:val="clear" w:color="auto" w:fill="auto"/>
            <w:vAlign w:val="center"/>
          </w:tcPr>
          <w:p w:rsidR="00080206" w:rsidRDefault="00080206" w:rsidP="00573CCE">
            <w:pPr>
              <w:pStyle w:val="Tabletext"/>
              <w:jc w:val="right"/>
            </w:pPr>
            <w:r>
              <w:t>0</w:t>
            </w:r>
          </w:p>
        </w:tc>
        <w:tc>
          <w:tcPr>
            <w:tcW w:w="739" w:type="pct"/>
            <w:shd w:val="clear" w:color="auto" w:fill="auto"/>
            <w:vAlign w:val="center"/>
          </w:tcPr>
          <w:p w:rsidR="00080206" w:rsidRDefault="00080206" w:rsidP="00573CCE">
            <w:pPr>
              <w:pStyle w:val="Tabletext"/>
              <w:jc w:val="right"/>
            </w:pPr>
            <w:r>
              <w:t>12</w:t>
            </w:r>
          </w:p>
        </w:tc>
        <w:tc>
          <w:tcPr>
            <w:tcW w:w="986" w:type="pct"/>
            <w:shd w:val="clear" w:color="auto" w:fill="auto"/>
            <w:vAlign w:val="center"/>
          </w:tcPr>
          <w:p w:rsidR="00080206" w:rsidRDefault="00080206" w:rsidP="00573CCE">
            <w:pPr>
              <w:pStyle w:val="Tabletext"/>
              <w:jc w:val="right"/>
            </w:pPr>
            <w:r>
              <w:t>12</w:t>
            </w:r>
          </w:p>
        </w:tc>
        <w:tc>
          <w:tcPr>
            <w:tcW w:w="1450" w:type="pct"/>
            <w:shd w:val="clear" w:color="auto" w:fill="auto"/>
            <w:vAlign w:val="bottom"/>
          </w:tcPr>
          <w:p w:rsidR="00080206" w:rsidRDefault="00080206" w:rsidP="00573CCE">
            <w:pPr>
              <w:pStyle w:val="Tabletext"/>
              <w:jc w:val="right"/>
            </w:pPr>
            <w:r>
              <w:t>0</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France</w:t>
            </w:r>
          </w:p>
        </w:tc>
        <w:tc>
          <w:tcPr>
            <w:tcW w:w="614" w:type="pct"/>
            <w:shd w:val="clear" w:color="auto" w:fill="auto"/>
            <w:vAlign w:val="center"/>
          </w:tcPr>
          <w:p w:rsidR="00080206" w:rsidRDefault="00080206" w:rsidP="00573CCE">
            <w:pPr>
              <w:pStyle w:val="Tabletext"/>
              <w:jc w:val="right"/>
            </w:pPr>
            <w:r>
              <w:t>18</w:t>
            </w:r>
          </w:p>
        </w:tc>
        <w:tc>
          <w:tcPr>
            <w:tcW w:w="739" w:type="pct"/>
            <w:shd w:val="clear" w:color="auto" w:fill="auto"/>
            <w:vAlign w:val="center"/>
          </w:tcPr>
          <w:p w:rsidR="00080206" w:rsidRDefault="00080206" w:rsidP="00573CCE">
            <w:pPr>
              <w:pStyle w:val="Tabletext"/>
              <w:jc w:val="right"/>
            </w:pPr>
            <w:r>
              <w:t>33</w:t>
            </w:r>
          </w:p>
        </w:tc>
        <w:tc>
          <w:tcPr>
            <w:tcW w:w="986" w:type="pct"/>
            <w:shd w:val="clear" w:color="auto" w:fill="auto"/>
            <w:vAlign w:val="center"/>
          </w:tcPr>
          <w:p w:rsidR="00080206" w:rsidRDefault="00080206" w:rsidP="00573CCE">
            <w:pPr>
              <w:pStyle w:val="Tabletext"/>
              <w:jc w:val="right"/>
            </w:pPr>
            <w:r>
              <w:t>51</w:t>
            </w:r>
          </w:p>
        </w:tc>
        <w:tc>
          <w:tcPr>
            <w:tcW w:w="1450" w:type="pct"/>
            <w:shd w:val="clear" w:color="auto" w:fill="auto"/>
            <w:vAlign w:val="bottom"/>
          </w:tcPr>
          <w:p w:rsidR="00080206" w:rsidRDefault="00080206" w:rsidP="00573CCE">
            <w:pPr>
              <w:pStyle w:val="Tabletext"/>
              <w:jc w:val="right"/>
            </w:pPr>
            <w:r>
              <w:t>35</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UK</w:t>
            </w:r>
          </w:p>
        </w:tc>
        <w:tc>
          <w:tcPr>
            <w:tcW w:w="614" w:type="pct"/>
            <w:shd w:val="clear" w:color="auto" w:fill="auto"/>
            <w:vAlign w:val="center"/>
          </w:tcPr>
          <w:p w:rsidR="00080206" w:rsidRDefault="00080206" w:rsidP="00573CCE">
            <w:pPr>
              <w:pStyle w:val="Tabletext"/>
              <w:jc w:val="right"/>
            </w:pPr>
            <w:r>
              <w:t>72</w:t>
            </w:r>
          </w:p>
        </w:tc>
        <w:tc>
          <w:tcPr>
            <w:tcW w:w="739" w:type="pct"/>
            <w:shd w:val="clear" w:color="auto" w:fill="auto"/>
            <w:vAlign w:val="center"/>
          </w:tcPr>
          <w:p w:rsidR="00080206" w:rsidRDefault="00080206" w:rsidP="00573CCE">
            <w:pPr>
              <w:pStyle w:val="Tabletext"/>
              <w:jc w:val="right"/>
            </w:pPr>
            <w:r>
              <w:t>37</w:t>
            </w:r>
          </w:p>
        </w:tc>
        <w:tc>
          <w:tcPr>
            <w:tcW w:w="986" w:type="pct"/>
            <w:shd w:val="clear" w:color="auto" w:fill="auto"/>
            <w:vAlign w:val="center"/>
          </w:tcPr>
          <w:p w:rsidR="00080206" w:rsidRDefault="00080206" w:rsidP="00573CCE">
            <w:pPr>
              <w:pStyle w:val="Tabletext"/>
              <w:jc w:val="right"/>
            </w:pPr>
            <w:r>
              <w:t>109</w:t>
            </w:r>
          </w:p>
        </w:tc>
        <w:tc>
          <w:tcPr>
            <w:tcW w:w="1450" w:type="pct"/>
            <w:shd w:val="clear" w:color="auto" w:fill="auto"/>
            <w:vAlign w:val="bottom"/>
          </w:tcPr>
          <w:p w:rsidR="00080206" w:rsidRDefault="00080206" w:rsidP="00573CCE">
            <w:pPr>
              <w:pStyle w:val="Tabletext"/>
              <w:jc w:val="right"/>
            </w:pPr>
            <w:r>
              <w:t>66</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Italy</w:t>
            </w:r>
          </w:p>
        </w:tc>
        <w:tc>
          <w:tcPr>
            <w:tcW w:w="614" w:type="pct"/>
            <w:shd w:val="clear" w:color="auto" w:fill="auto"/>
            <w:vAlign w:val="center"/>
          </w:tcPr>
          <w:p w:rsidR="00080206" w:rsidRDefault="00080206" w:rsidP="00573CCE">
            <w:pPr>
              <w:pStyle w:val="Tabletext"/>
              <w:jc w:val="right"/>
            </w:pPr>
            <w:r>
              <w:t>0</w:t>
            </w:r>
          </w:p>
        </w:tc>
        <w:tc>
          <w:tcPr>
            <w:tcW w:w="739" w:type="pct"/>
            <w:shd w:val="clear" w:color="auto" w:fill="auto"/>
            <w:vAlign w:val="center"/>
          </w:tcPr>
          <w:p w:rsidR="00080206" w:rsidRDefault="00080206" w:rsidP="00573CCE">
            <w:pPr>
              <w:pStyle w:val="Tabletext"/>
              <w:jc w:val="right"/>
            </w:pPr>
            <w:r>
              <w:t>2</w:t>
            </w:r>
          </w:p>
        </w:tc>
        <w:tc>
          <w:tcPr>
            <w:tcW w:w="986" w:type="pct"/>
            <w:shd w:val="clear" w:color="auto" w:fill="auto"/>
            <w:vAlign w:val="center"/>
          </w:tcPr>
          <w:p w:rsidR="00080206" w:rsidRDefault="00080206" w:rsidP="00573CCE">
            <w:pPr>
              <w:pStyle w:val="Tabletext"/>
              <w:jc w:val="right"/>
            </w:pPr>
            <w:r>
              <w:t>2</w:t>
            </w:r>
          </w:p>
        </w:tc>
        <w:tc>
          <w:tcPr>
            <w:tcW w:w="1450" w:type="pct"/>
            <w:shd w:val="clear" w:color="auto" w:fill="auto"/>
            <w:vAlign w:val="bottom"/>
          </w:tcPr>
          <w:p w:rsidR="00080206" w:rsidRDefault="00080206" w:rsidP="00573CCE">
            <w:pPr>
              <w:pStyle w:val="Tabletext"/>
              <w:jc w:val="right"/>
            </w:pPr>
            <w:r>
              <w:t>0</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Japan</w:t>
            </w:r>
          </w:p>
        </w:tc>
        <w:tc>
          <w:tcPr>
            <w:tcW w:w="614" w:type="pct"/>
            <w:shd w:val="clear" w:color="auto" w:fill="auto"/>
            <w:vAlign w:val="center"/>
          </w:tcPr>
          <w:p w:rsidR="00080206" w:rsidRDefault="00080206" w:rsidP="00573CCE">
            <w:pPr>
              <w:pStyle w:val="Tabletext"/>
              <w:jc w:val="right"/>
            </w:pPr>
            <w:r>
              <w:t>124</w:t>
            </w:r>
          </w:p>
        </w:tc>
        <w:tc>
          <w:tcPr>
            <w:tcW w:w="739" w:type="pct"/>
            <w:shd w:val="clear" w:color="auto" w:fill="auto"/>
            <w:vAlign w:val="center"/>
          </w:tcPr>
          <w:p w:rsidR="00080206" w:rsidRDefault="00080206" w:rsidP="00573CCE">
            <w:pPr>
              <w:pStyle w:val="Tabletext"/>
              <w:jc w:val="right"/>
            </w:pPr>
            <w:r>
              <w:t>636</w:t>
            </w:r>
          </w:p>
        </w:tc>
        <w:tc>
          <w:tcPr>
            <w:tcW w:w="986" w:type="pct"/>
            <w:shd w:val="clear" w:color="auto" w:fill="auto"/>
            <w:vAlign w:val="center"/>
          </w:tcPr>
          <w:p w:rsidR="00080206" w:rsidRDefault="00080206" w:rsidP="00573CCE">
            <w:pPr>
              <w:pStyle w:val="Tabletext"/>
              <w:jc w:val="right"/>
            </w:pPr>
            <w:r>
              <w:t>760</w:t>
            </w:r>
          </w:p>
        </w:tc>
        <w:tc>
          <w:tcPr>
            <w:tcW w:w="1450" w:type="pct"/>
            <w:shd w:val="clear" w:color="auto" w:fill="auto"/>
            <w:vAlign w:val="bottom"/>
          </w:tcPr>
          <w:p w:rsidR="00080206" w:rsidRDefault="00080206" w:rsidP="00573CCE">
            <w:pPr>
              <w:pStyle w:val="Tabletext"/>
              <w:jc w:val="right"/>
            </w:pPr>
            <w:r>
              <w:t>16</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Netherlands</w:t>
            </w:r>
          </w:p>
        </w:tc>
        <w:tc>
          <w:tcPr>
            <w:tcW w:w="614" w:type="pct"/>
            <w:shd w:val="clear" w:color="auto" w:fill="auto"/>
            <w:vAlign w:val="center"/>
          </w:tcPr>
          <w:p w:rsidR="00080206" w:rsidRDefault="00080206" w:rsidP="00573CCE">
            <w:pPr>
              <w:pStyle w:val="Tabletext"/>
              <w:jc w:val="right"/>
            </w:pPr>
            <w:r>
              <w:t>17</w:t>
            </w:r>
          </w:p>
        </w:tc>
        <w:tc>
          <w:tcPr>
            <w:tcW w:w="739" w:type="pct"/>
            <w:shd w:val="clear" w:color="auto" w:fill="auto"/>
            <w:vAlign w:val="center"/>
          </w:tcPr>
          <w:p w:rsidR="00080206" w:rsidRDefault="00080206" w:rsidP="00573CCE">
            <w:pPr>
              <w:pStyle w:val="Tabletext"/>
              <w:jc w:val="right"/>
            </w:pPr>
            <w:r>
              <w:t>122</w:t>
            </w:r>
          </w:p>
        </w:tc>
        <w:tc>
          <w:tcPr>
            <w:tcW w:w="986" w:type="pct"/>
            <w:shd w:val="clear" w:color="auto" w:fill="auto"/>
            <w:vAlign w:val="center"/>
          </w:tcPr>
          <w:p w:rsidR="00080206" w:rsidRDefault="00080206" w:rsidP="00573CCE">
            <w:pPr>
              <w:pStyle w:val="Tabletext"/>
              <w:jc w:val="right"/>
            </w:pPr>
            <w:r>
              <w:t>139</w:t>
            </w:r>
          </w:p>
        </w:tc>
        <w:tc>
          <w:tcPr>
            <w:tcW w:w="1450" w:type="pct"/>
            <w:shd w:val="clear" w:color="auto" w:fill="auto"/>
            <w:vAlign w:val="bottom"/>
          </w:tcPr>
          <w:p w:rsidR="00080206" w:rsidRDefault="00080206" w:rsidP="00573CCE">
            <w:pPr>
              <w:pStyle w:val="Tabletext"/>
              <w:jc w:val="right"/>
            </w:pPr>
            <w:r>
              <w:t>12</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Norway</w:t>
            </w:r>
          </w:p>
        </w:tc>
        <w:tc>
          <w:tcPr>
            <w:tcW w:w="614" w:type="pct"/>
            <w:shd w:val="clear" w:color="auto" w:fill="auto"/>
            <w:vAlign w:val="center"/>
          </w:tcPr>
          <w:p w:rsidR="00080206" w:rsidRDefault="00080206" w:rsidP="00573CCE">
            <w:pPr>
              <w:pStyle w:val="Tabletext"/>
              <w:jc w:val="right"/>
            </w:pPr>
            <w:r>
              <w:t>0</w:t>
            </w:r>
          </w:p>
        </w:tc>
        <w:tc>
          <w:tcPr>
            <w:tcW w:w="739" w:type="pct"/>
            <w:shd w:val="clear" w:color="auto" w:fill="auto"/>
            <w:vAlign w:val="center"/>
          </w:tcPr>
          <w:p w:rsidR="00080206" w:rsidRDefault="00080206" w:rsidP="00573CCE">
            <w:pPr>
              <w:pStyle w:val="Tabletext"/>
              <w:jc w:val="right"/>
            </w:pPr>
            <w:r>
              <w:t>1</w:t>
            </w:r>
          </w:p>
        </w:tc>
        <w:tc>
          <w:tcPr>
            <w:tcW w:w="986" w:type="pct"/>
            <w:shd w:val="clear" w:color="auto" w:fill="auto"/>
            <w:vAlign w:val="center"/>
          </w:tcPr>
          <w:p w:rsidR="00080206" w:rsidRDefault="00080206" w:rsidP="00573CCE">
            <w:pPr>
              <w:pStyle w:val="Tabletext"/>
              <w:jc w:val="right"/>
            </w:pPr>
            <w:r>
              <w:t>1</w:t>
            </w:r>
          </w:p>
        </w:tc>
        <w:tc>
          <w:tcPr>
            <w:tcW w:w="1450" w:type="pct"/>
            <w:shd w:val="clear" w:color="auto" w:fill="auto"/>
            <w:vAlign w:val="bottom"/>
          </w:tcPr>
          <w:p w:rsidR="00080206" w:rsidRDefault="00080206" w:rsidP="00573CCE">
            <w:pPr>
              <w:pStyle w:val="Tabletext"/>
              <w:jc w:val="right"/>
            </w:pPr>
            <w:r>
              <w:t>0</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080206" w:rsidP="00573CCE">
            <w:pPr>
              <w:pStyle w:val="Tabletext"/>
            </w:pPr>
            <w:r>
              <w:t>New Zealand</w:t>
            </w:r>
          </w:p>
        </w:tc>
        <w:tc>
          <w:tcPr>
            <w:tcW w:w="614" w:type="pct"/>
            <w:shd w:val="clear" w:color="auto" w:fill="auto"/>
            <w:vAlign w:val="center"/>
          </w:tcPr>
          <w:p w:rsidR="00080206" w:rsidRDefault="00080206" w:rsidP="00573CCE">
            <w:pPr>
              <w:pStyle w:val="Tabletext"/>
              <w:jc w:val="right"/>
            </w:pPr>
            <w:r>
              <w:t>1</w:t>
            </w:r>
          </w:p>
        </w:tc>
        <w:tc>
          <w:tcPr>
            <w:tcW w:w="739" w:type="pct"/>
            <w:shd w:val="clear" w:color="auto" w:fill="auto"/>
            <w:vAlign w:val="center"/>
          </w:tcPr>
          <w:p w:rsidR="00080206" w:rsidRDefault="00080206" w:rsidP="00573CCE">
            <w:pPr>
              <w:pStyle w:val="Tabletext"/>
              <w:jc w:val="right"/>
            </w:pPr>
            <w:r>
              <w:t>12</w:t>
            </w:r>
          </w:p>
        </w:tc>
        <w:tc>
          <w:tcPr>
            <w:tcW w:w="986" w:type="pct"/>
            <w:shd w:val="clear" w:color="auto" w:fill="auto"/>
            <w:vAlign w:val="center"/>
          </w:tcPr>
          <w:p w:rsidR="00080206" w:rsidRDefault="00080206" w:rsidP="00573CCE">
            <w:pPr>
              <w:pStyle w:val="Tabletext"/>
              <w:jc w:val="right"/>
            </w:pPr>
            <w:r>
              <w:t>13</w:t>
            </w:r>
          </w:p>
        </w:tc>
        <w:tc>
          <w:tcPr>
            <w:tcW w:w="1450" w:type="pct"/>
            <w:shd w:val="clear" w:color="auto" w:fill="auto"/>
            <w:vAlign w:val="bottom"/>
          </w:tcPr>
          <w:p w:rsidR="00080206" w:rsidRDefault="00080206" w:rsidP="00573CCE">
            <w:pPr>
              <w:pStyle w:val="Tabletext"/>
              <w:jc w:val="right"/>
            </w:pPr>
            <w:r>
              <w:t>8</w:t>
            </w:r>
          </w:p>
        </w:tc>
      </w:tr>
      <w:tr w:rsidR="00E86A6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080206" w:rsidRDefault="002516F8" w:rsidP="00573CCE">
            <w:pPr>
              <w:pStyle w:val="Tabletext"/>
            </w:pPr>
            <w:r>
              <w:t>USA</w:t>
            </w:r>
          </w:p>
        </w:tc>
        <w:tc>
          <w:tcPr>
            <w:tcW w:w="614" w:type="pct"/>
            <w:shd w:val="clear" w:color="auto" w:fill="auto"/>
            <w:vAlign w:val="center"/>
          </w:tcPr>
          <w:p w:rsidR="00080206" w:rsidRDefault="00080206" w:rsidP="00573CCE">
            <w:pPr>
              <w:pStyle w:val="Tabletext"/>
              <w:jc w:val="right"/>
            </w:pPr>
            <w:r>
              <w:t>438</w:t>
            </w:r>
          </w:p>
        </w:tc>
        <w:tc>
          <w:tcPr>
            <w:tcW w:w="739" w:type="pct"/>
            <w:shd w:val="clear" w:color="auto" w:fill="auto"/>
            <w:vAlign w:val="center"/>
          </w:tcPr>
          <w:p w:rsidR="00080206" w:rsidRDefault="00080206" w:rsidP="00573CCE">
            <w:pPr>
              <w:pStyle w:val="Tabletext"/>
              <w:jc w:val="right"/>
            </w:pPr>
            <w:r>
              <w:t>1,026</w:t>
            </w:r>
          </w:p>
        </w:tc>
        <w:tc>
          <w:tcPr>
            <w:tcW w:w="986" w:type="pct"/>
            <w:shd w:val="clear" w:color="auto" w:fill="auto"/>
            <w:vAlign w:val="center"/>
          </w:tcPr>
          <w:p w:rsidR="00080206" w:rsidRDefault="00080206" w:rsidP="00573CCE">
            <w:pPr>
              <w:pStyle w:val="Tabletext"/>
              <w:jc w:val="right"/>
            </w:pPr>
            <w:r>
              <w:t>1,464</w:t>
            </w:r>
          </w:p>
        </w:tc>
        <w:tc>
          <w:tcPr>
            <w:tcW w:w="1450" w:type="pct"/>
            <w:shd w:val="clear" w:color="auto" w:fill="auto"/>
            <w:vAlign w:val="bottom"/>
          </w:tcPr>
          <w:p w:rsidR="00080206" w:rsidRDefault="00080206" w:rsidP="00573CCE">
            <w:pPr>
              <w:pStyle w:val="Tabletext"/>
              <w:jc w:val="right"/>
            </w:pPr>
            <w:r>
              <w:t>30</w:t>
            </w:r>
          </w:p>
        </w:tc>
      </w:tr>
      <w:tr w:rsidR="00E86A68" w:rsidRPr="002F3098" w:rsidTr="00573CCE">
        <w:tblPrEx>
          <w:tblBorders>
            <w:bottom w:val="single" w:sz="4" w:space="0" w:color="646464"/>
            <w:insideH w:val="single" w:sz="4" w:space="0" w:color="646464"/>
          </w:tblBorders>
        </w:tblPrEx>
        <w:trPr>
          <w:gridBefore w:val="1"/>
          <w:wBefore w:w="264" w:type="pct"/>
          <w:cantSplit/>
        </w:trPr>
        <w:tc>
          <w:tcPr>
            <w:tcW w:w="947" w:type="pct"/>
            <w:shd w:val="clear" w:color="auto" w:fill="auto"/>
            <w:vAlign w:val="center"/>
          </w:tcPr>
          <w:p w:rsidR="00080206" w:rsidRPr="002F3098" w:rsidRDefault="00080206" w:rsidP="00573CCE">
            <w:pPr>
              <w:pStyle w:val="Tabletext"/>
              <w:rPr>
                <w:b/>
              </w:rPr>
            </w:pPr>
            <w:r w:rsidRPr="002F3098">
              <w:rPr>
                <w:b/>
              </w:rPr>
              <w:t>Total</w:t>
            </w:r>
          </w:p>
        </w:tc>
        <w:tc>
          <w:tcPr>
            <w:tcW w:w="614" w:type="pct"/>
            <w:shd w:val="clear" w:color="auto" w:fill="auto"/>
            <w:vAlign w:val="center"/>
          </w:tcPr>
          <w:p w:rsidR="00080206" w:rsidRPr="002F3098" w:rsidRDefault="00080206" w:rsidP="00573CCE">
            <w:pPr>
              <w:pStyle w:val="Tabletext"/>
              <w:jc w:val="right"/>
              <w:rPr>
                <w:b/>
              </w:rPr>
            </w:pPr>
            <w:r w:rsidRPr="002F3098">
              <w:rPr>
                <w:b/>
              </w:rPr>
              <w:t>1,594</w:t>
            </w:r>
          </w:p>
        </w:tc>
        <w:tc>
          <w:tcPr>
            <w:tcW w:w="739" w:type="pct"/>
            <w:shd w:val="clear" w:color="auto" w:fill="auto"/>
            <w:vAlign w:val="center"/>
          </w:tcPr>
          <w:p w:rsidR="00080206" w:rsidRPr="002F3098" w:rsidRDefault="00080206" w:rsidP="00573CCE">
            <w:pPr>
              <w:pStyle w:val="Tabletext"/>
              <w:jc w:val="right"/>
              <w:rPr>
                <w:b/>
              </w:rPr>
            </w:pPr>
            <w:r w:rsidRPr="002F3098">
              <w:rPr>
                <w:b/>
              </w:rPr>
              <w:t>3,117</w:t>
            </w:r>
          </w:p>
        </w:tc>
        <w:tc>
          <w:tcPr>
            <w:tcW w:w="986" w:type="pct"/>
            <w:shd w:val="clear" w:color="auto" w:fill="auto"/>
            <w:vAlign w:val="center"/>
          </w:tcPr>
          <w:p w:rsidR="00080206" w:rsidRPr="002F3098" w:rsidRDefault="00080206" w:rsidP="00573CCE">
            <w:pPr>
              <w:pStyle w:val="Tabletext"/>
              <w:jc w:val="right"/>
              <w:rPr>
                <w:b/>
              </w:rPr>
            </w:pPr>
            <w:r w:rsidRPr="002F3098">
              <w:rPr>
                <w:b/>
              </w:rPr>
              <w:t>4,711</w:t>
            </w:r>
          </w:p>
        </w:tc>
        <w:tc>
          <w:tcPr>
            <w:tcW w:w="1450" w:type="pct"/>
            <w:shd w:val="clear" w:color="auto" w:fill="auto"/>
            <w:vAlign w:val="bottom"/>
          </w:tcPr>
          <w:p w:rsidR="00080206" w:rsidRPr="002F3098" w:rsidRDefault="00080206" w:rsidP="00573CCE">
            <w:pPr>
              <w:pStyle w:val="Tabletext"/>
              <w:jc w:val="right"/>
              <w:rPr>
                <w:b/>
              </w:rPr>
            </w:pPr>
            <w:r w:rsidRPr="002F3098">
              <w:rPr>
                <w:b/>
              </w:rPr>
              <w:t>34</w:t>
            </w:r>
          </w:p>
        </w:tc>
      </w:tr>
      <w:tr w:rsidR="00E86A68" w:rsidTr="00573CCE">
        <w:tblPrEx>
          <w:tblBorders>
            <w:bottom w:val="single" w:sz="4" w:space="0" w:color="646464"/>
            <w:insideH w:val="single" w:sz="4" w:space="0" w:color="646464"/>
          </w:tblBorders>
        </w:tblPrEx>
        <w:trPr>
          <w:gridBefore w:val="1"/>
          <w:wBefore w:w="264" w:type="pct"/>
          <w:cantSplit/>
        </w:trPr>
        <w:tc>
          <w:tcPr>
            <w:tcW w:w="4736" w:type="pct"/>
            <w:gridSpan w:val="5"/>
            <w:tcBorders>
              <w:bottom w:val="single" w:sz="4" w:space="0" w:color="646464"/>
            </w:tcBorders>
            <w:shd w:val="clear" w:color="auto" w:fill="auto"/>
          </w:tcPr>
          <w:p w:rsidR="00080206" w:rsidRDefault="00080206" w:rsidP="00F064FB">
            <w:pPr>
              <w:pStyle w:val="Source"/>
            </w:pPr>
            <w:r>
              <w:t xml:space="preserve">Source: </w:t>
            </w:r>
            <w:r w:rsidR="00F064FB">
              <w:t xml:space="preserve">Webster, E, </w:t>
            </w:r>
            <w:r>
              <w:t>Personal communication Based on IP Australia</w:t>
            </w:r>
            <w:r w:rsidR="00190A62">
              <w:t xml:space="preserve"> data</w:t>
            </w:r>
          </w:p>
        </w:tc>
      </w:tr>
      <w:tr w:rsidR="00E86A68" w:rsidTr="00573CCE">
        <w:tblPrEx>
          <w:tblBorders>
            <w:bottom w:val="single" w:sz="4" w:space="0" w:color="646464"/>
            <w:insideH w:val="single" w:sz="4" w:space="0" w:color="646464"/>
          </w:tblBorders>
        </w:tblPrEx>
        <w:trPr>
          <w:gridBefore w:val="1"/>
          <w:wBefore w:w="264" w:type="pct"/>
          <w:cantSplit/>
          <w:trHeight w:hRule="exact" w:val="120"/>
        </w:trPr>
        <w:tc>
          <w:tcPr>
            <w:tcW w:w="4736" w:type="pct"/>
            <w:gridSpan w:val="5"/>
            <w:tcBorders>
              <w:top w:val="single" w:sz="4" w:space="0" w:color="646464"/>
              <w:bottom w:val="nil"/>
            </w:tcBorders>
            <w:shd w:val="clear" w:color="auto" w:fill="auto"/>
          </w:tcPr>
          <w:p w:rsidR="00080206" w:rsidRDefault="00080206" w:rsidP="00573CCE">
            <w:pPr>
              <w:pStyle w:val="spacertbl"/>
            </w:pPr>
          </w:p>
        </w:tc>
      </w:tr>
    </w:tbl>
    <w:bookmarkEnd w:id="37"/>
    <w:p w:rsidR="00685B43" w:rsidRDefault="00685B43" w:rsidP="00685B43">
      <w:pPr>
        <w:pStyle w:val="BodyText"/>
        <w:rPr>
          <w:lang w:val="en-US"/>
        </w:rPr>
      </w:pPr>
      <w:r>
        <w:rPr>
          <w:lang w:val="en-US"/>
        </w:rPr>
        <w:t xml:space="preserve">As the generic product share of agvet markets grows, companies are gaining </w:t>
      </w:r>
      <w:r w:rsidR="00F66D62">
        <w:rPr>
          <w:lang w:val="en-US"/>
        </w:rPr>
        <w:t xml:space="preserve">a </w:t>
      </w:r>
      <w:r>
        <w:rPr>
          <w:lang w:val="en-US"/>
        </w:rPr>
        <w:t>comparative advantage by introducing new formulations or mixtures of already patent</w:t>
      </w:r>
      <w:r w:rsidR="004A62B0">
        <w:rPr>
          <w:lang w:val="en-US"/>
        </w:rPr>
        <w:t>ed</w:t>
      </w:r>
      <w:r>
        <w:rPr>
          <w:lang w:val="en-US"/>
        </w:rPr>
        <w:t xml:space="preserve"> active ingredient</w:t>
      </w:r>
      <w:r w:rsidR="00F66D62">
        <w:rPr>
          <w:lang w:val="en-US"/>
        </w:rPr>
        <w:t>s</w:t>
      </w:r>
      <w:r>
        <w:rPr>
          <w:lang w:val="en-US"/>
        </w:rPr>
        <w:t xml:space="preserve">, in particular when a chemical ingredient is at the end of its patent life. This product differentiation strategy appears common amongst </w:t>
      </w:r>
      <w:r w:rsidR="00F064FB">
        <w:rPr>
          <w:lang w:val="en-US"/>
        </w:rPr>
        <w:t xml:space="preserve">both </w:t>
      </w:r>
      <w:r>
        <w:rPr>
          <w:lang w:val="en-US"/>
        </w:rPr>
        <w:t>primary registrants and generic manufacturers.</w:t>
      </w:r>
    </w:p>
    <w:p w:rsidR="009B3A73" w:rsidRDefault="009B3A73" w:rsidP="009B3A73">
      <w:pPr>
        <w:pStyle w:val="Caption"/>
        <w:spacing w:before="160"/>
        <w:rPr>
          <w:lang w:val="en-US"/>
        </w:rPr>
      </w:pPr>
      <w:bookmarkStart w:id="45" w:name="_Ref483923218"/>
      <w:bookmarkStart w:id="46" w:name="_Ref488152395"/>
      <w:bookmarkStart w:id="47" w:name="_Toc497132803"/>
      <w:r w:rsidRPr="009B3A73">
        <w:rPr>
          <w:rStyle w:val="CaptionLabel"/>
          <w:lang w:val="en-US"/>
        </w:rPr>
        <w:t>Table </w:t>
      </w:r>
      <w:r w:rsidR="004B55F4">
        <w:rPr>
          <w:rStyle w:val="CaptionLabel"/>
          <w:lang w:val="en-US"/>
        </w:rPr>
        <w:fldChar w:fldCharType="begin"/>
      </w:r>
      <w:r w:rsidR="004B55F4">
        <w:rPr>
          <w:rStyle w:val="CaptionLabel"/>
          <w:lang w:val="en-US"/>
        </w:rPr>
        <w:instrText xml:space="preserve"> STYLEREF 1 \s </w:instrText>
      </w:r>
      <w:r w:rsidR="004B55F4">
        <w:rPr>
          <w:rStyle w:val="CaptionLabel"/>
          <w:lang w:val="en-US"/>
        </w:rPr>
        <w:fldChar w:fldCharType="separate"/>
      </w:r>
      <w:r w:rsidR="001977DE">
        <w:rPr>
          <w:rStyle w:val="CaptionLabel"/>
          <w:noProof/>
          <w:lang w:val="en-US"/>
        </w:rPr>
        <w:t>2</w:t>
      </w:r>
      <w:r w:rsidR="004B55F4">
        <w:rPr>
          <w:rStyle w:val="CaptionLabel"/>
          <w:lang w:val="en-US"/>
        </w:rPr>
        <w:fldChar w:fldCharType="end"/>
      </w:r>
      <w:r w:rsidR="004B55F4">
        <w:rPr>
          <w:rStyle w:val="CaptionLabel"/>
          <w:lang w:val="en-US"/>
        </w:rPr>
        <w:t>.</w:t>
      </w:r>
      <w:r w:rsidR="004B55F4">
        <w:rPr>
          <w:rStyle w:val="CaptionLabel"/>
          <w:lang w:val="en-US"/>
        </w:rPr>
        <w:fldChar w:fldCharType="begin"/>
      </w:r>
      <w:r w:rsidR="004B55F4">
        <w:rPr>
          <w:rStyle w:val="CaptionLabel"/>
          <w:lang w:val="en-US"/>
        </w:rPr>
        <w:instrText xml:space="preserve"> SEQ Table \* ARABIC \s 1 </w:instrText>
      </w:r>
      <w:r w:rsidR="004B55F4">
        <w:rPr>
          <w:rStyle w:val="CaptionLabel"/>
          <w:lang w:val="en-US"/>
        </w:rPr>
        <w:fldChar w:fldCharType="separate"/>
      </w:r>
      <w:r w:rsidR="001977DE">
        <w:rPr>
          <w:rStyle w:val="CaptionLabel"/>
          <w:noProof/>
          <w:lang w:val="en-US"/>
        </w:rPr>
        <w:t>4</w:t>
      </w:r>
      <w:r w:rsidR="004B55F4">
        <w:rPr>
          <w:rStyle w:val="CaptionLabel"/>
          <w:lang w:val="en-US"/>
        </w:rPr>
        <w:fldChar w:fldCharType="end"/>
      </w:r>
      <w:bookmarkEnd w:id="45"/>
      <w:r w:rsidRPr="009B3A73">
        <w:rPr>
          <w:lang w:val="en-US"/>
        </w:rPr>
        <w:tab/>
      </w:r>
      <w:r w:rsidR="005212CF">
        <w:rPr>
          <w:lang w:val="en-US"/>
        </w:rPr>
        <w:t xml:space="preserve">Number of registered </w:t>
      </w:r>
      <w:r>
        <w:rPr>
          <w:lang w:val="en-US"/>
        </w:rPr>
        <w:t xml:space="preserve">generic </w:t>
      </w:r>
      <w:r w:rsidR="00F66D62">
        <w:rPr>
          <w:lang w:val="en-US"/>
        </w:rPr>
        <w:t>plan</w:t>
      </w:r>
      <w:r w:rsidR="00B2311D">
        <w:rPr>
          <w:lang w:val="en-US"/>
        </w:rPr>
        <w:t>T</w:t>
      </w:r>
      <w:r w:rsidR="00F66D62">
        <w:rPr>
          <w:lang w:val="en-US"/>
        </w:rPr>
        <w:t xml:space="preserve"> protection</w:t>
      </w:r>
      <w:r>
        <w:rPr>
          <w:lang w:val="en-US"/>
        </w:rPr>
        <w:t xml:space="preserve"> products</w:t>
      </w:r>
      <w:r w:rsidR="005D6F2B">
        <w:rPr>
          <w:lang w:val="en-US"/>
        </w:rPr>
        <w:t xml:space="preserve"> in Australia</w:t>
      </w:r>
      <w:r w:rsidR="00143318">
        <w:rPr>
          <w:lang w:val="en-US"/>
        </w:rPr>
        <w:t>, 2004, 2012, 2017</w:t>
      </w:r>
      <w:bookmarkEnd w:id="46"/>
      <w:bookmarkEnd w:id="47"/>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577"/>
        <w:gridCol w:w="3082"/>
        <w:gridCol w:w="1654"/>
        <w:gridCol w:w="1654"/>
        <w:gridCol w:w="1655"/>
      </w:tblGrid>
      <w:tr w:rsidR="00E86A68" w:rsidTr="00080206">
        <w:trPr>
          <w:cantSplit/>
          <w:tblHeader/>
        </w:trPr>
        <w:tc>
          <w:tcPr>
            <w:tcW w:w="2122" w:type="pct"/>
            <w:gridSpan w:val="2"/>
            <w:shd w:val="clear" w:color="auto" w:fill="9D57A6"/>
            <w:tcMar>
              <w:left w:w="454" w:type="dxa"/>
              <w:bottom w:w="0" w:type="dxa"/>
            </w:tcMar>
          </w:tcPr>
          <w:p w:rsidR="009B3A73" w:rsidRDefault="009B3A73" w:rsidP="00F064FB">
            <w:pPr>
              <w:pStyle w:val="Tablecolumnheadings"/>
              <w:rPr>
                <w:lang w:val="en-US"/>
              </w:rPr>
            </w:pPr>
            <w:r>
              <w:rPr>
                <w:lang w:val="en-US"/>
              </w:rPr>
              <w:t>Active ingredient</w:t>
            </w:r>
          </w:p>
        </w:tc>
        <w:tc>
          <w:tcPr>
            <w:tcW w:w="959" w:type="pct"/>
            <w:shd w:val="clear" w:color="auto" w:fill="9D57A6"/>
            <w:tcMar>
              <w:bottom w:w="0" w:type="dxa"/>
            </w:tcMar>
          </w:tcPr>
          <w:p w:rsidR="009B3A73" w:rsidRDefault="009B3A73" w:rsidP="00431D32">
            <w:pPr>
              <w:pStyle w:val="Tablecolumnheadings"/>
              <w:jc w:val="right"/>
              <w:rPr>
                <w:lang w:val="en-US"/>
              </w:rPr>
            </w:pPr>
            <w:r>
              <w:rPr>
                <w:lang w:val="en-US"/>
              </w:rPr>
              <w:t>2017</w:t>
            </w:r>
          </w:p>
        </w:tc>
        <w:tc>
          <w:tcPr>
            <w:tcW w:w="959" w:type="pct"/>
            <w:shd w:val="clear" w:color="auto" w:fill="9D57A6"/>
            <w:tcMar>
              <w:bottom w:w="0" w:type="dxa"/>
            </w:tcMar>
          </w:tcPr>
          <w:p w:rsidR="009B3A73" w:rsidRDefault="009B3A73" w:rsidP="00431D32">
            <w:pPr>
              <w:pStyle w:val="Tablecolumnheadings"/>
              <w:jc w:val="right"/>
              <w:rPr>
                <w:lang w:val="en-US"/>
              </w:rPr>
            </w:pPr>
            <w:r>
              <w:rPr>
                <w:lang w:val="en-US"/>
              </w:rPr>
              <w:t>2012</w:t>
            </w:r>
          </w:p>
        </w:tc>
        <w:tc>
          <w:tcPr>
            <w:tcW w:w="960" w:type="pct"/>
            <w:shd w:val="clear" w:color="auto" w:fill="9D57A6"/>
            <w:tcMar>
              <w:bottom w:w="0" w:type="dxa"/>
            </w:tcMar>
          </w:tcPr>
          <w:p w:rsidR="009B3A73" w:rsidRDefault="009B3A73" w:rsidP="00431D32">
            <w:pPr>
              <w:pStyle w:val="Tablecolumnheadings"/>
              <w:jc w:val="right"/>
              <w:rPr>
                <w:lang w:val="en-US"/>
              </w:rPr>
            </w:pPr>
            <w:r>
              <w:rPr>
                <w:lang w:val="en-US"/>
              </w:rPr>
              <w:t>2004</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tcBorders>
              <w:top w:val="nil"/>
            </w:tcBorders>
            <w:shd w:val="clear" w:color="auto" w:fill="DDDDDD"/>
            <w:vAlign w:val="center"/>
          </w:tcPr>
          <w:p w:rsidR="00EC72C7" w:rsidRPr="00431D32" w:rsidRDefault="00431D32" w:rsidP="00276555">
            <w:pPr>
              <w:pStyle w:val="Tabletext"/>
              <w:rPr>
                <w:lang w:val="en-US"/>
              </w:rPr>
            </w:pPr>
            <w:r>
              <w:rPr>
                <w:lang w:val="en-US"/>
              </w:rPr>
              <w:t>Herbicides</w:t>
            </w:r>
          </w:p>
        </w:tc>
        <w:tc>
          <w:tcPr>
            <w:tcW w:w="959" w:type="pct"/>
            <w:tcBorders>
              <w:top w:val="nil"/>
            </w:tcBorders>
            <w:shd w:val="clear" w:color="auto" w:fill="DDDDDD"/>
            <w:vAlign w:val="center"/>
          </w:tcPr>
          <w:p w:rsidR="00EC72C7" w:rsidRPr="00431D32" w:rsidRDefault="00EC72C7" w:rsidP="00276555">
            <w:pPr>
              <w:pStyle w:val="Tabletext"/>
              <w:rPr>
                <w:lang w:val="en-US"/>
              </w:rPr>
            </w:pPr>
          </w:p>
        </w:tc>
        <w:tc>
          <w:tcPr>
            <w:tcW w:w="959" w:type="pct"/>
            <w:tcBorders>
              <w:top w:val="nil"/>
            </w:tcBorders>
            <w:shd w:val="clear" w:color="auto" w:fill="DDDDDD"/>
            <w:vAlign w:val="center"/>
          </w:tcPr>
          <w:p w:rsidR="00EC72C7" w:rsidRPr="00431D32" w:rsidRDefault="00EC72C7" w:rsidP="00276555">
            <w:pPr>
              <w:pStyle w:val="Tabletext"/>
              <w:rPr>
                <w:lang w:val="en-US"/>
              </w:rPr>
            </w:pPr>
          </w:p>
        </w:tc>
        <w:tc>
          <w:tcPr>
            <w:tcW w:w="960" w:type="pct"/>
            <w:tcBorders>
              <w:top w:val="nil"/>
            </w:tcBorders>
            <w:shd w:val="clear" w:color="auto" w:fill="DDDDDD"/>
            <w:vAlign w:val="center"/>
          </w:tcPr>
          <w:p w:rsidR="00EC72C7" w:rsidRPr="00431D32" w:rsidRDefault="00EC72C7" w:rsidP="00276555">
            <w:pPr>
              <w:pStyle w:val="Tabletext"/>
              <w:rPr>
                <w:lang w:val="en-US"/>
              </w:rPr>
            </w:pP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tcBorders>
              <w:top w:val="nil"/>
            </w:tcBorders>
            <w:shd w:val="clear" w:color="auto" w:fill="auto"/>
            <w:vAlign w:val="center"/>
          </w:tcPr>
          <w:p w:rsidR="00431D32" w:rsidRPr="00431D32" w:rsidRDefault="00431D32" w:rsidP="00276555">
            <w:pPr>
              <w:pStyle w:val="Tabletext"/>
            </w:pPr>
            <w:r w:rsidRPr="00431D32">
              <w:t>glyphosate</w:t>
            </w:r>
          </w:p>
        </w:tc>
        <w:tc>
          <w:tcPr>
            <w:tcW w:w="959" w:type="pct"/>
            <w:tcBorders>
              <w:top w:val="nil"/>
            </w:tcBorders>
            <w:shd w:val="clear" w:color="auto" w:fill="auto"/>
            <w:vAlign w:val="center"/>
          </w:tcPr>
          <w:p w:rsidR="00431D32" w:rsidRPr="00431D32" w:rsidRDefault="00431D32" w:rsidP="00EB47C2">
            <w:pPr>
              <w:pStyle w:val="Tabletext"/>
              <w:jc w:val="right"/>
            </w:pPr>
            <w:r w:rsidRPr="00431D32">
              <w:t>545</w:t>
            </w:r>
          </w:p>
        </w:tc>
        <w:tc>
          <w:tcPr>
            <w:tcW w:w="959" w:type="pct"/>
            <w:tcBorders>
              <w:top w:val="nil"/>
            </w:tcBorders>
            <w:shd w:val="clear" w:color="auto" w:fill="auto"/>
            <w:vAlign w:val="center"/>
          </w:tcPr>
          <w:p w:rsidR="00431D32" w:rsidRPr="00431D32" w:rsidRDefault="00431D32" w:rsidP="00EB47C2">
            <w:pPr>
              <w:pStyle w:val="Tabletext"/>
              <w:jc w:val="right"/>
            </w:pPr>
            <w:r w:rsidRPr="00431D32">
              <w:t>305</w:t>
            </w:r>
          </w:p>
        </w:tc>
        <w:tc>
          <w:tcPr>
            <w:tcW w:w="960" w:type="pct"/>
            <w:tcBorders>
              <w:top w:val="nil"/>
            </w:tcBorders>
            <w:shd w:val="clear" w:color="auto" w:fill="auto"/>
            <w:vAlign w:val="center"/>
          </w:tcPr>
          <w:p w:rsidR="00431D32" w:rsidRPr="00431D32" w:rsidRDefault="00431D32" w:rsidP="00EB47C2">
            <w:pPr>
              <w:pStyle w:val="Tabletext"/>
              <w:jc w:val="right"/>
            </w:pPr>
            <w:r w:rsidRPr="00431D32">
              <w:t>131</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paraquat</w:t>
            </w:r>
          </w:p>
        </w:tc>
        <w:tc>
          <w:tcPr>
            <w:tcW w:w="959" w:type="pct"/>
            <w:shd w:val="clear" w:color="auto" w:fill="auto"/>
            <w:vAlign w:val="center"/>
          </w:tcPr>
          <w:p w:rsidR="00EC72C7" w:rsidRPr="00431D32" w:rsidRDefault="00EC72C7" w:rsidP="00EB47C2">
            <w:pPr>
              <w:pStyle w:val="Tabletext"/>
              <w:jc w:val="right"/>
              <w:rPr>
                <w:lang w:val="en-US"/>
              </w:rPr>
            </w:pPr>
            <w:r w:rsidRPr="00431D32">
              <w:t>124</w:t>
            </w:r>
          </w:p>
        </w:tc>
        <w:tc>
          <w:tcPr>
            <w:tcW w:w="959" w:type="pct"/>
            <w:shd w:val="clear" w:color="auto" w:fill="auto"/>
            <w:vAlign w:val="center"/>
          </w:tcPr>
          <w:p w:rsidR="00EC72C7" w:rsidRPr="00431D32" w:rsidRDefault="00EC72C7" w:rsidP="00EB47C2">
            <w:pPr>
              <w:pStyle w:val="Tabletext"/>
              <w:jc w:val="right"/>
              <w:rPr>
                <w:lang w:val="en-US"/>
              </w:rPr>
            </w:pPr>
            <w:r w:rsidRPr="00431D32">
              <w:t>50</w:t>
            </w:r>
          </w:p>
        </w:tc>
        <w:tc>
          <w:tcPr>
            <w:tcW w:w="960" w:type="pct"/>
            <w:shd w:val="clear" w:color="auto" w:fill="auto"/>
            <w:vAlign w:val="center"/>
          </w:tcPr>
          <w:p w:rsidR="00EC72C7" w:rsidRPr="00431D32" w:rsidRDefault="00EC72C7" w:rsidP="00EB47C2">
            <w:pPr>
              <w:pStyle w:val="Tabletext"/>
              <w:jc w:val="right"/>
              <w:rPr>
                <w:lang w:val="en-US"/>
              </w:rPr>
            </w:pPr>
            <w:r w:rsidRPr="00431D32">
              <w:t>17</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quizalofop-P-ethyl</w:t>
            </w:r>
          </w:p>
        </w:tc>
        <w:tc>
          <w:tcPr>
            <w:tcW w:w="959" w:type="pct"/>
            <w:shd w:val="clear" w:color="auto" w:fill="auto"/>
            <w:vAlign w:val="center"/>
          </w:tcPr>
          <w:p w:rsidR="00EC72C7" w:rsidRPr="00431D32" w:rsidRDefault="00EC72C7" w:rsidP="00EB47C2">
            <w:pPr>
              <w:pStyle w:val="Tabletext"/>
              <w:jc w:val="right"/>
              <w:rPr>
                <w:lang w:val="en-US"/>
              </w:rPr>
            </w:pPr>
            <w:r w:rsidRPr="00431D32">
              <w:t>46</w:t>
            </w:r>
          </w:p>
        </w:tc>
        <w:tc>
          <w:tcPr>
            <w:tcW w:w="959" w:type="pct"/>
            <w:shd w:val="clear" w:color="auto" w:fill="auto"/>
            <w:vAlign w:val="center"/>
          </w:tcPr>
          <w:p w:rsidR="00EC72C7" w:rsidRPr="00431D32" w:rsidRDefault="00EC72C7" w:rsidP="00EB47C2">
            <w:pPr>
              <w:pStyle w:val="Tabletext"/>
              <w:jc w:val="right"/>
              <w:rPr>
                <w:lang w:val="en-US"/>
              </w:rPr>
            </w:pPr>
            <w:r w:rsidRPr="00431D32">
              <w:t>27</w:t>
            </w:r>
          </w:p>
        </w:tc>
        <w:tc>
          <w:tcPr>
            <w:tcW w:w="960" w:type="pct"/>
            <w:shd w:val="clear" w:color="auto" w:fill="auto"/>
            <w:vAlign w:val="center"/>
          </w:tcPr>
          <w:p w:rsidR="00EC72C7" w:rsidRPr="00431D32" w:rsidRDefault="00EC72C7" w:rsidP="00EB47C2">
            <w:pPr>
              <w:pStyle w:val="Tabletext"/>
              <w:jc w:val="right"/>
              <w:rPr>
                <w:lang w:val="en-US"/>
              </w:rPr>
            </w:pPr>
            <w:r w:rsidRPr="00431D32">
              <w:t>10</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triasulfuron</w:t>
            </w:r>
          </w:p>
        </w:tc>
        <w:tc>
          <w:tcPr>
            <w:tcW w:w="959" w:type="pct"/>
            <w:shd w:val="clear" w:color="auto" w:fill="auto"/>
            <w:vAlign w:val="center"/>
          </w:tcPr>
          <w:p w:rsidR="00EC72C7" w:rsidRPr="00431D32" w:rsidRDefault="00EC72C7" w:rsidP="00EB47C2">
            <w:pPr>
              <w:pStyle w:val="Tabletext"/>
              <w:jc w:val="right"/>
              <w:rPr>
                <w:lang w:val="en-US"/>
              </w:rPr>
            </w:pPr>
            <w:r w:rsidRPr="00431D32">
              <w:t>41</w:t>
            </w:r>
          </w:p>
        </w:tc>
        <w:tc>
          <w:tcPr>
            <w:tcW w:w="959" w:type="pct"/>
            <w:shd w:val="clear" w:color="auto" w:fill="auto"/>
            <w:vAlign w:val="center"/>
          </w:tcPr>
          <w:p w:rsidR="00EC72C7" w:rsidRPr="00431D32" w:rsidRDefault="00EC72C7" w:rsidP="00EB47C2">
            <w:pPr>
              <w:pStyle w:val="Tabletext"/>
              <w:jc w:val="right"/>
              <w:rPr>
                <w:lang w:val="en-US"/>
              </w:rPr>
            </w:pPr>
            <w:r w:rsidRPr="00431D32">
              <w:t>33</w:t>
            </w:r>
          </w:p>
        </w:tc>
        <w:tc>
          <w:tcPr>
            <w:tcW w:w="960" w:type="pct"/>
            <w:shd w:val="clear" w:color="auto" w:fill="auto"/>
            <w:vAlign w:val="center"/>
          </w:tcPr>
          <w:p w:rsidR="00EC72C7" w:rsidRPr="00431D32" w:rsidRDefault="00EC72C7" w:rsidP="00EB47C2">
            <w:pPr>
              <w:pStyle w:val="Tabletext"/>
              <w:jc w:val="right"/>
              <w:rPr>
                <w:lang w:val="en-US"/>
              </w:rPr>
            </w:pPr>
            <w:r w:rsidRPr="00431D32">
              <w:t>22</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clodinafop</w:t>
            </w:r>
          </w:p>
        </w:tc>
        <w:tc>
          <w:tcPr>
            <w:tcW w:w="959" w:type="pct"/>
            <w:shd w:val="clear" w:color="auto" w:fill="auto"/>
            <w:vAlign w:val="center"/>
          </w:tcPr>
          <w:p w:rsidR="00EC72C7" w:rsidRPr="00431D32" w:rsidRDefault="00EC72C7" w:rsidP="00EB47C2">
            <w:pPr>
              <w:pStyle w:val="Tabletext"/>
              <w:jc w:val="right"/>
              <w:rPr>
                <w:lang w:val="en-US"/>
              </w:rPr>
            </w:pPr>
            <w:r w:rsidRPr="00431D32">
              <w:t>33</w:t>
            </w:r>
          </w:p>
        </w:tc>
        <w:tc>
          <w:tcPr>
            <w:tcW w:w="959" w:type="pct"/>
            <w:shd w:val="clear" w:color="auto" w:fill="auto"/>
            <w:vAlign w:val="center"/>
          </w:tcPr>
          <w:p w:rsidR="00EC72C7" w:rsidRPr="00431D32" w:rsidRDefault="00EC72C7" w:rsidP="00EB47C2">
            <w:pPr>
              <w:pStyle w:val="Tabletext"/>
              <w:jc w:val="right"/>
              <w:rPr>
                <w:lang w:val="en-US"/>
              </w:rPr>
            </w:pPr>
            <w:r w:rsidRPr="00431D32">
              <w:t>27</w:t>
            </w:r>
          </w:p>
        </w:tc>
        <w:tc>
          <w:tcPr>
            <w:tcW w:w="960" w:type="pct"/>
            <w:shd w:val="clear" w:color="auto" w:fill="auto"/>
            <w:vAlign w:val="center"/>
          </w:tcPr>
          <w:p w:rsidR="00EC72C7" w:rsidRPr="00431D32" w:rsidRDefault="00EC72C7" w:rsidP="00EB47C2">
            <w:pPr>
              <w:pStyle w:val="Tabletext"/>
              <w:jc w:val="right"/>
              <w:rPr>
                <w:lang w:val="en-US"/>
              </w:rPr>
            </w:pPr>
            <w:r w:rsidRPr="00431D32">
              <w:t>1</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tcBorders>
              <w:bottom w:val="single" w:sz="4" w:space="0" w:color="646464"/>
            </w:tcBorders>
            <w:shd w:val="clear" w:color="auto" w:fill="auto"/>
            <w:vAlign w:val="center"/>
          </w:tcPr>
          <w:p w:rsidR="00EC72C7" w:rsidRPr="00431D32" w:rsidRDefault="00EC72C7" w:rsidP="00276555">
            <w:pPr>
              <w:pStyle w:val="Tabletext"/>
              <w:rPr>
                <w:lang w:val="en-US"/>
              </w:rPr>
            </w:pPr>
            <w:r w:rsidRPr="00431D32">
              <w:t>propyzamide</w:t>
            </w:r>
          </w:p>
        </w:tc>
        <w:tc>
          <w:tcPr>
            <w:tcW w:w="959"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68</w:t>
            </w:r>
          </w:p>
        </w:tc>
        <w:tc>
          <w:tcPr>
            <w:tcW w:w="959"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32</w:t>
            </w:r>
          </w:p>
        </w:tc>
        <w:tc>
          <w:tcPr>
            <w:tcW w:w="960"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9</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tcBorders>
              <w:top w:val="single" w:sz="4" w:space="0" w:color="646464"/>
            </w:tcBorders>
            <w:shd w:val="clear" w:color="auto" w:fill="DDDDDD"/>
            <w:vAlign w:val="center"/>
          </w:tcPr>
          <w:p w:rsidR="00EC72C7" w:rsidRPr="00431D32" w:rsidRDefault="00EC72C7" w:rsidP="00276555">
            <w:pPr>
              <w:pStyle w:val="Tabletext"/>
              <w:rPr>
                <w:lang w:val="en-US"/>
              </w:rPr>
            </w:pPr>
            <w:r w:rsidRPr="00431D32">
              <w:t>Insecticides</w:t>
            </w:r>
          </w:p>
        </w:tc>
        <w:tc>
          <w:tcPr>
            <w:tcW w:w="959"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59"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60"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imidacloprid</w:t>
            </w:r>
          </w:p>
        </w:tc>
        <w:tc>
          <w:tcPr>
            <w:tcW w:w="959" w:type="pct"/>
            <w:shd w:val="clear" w:color="auto" w:fill="auto"/>
            <w:vAlign w:val="center"/>
          </w:tcPr>
          <w:p w:rsidR="00EC72C7" w:rsidRPr="00431D32" w:rsidRDefault="00EC72C7" w:rsidP="00EB47C2">
            <w:pPr>
              <w:pStyle w:val="Tabletext"/>
              <w:jc w:val="right"/>
              <w:rPr>
                <w:lang w:val="en-US"/>
              </w:rPr>
            </w:pPr>
            <w:r w:rsidRPr="00431D32">
              <w:t>273</w:t>
            </w:r>
          </w:p>
        </w:tc>
        <w:tc>
          <w:tcPr>
            <w:tcW w:w="959" w:type="pct"/>
            <w:shd w:val="clear" w:color="auto" w:fill="auto"/>
            <w:vAlign w:val="center"/>
          </w:tcPr>
          <w:p w:rsidR="00EC72C7" w:rsidRPr="00431D32" w:rsidRDefault="00EC72C7" w:rsidP="00EB47C2">
            <w:pPr>
              <w:pStyle w:val="Tabletext"/>
              <w:jc w:val="right"/>
              <w:rPr>
                <w:lang w:val="en-US"/>
              </w:rPr>
            </w:pPr>
            <w:r w:rsidRPr="00431D32">
              <w:t>108</w:t>
            </w:r>
          </w:p>
        </w:tc>
        <w:tc>
          <w:tcPr>
            <w:tcW w:w="960" w:type="pct"/>
            <w:shd w:val="clear" w:color="auto" w:fill="auto"/>
            <w:vAlign w:val="center"/>
          </w:tcPr>
          <w:p w:rsidR="00EC72C7" w:rsidRPr="00431D32" w:rsidRDefault="00EC72C7" w:rsidP="00EB47C2">
            <w:pPr>
              <w:pStyle w:val="Tabletext"/>
              <w:jc w:val="right"/>
              <w:rPr>
                <w:lang w:val="en-US"/>
              </w:rPr>
            </w:pPr>
            <w:r w:rsidRPr="00431D32">
              <w:t>17</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abamectin</w:t>
            </w:r>
          </w:p>
        </w:tc>
        <w:tc>
          <w:tcPr>
            <w:tcW w:w="959" w:type="pct"/>
            <w:shd w:val="clear" w:color="auto" w:fill="auto"/>
            <w:vAlign w:val="center"/>
          </w:tcPr>
          <w:p w:rsidR="00EC72C7" w:rsidRPr="00431D32" w:rsidRDefault="00EC72C7" w:rsidP="00EB47C2">
            <w:pPr>
              <w:pStyle w:val="Tabletext"/>
              <w:jc w:val="right"/>
              <w:rPr>
                <w:lang w:val="en-US"/>
              </w:rPr>
            </w:pPr>
            <w:r w:rsidRPr="00431D32">
              <w:t>177</w:t>
            </w:r>
          </w:p>
        </w:tc>
        <w:tc>
          <w:tcPr>
            <w:tcW w:w="959" w:type="pct"/>
            <w:shd w:val="clear" w:color="auto" w:fill="auto"/>
            <w:vAlign w:val="center"/>
          </w:tcPr>
          <w:p w:rsidR="00EC72C7" w:rsidRPr="00431D32" w:rsidRDefault="00EC72C7" w:rsidP="00EB47C2">
            <w:pPr>
              <w:pStyle w:val="Tabletext"/>
              <w:jc w:val="right"/>
              <w:rPr>
                <w:lang w:val="en-US"/>
              </w:rPr>
            </w:pPr>
            <w:r w:rsidRPr="00431D32">
              <w:t>31</w:t>
            </w:r>
          </w:p>
        </w:tc>
        <w:tc>
          <w:tcPr>
            <w:tcW w:w="960" w:type="pct"/>
            <w:shd w:val="clear" w:color="auto" w:fill="auto"/>
            <w:vAlign w:val="center"/>
          </w:tcPr>
          <w:p w:rsidR="00EC72C7" w:rsidRPr="00431D32" w:rsidRDefault="00EC72C7" w:rsidP="00EB47C2">
            <w:pPr>
              <w:pStyle w:val="Tabletext"/>
              <w:jc w:val="right"/>
              <w:rPr>
                <w:lang w:val="en-US"/>
              </w:rPr>
            </w:pPr>
            <w:r w:rsidRPr="00431D32">
              <w:t>15</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pirimicarb</w:t>
            </w:r>
          </w:p>
        </w:tc>
        <w:tc>
          <w:tcPr>
            <w:tcW w:w="959" w:type="pct"/>
            <w:shd w:val="clear" w:color="auto" w:fill="auto"/>
            <w:vAlign w:val="center"/>
          </w:tcPr>
          <w:p w:rsidR="00EC72C7" w:rsidRPr="00431D32" w:rsidRDefault="00EC72C7" w:rsidP="00EB47C2">
            <w:pPr>
              <w:pStyle w:val="Tabletext"/>
              <w:jc w:val="right"/>
              <w:rPr>
                <w:lang w:val="en-US"/>
              </w:rPr>
            </w:pPr>
            <w:r w:rsidRPr="00431D32">
              <w:t>30</w:t>
            </w:r>
          </w:p>
        </w:tc>
        <w:tc>
          <w:tcPr>
            <w:tcW w:w="959" w:type="pct"/>
            <w:shd w:val="clear" w:color="auto" w:fill="auto"/>
            <w:vAlign w:val="center"/>
          </w:tcPr>
          <w:p w:rsidR="00EC72C7" w:rsidRPr="00431D32" w:rsidRDefault="00EC72C7" w:rsidP="00EB47C2">
            <w:pPr>
              <w:pStyle w:val="Tabletext"/>
              <w:jc w:val="right"/>
              <w:rPr>
                <w:lang w:val="en-US"/>
              </w:rPr>
            </w:pPr>
            <w:r w:rsidRPr="00431D32">
              <w:t>11</w:t>
            </w:r>
          </w:p>
        </w:tc>
        <w:tc>
          <w:tcPr>
            <w:tcW w:w="960" w:type="pct"/>
            <w:shd w:val="clear" w:color="auto" w:fill="auto"/>
            <w:vAlign w:val="center"/>
          </w:tcPr>
          <w:p w:rsidR="00EC72C7" w:rsidRPr="00431D32" w:rsidRDefault="00EC72C7" w:rsidP="00EB47C2">
            <w:pPr>
              <w:pStyle w:val="Tabletext"/>
              <w:jc w:val="right"/>
              <w:rPr>
                <w:lang w:val="en-US"/>
              </w:rPr>
            </w:pPr>
            <w:r w:rsidRPr="00431D32">
              <w:t>3</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shd w:val="clear" w:color="auto" w:fill="auto"/>
            <w:vAlign w:val="center"/>
          </w:tcPr>
          <w:p w:rsidR="00EC72C7" w:rsidRPr="00431D32" w:rsidRDefault="00EC72C7" w:rsidP="00276555">
            <w:pPr>
              <w:pStyle w:val="Tabletext"/>
              <w:rPr>
                <w:lang w:val="en-US"/>
              </w:rPr>
            </w:pPr>
            <w:r w:rsidRPr="00431D32">
              <w:t>bifenthrin</w:t>
            </w:r>
          </w:p>
        </w:tc>
        <w:tc>
          <w:tcPr>
            <w:tcW w:w="959" w:type="pct"/>
            <w:shd w:val="clear" w:color="auto" w:fill="auto"/>
            <w:vAlign w:val="bottom"/>
          </w:tcPr>
          <w:p w:rsidR="00EC72C7" w:rsidRPr="00431D32" w:rsidRDefault="00EC72C7" w:rsidP="00EB47C2">
            <w:pPr>
              <w:pStyle w:val="Tabletext"/>
              <w:jc w:val="right"/>
              <w:rPr>
                <w:lang w:val="en-US"/>
              </w:rPr>
            </w:pPr>
            <w:r w:rsidRPr="00431D32">
              <w:t>274</w:t>
            </w:r>
          </w:p>
        </w:tc>
        <w:tc>
          <w:tcPr>
            <w:tcW w:w="959" w:type="pct"/>
            <w:shd w:val="clear" w:color="auto" w:fill="auto"/>
            <w:vAlign w:val="center"/>
          </w:tcPr>
          <w:p w:rsidR="00EC72C7" w:rsidRPr="00431D32" w:rsidRDefault="00EC72C7" w:rsidP="00EB47C2">
            <w:pPr>
              <w:pStyle w:val="Tabletext"/>
              <w:jc w:val="right"/>
              <w:rPr>
                <w:lang w:val="en-US"/>
              </w:rPr>
            </w:pPr>
            <w:r w:rsidRPr="00431D32">
              <w:t>142</w:t>
            </w:r>
          </w:p>
        </w:tc>
        <w:tc>
          <w:tcPr>
            <w:tcW w:w="960" w:type="pct"/>
            <w:shd w:val="clear" w:color="auto" w:fill="auto"/>
            <w:vAlign w:val="center"/>
          </w:tcPr>
          <w:p w:rsidR="00EC72C7" w:rsidRPr="00431D32" w:rsidRDefault="00EC72C7" w:rsidP="00EB47C2">
            <w:pPr>
              <w:pStyle w:val="Tabletext"/>
              <w:jc w:val="right"/>
              <w:rPr>
                <w:lang w:val="en-US"/>
              </w:rPr>
            </w:pPr>
            <w:r w:rsidRPr="00431D32">
              <w:t>50</w:t>
            </w:r>
          </w:p>
        </w:tc>
      </w:tr>
      <w:tr w:rsidR="00E86A68" w:rsidTr="00080206">
        <w:tblPrEx>
          <w:tblBorders>
            <w:bottom w:val="single" w:sz="4" w:space="0" w:color="646464"/>
            <w:insideH w:val="single" w:sz="4" w:space="0" w:color="646464"/>
          </w:tblBorders>
        </w:tblPrEx>
        <w:trPr>
          <w:gridBefore w:val="1"/>
          <w:wBefore w:w="335" w:type="pct"/>
          <w:cantSplit/>
          <w:trHeight w:hRule="exact" w:val="284"/>
        </w:trPr>
        <w:tc>
          <w:tcPr>
            <w:tcW w:w="1787" w:type="pct"/>
            <w:tcBorders>
              <w:bottom w:val="single" w:sz="4" w:space="0" w:color="646464"/>
            </w:tcBorders>
            <w:shd w:val="clear" w:color="auto" w:fill="auto"/>
            <w:vAlign w:val="center"/>
          </w:tcPr>
          <w:p w:rsidR="00EC72C7" w:rsidRPr="00431D32" w:rsidRDefault="00EC72C7" w:rsidP="00276555">
            <w:pPr>
              <w:pStyle w:val="Tabletext"/>
              <w:rPr>
                <w:lang w:val="en-US"/>
              </w:rPr>
            </w:pPr>
            <w:r w:rsidRPr="00431D32">
              <w:t>alpha-cypermethrin</w:t>
            </w:r>
          </w:p>
        </w:tc>
        <w:tc>
          <w:tcPr>
            <w:tcW w:w="959"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96</w:t>
            </w:r>
          </w:p>
        </w:tc>
        <w:tc>
          <w:tcPr>
            <w:tcW w:w="959"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58</w:t>
            </w:r>
          </w:p>
        </w:tc>
        <w:tc>
          <w:tcPr>
            <w:tcW w:w="960"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30</w:t>
            </w:r>
          </w:p>
        </w:tc>
      </w:tr>
    </w:tbl>
    <w:p w:rsidR="005F7823" w:rsidRDefault="005F7823"/>
    <w:p w:rsidR="005F7823" w:rsidRDefault="005F7823"/>
    <w:tbl>
      <w:tblPr>
        <w:tblW w:w="8629"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575"/>
        <w:gridCol w:w="3086"/>
        <w:gridCol w:w="1655"/>
        <w:gridCol w:w="1653"/>
        <w:gridCol w:w="1660"/>
      </w:tblGrid>
      <w:tr w:rsidR="005F7823" w:rsidTr="005F7823">
        <w:trPr>
          <w:cantSplit/>
          <w:tblHeader/>
        </w:trPr>
        <w:tc>
          <w:tcPr>
            <w:tcW w:w="2121" w:type="pct"/>
            <w:gridSpan w:val="2"/>
            <w:shd w:val="clear" w:color="auto" w:fill="9D57A6"/>
            <w:tcMar>
              <w:left w:w="454" w:type="dxa"/>
              <w:bottom w:w="0" w:type="dxa"/>
            </w:tcMar>
          </w:tcPr>
          <w:p w:rsidR="005F7823" w:rsidRDefault="005F7823" w:rsidP="0059257B">
            <w:pPr>
              <w:pStyle w:val="Tablecolumnheadings"/>
              <w:rPr>
                <w:lang w:val="en-US"/>
              </w:rPr>
            </w:pPr>
            <w:r>
              <w:rPr>
                <w:lang w:val="en-US"/>
              </w:rPr>
              <w:t>Active ingredient</w:t>
            </w:r>
          </w:p>
        </w:tc>
        <w:tc>
          <w:tcPr>
            <w:tcW w:w="959" w:type="pct"/>
            <w:shd w:val="clear" w:color="auto" w:fill="9D57A6"/>
            <w:tcMar>
              <w:bottom w:w="0" w:type="dxa"/>
            </w:tcMar>
          </w:tcPr>
          <w:p w:rsidR="005F7823" w:rsidRDefault="005F7823" w:rsidP="0059257B">
            <w:pPr>
              <w:pStyle w:val="Tablecolumnheadings"/>
              <w:jc w:val="right"/>
              <w:rPr>
                <w:lang w:val="en-US"/>
              </w:rPr>
            </w:pPr>
            <w:r>
              <w:rPr>
                <w:lang w:val="en-US"/>
              </w:rPr>
              <w:t>2017</w:t>
            </w:r>
          </w:p>
        </w:tc>
        <w:tc>
          <w:tcPr>
            <w:tcW w:w="958" w:type="pct"/>
            <w:shd w:val="clear" w:color="auto" w:fill="9D57A6"/>
            <w:tcMar>
              <w:bottom w:w="0" w:type="dxa"/>
            </w:tcMar>
          </w:tcPr>
          <w:p w:rsidR="005F7823" w:rsidRDefault="005F7823" w:rsidP="0059257B">
            <w:pPr>
              <w:pStyle w:val="Tablecolumnheadings"/>
              <w:jc w:val="right"/>
              <w:rPr>
                <w:lang w:val="en-US"/>
              </w:rPr>
            </w:pPr>
            <w:r>
              <w:rPr>
                <w:lang w:val="en-US"/>
              </w:rPr>
              <w:t>2012</w:t>
            </w:r>
          </w:p>
        </w:tc>
        <w:tc>
          <w:tcPr>
            <w:tcW w:w="962" w:type="pct"/>
            <w:shd w:val="clear" w:color="auto" w:fill="9D57A6"/>
            <w:tcMar>
              <w:bottom w:w="0" w:type="dxa"/>
            </w:tcMar>
          </w:tcPr>
          <w:p w:rsidR="005F7823" w:rsidRDefault="005F7823" w:rsidP="0059257B">
            <w:pPr>
              <w:pStyle w:val="Tablecolumnheadings"/>
              <w:jc w:val="right"/>
              <w:rPr>
                <w:lang w:val="en-US"/>
              </w:rPr>
            </w:pPr>
            <w:r>
              <w:rPr>
                <w:lang w:val="en-US"/>
              </w:rPr>
              <w:t>2004</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tcBorders>
              <w:top w:val="single" w:sz="4" w:space="0" w:color="646464"/>
            </w:tcBorders>
            <w:shd w:val="clear" w:color="auto" w:fill="DDDDDD"/>
            <w:vAlign w:val="center"/>
          </w:tcPr>
          <w:p w:rsidR="00EC72C7" w:rsidRPr="00431D32" w:rsidRDefault="00EC72C7" w:rsidP="00276555">
            <w:pPr>
              <w:pStyle w:val="Tabletext"/>
              <w:rPr>
                <w:lang w:val="en-US"/>
              </w:rPr>
            </w:pPr>
            <w:r w:rsidRPr="00431D32">
              <w:t xml:space="preserve">Fungicides </w:t>
            </w:r>
          </w:p>
        </w:tc>
        <w:tc>
          <w:tcPr>
            <w:tcW w:w="959"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58"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62"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azoxystrobin</w:t>
            </w:r>
          </w:p>
        </w:tc>
        <w:tc>
          <w:tcPr>
            <w:tcW w:w="959" w:type="pct"/>
            <w:shd w:val="clear" w:color="auto" w:fill="auto"/>
            <w:vAlign w:val="center"/>
          </w:tcPr>
          <w:p w:rsidR="00EC72C7" w:rsidRPr="00431D32" w:rsidRDefault="00EC72C7" w:rsidP="00EB47C2">
            <w:pPr>
              <w:pStyle w:val="Tabletext"/>
              <w:jc w:val="right"/>
              <w:rPr>
                <w:lang w:val="en-US"/>
              </w:rPr>
            </w:pPr>
            <w:r w:rsidRPr="00431D32">
              <w:t>70</w:t>
            </w:r>
          </w:p>
        </w:tc>
        <w:tc>
          <w:tcPr>
            <w:tcW w:w="958" w:type="pct"/>
            <w:shd w:val="clear" w:color="auto" w:fill="auto"/>
            <w:vAlign w:val="center"/>
          </w:tcPr>
          <w:p w:rsidR="00EC72C7" w:rsidRPr="00431D32" w:rsidRDefault="00EC72C7" w:rsidP="00EB47C2">
            <w:pPr>
              <w:pStyle w:val="Tabletext"/>
              <w:jc w:val="right"/>
              <w:rPr>
                <w:lang w:val="en-US"/>
              </w:rPr>
            </w:pPr>
            <w:r w:rsidRPr="00431D32">
              <w:t>12</w:t>
            </w:r>
          </w:p>
        </w:tc>
        <w:tc>
          <w:tcPr>
            <w:tcW w:w="962" w:type="pct"/>
            <w:shd w:val="clear" w:color="auto" w:fill="auto"/>
            <w:vAlign w:val="center"/>
          </w:tcPr>
          <w:p w:rsidR="00EC72C7" w:rsidRPr="00431D32" w:rsidRDefault="00EC72C7" w:rsidP="00EB47C2">
            <w:pPr>
              <w:pStyle w:val="Tabletext"/>
              <w:jc w:val="right"/>
              <w:rPr>
                <w:lang w:val="en-US"/>
              </w:rPr>
            </w:pPr>
            <w:r w:rsidRPr="00431D32">
              <w:t>3</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tebuconazole</w:t>
            </w:r>
          </w:p>
        </w:tc>
        <w:tc>
          <w:tcPr>
            <w:tcW w:w="959" w:type="pct"/>
            <w:shd w:val="clear" w:color="auto" w:fill="auto"/>
            <w:vAlign w:val="center"/>
          </w:tcPr>
          <w:p w:rsidR="00EC72C7" w:rsidRPr="00431D32" w:rsidRDefault="00EC72C7" w:rsidP="00EB47C2">
            <w:pPr>
              <w:pStyle w:val="Tabletext"/>
              <w:jc w:val="right"/>
              <w:rPr>
                <w:lang w:val="en-US"/>
              </w:rPr>
            </w:pPr>
            <w:r w:rsidRPr="00431D32">
              <w:t>117</w:t>
            </w:r>
          </w:p>
        </w:tc>
        <w:tc>
          <w:tcPr>
            <w:tcW w:w="958" w:type="pct"/>
            <w:shd w:val="clear" w:color="auto" w:fill="auto"/>
            <w:vAlign w:val="center"/>
          </w:tcPr>
          <w:p w:rsidR="00EC72C7" w:rsidRPr="00431D32" w:rsidRDefault="00EC72C7" w:rsidP="00EB47C2">
            <w:pPr>
              <w:pStyle w:val="Tabletext"/>
              <w:jc w:val="right"/>
              <w:rPr>
                <w:lang w:val="en-US"/>
              </w:rPr>
            </w:pPr>
            <w:r w:rsidRPr="00431D32">
              <w:t>38</w:t>
            </w:r>
          </w:p>
        </w:tc>
        <w:tc>
          <w:tcPr>
            <w:tcW w:w="962" w:type="pct"/>
            <w:shd w:val="clear" w:color="auto" w:fill="auto"/>
            <w:vAlign w:val="center"/>
          </w:tcPr>
          <w:p w:rsidR="00EC72C7" w:rsidRPr="00431D32" w:rsidRDefault="00EC72C7" w:rsidP="00EB47C2">
            <w:pPr>
              <w:pStyle w:val="Tabletext"/>
              <w:jc w:val="right"/>
              <w:rPr>
                <w:lang w:val="en-US"/>
              </w:rPr>
            </w:pPr>
            <w:r w:rsidRPr="00431D32">
              <w:t>7</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iprodione</w:t>
            </w:r>
          </w:p>
        </w:tc>
        <w:tc>
          <w:tcPr>
            <w:tcW w:w="959" w:type="pct"/>
            <w:shd w:val="clear" w:color="auto" w:fill="auto"/>
            <w:vAlign w:val="center"/>
          </w:tcPr>
          <w:p w:rsidR="00EC72C7" w:rsidRPr="00431D32" w:rsidRDefault="00EC72C7" w:rsidP="00EB47C2">
            <w:pPr>
              <w:pStyle w:val="Tabletext"/>
              <w:jc w:val="right"/>
              <w:rPr>
                <w:lang w:val="en-US"/>
              </w:rPr>
            </w:pPr>
            <w:r w:rsidRPr="00431D32">
              <w:t>70</w:t>
            </w:r>
          </w:p>
        </w:tc>
        <w:tc>
          <w:tcPr>
            <w:tcW w:w="958" w:type="pct"/>
            <w:shd w:val="clear" w:color="auto" w:fill="auto"/>
            <w:vAlign w:val="center"/>
          </w:tcPr>
          <w:p w:rsidR="00EC72C7" w:rsidRPr="00431D32" w:rsidRDefault="00EC72C7" w:rsidP="00EB47C2">
            <w:pPr>
              <w:pStyle w:val="Tabletext"/>
              <w:jc w:val="right"/>
              <w:rPr>
                <w:lang w:val="en-US"/>
              </w:rPr>
            </w:pPr>
            <w:r w:rsidRPr="00431D32">
              <w:t>47</w:t>
            </w:r>
          </w:p>
        </w:tc>
        <w:tc>
          <w:tcPr>
            <w:tcW w:w="962" w:type="pct"/>
            <w:shd w:val="clear" w:color="auto" w:fill="auto"/>
            <w:vAlign w:val="center"/>
          </w:tcPr>
          <w:p w:rsidR="00EC72C7" w:rsidRPr="00431D32" w:rsidRDefault="00EC72C7" w:rsidP="00EB47C2">
            <w:pPr>
              <w:pStyle w:val="Tabletext"/>
              <w:jc w:val="right"/>
              <w:rPr>
                <w:lang w:val="en-US"/>
              </w:rPr>
            </w:pPr>
            <w:r w:rsidRPr="00431D32">
              <w:t>19</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phosphorous acid</w:t>
            </w:r>
          </w:p>
        </w:tc>
        <w:tc>
          <w:tcPr>
            <w:tcW w:w="959" w:type="pct"/>
            <w:shd w:val="clear" w:color="auto" w:fill="auto"/>
            <w:vAlign w:val="center"/>
          </w:tcPr>
          <w:p w:rsidR="00EC72C7" w:rsidRPr="00431D32" w:rsidRDefault="00EC72C7" w:rsidP="00EB47C2">
            <w:pPr>
              <w:pStyle w:val="Tabletext"/>
              <w:jc w:val="right"/>
              <w:rPr>
                <w:lang w:val="en-US"/>
              </w:rPr>
            </w:pPr>
            <w:r w:rsidRPr="00431D32">
              <w:t>70</w:t>
            </w:r>
          </w:p>
        </w:tc>
        <w:tc>
          <w:tcPr>
            <w:tcW w:w="958" w:type="pct"/>
            <w:shd w:val="clear" w:color="auto" w:fill="auto"/>
            <w:vAlign w:val="center"/>
          </w:tcPr>
          <w:p w:rsidR="00EC72C7" w:rsidRPr="00431D32" w:rsidRDefault="00EC72C7" w:rsidP="00EB47C2">
            <w:pPr>
              <w:pStyle w:val="Tabletext"/>
              <w:jc w:val="right"/>
              <w:rPr>
                <w:lang w:val="en-US"/>
              </w:rPr>
            </w:pPr>
            <w:r w:rsidRPr="00431D32">
              <w:t>34</w:t>
            </w:r>
          </w:p>
        </w:tc>
        <w:tc>
          <w:tcPr>
            <w:tcW w:w="962" w:type="pct"/>
            <w:shd w:val="clear" w:color="auto" w:fill="auto"/>
            <w:vAlign w:val="center"/>
          </w:tcPr>
          <w:p w:rsidR="00EC72C7" w:rsidRPr="00431D32" w:rsidRDefault="00EC72C7" w:rsidP="00EB47C2">
            <w:pPr>
              <w:pStyle w:val="Tabletext"/>
              <w:jc w:val="right"/>
              <w:rPr>
                <w:lang w:val="en-US"/>
              </w:rPr>
            </w:pPr>
            <w:r w:rsidRPr="00431D32">
              <w:t>24</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tcBorders>
              <w:bottom w:val="single" w:sz="4" w:space="0" w:color="646464"/>
            </w:tcBorders>
            <w:shd w:val="clear" w:color="auto" w:fill="auto"/>
            <w:vAlign w:val="center"/>
          </w:tcPr>
          <w:p w:rsidR="00EC72C7" w:rsidRPr="00431D32" w:rsidRDefault="00EC72C7" w:rsidP="00276555">
            <w:pPr>
              <w:pStyle w:val="Tabletext"/>
              <w:rPr>
                <w:lang w:val="en-US"/>
              </w:rPr>
            </w:pPr>
            <w:r w:rsidRPr="00431D32">
              <w:t>propiconazole</w:t>
            </w:r>
          </w:p>
        </w:tc>
        <w:tc>
          <w:tcPr>
            <w:tcW w:w="959"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97</w:t>
            </w:r>
          </w:p>
        </w:tc>
        <w:tc>
          <w:tcPr>
            <w:tcW w:w="958"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51</w:t>
            </w:r>
          </w:p>
        </w:tc>
        <w:tc>
          <w:tcPr>
            <w:tcW w:w="962" w:type="pct"/>
            <w:tcBorders>
              <w:bottom w:val="single" w:sz="4" w:space="0" w:color="646464"/>
            </w:tcBorders>
            <w:shd w:val="clear" w:color="auto" w:fill="auto"/>
            <w:vAlign w:val="center"/>
          </w:tcPr>
          <w:p w:rsidR="00EC72C7" w:rsidRPr="00431D32" w:rsidRDefault="00EC72C7" w:rsidP="00EB47C2">
            <w:pPr>
              <w:pStyle w:val="Tabletext"/>
              <w:jc w:val="right"/>
              <w:rPr>
                <w:lang w:val="en-US"/>
              </w:rPr>
            </w:pPr>
            <w:r w:rsidRPr="00431D32">
              <w:t>16</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tcBorders>
              <w:top w:val="single" w:sz="4" w:space="0" w:color="646464"/>
            </w:tcBorders>
            <w:shd w:val="clear" w:color="auto" w:fill="DDDDDD"/>
            <w:vAlign w:val="center"/>
          </w:tcPr>
          <w:p w:rsidR="00EC72C7" w:rsidRPr="00431D32" w:rsidRDefault="00EC72C7" w:rsidP="00276555">
            <w:pPr>
              <w:pStyle w:val="Tabletext"/>
              <w:rPr>
                <w:lang w:val="en-US"/>
              </w:rPr>
            </w:pPr>
            <w:r w:rsidRPr="00431D32">
              <w:t>Plant Growth Regulators</w:t>
            </w:r>
          </w:p>
        </w:tc>
        <w:tc>
          <w:tcPr>
            <w:tcW w:w="959"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58"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c>
          <w:tcPr>
            <w:tcW w:w="962" w:type="pct"/>
            <w:tcBorders>
              <w:top w:val="single" w:sz="4" w:space="0" w:color="646464"/>
            </w:tcBorders>
            <w:shd w:val="clear" w:color="auto" w:fill="DDDDDD"/>
            <w:vAlign w:val="center"/>
          </w:tcPr>
          <w:p w:rsidR="00EC72C7" w:rsidRPr="00431D32" w:rsidRDefault="00EC72C7" w:rsidP="00EB47C2">
            <w:pPr>
              <w:pStyle w:val="Tabletext"/>
              <w:jc w:val="right"/>
              <w:rPr>
                <w:lang w:val="en-US"/>
              </w:rPr>
            </w:pP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ethephon</w:t>
            </w:r>
          </w:p>
        </w:tc>
        <w:tc>
          <w:tcPr>
            <w:tcW w:w="959" w:type="pct"/>
            <w:shd w:val="clear" w:color="auto" w:fill="auto"/>
            <w:vAlign w:val="center"/>
          </w:tcPr>
          <w:p w:rsidR="00EC72C7" w:rsidRPr="00431D32" w:rsidRDefault="00EC72C7" w:rsidP="00EB47C2">
            <w:pPr>
              <w:pStyle w:val="Tabletext"/>
              <w:jc w:val="right"/>
              <w:rPr>
                <w:lang w:val="en-US"/>
              </w:rPr>
            </w:pPr>
            <w:r w:rsidRPr="00431D32">
              <w:t>50</w:t>
            </w:r>
          </w:p>
        </w:tc>
        <w:tc>
          <w:tcPr>
            <w:tcW w:w="958" w:type="pct"/>
            <w:shd w:val="clear" w:color="auto" w:fill="auto"/>
            <w:vAlign w:val="center"/>
          </w:tcPr>
          <w:p w:rsidR="00EC72C7" w:rsidRPr="00431D32" w:rsidRDefault="00EC72C7" w:rsidP="00EB47C2">
            <w:pPr>
              <w:pStyle w:val="Tabletext"/>
              <w:jc w:val="right"/>
              <w:rPr>
                <w:lang w:val="en-US"/>
              </w:rPr>
            </w:pPr>
            <w:r w:rsidRPr="00431D32">
              <w:t>26</w:t>
            </w:r>
          </w:p>
        </w:tc>
        <w:tc>
          <w:tcPr>
            <w:tcW w:w="962" w:type="pct"/>
            <w:shd w:val="clear" w:color="auto" w:fill="auto"/>
            <w:vAlign w:val="center"/>
          </w:tcPr>
          <w:p w:rsidR="00EC72C7" w:rsidRPr="00431D32" w:rsidRDefault="00EC72C7" w:rsidP="00EB47C2">
            <w:pPr>
              <w:pStyle w:val="Tabletext"/>
              <w:jc w:val="right"/>
              <w:rPr>
                <w:lang w:val="en-US"/>
              </w:rPr>
            </w:pPr>
            <w:r w:rsidRPr="00431D32">
              <w:t>16</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paclobutrazol</w:t>
            </w:r>
          </w:p>
        </w:tc>
        <w:tc>
          <w:tcPr>
            <w:tcW w:w="959" w:type="pct"/>
            <w:shd w:val="clear" w:color="auto" w:fill="auto"/>
            <w:vAlign w:val="center"/>
          </w:tcPr>
          <w:p w:rsidR="00EC72C7" w:rsidRPr="00431D32" w:rsidRDefault="00EC72C7" w:rsidP="00EB47C2">
            <w:pPr>
              <w:pStyle w:val="Tabletext"/>
              <w:jc w:val="right"/>
              <w:rPr>
                <w:lang w:val="en-US"/>
              </w:rPr>
            </w:pPr>
            <w:r w:rsidRPr="00431D32">
              <w:t>34</w:t>
            </w:r>
          </w:p>
        </w:tc>
        <w:tc>
          <w:tcPr>
            <w:tcW w:w="958" w:type="pct"/>
            <w:shd w:val="clear" w:color="auto" w:fill="auto"/>
            <w:vAlign w:val="center"/>
          </w:tcPr>
          <w:p w:rsidR="00EC72C7" w:rsidRPr="00431D32" w:rsidRDefault="00EC72C7" w:rsidP="00EB47C2">
            <w:pPr>
              <w:pStyle w:val="Tabletext"/>
              <w:jc w:val="right"/>
              <w:rPr>
                <w:lang w:val="en-US"/>
              </w:rPr>
            </w:pPr>
            <w:r w:rsidRPr="00431D32">
              <w:t>22</w:t>
            </w:r>
          </w:p>
        </w:tc>
        <w:tc>
          <w:tcPr>
            <w:tcW w:w="962" w:type="pct"/>
            <w:shd w:val="clear" w:color="auto" w:fill="auto"/>
            <w:vAlign w:val="center"/>
          </w:tcPr>
          <w:p w:rsidR="00EC72C7" w:rsidRPr="00431D32" w:rsidRDefault="00EC72C7" w:rsidP="00EB47C2">
            <w:pPr>
              <w:pStyle w:val="Tabletext"/>
              <w:jc w:val="right"/>
              <w:rPr>
                <w:lang w:val="en-US"/>
              </w:rPr>
            </w:pPr>
            <w:r w:rsidRPr="00431D32">
              <w:t>10</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mepiquat-chloride</w:t>
            </w:r>
          </w:p>
        </w:tc>
        <w:tc>
          <w:tcPr>
            <w:tcW w:w="959" w:type="pct"/>
            <w:shd w:val="clear" w:color="auto" w:fill="auto"/>
            <w:vAlign w:val="center"/>
          </w:tcPr>
          <w:p w:rsidR="00EC72C7" w:rsidRPr="00431D32" w:rsidRDefault="00EC72C7" w:rsidP="00EB47C2">
            <w:pPr>
              <w:pStyle w:val="Tabletext"/>
              <w:jc w:val="right"/>
              <w:rPr>
                <w:lang w:val="en-US"/>
              </w:rPr>
            </w:pPr>
            <w:r w:rsidRPr="00431D32">
              <w:t>1</w:t>
            </w:r>
          </w:p>
        </w:tc>
        <w:tc>
          <w:tcPr>
            <w:tcW w:w="958" w:type="pct"/>
            <w:shd w:val="clear" w:color="auto" w:fill="auto"/>
            <w:vAlign w:val="center"/>
          </w:tcPr>
          <w:p w:rsidR="00EC72C7" w:rsidRPr="00431D32" w:rsidRDefault="00EC72C7" w:rsidP="00EB47C2">
            <w:pPr>
              <w:pStyle w:val="Tabletext"/>
              <w:jc w:val="right"/>
              <w:rPr>
                <w:lang w:val="en-US"/>
              </w:rPr>
            </w:pPr>
            <w:r w:rsidRPr="00431D32">
              <w:t>23</w:t>
            </w:r>
          </w:p>
        </w:tc>
        <w:tc>
          <w:tcPr>
            <w:tcW w:w="962" w:type="pct"/>
            <w:shd w:val="clear" w:color="auto" w:fill="auto"/>
            <w:vAlign w:val="center"/>
          </w:tcPr>
          <w:p w:rsidR="00EC72C7" w:rsidRPr="00431D32" w:rsidRDefault="00EC72C7" w:rsidP="00EB47C2">
            <w:pPr>
              <w:pStyle w:val="Tabletext"/>
              <w:jc w:val="right"/>
              <w:rPr>
                <w:lang w:val="en-US"/>
              </w:rPr>
            </w:pPr>
            <w:r w:rsidRPr="00431D32">
              <w:t>19</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Gibberellic acid</w:t>
            </w:r>
          </w:p>
        </w:tc>
        <w:tc>
          <w:tcPr>
            <w:tcW w:w="959" w:type="pct"/>
            <w:shd w:val="clear" w:color="auto" w:fill="auto"/>
            <w:vAlign w:val="center"/>
          </w:tcPr>
          <w:p w:rsidR="00EC72C7" w:rsidRPr="00431D32" w:rsidRDefault="00EC72C7" w:rsidP="00EB47C2">
            <w:pPr>
              <w:pStyle w:val="Tabletext"/>
              <w:jc w:val="right"/>
              <w:rPr>
                <w:lang w:val="en-US"/>
              </w:rPr>
            </w:pPr>
            <w:r w:rsidRPr="00431D32">
              <w:t>32</w:t>
            </w:r>
          </w:p>
        </w:tc>
        <w:tc>
          <w:tcPr>
            <w:tcW w:w="958" w:type="pct"/>
            <w:shd w:val="clear" w:color="auto" w:fill="auto"/>
            <w:vAlign w:val="center"/>
          </w:tcPr>
          <w:p w:rsidR="00EC72C7" w:rsidRPr="00431D32" w:rsidRDefault="00EC72C7" w:rsidP="00EB47C2">
            <w:pPr>
              <w:pStyle w:val="Tabletext"/>
              <w:jc w:val="right"/>
              <w:rPr>
                <w:lang w:val="en-US"/>
              </w:rPr>
            </w:pPr>
            <w:r w:rsidRPr="00431D32">
              <w:t>19</w:t>
            </w:r>
          </w:p>
        </w:tc>
        <w:tc>
          <w:tcPr>
            <w:tcW w:w="962" w:type="pct"/>
            <w:shd w:val="clear" w:color="auto" w:fill="auto"/>
            <w:vAlign w:val="center"/>
          </w:tcPr>
          <w:p w:rsidR="00EC72C7" w:rsidRPr="00431D32" w:rsidRDefault="00EC72C7" w:rsidP="00EB47C2">
            <w:pPr>
              <w:pStyle w:val="Tabletext"/>
              <w:jc w:val="right"/>
              <w:rPr>
                <w:lang w:val="en-US"/>
              </w:rPr>
            </w:pPr>
            <w:r w:rsidRPr="00431D32">
              <w:t>11</w:t>
            </w:r>
          </w:p>
        </w:tc>
      </w:tr>
      <w:tr w:rsidR="00E86A68" w:rsidTr="005F7823">
        <w:tblPrEx>
          <w:tblBorders>
            <w:bottom w:val="single" w:sz="4" w:space="0" w:color="646464"/>
            <w:insideH w:val="single" w:sz="4" w:space="0" w:color="646464"/>
          </w:tblBorders>
        </w:tblPrEx>
        <w:trPr>
          <w:gridBefore w:val="1"/>
          <w:wBefore w:w="333" w:type="pct"/>
          <w:cantSplit/>
          <w:trHeight w:hRule="exact" w:val="284"/>
        </w:trPr>
        <w:tc>
          <w:tcPr>
            <w:tcW w:w="1788" w:type="pct"/>
            <w:shd w:val="clear" w:color="auto" w:fill="auto"/>
            <w:vAlign w:val="center"/>
          </w:tcPr>
          <w:p w:rsidR="00EC72C7" w:rsidRPr="00431D32" w:rsidRDefault="00EC72C7" w:rsidP="00276555">
            <w:pPr>
              <w:pStyle w:val="Tabletext"/>
              <w:rPr>
                <w:lang w:val="en-US"/>
              </w:rPr>
            </w:pPr>
            <w:r w:rsidRPr="00431D32">
              <w:t>Total in sample</w:t>
            </w:r>
          </w:p>
        </w:tc>
        <w:tc>
          <w:tcPr>
            <w:tcW w:w="959" w:type="pct"/>
            <w:shd w:val="clear" w:color="auto" w:fill="auto"/>
            <w:vAlign w:val="center"/>
          </w:tcPr>
          <w:p w:rsidR="00EC72C7" w:rsidRPr="00431D32" w:rsidRDefault="00EC72C7" w:rsidP="00EB47C2">
            <w:pPr>
              <w:pStyle w:val="Tabletext"/>
              <w:jc w:val="right"/>
              <w:rPr>
                <w:lang w:val="en-US"/>
              </w:rPr>
            </w:pPr>
            <w:r w:rsidRPr="00431D32">
              <w:t>2248</w:t>
            </w:r>
          </w:p>
        </w:tc>
        <w:tc>
          <w:tcPr>
            <w:tcW w:w="958" w:type="pct"/>
            <w:shd w:val="clear" w:color="auto" w:fill="auto"/>
            <w:vAlign w:val="center"/>
          </w:tcPr>
          <w:p w:rsidR="00EC72C7" w:rsidRPr="00431D32" w:rsidRDefault="00EC72C7" w:rsidP="00EB47C2">
            <w:pPr>
              <w:pStyle w:val="Tabletext"/>
              <w:jc w:val="right"/>
              <w:rPr>
                <w:lang w:val="en-US"/>
              </w:rPr>
            </w:pPr>
            <w:r w:rsidRPr="00431D32">
              <w:t>1096</w:t>
            </w:r>
          </w:p>
        </w:tc>
        <w:tc>
          <w:tcPr>
            <w:tcW w:w="962" w:type="pct"/>
            <w:shd w:val="clear" w:color="auto" w:fill="auto"/>
            <w:vAlign w:val="center"/>
          </w:tcPr>
          <w:p w:rsidR="00EC72C7" w:rsidRPr="00431D32" w:rsidRDefault="00EC72C7" w:rsidP="00EB47C2">
            <w:pPr>
              <w:pStyle w:val="Tabletext"/>
              <w:jc w:val="right"/>
              <w:rPr>
                <w:lang w:val="en-US"/>
              </w:rPr>
            </w:pPr>
            <w:r w:rsidRPr="00431D32">
              <w:t>430</w:t>
            </w:r>
          </w:p>
        </w:tc>
      </w:tr>
      <w:tr w:rsidR="00E86A68" w:rsidTr="005F7823">
        <w:tblPrEx>
          <w:tblBorders>
            <w:bottom w:val="single" w:sz="4" w:space="0" w:color="646464"/>
            <w:insideH w:val="single" w:sz="4" w:space="0" w:color="646464"/>
          </w:tblBorders>
        </w:tblPrEx>
        <w:trPr>
          <w:gridBefore w:val="1"/>
          <w:wBefore w:w="333" w:type="pct"/>
          <w:cantSplit/>
        </w:trPr>
        <w:tc>
          <w:tcPr>
            <w:tcW w:w="4667" w:type="pct"/>
            <w:gridSpan w:val="4"/>
            <w:tcBorders>
              <w:bottom w:val="single" w:sz="4" w:space="0" w:color="646464"/>
            </w:tcBorders>
            <w:shd w:val="clear" w:color="auto" w:fill="auto"/>
          </w:tcPr>
          <w:p w:rsidR="009B3A73" w:rsidRDefault="009B3A73" w:rsidP="009B3A73">
            <w:pPr>
              <w:pStyle w:val="Source"/>
              <w:rPr>
                <w:lang w:val="en-US"/>
              </w:rPr>
            </w:pPr>
            <w:r>
              <w:t>Source:</w:t>
            </w:r>
            <w:r w:rsidR="00431D32">
              <w:rPr>
                <w:lang w:val="en-US"/>
              </w:rPr>
              <w:t xml:space="preserve">Infopest, </w:t>
            </w:r>
            <w:hyperlink r:id="rId46" w:history="1">
              <w:r w:rsidR="008109A9" w:rsidRPr="00D721C3">
                <w:rPr>
                  <w:rStyle w:val="Hyperlink"/>
                  <w:lang w:val="en-US"/>
                </w:rPr>
                <w:t>http://websvr.infopest.com.au/SearchJS</w:t>
              </w:r>
            </w:hyperlink>
            <w:r w:rsidR="008109A9">
              <w:rPr>
                <w:lang w:val="en-US"/>
              </w:rPr>
              <w:t xml:space="preserve"> accessed on 20 August 2017</w:t>
            </w:r>
          </w:p>
        </w:tc>
      </w:tr>
      <w:tr w:rsidR="00E86A68" w:rsidTr="005F7823">
        <w:tblPrEx>
          <w:tblBorders>
            <w:bottom w:val="single" w:sz="4" w:space="0" w:color="646464"/>
            <w:insideH w:val="single" w:sz="4" w:space="0" w:color="646464"/>
          </w:tblBorders>
        </w:tblPrEx>
        <w:trPr>
          <w:gridBefore w:val="1"/>
          <w:wBefore w:w="333" w:type="pct"/>
          <w:cantSplit/>
          <w:trHeight w:hRule="exact" w:val="120"/>
        </w:trPr>
        <w:tc>
          <w:tcPr>
            <w:tcW w:w="4667" w:type="pct"/>
            <w:gridSpan w:val="4"/>
            <w:tcBorders>
              <w:top w:val="single" w:sz="4" w:space="0" w:color="646464"/>
              <w:bottom w:val="nil"/>
            </w:tcBorders>
            <w:shd w:val="clear" w:color="auto" w:fill="auto"/>
          </w:tcPr>
          <w:p w:rsidR="009B3A73" w:rsidRDefault="009B3A73" w:rsidP="009B3A73">
            <w:pPr>
              <w:pStyle w:val="spacertbl"/>
              <w:rPr>
                <w:lang w:val="en-US"/>
              </w:rPr>
            </w:pPr>
          </w:p>
        </w:tc>
      </w:tr>
    </w:tbl>
    <w:p w:rsidR="00080206" w:rsidRDefault="00080206" w:rsidP="00080206">
      <w:pPr>
        <w:pStyle w:val="BodyText"/>
        <w:rPr>
          <w:lang w:val="en-US"/>
        </w:rPr>
      </w:pPr>
      <w:bookmarkStart w:id="48" w:name="_Toc485482849"/>
      <w:r>
        <w:rPr>
          <w:lang w:val="en-US"/>
        </w:rPr>
        <w:t>New patented active ingredient introductions have been declining for several decades. They peaked in the mid-1980s and have subsequently declined, with an average introduction of 12.7 per year in the 1990s, 10.3 in the 2000s and 7.3 per year in 2010s.</w:t>
      </w:r>
      <w:r>
        <w:rPr>
          <w:rStyle w:val="FootnoteReference"/>
          <w:lang w:val="en-US"/>
        </w:rPr>
        <w:footnoteReference w:id="24"/>
      </w:r>
    </w:p>
    <w:p w:rsidR="00080206" w:rsidRDefault="00080206" w:rsidP="00080206">
      <w:pPr>
        <w:pStyle w:val="BodyText"/>
        <w:rPr>
          <w:lang w:val="en-US"/>
        </w:rPr>
      </w:pPr>
      <w:r>
        <w:rPr>
          <w:lang w:val="en-US"/>
        </w:rPr>
        <w:t>The development pipeline is also shrinking for new active ingredients, with around half as many active ingredients in development in 2013 industry-wide as there were just over a decade earlier.</w:t>
      </w:r>
      <w:r>
        <w:rPr>
          <w:rStyle w:val="FootnoteReference"/>
          <w:lang w:val="en-US"/>
        </w:rPr>
        <w:footnoteReference w:id="25"/>
      </w:r>
    </w:p>
    <w:p w:rsidR="00080206" w:rsidRDefault="00080206" w:rsidP="00080206">
      <w:pPr>
        <w:pStyle w:val="BodyText"/>
        <w:rPr>
          <w:lang w:val="en-US"/>
        </w:rPr>
      </w:pPr>
      <w:r>
        <w:rPr>
          <w:lang w:val="en-US"/>
        </w:rPr>
        <w:t>With fewer new active ingredients being introduced, the use of off-patent products has grown to meet the global demand for agvet chemicals.</w:t>
      </w:r>
    </w:p>
    <w:bookmarkEnd w:id="48"/>
    <w:p w:rsidR="000C30EA" w:rsidRDefault="006332B9" w:rsidP="004B224B">
      <w:pPr>
        <w:pStyle w:val="Heading3"/>
      </w:pPr>
      <w:r>
        <w:t>Number of agvet products registered in Australia</w:t>
      </w:r>
    </w:p>
    <w:p w:rsidR="00781B7A" w:rsidRDefault="00781B7A" w:rsidP="00781B7A">
      <w:pPr>
        <w:pStyle w:val="BodyText"/>
      </w:pPr>
      <w:r>
        <w:t xml:space="preserve">The number of agvet products registered each year for the last five years in Australia are shown in </w:t>
      </w:r>
      <w:r>
        <w:fldChar w:fldCharType="begin"/>
      </w:r>
      <w:r>
        <w:instrText xml:space="preserve"> REF _Ref488079419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sidRPr="00897E60">
        <w:rPr>
          <w:rStyle w:val="CaptionLabel"/>
        </w:rPr>
        <w:t>.</w:t>
      </w:r>
      <w:r w:rsidR="0087688C">
        <w:rPr>
          <w:rStyle w:val="CaptionLabel"/>
          <w:noProof/>
        </w:rPr>
        <w:t>6</w:t>
      </w:r>
      <w:r>
        <w:fldChar w:fldCharType="end"/>
      </w:r>
      <w:r>
        <w:t xml:space="preserve">. </w:t>
      </w:r>
      <w:r w:rsidR="00D73917">
        <w:t>The numbers of generic agvet chemicals registered in Australia has declined from 1110 in 2012-13 to 591 in 2015-16. O</w:t>
      </w:r>
      <w:r>
        <w:t xml:space="preserve">n average, 27 novel agvet chemicals </w:t>
      </w:r>
      <w:r w:rsidR="00D73917">
        <w:t xml:space="preserve">have been </w:t>
      </w:r>
      <w:r>
        <w:t>registered each year in Australia since 2011</w:t>
      </w:r>
      <w:r w:rsidR="00BC64EF">
        <w:t>-12</w:t>
      </w:r>
      <w:r>
        <w:t>.</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781B7A" w:rsidRPr="00AA4DEE" w:rsidRDefault="00781B7A" w:rsidP="00781B7A">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781B7A" w:rsidRPr="00897E60" w:rsidRDefault="00781B7A" w:rsidP="00781B7A">
            <w:pPr>
              <w:pStyle w:val="Caption"/>
            </w:pPr>
            <w:bookmarkStart w:id="49" w:name="_Ref488079419"/>
            <w:bookmarkStart w:id="50" w:name="_Toc49729808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1977DE">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7688C">
              <w:rPr>
                <w:rStyle w:val="CaptionLabel"/>
                <w:noProof/>
              </w:rPr>
              <w:t>6</w:t>
            </w:r>
            <w:r w:rsidRPr="00897E60">
              <w:rPr>
                <w:rStyle w:val="CaptionLabel"/>
              </w:rPr>
              <w:fldChar w:fldCharType="end"/>
            </w:r>
            <w:bookmarkEnd w:id="49"/>
            <w:r>
              <w:tab/>
              <w:t xml:space="preserve">Number of </w:t>
            </w:r>
            <w:r w:rsidR="00A4207B">
              <w:t xml:space="preserve">agvet chemical </w:t>
            </w:r>
            <w:r>
              <w:t>products registered in Australia</w:t>
            </w:r>
            <w:r w:rsidR="00BC64EF">
              <w:t>, 2011-12 to 2015-16</w:t>
            </w:r>
            <w:bookmarkEnd w:id="50"/>
          </w:p>
        </w:tc>
      </w:tr>
      <w:tr w:rsidR="00781B7A" w:rsidRPr="00AA4DEE" w:rsidTr="00580CF7">
        <w:trPr>
          <w:cantSplit/>
          <w:trHeight w:hRule="exact" w:val="380"/>
        </w:trPr>
        <w:tc>
          <w:tcPr>
            <w:tcW w:w="8168" w:type="dxa"/>
            <w:tcBorders>
              <w:bottom w:val="single" w:sz="4" w:space="0" w:color="auto"/>
            </w:tcBorders>
            <w:shd w:val="clear" w:color="auto" w:fill="auto"/>
          </w:tcPr>
          <w:p w:rsidR="00781B7A" w:rsidRPr="00AA4DEE" w:rsidRDefault="004F7246" w:rsidP="00781B7A">
            <w:pPr>
              <w:pStyle w:val="spacer"/>
            </w:pPr>
            <w:r>
              <w:rPr>
                <w:noProof/>
                <w:lang w:eastAsia="en-AU"/>
              </w:rPr>
              <mc:AlternateContent>
                <mc:Choice Requires="wps">
                  <w:drawing>
                    <wp:anchor distT="0" distB="0" distL="114300" distR="114300" simplePos="0" relativeHeight="251990016" behindDoc="0" locked="1" layoutInCell="1" allowOverlap="1" wp14:anchorId="3F32A881" wp14:editId="157742D8">
                      <wp:simplePos x="0" y="0"/>
                      <wp:positionH relativeFrom="page">
                        <wp:posOffset>4602480</wp:posOffset>
                      </wp:positionH>
                      <wp:positionV relativeFrom="page">
                        <wp:posOffset>-3175</wp:posOffset>
                      </wp:positionV>
                      <wp:extent cx="435600" cy="212400"/>
                      <wp:effectExtent l="0" t="0" r="3175" b="0"/>
                      <wp:wrapNone/>
                      <wp:docPr id="6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34668E" id="Freeform 5" o:spid="_x0000_s1026" style="position:absolute;margin-left:362.4pt;margin-top:-.25pt;width:34.3pt;height:16.7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uEfQ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anchory="page"/>
                      <w10:anchorlock/>
                    </v:shape>
                  </w:pict>
                </mc:Fallback>
              </mc:AlternateContent>
            </w:r>
            <w:r w:rsidR="00546375">
              <w:rPr>
                <w:noProof/>
                <w:lang w:eastAsia="en-AU"/>
              </w:rPr>
              <mc:AlternateContent>
                <mc:Choice Requires="wps">
                  <w:drawing>
                    <wp:anchor distT="0" distB="0" distL="114300" distR="114300" simplePos="0" relativeHeight="251881472" behindDoc="0" locked="1" layoutInCell="1" allowOverlap="1" wp14:anchorId="562BEA18" wp14:editId="6DC084BD">
                      <wp:simplePos x="0" y="0"/>
                      <wp:positionH relativeFrom="page">
                        <wp:posOffset>6514465</wp:posOffset>
                      </wp:positionH>
                      <wp:positionV relativeFrom="page">
                        <wp:posOffset>1097915</wp:posOffset>
                      </wp:positionV>
                      <wp:extent cx="436880" cy="213360"/>
                      <wp:effectExtent l="0" t="0" r="1270" b="0"/>
                      <wp:wrapNone/>
                      <wp:docPr id="5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83E81F" id="Freeform 5" o:spid="_x0000_s1026" style="position:absolute;margin-left:512.95pt;margin-top:86.45pt;width:34.4pt;height:16.8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781B7A" w:rsidRPr="00AA4DEE" w:rsidTr="00580CF7">
        <w:trPr>
          <w:cantSplit/>
        </w:trPr>
        <w:tc>
          <w:tcPr>
            <w:tcW w:w="8168" w:type="dxa"/>
            <w:tcBorders>
              <w:top w:val="single" w:sz="4" w:space="0" w:color="auto"/>
              <w:bottom w:val="single" w:sz="4" w:space="0" w:color="auto"/>
            </w:tcBorders>
            <w:shd w:val="clear" w:color="auto" w:fill="auto"/>
          </w:tcPr>
          <w:p w:rsidR="00781B7A" w:rsidRPr="00AA4DEE" w:rsidRDefault="00546375" w:rsidP="00781B7A">
            <w:pPr>
              <w:pStyle w:val="Figure"/>
            </w:pPr>
            <w:r w:rsidRPr="006E33DA">
              <w:rPr>
                <w:noProof/>
                <w:lang w:eastAsia="en-AU"/>
              </w:rPr>
              <w:drawing>
                <wp:inline distT="0" distB="0" distL="0" distR="0" wp14:anchorId="6517FCAF" wp14:editId="6445A5EE">
                  <wp:extent cx="5188585" cy="2260600"/>
                  <wp:effectExtent l="0" t="0" r="12065" b="6350"/>
                  <wp:docPr id="256"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781B7A" w:rsidRPr="00AA4DEE" w:rsidRDefault="00781B7A" w:rsidP="00781B7A">
            <w:pPr>
              <w:pStyle w:val="Note"/>
            </w:pPr>
            <w:r w:rsidRPr="00AA4DEE">
              <w:t xml:space="preserve">Note: </w:t>
            </w:r>
            <w:r w:rsidR="00A4207B">
              <w:t xml:space="preserve">For simplicity, the </w:t>
            </w:r>
            <w:r>
              <w:t>APVMA application items 1-4 are considered as novel and items 5-10 are considered as generic.</w:t>
            </w:r>
          </w:p>
          <w:p w:rsidR="00781B7A" w:rsidRPr="00AA4DEE" w:rsidRDefault="00781B7A" w:rsidP="00F064FB">
            <w:pPr>
              <w:pStyle w:val="Source"/>
            </w:pPr>
            <w:r w:rsidRPr="00AA4DEE">
              <w:t xml:space="preserve">Source: </w:t>
            </w:r>
            <w:r w:rsidR="00F064FB">
              <w:t xml:space="preserve">Based on advice from </w:t>
            </w:r>
            <w:r>
              <w:t>DAWR</w:t>
            </w:r>
            <w:r w:rsidR="00A4207B">
              <w:t>, July 2017</w:t>
            </w:r>
          </w:p>
        </w:tc>
      </w:tr>
      <w:tr w:rsidR="00E86A68" w:rsidTr="00401D90">
        <w:trPr>
          <w:trHeight w:hRule="exact" w:val="160"/>
        </w:trPr>
        <w:tc>
          <w:tcPr>
            <w:tcW w:w="8168" w:type="dxa"/>
            <w:tcBorders>
              <w:top w:val="single" w:sz="4" w:space="0" w:color="auto"/>
            </w:tcBorders>
            <w:shd w:val="clear" w:color="auto" w:fill="auto"/>
          </w:tcPr>
          <w:p w:rsidR="00781B7A" w:rsidRDefault="00781B7A" w:rsidP="00781B7A">
            <w:pPr>
              <w:pStyle w:val="spacertbl"/>
            </w:pPr>
          </w:p>
        </w:tc>
      </w:tr>
    </w:tbl>
    <w:p w:rsidR="006332B9" w:rsidRDefault="00EF26A7" w:rsidP="00EF26A7">
      <w:pPr>
        <w:pStyle w:val="Heading2"/>
      </w:pPr>
      <w:bookmarkStart w:id="51" w:name="_Toc497300817"/>
      <w:r>
        <w:t>UK market</w:t>
      </w:r>
      <w:bookmarkEnd w:id="51"/>
    </w:p>
    <w:p w:rsidR="00D31F8C" w:rsidRDefault="00D31F8C" w:rsidP="00D31F8C">
      <w:pPr>
        <w:pStyle w:val="BodyText"/>
        <w:rPr>
          <w:lang w:val="en-US"/>
        </w:rPr>
      </w:pPr>
      <w:r>
        <w:rPr>
          <w:lang w:val="en-US"/>
        </w:rPr>
        <w:t xml:space="preserve">The UK pesticide and other agrochemical manufacturing industry is predominantly oriented towards the export market, with exports accounting for around 97 per cent of industry revenue. At the same time, imports play an important role in meeting domestic </w:t>
      </w:r>
      <w:r w:rsidR="00D73917">
        <w:rPr>
          <w:lang w:val="en-US"/>
        </w:rPr>
        <w:t>demand</w:t>
      </w:r>
      <w:r>
        <w:rPr>
          <w:lang w:val="en-US"/>
        </w:rPr>
        <w:t xml:space="preserve"> (see </w:t>
      </w:r>
      <w:r>
        <w:rPr>
          <w:lang w:val="en-US"/>
        </w:rPr>
        <w:fldChar w:fldCharType="begin"/>
      </w:r>
      <w:r>
        <w:rPr>
          <w:lang w:val="en-US"/>
        </w:rPr>
        <w:instrText xml:space="preserve"> REF _Ref487638888 \h </w:instrText>
      </w:r>
      <w:r>
        <w:rPr>
          <w:lang w:val="en-US"/>
        </w:rPr>
      </w:r>
      <w:r>
        <w:rPr>
          <w:lang w:val="en-US"/>
        </w:rPr>
        <w:fldChar w:fldCharType="separate"/>
      </w:r>
      <w:r w:rsidR="0087688C" w:rsidRPr="00FC077F">
        <w:rPr>
          <w:rStyle w:val="CaptionLabel"/>
          <w:lang w:val="en-US"/>
        </w:rPr>
        <w:t>Table </w:t>
      </w:r>
      <w:r w:rsidR="0087688C">
        <w:rPr>
          <w:rStyle w:val="CaptionLabel"/>
          <w:noProof/>
          <w:lang w:val="en-US"/>
        </w:rPr>
        <w:t>2</w:t>
      </w:r>
      <w:r w:rsidR="0087688C" w:rsidRPr="00FC077F">
        <w:rPr>
          <w:rStyle w:val="CaptionLabel"/>
          <w:lang w:val="en-US"/>
        </w:rPr>
        <w:t>.</w:t>
      </w:r>
      <w:r w:rsidR="0087688C">
        <w:rPr>
          <w:rStyle w:val="CaptionLabel"/>
          <w:noProof/>
          <w:lang w:val="en-US"/>
        </w:rPr>
        <w:t>5</w:t>
      </w:r>
      <w:r>
        <w:rPr>
          <w:lang w:val="en-US"/>
        </w:rPr>
        <w:fldChar w:fldCharType="end"/>
      </w:r>
      <w:r>
        <w:rPr>
          <w:lang w:val="en-US"/>
        </w:rPr>
        <w:t xml:space="preserve">). </w:t>
      </w:r>
    </w:p>
    <w:p w:rsidR="00F51827" w:rsidRDefault="00F51827" w:rsidP="00F51827">
      <w:pPr>
        <w:pStyle w:val="Caption"/>
        <w:spacing w:before="160"/>
        <w:ind w:left="-1753" w:firstLine="0"/>
        <w:rPr>
          <w:lang w:val="en-US"/>
        </w:rPr>
      </w:pPr>
      <w:bookmarkStart w:id="52" w:name="_Ref487638888"/>
      <w:bookmarkStart w:id="53" w:name="_Toc497132804"/>
      <w:r w:rsidRPr="00FC077F">
        <w:rPr>
          <w:rStyle w:val="CaptionLabel"/>
          <w:lang w:val="en-US"/>
        </w:rPr>
        <w:t>Table </w:t>
      </w:r>
      <w:r w:rsidRPr="00FC077F">
        <w:rPr>
          <w:rStyle w:val="CaptionLabel"/>
          <w:lang w:val="en-US"/>
        </w:rPr>
        <w:fldChar w:fldCharType="begin"/>
      </w:r>
      <w:r w:rsidRPr="00FC077F">
        <w:rPr>
          <w:rStyle w:val="CaptionLabel"/>
          <w:lang w:val="en-US"/>
        </w:rPr>
        <w:instrText xml:space="preserve"> STYLEREF 1 \s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r w:rsidRPr="00FC077F">
        <w:rPr>
          <w:rStyle w:val="CaptionLabel"/>
          <w:lang w:val="en-US"/>
        </w:rPr>
        <w:t>.</w:t>
      </w:r>
      <w:r w:rsidRPr="00FC077F">
        <w:rPr>
          <w:rStyle w:val="CaptionLabel"/>
          <w:lang w:val="en-US"/>
        </w:rPr>
        <w:fldChar w:fldCharType="begin"/>
      </w:r>
      <w:r w:rsidRPr="00FC077F">
        <w:rPr>
          <w:rStyle w:val="CaptionLabel"/>
          <w:lang w:val="en-US"/>
        </w:rPr>
        <w:instrText xml:space="preserve"> SEQ Table \* ARABIC \s 1 </w:instrText>
      </w:r>
      <w:r w:rsidRPr="00FC077F">
        <w:rPr>
          <w:rStyle w:val="CaptionLabel"/>
          <w:lang w:val="en-US"/>
        </w:rPr>
        <w:fldChar w:fldCharType="separate"/>
      </w:r>
      <w:r w:rsidR="001977DE">
        <w:rPr>
          <w:rStyle w:val="CaptionLabel"/>
          <w:noProof/>
          <w:lang w:val="en-US"/>
        </w:rPr>
        <w:t>5</w:t>
      </w:r>
      <w:r w:rsidRPr="00FC077F">
        <w:rPr>
          <w:rStyle w:val="CaptionLabel"/>
          <w:lang w:val="en-US"/>
        </w:rPr>
        <w:fldChar w:fldCharType="end"/>
      </w:r>
      <w:bookmarkEnd w:id="52"/>
      <w:r w:rsidRPr="00FC077F">
        <w:rPr>
          <w:lang w:val="en-US"/>
        </w:rPr>
        <w:tab/>
      </w:r>
      <w:r>
        <w:rPr>
          <w:lang w:val="en-US"/>
        </w:rPr>
        <w:t>UK pesticide and other agrochemical manufacturing industry, 2007-08 – 2015-16</w:t>
      </w:r>
      <w:bookmarkEnd w:id="53"/>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5"/>
        <w:gridCol w:w="1428"/>
        <w:gridCol w:w="1417"/>
        <w:gridCol w:w="1417"/>
        <w:gridCol w:w="1417"/>
        <w:gridCol w:w="1417"/>
        <w:gridCol w:w="1417"/>
        <w:gridCol w:w="1407"/>
      </w:tblGrid>
      <w:tr w:rsidR="00E86A68" w:rsidTr="00573CCE">
        <w:trPr>
          <w:cantSplit/>
          <w:tblHeader/>
        </w:trPr>
        <w:tc>
          <w:tcPr>
            <w:tcW w:w="907" w:type="pct"/>
            <w:gridSpan w:val="2"/>
            <w:shd w:val="clear" w:color="auto" w:fill="9D57A6"/>
            <w:tcMar>
              <w:left w:w="454" w:type="dxa"/>
              <w:bottom w:w="0" w:type="dxa"/>
            </w:tcMar>
          </w:tcPr>
          <w:p w:rsidR="00F51827" w:rsidRDefault="00F51827" w:rsidP="00573CCE">
            <w:pPr>
              <w:pStyle w:val="Tablecolumnheadings"/>
              <w:rPr>
                <w:lang w:val="en-US"/>
              </w:rPr>
            </w:pPr>
            <w:r>
              <w:rPr>
                <w:lang w:val="en-US"/>
              </w:rPr>
              <w:t>Year</w:t>
            </w:r>
          </w:p>
        </w:tc>
        <w:tc>
          <w:tcPr>
            <w:tcW w:w="683" w:type="pct"/>
            <w:shd w:val="clear" w:color="auto" w:fill="9D57A6"/>
            <w:tcMar>
              <w:bottom w:w="0" w:type="dxa"/>
            </w:tcMar>
          </w:tcPr>
          <w:p w:rsidR="00F51827" w:rsidRDefault="00F51827" w:rsidP="00573CCE">
            <w:pPr>
              <w:pStyle w:val="Tablecolumnheadings"/>
              <w:jc w:val="right"/>
              <w:rPr>
                <w:lang w:val="en-US"/>
              </w:rPr>
            </w:pPr>
            <w:r>
              <w:rPr>
                <w:lang w:val="en-US"/>
              </w:rPr>
              <w:t xml:space="preserve">Revenue </w:t>
            </w:r>
          </w:p>
        </w:tc>
        <w:tc>
          <w:tcPr>
            <w:tcW w:w="683" w:type="pct"/>
            <w:shd w:val="clear" w:color="auto" w:fill="9D57A6"/>
            <w:tcMar>
              <w:bottom w:w="0" w:type="dxa"/>
            </w:tcMar>
          </w:tcPr>
          <w:p w:rsidR="00F51827" w:rsidRDefault="00F51827" w:rsidP="00573CCE">
            <w:pPr>
              <w:pStyle w:val="Tablecolumnheadings"/>
              <w:jc w:val="right"/>
              <w:rPr>
                <w:lang w:val="en-US"/>
              </w:rPr>
            </w:pPr>
            <w:r>
              <w:rPr>
                <w:lang w:val="en-US"/>
              </w:rPr>
              <w:t xml:space="preserve">Industry gross value-add </w:t>
            </w:r>
          </w:p>
        </w:tc>
        <w:tc>
          <w:tcPr>
            <w:tcW w:w="683" w:type="pct"/>
            <w:shd w:val="clear" w:color="auto" w:fill="9D57A6"/>
            <w:tcMar>
              <w:bottom w:w="0" w:type="dxa"/>
            </w:tcMar>
          </w:tcPr>
          <w:p w:rsidR="00F51827" w:rsidRDefault="00F51827" w:rsidP="00573CCE">
            <w:pPr>
              <w:pStyle w:val="Tablecolumnheadings"/>
              <w:jc w:val="right"/>
              <w:rPr>
                <w:lang w:val="en-US"/>
              </w:rPr>
            </w:pPr>
            <w:r>
              <w:rPr>
                <w:lang w:val="en-US"/>
              </w:rPr>
              <w:t>Exports</w:t>
            </w:r>
          </w:p>
        </w:tc>
        <w:tc>
          <w:tcPr>
            <w:tcW w:w="683" w:type="pct"/>
            <w:shd w:val="clear" w:color="auto" w:fill="9D57A6"/>
            <w:tcMar>
              <w:bottom w:w="0" w:type="dxa"/>
            </w:tcMar>
          </w:tcPr>
          <w:p w:rsidR="00F51827" w:rsidRDefault="00F51827" w:rsidP="00573CCE">
            <w:pPr>
              <w:pStyle w:val="Tablecolumnheadings"/>
              <w:jc w:val="right"/>
              <w:rPr>
                <w:lang w:val="en-US"/>
              </w:rPr>
            </w:pPr>
            <w:r>
              <w:rPr>
                <w:lang w:val="en-US"/>
              </w:rPr>
              <w:t xml:space="preserve">Imports </w:t>
            </w:r>
          </w:p>
        </w:tc>
        <w:tc>
          <w:tcPr>
            <w:tcW w:w="683" w:type="pct"/>
            <w:shd w:val="clear" w:color="auto" w:fill="9D57A6"/>
            <w:tcMar>
              <w:bottom w:w="0" w:type="dxa"/>
            </w:tcMar>
          </w:tcPr>
          <w:p w:rsidR="00F51827" w:rsidRDefault="00F51827" w:rsidP="00573CCE">
            <w:pPr>
              <w:pStyle w:val="Tablecolumnheadings"/>
              <w:jc w:val="right"/>
              <w:rPr>
                <w:lang w:val="en-US"/>
              </w:rPr>
            </w:pPr>
            <w:r>
              <w:rPr>
                <w:lang w:val="en-US"/>
              </w:rPr>
              <w:t>Domestic demand</w:t>
            </w:r>
          </w:p>
        </w:tc>
        <w:tc>
          <w:tcPr>
            <w:tcW w:w="678" w:type="pct"/>
            <w:shd w:val="clear" w:color="auto" w:fill="9D57A6"/>
            <w:tcMar>
              <w:bottom w:w="0" w:type="dxa"/>
            </w:tcMar>
          </w:tcPr>
          <w:p w:rsidR="00F51827" w:rsidRDefault="00F51827" w:rsidP="00573CCE">
            <w:pPr>
              <w:pStyle w:val="Tablecolumnheadings"/>
              <w:jc w:val="right"/>
              <w:rPr>
                <w:lang w:val="en-US"/>
              </w:rPr>
            </w:pPr>
            <w:r>
              <w:rPr>
                <w:lang w:val="en-US"/>
              </w:rPr>
              <w:t xml:space="preserve">Trade balance </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DDDDDD"/>
            <w:vAlign w:val="bottom"/>
          </w:tcPr>
          <w:p w:rsidR="00F51827" w:rsidRDefault="00F51827" w:rsidP="00573CCE">
            <w:pPr>
              <w:pStyle w:val="Tabletext"/>
              <w:jc w:val="right"/>
              <w:rPr>
                <w:lang w:val="en-US"/>
              </w:rPr>
            </w:pPr>
          </w:p>
        </w:tc>
        <w:tc>
          <w:tcPr>
            <w:tcW w:w="683" w:type="pct"/>
            <w:tcBorders>
              <w:top w:val="nil"/>
            </w:tcBorders>
            <w:shd w:val="clear" w:color="auto" w:fill="DDDDDD"/>
            <w:vAlign w:val="bottom"/>
          </w:tcPr>
          <w:p w:rsidR="00F51827" w:rsidRDefault="00327B45" w:rsidP="00573CCE">
            <w:pPr>
              <w:pStyle w:val="Tabletext"/>
              <w:jc w:val="right"/>
              <w:rPr>
                <w:sz w:val="22"/>
              </w:rPr>
            </w:pPr>
            <w:r>
              <w:rPr>
                <w:lang w:val="en-US"/>
              </w:rPr>
              <w:t>£</w:t>
            </w:r>
            <w:r w:rsidR="00F51827">
              <w:t> million</w:t>
            </w:r>
          </w:p>
        </w:tc>
        <w:tc>
          <w:tcPr>
            <w:tcW w:w="683" w:type="pct"/>
            <w:tcBorders>
              <w:top w:val="nil"/>
            </w:tcBorders>
            <w:shd w:val="clear" w:color="auto" w:fill="DDDDDD"/>
          </w:tcPr>
          <w:p w:rsidR="00F51827" w:rsidRDefault="00327B45" w:rsidP="00573CCE">
            <w:pPr>
              <w:pStyle w:val="Tabletext"/>
              <w:jc w:val="right"/>
            </w:pPr>
            <w:r>
              <w:rPr>
                <w:lang w:val="en-US"/>
              </w:rPr>
              <w:t>£</w:t>
            </w:r>
            <w:r w:rsidR="00F51827" w:rsidRPr="00ED7ED1">
              <w:t> million</w:t>
            </w:r>
          </w:p>
        </w:tc>
        <w:tc>
          <w:tcPr>
            <w:tcW w:w="683" w:type="pct"/>
            <w:tcBorders>
              <w:top w:val="nil"/>
            </w:tcBorders>
            <w:shd w:val="clear" w:color="auto" w:fill="DDDDDD"/>
          </w:tcPr>
          <w:p w:rsidR="00F51827" w:rsidRDefault="00327B45" w:rsidP="00573CCE">
            <w:pPr>
              <w:pStyle w:val="Tabletext"/>
              <w:jc w:val="right"/>
            </w:pPr>
            <w:r>
              <w:rPr>
                <w:lang w:val="en-US"/>
              </w:rPr>
              <w:t>£</w:t>
            </w:r>
            <w:r w:rsidR="00F51827" w:rsidRPr="00ED7ED1">
              <w:t> million</w:t>
            </w:r>
          </w:p>
        </w:tc>
        <w:tc>
          <w:tcPr>
            <w:tcW w:w="683" w:type="pct"/>
            <w:tcBorders>
              <w:top w:val="nil"/>
            </w:tcBorders>
            <w:shd w:val="clear" w:color="auto" w:fill="DDDDDD"/>
          </w:tcPr>
          <w:p w:rsidR="00F51827" w:rsidRDefault="00327B45" w:rsidP="00573CCE">
            <w:pPr>
              <w:pStyle w:val="Tabletext"/>
              <w:jc w:val="right"/>
            </w:pPr>
            <w:r>
              <w:rPr>
                <w:lang w:val="en-US"/>
              </w:rPr>
              <w:t>£</w:t>
            </w:r>
            <w:r w:rsidR="00F51827" w:rsidRPr="00ED7ED1">
              <w:t> million</w:t>
            </w:r>
          </w:p>
        </w:tc>
        <w:tc>
          <w:tcPr>
            <w:tcW w:w="683" w:type="pct"/>
            <w:tcBorders>
              <w:top w:val="nil"/>
            </w:tcBorders>
            <w:shd w:val="clear" w:color="auto" w:fill="DDDDDD"/>
          </w:tcPr>
          <w:p w:rsidR="00F51827" w:rsidRDefault="00327B45" w:rsidP="00573CCE">
            <w:pPr>
              <w:pStyle w:val="Tabletext"/>
              <w:jc w:val="right"/>
            </w:pPr>
            <w:r>
              <w:rPr>
                <w:lang w:val="en-US"/>
              </w:rPr>
              <w:t>£</w:t>
            </w:r>
            <w:r w:rsidR="00F51827" w:rsidRPr="00ED7ED1">
              <w:t> million</w:t>
            </w:r>
          </w:p>
        </w:tc>
        <w:tc>
          <w:tcPr>
            <w:tcW w:w="678" w:type="pct"/>
            <w:tcBorders>
              <w:top w:val="nil"/>
            </w:tcBorders>
            <w:shd w:val="clear" w:color="auto" w:fill="DDDDDD"/>
          </w:tcPr>
          <w:p w:rsidR="00F51827" w:rsidRDefault="00327B45" w:rsidP="00573CCE">
            <w:pPr>
              <w:pStyle w:val="Tabletext"/>
              <w:jc w:val="right"/>
            </w:pPr>
            <w:r>
              <w:rPr>
                <w:lang w:val="en-US"/>
              </w:rPr>
              <w:t>£</w:t>
            </w:r>
            <w:r w:rsidR="00F51827" w:rsidRPr="00ED7ED1">
              <w:t> million</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auto"/>
            <w:vAlign w:val="bottom"/>
          </w:tcPr>
          <w:p w:rsidR="00327B45" w:rsidRDefault="00327B45" w:rsidP="00327B45">
            <w:pPr>
              <w:pStyle w:val="Tabletext"/>
              <w:rPr>
                <w:lang w:val="en-US"/>
              </w:rPr>
            </w:pPr>
            <w:r>
              <w:t>2007-08</w:t>
            </w:r>
          </w:p>
        </w:tc>
        <w:tc>
          <w:tcPr>
            <w:tcW w:w="683" w:type="pct"/>
            <w:tcBorders>
              <w:top w:val="nil"/>
            </w:tcBorders>
            <w:shd w:val="clear" w:color="auto" w:fill="auto"/>
            <w:vAlign w:val="bottom"/>
          </w:tcPr>
          <w:p w:rsidR="00327B45" w:rsidRDefault="00327B45" w:rsidP="00327B45">
            <w:pPr>
              <w:pStyle w:val="Tabletext"/>
              <w:jc w:val="right"/>
              <w:rPr>
                <w:lang w:val="en-US"/>
              </w:rPr>
            </w:pPr>
            <w:r>
              <w:t>933.0</w:t>
            </w:r>
          </w:p>
        </w:tc>
        <w:tc>
          <w:tcPr>
            <w:tcW w:w="683" w:type="pct"/>
            <w:tcBorders>
              <w:top w:val="nil"/>
            </w:tcBorders>
            <w:shd w:val="clear" w:color="auto" w:fill="auto"/>
            <w:vAlign w:val="bottom"/>
          </w:tcPr>
          <w:p w:rsidR="00327B45" w:rsidRDefault="00327B45" w:rsidP="00327B45">
            <w:pPr>
              <w:pStyle w:val="Tabletext"/>
              <w:jc w:val="right"/>
            </w:pPr>
            <w:r>
              <w:t>185.4</w:t>
            </w:r>
          </w:p>
        </w:tc>
        <w:tc>
          <w:tcPr>
            <w:tcW w:w="683" w:type="pct"/>
            <w:tcBorders>
              <w:top w:val="nil"/>
            </w:tcBorders>
            <w:shd w:val="clear" w:color="auto" w:fill="auto"/>
            <w:vAlign w:val="bottom"/>
          </w:tcPr>
          <w:p w:rsidR="00327B45" w:rsidRDefault="00327B45" w:rsidP="00327B45">
            <w:pPr>
              <w:pStyle w:val="Tabletext"/>
              <w:jc w:val="right"/>
            </w:pPr>
            <w:r>
              <w:t>672.0</w:t>
            </w:r>
          </w:p>
        </w:tc>
        <w:tc>
          <w:tcPr>
            <w:tcW w:w="683" w:type="pct"/>
            <w:tcBorders>
              <w:top w:val="nil"/>
            </w:tcBorders>
            <w:shd w:val="clear" w:color="auto" w:fill="auto"/>
            <w:vAlign w:val="bottom"/>
          </w:tcPr>
          <w:p w:rsidR="00327B45" w:rsidRDefault="00327B45" w:rsidP="00327B45">
            <w:pPr>
              <w:pStyle w:val="Tabletext"/>
              <w:jc w:val="right"/>
            </w:pPr>
            <w:r>
              <w:t>489.7</w:t>
            </w:r>
          </w:p>
        </w:tc>
        <w:tc>
          <w:tcPr>
            <w:tcW w:w="683" w:type="pct"/>
            <w:tcBorders>
              <w:top w:val="nil"/>
            </w:tcBorders>
            <w:shd w:val="clear" w:color="auto" w:fill="auto"/>
            <w:vAlign w:val="bottom"/>
          </w:tcPr>
          <w:p w:rsidR="00327B45" w:rsidRDefault="00327B45" w:rsidP="00327B45">
            <w:pPr>
              <w:pStyle w:val="Tabletext"/>
              <w:jc w:val="right"/>
            </w:pPr>
            <w:r>
              <w:t>750.7</w:t>
            </w:r>
          </w:p>
        </w:tc>
        <w:tc>
          <w:tcPr>
            <w:tcW w:w="678" w:type="pct"/>
            <w:tcBorders>
              <w:top w:val="nil"/>
            </w:tcBorders>
            <w:shd w:val="clear" w:color="auto" w:fill="auto"/>
            <w:vAlign w:val="bottom"/>
          </w:tcPr>
          <w:p w:rsidR="00327B45" w:rsidRDefault="00327B45" w:rsidP="00327B45">
            <w:pPr>
              <w:pStyle w:val="Tabletext"/>
              <w:jc w:val="right"/>
            </w:pPr>
            <w:r>
              <w:t>182.3</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2008-09</w:t>
            </w:r>
          </w:p>
        </w:tc>
        <w:tc>
          <w:tcPr>
            <w:tcW w:w="683" w:type="pct"/>
            <w:shd w:val="clear" w:color="auto" w:fill="auto"/>
            <w:vAlign w:val="bottom"/>
          </w:tcPr>
          <w:p w:rsidR="00327B45" w:rsidRDefault="00327B45" w:rsidP="00327B45">
            <w:pPr>
              <w:pStyle w:val="Tabletext"/>
              <w:jc w:val="right"/>
            </w:pPr>
            <w:r>
              <w:t>954.3</w:t>
            </w:r>
          </w:p>
        </w:tc>
        <w:tc>
          <w:tcPr>
            <w:tcW w:w="683" w:type="pct"/>
            <w:shd w:val="clear" w:color="auto" w:fill="auto"/>
            <w:vAlign w:val="bottom"/>
          </w:tcPr>
          <w:p w:rsidR="00327B45" w:rsidRDefault="00327B45" w:rsidP="00327B45">
            <w:pPr>
              <w:pStyle w:val="Tabletext"/>
              <w:jc w:val="right"/>
            </w:pPr>
            <w:r>
              <w:t>189.7</w:t>
            </w:r>
          </w:p>
        </w:tc>
        <w:tc>
          <w:tcPr>
            <w:tcW w:w="683" w:type="pct"/>
            <w:shd w:val="clear" w:color="auto" w:fill="auto"/>
            <w:vAlign w:val="bottom"/>
          </w:tcPr>
          <w:p w:rsidR="00327B45" w:rsidRDefault="00327B45" w:rsidP="00327B45">
            <w:pPr>
              <w:pStyle w:val="Tabletext"/>
              <w:jc w:val="right"/>
            </w:pPr>
            <w:r>
              <w:t>809.8</w:t>
            </w:r>
          </w:p>
        </w:tc>
        <w:tc>
          <w:tcPr>
            <w:tcW w:w="683" w:type="pct"/>
            <w:shd w:val="clear" w:color="auto" w:fill="auto"/>
            <w:vAlign w:val="bottom"/>
          </w:tcPr>
          <w:p w:rsidR="00327B45" w:rsidRDefault="00327B45" w:rsidP="00327B45">
            <w:pPr>
              <w:pStyle w:val="Tabletext"/>
              <w:jc w:val="right"/>
            </w:pPr>
            <w:r>
              <w:t>595.3</w:t>
            </w:r>
          </w:p>
        </w:tc>
        <w:tc>
          <w:tcPr>
            <w:tcW w:w="683" w:type="pct"/>
            <w:shd w:val="clear" w:color="auto" w:fill="auto"/>
            <w:vAlign w:val="bottom"/>
          </w:tcPr>
          <w:p w:rsidR="00327B45" w:rsidRDefault="00327B45" w:rsidP="00327B45">
            <w:pPr>
              <w:pStyle w:val="Tabletext"/>
              <w:jc w:val="right"/>
            </w:pPr>
            <w:r>
              <w:t>739.8</w:t>
            </w:r>
          </w:p>
        </w:tc>
        <w:tc>
          <w:tcPr>
            <w:tcW w:w="678" w:type="pct"/>
            <w:shd w:val="clear" w:color="auto" w:fill="auto"/>
            <w:vAlign w:val="bottom"/>
          </w:tcPr>
          <w:p w:rsidR="00327B45" w:rsidRDefault="00327B45" w:rsidP="00327B45">
            <w:pPr>
              <w:pStyle w:val="Tabletext"/>
              <w:jc w:val="right"/>
            </w:pPr>
            <w:r>
              <w:t>214.5</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2009-10</w:t>
            </w:r>
          </w:p>
        </w:tc>
        <w:tc>
          <w:tcPr>
            <w:tcW w:w="683" w:type="pct"/>
            <w:shd w:val="clear" w:color="auto" w:fill="auto"/>
            <w:vAlign w:val="bottom"/>
          </w:tcPr>
          <w:p w:rsidR="00327B45" w:rsidRDefault="00327B45" w:rsidP="00327B45">
            <w:pPr>
              <w:pStyle w:val="Tabletext"/>
              <w:jc w:val="right"/>
            </w:pPr>
            <w:r>
              <w:t>1</w:t>
            </w:r>
            <w:r w:rsidR="0067278D">
              <w:t>,</w:t>
            </w:r>
            <w:r>
              <w:t>085.0</w:t>
            </w:r>
          </w:p>
        </w:tc>
        <w:tc>
          <w:tcPr>
            <w:tcW w:w="683" w:type="pct"/>
            <w:shd w:val="clear" w:color="auto" w:fill="auto"/>
            <w:vAlign w:val="bottom"/>
          </w:tcPr>
          <w:p w:rsidR="00327B45" w:rsidRDefault="00327B45" w:rsidP="00327B45">
            <w:pPr>
              <w:pStyle w:val="Tabletext"/>
              <w:jc w:val="right"/>
            </w:pPr>
            <w:r>
              <w:t>210.7</w:t>
            </w:r>
          </w:p>
        </w:tc>
        <w:tc>
          <w:tcPr>
            <w:tcW w:w="683" w:type="pct"/>
            <w:shd w:val="clear" w:color="auto" w:fill="auto"/>
            <w:vAlign w:val="bottom"/>
          </w:tcPr>
          <w:p w:rsidR="00327B45" w:rsidRDefault="00327B45" w:rsidP="00327B45">
            <w:pPr>
              <w:pStyle w:val="Tabletext"/>
              <w:jc w:val="right"/>
            </w:pPr>
            <w:r>
              <w:t>906.9</w:t>
            </w:r>
          </w:p>
        </w:tc>
        <w:tc>
          <w:tcPr>
            <w:tcW w:w="683" w:type="pct"/>
            <w:shd w:val="clear" w:color="auto" w:fill="auto"/>
            <w:vAlign w:val="bottom"/>
          </w:tcPr>
          <w:p w:rsidR="00327B45" w:rsidRDefault="00327B45" w:rsidP="00327B45">
            <w:pPr>
              <w:pStyle w:val="Tabletext"/>
              <w:jc w:val="right"/>
            </w:pPr>
            <w:r>
              <w:t>525.9</w:t>
            </w:r>
          </w:p>
        </w:tc>
        <w:tc>
          <w:tcPr>
            <w:tcW w:w="683" w:type="pct"/>
            <w:shd w:val="clear" w:color="auto" w:fill="auto"/>
            <w:vAlign w:val="bottom"/>
          </w:tcPr>
          <w:p w:rsidR="00327B45" w:rsidRDefault="00327B45" w:rsidP="00327B45">
            <w:pPr>
              <w:pStyle w:val="Tabletext"/>
              <w:jc w:val="right"/>
            </w:pPr>
            <w:r>
              <w:t>704.0</w:t>
            </w:r>
          </w:p>
        </w:tc>
        <w:tc>
          <w:tcPr>
            <w:tcW w:w="678" w:type="pct"/>
            <w:shd w:val="clear" w:color="auto" w:fill="auto"/>
            <w:vAlign w:val="bottom"/>
          </w:tcPr>
          <w:p w:rsidR="00327B45" w:rsidRDefault="00327B45" w:rsidP="00327B45">
            <w:pPr>
              <w:pStyle w:val="Tabletext"/>
              <w:jc w:val="right"/>
            </w:pPr>
            <w:r>
              <w:t>381.0</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2010-11</w:t>
            </w:r>
          </w:p>
        </w:tc>
        <w:tc>
          <w:tcPr>
            <w:tcW w:w="683" w:type="pct"/>
            <w:shd w:val="clear" w:color="auto" w:fill="auto"/>
            <w:vAlign w:val="bottom"/>
          </w:tcPr>
          <w:p w:rsidR="00327B45" w:rsidRDefault="00327B45" w:rsidP="00327B45">
            <w:pPr>
              <w:pStyle w:val="Tabletext"/>
              <w:jc w:val="right"/>
            </w:pPr>
            <w:r>
              <w:t>913.7</w:t>
            </w:r>
          </w:p>
        </w:tc>
        <w:tc>
          <w:tcPr>
            <w:tcW w:w="683" w:type="pct"/>
            <w:shd w:val="clear" w:color="auto" w:fill="auto"/>
            <w:vAlign w:val="bottom"/>
          </w:tcPr>
          <w:p w:rsidR="00327B45" w:rsidRDefault="00327B45" w:rsidP="00327B45">
            <w:pPr>
              <w:pStyle w:val="Tabletext"/>
              <w:jc w:val="right"/>
            </w:pPr>
            <w:r>
              <w:t>179.4</w:t>
            </w:r>
          </w:p>
        </w:tc>
        <w:tc>
          <w:tcPr>
            <w:tcW w:w="683" w:type="pct"/>
            <w:shd w:val="clear" w:color="auto" w:fill="auto"/>
            <w:vAlign w:val="bottom"/>
          </w:tcPr>
          <w:p w:rsidR="00327B45" w:rsidRDefault="00327B45" w:rsidP="00327B45">
            <w:pPr>
              <w:pStyle w:val="Tabletext"/>
              <w:jc w:val="right"/>
            </w:pPr>
            <w:r>
              <w:t>908.0</w:t>
            </w:r>
          </w:p>
        </w:tc>
        <w:tc>
          <w:tcPr>
            <w:tcW w:w="683" w:type="pct"/>
            <w:shd w:val="clear" w:color="auto" w:fill="auto"/>
            <w:vAlign w:val="bottom"/>
          </w:tcPr>
          <w:p w:rsidR="00327B45" w:rsidRDefault="00327B45" w:rsidP="00327B45">
            <w:pPr>
              <w:pStyle w:val="Tabletext"/>
              <w:jc w:val="right"/>
            </w:pPr>
            <w:r>
              <w:t>575.4</w:t>
            </w:r>
          </w:p>
        </w:tc>
        <w:tc>
          <w:tcPr>
            <w:tcW w:w="683" w:type="pct"/>
            <w:shd w:val="clear" w:color="auto" w:fill="auto"/>
            <w:vAlign w:val="bottom"/>
          </w:tcPr>
          <w:p w:rsidR="00327B45" w:rsidRDefault="00327B45" w:rsidP="00327B45">
            <w:pPr>
              <w:pStyle w:val="Tabletext"/>
              <w:jc w:val="right"/>
            </w:pPr>
            <w:r>
              <w:t>581.1</w:t>
            </w:r>
          </w:p>
        </w:tc>
        <w:tc>
          <w:tcPr>
            <w:tcW w:w="678" w:type="pct"/>
            <w:shd w:val="clear" w:color="auto" w:fill="auto"/>
            <w:vAlign w:val="bottom"/>
          </w:tcPr>
          <w:p w:rsidR="00327B45" w:rsidRDefault="00327B45" w:rsidP="00327B45">
            <w:pPr>
              <w:pStyle w:val="Tabletext"/>
              <w:jc w:val="right"/>
            </w:pPr>
            <w:r>
              <w:t>332.6</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2011-12</w:t>
            </w:r>
          </w:p>
        </w:tc>
        <w:tc>
          <w:tcPr>
            <w:tcW w:w="683" w:type="pct"/>
            <w:shd w:val="clear" w:color="auto" w:fill="auto"/>
            <w:vAlign w:val="bottom"/>
          </w:tcPr>
          <w:p w:rsidR="00327B45" w:rsidRDefault="00327B45" w:rsidP="00327B45">
            <w:pPr>
              <w:pStyle w:val="Tabletext"/>
              <w:jc w:val="right"/>
            </w:pPr>
            <w:r>
              <w:t>1</w:t>
            </w:r>
            <w:r w:rsidR="0067278D">
              <w:t>,</w:t>
            </w:r>
            <w:r>
              <w:t>087.3</w:t>
            </w:r>
          </w:p>
        </w:tc>
        <w:tc>
          <w:tcPr>
            <w:tcW w:w="683" w:type="pct"/>
            <w:shd w:val="clear" w:color="auto" w:fill="auto"/>
            <w:vAlign w:val="bottom"/>
          </w:tcPr>
          <w:p w:rsidR="00327B45" w:rsidRDefault="00327B45" w:rsidP="00327B45">
            <w:pPr>
              <w:pStyle w:val="Tabletext"/>
              <w:jc w:val="right"/>
            </w:pPr>
            <w:r>
              <w:t>196.2</w:t>
            </w:r>
          </w:p>
        </w:tc>
        <w:tc>
          <w:tcPr>
            <w:tcW w:w="683" w:type="pct"/>
            <w:shd w:val="clear" w:color="auto" w:fill="auto"/>
            <w:vAlign w:val="bottom"/>
          </w:tcPr>
          <w:p w:rsidR="00327B45" w:rsidRDefault="00327B45" w:rsidP="00327B45">
            <w:pPr>
              <w:pStyle w:val="Tabletext"/>
              <w:jc w:val="right"/>
            </w:pPr>
            <w:r>
              <w:t>1</w:t>
            </w:r>
            <w:r w:rsidR="0067278D">
              <w:t>,</w:t>
            </w:r>
            <w:r>
              <w:t>022.7</w:t>
            </w:r>
          </w:p>
        </w:tc>
        <w:tc>
          <w:tcPr>
            <w:tcW w:w="683" w:type="pct"/>
            <w:shd w:val="clear" w:color="auto" w:fill="auto"/>
            <w:vAlign w:val="bottom"/>
          </w:tcPr>
          <w:p w:rsidR="00327B45" w:rsidRDefault="00327B45" w:rsidP="00327B45">
            <w:pPr>
              <w:pStyle w:val="Tabletext"/>
              <w:jc w:val="right"/>
            </w:pPr>
            <w:r>
              <w:t>624.5</w:t>
            </w:r>
          </w:p>
        </w:tc>
        <w:tc>
          <w:tcPr>
            <w:tcW w:w="683" w:type="pct"/>
            <w:shd w:val="clear" w:color="auto" w:fill="auto"/>
            <w:vAlign w:val="bottom"/>
          </w:tcPr>
          <w:p w:rsidR="00327B45" w:rsidRDefault="00327B45" w:rsidP="00327B45">
            <w:pPr>
              <w:pStyle w:val="Tabletext"/>
              <w:jc w:val="right"/>
            </w:pPr>
            <w:r>
              <w:t>689.1</w:t>
            </w:r>
          </w:p>
        </w:tc>
        <w:tc>
          <w:tcPr>
            <w:tcW w:w="678" w:type="pct"/>
            <w:shd w:val="clear" w:color="auto" w:fill="auto"/>
            <w:vAlign w:val="bottom"/>
          </w:tcPr>
          <w:p w:rsidR="00327B45" w:rsidRDefault="00327B45" w:rsidP="00327B45">
            <w:pPr>
              <w:pStyle w:val="Tabletext"/>
              <w:jc w:val="right"/>
            </w:pPr>
            <w:r>
              <w:t>398.2</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2012-13</w:t>
            </w:r>
          </w:p>
        </w:tc>
        <w:tc>
          <w:tcPr>
            <w:tcW w:w="683" w:type="pct"/>
            <w:shd w:val="clear" w:color="auto" w:fill="auto"/>
            <w:vAlign w:val="bottom"/>
          </w:tcPr>
          <w:p w:rsidR="00327B45" w:rsidRDefault="00327B45" w:rsidP="00327B45">
            <w:pPr>
              <w:pStyle w:val="Tabletext"/>
              <w:jc w:val="right"/>
            </w:pPr>
            <w:r>
              <w:t>1</w:t>
            </w:r>
            <w:r w:rsidR="0067278D">
              <w:t>,</w:t>
            </w:r>
            <w:r>
              <w:t>151.1</w:t>
            </w:r>
          </w:p>
        </w:tc>
        <w:tc>
          <w:tcPr>
            <w:tcW w:w="683" w:type="pct"/>
            <w:shd w:val="clear" w:color="auto" w:fill="auto"/>
            <w:vAlign w:val="bottom"/>
          </w:tcPr>
          <w:p w:rsidR="00327B45" w:rsidRDefault="00327B45" w:rsidP="00327B45">
            <w:pPr>
              <w:pStyle w:val="Tabletext"/>
              <w:jc w:val="right"/>
            </w:pPr>
            <w:r>
              <w:t>218.6</w:t>
            </w:r>
          </w:p>
        </w:tc>
        <w:tc>
          <w:tcPr>
            <w:tcW w:w="683" w:type="pct"/>
            <w:shd w:val="clear" w:color="auto" w:fill="auto"/>
            <w:vAlign w:val="bottom"/>
          </w:tcPr>
          <w:p w:rsidR="00327B45" w:rsidRDefault="00327B45" w:rsidP="00327B45">
            <w:pPr>
              <w:pStyle w:val="Tabletext"/>
              <w:jc w:val="right"/>
            </w:pPr>
            <w:r>
              <w:t>997.1</w:t>
            </w:r>
          </w:p>
        </w:tc>
        <w:tc>
          <w:tcPr>
            <w:tcW w:w="683" w:type="pct"/>
            <w:shd w:val="clear" w:color="auto" w:fill="auto"/>
            <w:vAlign w:val="bottom"/>
          </w:tcPr>
          <w:p w:rsidR="00327B45" w:rsidRDefault="00327B45" w:rsidP="00327B45">
            <w:pPr>
              <w:pStyle w:val="Tabletext"/>
              <w:jc w:val="right"/>
            </w:pPr>
            <w:r>
              <w:t>660.3</w:t>
            </w:r>
          </w:p>
        </w:tc>
        <w:tc>
          <w:tcPr>
            <w:tcW w:w="683" w:type="pct"/>
            <w:shd w:val="clear" w:color="auto" w:fill="auto"/>
            <w:vAlign w:val="bottom"/>
          </w:tcPr>
          <w:p w:rsidR="00327B45" w:rsidRDefault="00327B45" w:rsidP="00327B45">
            <w:pPr>
              <w:pStyle w:val="Tabletext"/>
              <w:jc w:val="right"/>
            </w:pPr>
            <w:r>
              <w:t>814.3</w:t>
            </w:r>
          </w:p>
        </w:tc>
        <w:tc>
          <w:tcPr>
            <w:tcW w:w="678" w:type="pct"/>
            <w:shd w:val="clear" w:color="auto" w:fill="auto"/>
            <w:vAlign w:val="bottom"/>
          </w:tcPr>
          <w:p w:rsidR="00327B45" w:rsidRDefault="00327B45" w:rsidP="00327B45">
            <w:pPr>
              <w:pStyle w:val="Tabletext"/>
              <w:jc w:val="right"/>
            </w:pPr>
            <w:r>
              <w:t>336.8</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2013-14</w:t>
            </w:r>
          </w:p>
        </w:tc>
        <w:tc>
          <w:tcPr>
            <w:tcW w:w="683" w:type="pct"/>
            <w:shd w:val="clear" w:color="auto" w:fill="auto"/>
            <w:vAlign w:val="bottom"/>
          </w:tcPr>
          <w:p w:rsidR="00327B45" w:rsidRDefault="00327B45" w:rsidP="00327B45">
            <w:pPr>
              <w:pStyle w:val="Tabletext"/>
              <w:jc w:val="right"/>
            </w:pPr>
            <w:r>
              <w:t>1</w:t>
            </w:r>
            <w:r w:rsidR="0067278D">
              <w:t>,</w:t>
            </w:r>
            <w:r>
              <w:t>211.4</w:t>
            </w:r>
          </w:p>
        </w:tc>
        <w:tc>
          <w:tcPr>
            <w:tcW w:w="683" w:type="pct"/>
            <w:shd w:val="clear" w:color="auto" w:fill="auto"/>
            <w:vAlign w:val="bottom"/>
          </w:tcPr>
          <w:p w:rsidR="00327B45" w:rsidRDefault="00327B45" w:rsidP="00327B45">
            <w:pPr>
              <w:pStyle w:val="Tabletext"/>
              <w:jc w:val="right"/>
            </w:pPr>
            <w:r>
              <w:t>220.8</w:t>
            </w:r>
          </w:p>
        </w:tc>
        <w:tc>
          <w:tcPr>
            <w:tcW w:w="683" w:type="pct"/>
            <w:shd w:val="clear" w:color="auto" w:fill="auto"/>
            <w:vAlign w:val="bottom"/>
          </w:tcPr>
          <w:p w:rsidR="00327B45" w:rsidRDefault="00327B45" w:rsidP="00327B45">
            <w:pPr>
              <w:pStyle w:val="Tabletext"/>
              <w:jc w:val="right"/>
            </w:pPr>
            <w:r>
              <w:t>1</w:t>
            </w:r>
            <w:r w:rsidR="0067278D">
              <w:t>,</w:t>
            </w:r>
            <w:r>
              <w:t>049.3</w:t>
            </w:r>
          </w:p>
        </w:tc>
        <w:tc>
          <w:tcPr>
            <w:tcW w:w="683" w:type="pct"/>
            <w:shd w:val="clear" w:color="auto" w:fill="auto"/>
            <w:vAlign w:val="bottom"/>
          </w:tcPr>
          <w:p w:rsidR="00327B45" w:rsidRDefault="00327B45" w:rsidP="00327B45">
            <w:pPr>
              <w:pStyle w:val="Tabletext"/>
              <w:jc w:val="right"/>
            </w:pPr>
            <w:r>
              <w:t>629.6</w:t>
            </w:r>
          </w:p>
        </w:tc>
        <w:tc>
          <w:tcPr>
            <w:tcW w:w="683" w:type="pct"/>
            <w:shd w:val="clear" w:color="auto" w:fill="auto"/>
            <w:vAlign w:val="bottom"/>
          </w:tcPr>
          <w:p w:rsidR="00327B45" w:rsidRDefault="00327B45" w:rsidP="00327B45">
            <w:pPr>
              <w:pStyle w:val="Tabletext"/>
              <w:jc w:val="right"/>
            </w:pPr>
            <w:r>
              <w:t>791.7</w:t>
            </w:r>
          </w:p>
        </w:tc>
        <w:tc>
          <w:tcPr>
            <w:tcW w:w="678" w:type="pct"/>
            <w:shd w:val="clear" w:color="auto" w:fill="auto"/>
            <w:vAlign w:val="bottom"/>
          </w:tcPr>
          <w:p w:rsidR="00327B45" w:rsidRDefault="00327B45" w:rsidP="00327B45">
            <w:pPr>
              <w:pStyle w:val="Tabletext"/>
              <w:jc w:val="right"/>
            </w:pPr>
            <w:r>
              <w:t>419.7</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2014-15</w:t>
            </w:r>
          </w:p>
        </w:tc>
        <w:tc>
          <w:tcPr>
            <w:tcW w:w="683" w:type="pct"/>
            <w:shd w:val="clear" w:color="auto" w:fill="auto"/>
            <w:vAlign w:val="bottom"/>
          </w:tcPr>
          <w:p w:rsidR="00327B45" w:rsidRDefault="00327B45" w:rsidP="00327B45">
            <w:pPr>
              <w:pStyle w:val="Tabletext"/>
              <w:jc w:val="right"/>
            </w:pPr>
            <w:r>
              <w:t>1</w:t>
            </w:r>
            <w:r w:rsidR="0067278D">
              <w:t>,</w:t>
            </w:r>
            <w:r>
              <w:t>167.0</w:t>
            </w:r>
          </w:p>
        </w:tc>
        <w:tc>
          <w:tcPr>
            <w:tcW w:w="683" w:type="pct"/>
            <w:shd w:val="clear" w:color="auto" w:fill="auto"/>
            <w:vAlign w:val="bottom"/>
          </w:tcPr>
          <w:p w:rsidR="00327B45" w:rsidRDefault="00327B45" w:rsidP="00327B45">
            <w:pPr>
              <w:pStyle w:val="Tabletext"/>
              <w:jc w:val="right"/>
            </w:pPr>
            <w:r>
              <w:t>216.1</w:t>
            </w:r>
          </w:p>
        </w:tc>
        <w:tc>
          <w:tcPr>
            <w:tcW w:w="683" w:type="pct"/>
            <w:shd w:val="clear" w:color="auto" w:fill="auto"/>
            <w:vAlign w:val="bottom"/>
          </w:tcPr>
          <w:p w:rsidR="00327B45" w:rsidRDefault="00327B45" w:rsidP="00327B45">
            <w:pPr>
              <w:pStyle w:val="Tabletext"/>
              <w:jc w:val="right"/>
            </w:pPr>
            <w:r>
              <w:t>1</w:t>
            </w:r>
            <w:r w:rsidR="0067278D">
              <w:t>,</w:t>
            </w:r>
            <w:r>
              <w:t>072.2</w:t>
            </w:r>
          </w:p>
        </w:tc>
        <w:tc>
          <w:tcPr>
            <w:tcW w:w="683" w:type="pct"/>
            <w:shd w:val="clear" w:color="auto" w:fill="auto"/>
            <w:vAlign w:val="bottom"/>
          </w:tcPr>
          <w:p w:rsidR="00327B45" w:rsidRDefault="00327B45" w:rsidP="00327B45">
            <w:pPr>
              <w:pStyle w:val="Tabletext"/>
              <w:jc w:val="right"/>
            </w:pPr>
            <w:r>
              <w:t>629.3</w:t>
            </w:r>
          </w:p>
        </w:tc>
        <w:tc>
          <w:tcPr>
            <w:tcW w:w="683" w:type="pct"/>
            <w:shd w:val="clear" w:color="auto" w:fill="auto"/>
            <w:vAlign w:val="bottom"/>
          </w:tcPr>
          <w:p w:rsidR="00327B45" w:rsidRDefault="00327B45" w:rsidP="00327B45">
            <w:pPr>
              <w:pStyle w:val="Tabletext"/>
              <w:jc w:val="right"/>
            </w:pPr>
            <w:r>
              <w:t>724.1</w:t>
            </w:r>
          </w:p>
        </w:tc>
        <w:tc>
          <w:tcPr>
            <w:tcW w:w="678" w:type="pct"/>
            <w:shd w:val="clear" w:color="auto" w:fill="auto"/>
            <w:vAlign w:val="bottom"/>
          </w:tcPr>
          <w:p w:rsidR="00327B45" w:rsidRDefault="00327B45" w:rsidP="00327B45">
            <w:pPr>
              <w:pStyle w:val="Tabletext"/>
              <w:jc w:val="right"/>
            </w:pPr>
            <w:r>
              <w:t>442.9</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327B45" w:rsidRDefault="00327B45" w:rsidP="00327B45">
            <w:pPr>
              <w:pStyle w:val="Tabletext"/>
            </w:pPr>
            <w:r>
              <w:t>2015-16</w:t>
            </w:r>
          </w:p>
        </w:tc>
        <w:tc>
          <w:tcPr>
            <w:tcW w:w="683" w:type="pct"/>
            <w:shd w:val="clear" w:color="auto" w:fill="auto"/>
            <w:vAlign w:val="bottom"/>
          </w:tcPr>
          <w:p w:rsidR="00327B45" w:rsidRDefault="00327B45" w:rsidP="00327B45">
            <w:pPr>
              <w:pStyle w:val="Tabletext"/>
              <w:jc w:val="right"/>
            </w:pPr>
            <w:r>
              <w:t>1</w:t>
            </w:r>
            <w:r w:rsidR="0067278D">
              <w:t>,</w:t>
            </w:r>
            <w:r>
              <w:t>151.3</w:t>
            </w:r>
          </w:p>
        </w:tc>
        <w:tc>
          <w:tcPr>
            <w:tcW w:w="683" w:type="pct"/>
            <w:shd w:val="clear" w:color="auto" w:fill="auto"/>
            <w:vAlign w:val="bottom"/>
          </w:tcPr>
          <w:p w:rsidR="00327B45" w:rsidRDefault="00327B45" w:rsidP="00327B45">
            <w:pPr>
              <w:pStyle w:val="Tabletext"/>
              <w:jc w:val="right"/>
            </w:pPr>
            <w:r>
              <w:t>220.1</w:t>
            </w:r>
          </w:p>
        </w:tc>
        <w:tc>
          <w:tcPr>
            <w:tcW w:w="683" w:type="pct"/>
            <w:shd w:val="clear" w:color="auto" w:fill="auto"/>
            <w:vAlign w:val="bottom"/>
          </w:tcPr>
          <w:p w:rsidR="00327B45" w:rsidRDefault="00327B45" w:rsidP="00327B45">
            <w:pPr>
              <w:pStyle w:val="Tabletext"/>
              <w:jc w:val="right"/>
            </w:pPr>
            <w:r>
              <w:t>1</w:t>
            </w:r>
            <w:r w:rsidR="0067278D">
              <w:t>,</w:t>
            </w:r>
            <w:r>
              <w:t>121.7</w:t>
            </w:r>
          </w:p>
        </w:tc>
        <w:tc>
          <w:tcPr>
            <w:tcW w:w="683" w:type="pct"/>
            <w:shd w:val="clear" w:color="auto" w:fill="auto"/>
            <w:vAlign w:val="bottom"/>
          </w:tcPr>
          <w:p w:rsidR="00327B45" w:rsidRDefault="00327B45" w:rsidP="00327B45">
            <w:pPr>
              <w:pStyle w:val="Tabletext"/>
              <w:jc w:val="right"/>
            </w:pPr>
            <w:r>
              <w:t>631.1</w:t>
            </w:r>
          </w:p>
        </w:tc>
        <w:tc>
          <w:tcPr>
            <w:tcW w:w="683" w:type="pct"/>
            <w:shd w:val="clear" w:color="auto" w:fill="auto"/>
            <w:vAlign w:val="bottom"/>
          </w:tcPr>
          <w:p w:rsidR="00327B45" w:rsidRDefault="00327B45" w:rsidP="00327B45">
            <w:pPr>
              <w:pStyle w:val="Tabletext"/>
              <w:jc w:val="right"/>
            </w:pPr>
            <w:r>
              <w:t>660.7</w:t>
            </w:r>
          </w:p>
        </w:tc>
        <w:tc>
          <w:tcPr>
            <w:tcW w:w="678" w:type="pct"/>
            <w:shd w:val="clear" w:color="auto" w:fill="auto"/>
            <w:vAlign w:val="bottom"/>
          </w:tcPr>
          <w:p w:rsidR="00327B45" w:rsidRDefault="00327B45" w:rsidP="00327B45">
            <w:pPr>
              <w:pStyle w:val="Tabletext"/>
              <w:jc w:val="right"/>
            </w:pPr>
            <w:r>
              <w:t>490.6</w:t>
            </w:r>
          </w:p>
        </w:tc>
      </w:tr>
      <w:tr w:rsidR="00E86A68" w:rsidTr="00573CCE">
        <w:tblPrEx>
          <w:tblBorders>
            <w:bottom w:val="single" w:sz="4" w:space="0" w:color="646464"/>
            <w:insideH w:val="single" w:sz="4" w:space="0" w:color="646464"/>
          </w:tblBorders>
        </w:tblPrEx>
        <w:trPr>
          <w:gridBefore w:val="1"/>
          <w:wBefore w:w="219" w:type="pct"/>
          <w:cantSplit/>
        </w:trPr>
        <w:tc>
          <w:tcPr>
            <w:tcW w:w="4781" w:type="pct"/>
            <w:gridSpan w:val="7"/>
            <w:tcBorders>
              <w:bottom w:val="single" w:sz="4" w:space="0" w:color="646464"/>
            </w:tcBorders>
            <w:shd w:val="clear" w:color="auto" w:fill="auto"/>
          </w:tcPr>
          <w:p w:rsidR="00F51827" w:rsidRDefault="00F51827" w:rsidP="00F064FB">
            <w:pPr>
              <w:pStyle w:val="Source"/>
              <w:rPr>
                <w:lang w:val="en-US"/>
              </w:rPr>
            </w:pPr>
            <w:r>
              <w:t>Source:</w:t>
            </w:r>
            <w:r>
              <w:rPr>
                <w:lang w:val="en-US"/>
              </w:rPr>
              <w:t xml:space="preserve"> </w:t>
            </w:r>
            <w:r>
              <w:t>IBISWorld Report</w:t>
            </w:r>
            <w:r w:rsidR="00F064FB">
              <w:t xml:space="preserve"> </w:t>
            </w:r>
            <w:r>
              <w:t>2016</w:t>
            </w:r>
            <w:r w:rsidR="00327B45">
              <w:t>C</w:t>
            </w:r>
            <w:r w:rsidR="00F064FB">
              <w:t>,</w:t>
            </w:r>
            <w:r>
              <w:rPr>
                <w:lang w:val="en-US"/>
              </w:rPr>
              <w:t xml:space="preserve"> C</w:t>
            </w:r>
            <w:r w:rsidR="00327B45">
              <w:rPr>
                <w:lang w:val="en-US"/>
              </w:rPr>
              <w:t>20.200</w:t>
            </w:r>
            <w:r>
              <w:rPr>
                <w:lang w:val="en-US"/>
              </w:rPr>
              <w:t xml:space="preserve">, Pesticide </w:t>
            </w:r>
            <w:r w:rsidR="00327B45">
              <w:rPr>
                <w:lang w:val="en-US"/>
              </w:rPr>
              <w:t>and other agrochemical manufacturing in the UK, October 2016</w:t>
            </w:r>
          </w:p>
        </w:tc>
      </w:tr>
      <w:tr w:rsidR="00E86A68" w:rsidTr="00573CCE">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top w:val="single" w:sz="4" w:space="0" w:color="646464"/>
              <w:bottom w:val="nil"/>
            </w:tcBorders>
            <w:shd w:val="clear" w:color="auto" w:fill="auto"/>
          </w:tcPr>
          <w:p w:rsidR="00F51827" w:rsidRDefault="00F51827" w:rsidP="00573CCE">
            <w:pPr>
              <w:pStyle w:val="spacertbl"/>
              <w:rPr>
                <w:lang w:val="en-US"/>
              </w:rPr>
            </w:pPr>
          </w:p>
        </w:tc>
      </w:tr>
    </w:tbl>
    <w:p w:rsidR="00D31F8C" w:rsidRDefault="00F30488" w:rsidP="00D31F8C">
      <w:pPr>
        <w:pStyle w:val="BodyText"/>
      </w:pPr>
      <w:r>
        <w:t>The major players in plant protection in terms of sales revenue in the UK are Nufarm UK Limited (12.7 per cent)</w:t>
      </w:r>
      <w:r w:rsidR="009800EE">
        <w:t xml:space="preserve"> and</w:t>
      </w:r>
      <w:r>
        <w:t xml:space="preserve"> Syngenta UK Limited (12.6 per cent). </w:t>
      </w:r>
      <w:r w:rsidR="00D73917">
        <w:t xml:space="preserve">The UK Market </w:t>
      </w:r>
      <w:r>
        <w:t xml:space="preserve">is relatively less concentrated than the other countries studied in this report. </w:t>
      </w:r>
      <w:r w:rsidRPr="00EF26A7">
        <w:t xml:space="preserve">Nufarm UK is </w:t>
      </w:r>
      <w:r w:rsidR="00D73917">
        <w:t xml:space="preserve">the </w:t>
      </w:r>
      <w:r w:rsidRPr="00EF26A7">
        <w:t xml:space="preserve">subsidiary of </w:t>
      </w:r>
      <w:r w:rsidR="00D73917">
        <w:t xml:space="preserve">the </w:t>
      </w:r>
      <w:r w:rsidRPr="00EF26A7">
        <w:t xml:space="preserve">Australian </w:t>
      </w:r>
      <w:r w:rsidR="00D73917">
        <w:t xml:space="preserve">Nufarm, manufacturing </w:t>
      </w:r>
      <w:r w:rsidRPr="00EF26A7">
        <w:t>and market</w:t>
      </w:r>
      <w:r w:rsidR="00D73917">
        <w:t>ing</w:t>
      </w:r>
      <w:r w:rsidRPr="00EF26A7">
        <w:t xml:space="preserve"> generic</w:t>
      </w:r>
      <w:r>
        <w:t xml:space="preserve"> </w:t>
      </w:r>
      <w:r w:rsidRPr="00EF26A7">
        <w:t>crop-protection products</w:t>
      </w:r>
      <w:r>
        <w:t>.</w:t>
      </w:r>
    </w:p>
    <w:p w:rsidR="00D31F8C" w:rsidRDefault="00D31F8C" w:rsidP="00D31F8C">
      <w:pPr>
        <w:pStyle w:val="BodyText"/>
      </w:pPr>
      <w:r>
        <w:rPr>
          <w:lang w:val="en-US"/>
        </w:rPr>
        <w:t>Syngenta UK Limited is the British subsidiary of Syngenta AG, a Basel-based multinational specialist chemical company. Syngenta AG was formed in November 2000 following the merger of the global agribusinesses of Novartis (Novartis Agribusiness) and AstraZeneca (Zeneca Agrochemicals). Since then, Syngenta AG has grown to become a leading player in both the global crop protection and the high-value commercial seeds markets. Other companies include BASF plc, estimated market share of 4.4 per cent and Croda Europe Ltd with an estimated market share of 2.2 per cent.</w:t>
      </w:r>
      <w:r>
        <w:rPr>
          <w:rStyle w:val="FootnoteReference"/>
          <w:lang w:val="en-US"/>
        </w:rPr>
        <w:footnoteReference w:id="26"/>
      </w:r>
    </w:p>
    <w:p w:rsidR="00D31F8C" w:rsidRDefault="00D31F8C" w:rsidP="00D31F8C">
      <w:pPr>
        <w:pStyle w:val="Heading2"/>
      </w:pPr>
      <w:bookmarkStart w:id="54" w:name="_Toc497300818"/>
      <w:r>
        <w:t>US market</w:t>
      </w:r>
      <w:bookmarkEnd w:id="54"/>
    </w:p>
    <w:p w:rsidR="00D31F8C" w:rsidRDefault="00D31F8C" w:rsidP="00D31F8C">
      <w:pPr>
        <w:pStyle w:val="BodyText"/>
      </w:pPr>
      <w:r>
        <w:t>The global market for crop protection products is echoed by the US market, with the top five players accounting for 77 per cent of market share.</w:t>
      </w:r>
    </w:p>
    <w:p w:rsidR="00D31F8C" w:rsidRDefault="00D31F8C" w:rsidP="00D31F8C">
      <w:pPr>
        <w:pStyle w:val="ListBullet"/>
      </w:pPr>
      <w:r>
        <w:t>Syngenta AG (24.6 per cent)</w:t>
      </w:r>
    </w:p>
    <w:p w:rsidR="00D31F8C" w:rsidRDefault="00D31F8C" w:rsidP="00D31F8C">
      <w:pPr>
        <w:pStyle w:val="ListBullet"/>
      </w:pPr>
      <w:r>
        <w:t>The Dow Chemical Company (22.3 per cent)</w:t>
      </w:r>
    </w:p>
    <w:p w:rsidR="00D31F8C" w:rsidRDefault="00D31F8C" w:rsidP="00D31F8C">
      <w:pPr>
        <w:pStyle w:val="ListBullet"/>
      </w:pPr>
      <w:r>
        <w:t>Monsanto  (11.8 per cent)</w:t>
      </w:r>
    </w:p>
    <w:p w:rsidR="00D31F8C" w:rsidRDefault="00D31F8C" w:rsidP="00D31F8C">
      <w:pPr>
        <w:pStyle w:val="ListBullet"/>
      </w:pPr>
      <w:r>
        <w:t>Bayer AG (10.8 per cent)</w:t>
      </w:r>
      <w:r w:rsidR="00F37395">
        <w:t>, and</w:t>
      </w:r>
    </w:p>
    <w:p w:rsidR="00D31F8C" w:rsidRDefault="00D31F8C" w:rsidP="00D31F8C">
      <w:pPr>
        <w:pStyle w:val="ListBullet"/>
      </w:pPr>
      <w:r>
        <w:t>E.I du Pont de Nemours and Company (7.6 per cent)</w:t>
      </w:r>
      <w:r w:rsidR="00F30488">
        <w:t>.</w:t>
      </w:r>
    </w:p>
    <w:p w:rsidR="0095554F" w:rsidRDefault="0095554F" w:rsidP="0095554F">
      <w:pPr>
        <w:pStyle w:val="BodyText"/>
      </w:pPr>
      <w:r>
        <w:t>Syngenta operates in three segments — integrated crop protection, seeds and global lawn and garden care. The crop protection segment is involved in the discovery, development, manufacturing and marketing of a range of pesticides designed to improve crop yields and food quality.</w:t>
      </w:r>
    </w:p>
    <w:p w:rsidR="00D31F8C" w:rsidRDefault="0095554F" w:rsidP="00527CEB">
      <w:pPr>
        <w:pStyle w:val="BodyText"/>
      </w:pPr>
      <w:r>
        <w:rPr>
          <w:lang w:val="en-US"/>
        </w:rPr>
        <w:t xml:space="preserve">Monsanto is US-based and produces two main herbicide products — Roundup and Harness. </w:t>
      </w:r>
      <w:r>
        <w:t xml:space="preserve">Monsanto’s main product was threatened at the start of 2015, as Roundup’s patent covering its active ingredient expired in the </w:t>
      </w:r>
      <w:r w:rsidR="00E401E7">
        <w:t>USA</w:t>
      </w:r>
      <w:r>
        <w:t>. The consequences of this are still unclear</w:t>
      </w:r>
      <w:r w:rsidR="00D73917">
        <w:t xml:space="preserve">. Roundup </w:t>
      </w:r>
      <w:r>
        <w:t xml:space="preserve">has been the company’s best performing brand, with various extensions being introduced, including Roundup WeatherMax. </w:t>
      </w:r>
    </w:p>
    <w:p w:rsidR="00D73917" w:rsidRDefault="0095554F" w:rsidP="00527CEB">
      <w:pPr>
        <w:pStyle w:val="BodyText"/>
      </w:pPr>
      <w:r>
        <w:t xml:space="preserve">IBISWorld expects that </w:t>
      </w:r>
      <w:r w:rsidR="00D31F8C">
        <w:t>Monsanto w</w:t>
      </w:r>
      <w:r>
        <w:t xml:space="preserve">ill experience increasing competition in the years to come, as generic substitutes to Roundup are introduced </w:t>
      </w:r>
      <w:r w:rsidR="00F30488">
        <w:t>to</w:t>
      </w:r>
      <w:r>
        <w:t xml:space="preserve"> the market. Nonetheless, the company still has many patents </w:t>
      </w:r>
      <w:r w:rsidR="00D73917">
        <w:t xml:space="preserve">which remain active </w:t>
      </w:r>
      <w:r>
        <w:t>on glyphosate formulations and production processes.</w:t>
      </w:r>
      <w:r w:rsidR="00527CEB">
        <w:t xml:space="preserve"> </w:t>
      </w:r>
    </w:p>
    <w:p w:rsidR="0095554F" w:rsidRDefault="0095554F" w:rsidP="00527CEB">
      <w:pPr>
        <w:pStyle w:val="BodyText"/>
        <w:rPr>
          <w:lang w:val="en-US"/>
        </w:rPr>
      </w:pPr>
      <w:r>
        <w:rPr>
          <w:lang w:val="en-US"/>
        </w:rPr>
        <w:t>Generic products are gradually becoming an important source of competition as the patents on earlier discoveries expire. It is likely that over</w:t>
      </w:r>
      <w:r w:rsidR="00527CEB">
        <w:rPr>
          <w:lang w:val="en-US"/>
        </w:rPr>
        <w:t xml:space="preserve"> the next five years, about 80 per cent of crop protection chemicals will not be patented</w:t>
      </w:r>
      <w:r w:rsidR="00E401E7">
        <w:rPr>
          <w:lang w:val="en-US"/>
        </w:rPr>
        <w:t>,</w:t>
      </w:r>
      <w:r w:rsidR="00527CEB">
        <w:rPr>
          <w:lang w:val="en-US"/>
        </w:rPr>
        <w:t xml:space="preserve"> creating a new competitive basis for the industry.</w:t>
      </w:r>
      <w:r w:rsidR="00573CCE">
        <w:rPr>
          <w:rStyle w:val="FootnoteReference"/>
          <w:lang w:val="en-US"/>
        </w:rPr>
        <w:footnoteReference w:id="27"/>
      </w:r>
    </w:p>
    <w:p w:rsidR="00573CCE" w:rsidRDefault="00573CCE" w:rsidP="00573CCE">
      <w:pPr>
        <w:pStyle w:val="BodyText"/>
        <w:rPr>
          <w:lang w:val="en-US"/>
        </w:rPr>
      </w:pPr>
      <w:r>
        <w:rPr>
          <w:lang w:val="en-US"/>
        </w:rPr>
        <w:t xml:space="preserve">The US pesticide manufacturing industry is predominantly oriented towards the </w:t>
      </w:r>
      <w:r w:rsidR="00E401E7">
        <w:rPr>
          <w:lang w:val="en-US"/>
        </w:rPr>
        <w:t xml:space="preserve">US </w:t>
      </w:r>
      <w:r>
        <w:rPr>
          <w:lang w:val="en-US"/>
        </w:rPr>
        <w:t xml:space="preserve">domestic market, with exports accounting for around 23 per cent of industry revenue. At the same time, imports play a limited role in meeting domestic demand needs in </w:t>
      </w:r>
      <w:r w:rsidR="00222015">
        <w:rPr>
          <w:lang w:val="en-US"/>
        </w:rPr>
        <w:t xml:space="preserve">the </w:t>
      </w:r>
      <w:r w:rsidR="002516F8">
        <w:rPr>
          <w:lang w:val="en-US"/>
        </w:rPr>
        <w:t>USA</w:t>
      </w:r>
      <w:r>
        <w:rPr>
          <w:lang w:val="en-US"/>
        </w:rPr>
        <w:t xml:space="preserve"> (see </w:t>
      </w:r>
      <w:r w:rsidR="000A344D">
        <w:rPr>
          <w:lang w:val="en-US"/>
        </w:rPr>
        <w:fldChar w:fldCharType="begin"/>
      </w:r>
      <w:r w:rsidR="000A344D">
        <w:rPr>
          <w:lang w:val="en-US"/>
        </w:rPr>
        <w:instrText xml:space="preserve"> REF _Ref488080207 \h </w:instrText>
      </w:r>
      <w:r w:rsidR="000A344D">
        <w:rPr>
          <w:lang w:val="en-US"/>
        </w:rPr>
      </w:r>
      <w:r w:rsidR="000A344D">
        <w:rPr>
          <w:lang w:val="en-US"/>
        </w:rPr>
        <w:fldChar w:fldCharType="separate"/>
      </w:r>
      <w:r w:rsidR="0087688C" w:rsidRPr="00FC077F">
        <w:rPr>
          <w:rStyle w:val="CaptionLabel"/>
          <w:lang w:val="en-US"/>
        </w:rPr>
        <w:t>Table </w:t>
      </w:r>
      <w:r w:rsidR="0087688C">
        <w:rPr>
          <w:rStyle w:val="CaptionLabel"/>
          <w:noProof/>
          <w:lang w:val="en-US"/>
        </w:rPr>
        <w:t>2</w:t>
      </w:r>
      <w:r w:rsidR="0087688C" w:rsidRPr="00FC077F">
        <w:rPr>
          <w:rStyle w:val="CaptionLabel"/>
          <w:lang w:val="en-US"/>
        </w:rPr>
        <w:t>.</w:t>
      </w:r>
      <w:r w:rsidR="0087688C">
        <w:rPr>
          <w:rStyle w:val="CaptionLabel"/>
          <w:noProof/>
          <w:lang w:val="en-US"/>
        </w:rPr>
        <w:t>6</w:t>
      </w:r>
      <w:r w:rsidR="000A344D">
        <w:rPr>
          <w:lang w:val="en-US"/>
        </w:rPr>
        <w:fldChar w:fldCharType="end"/>
      </w:r>
      <w:r>
        <w:rPr>
          <w:lang w:val="en-US"/>
        </w:rPr>
        <w:t xml:space="preserve">). </w:t>
      </w:r>
    </w:p>
    <w:p w:rsidR="00573CCE" w:rsidRDefault="00573CCE" w:rsidP="00573CCE">
      <w:pPr>
        <w:pStyle w:val="Caption"/>
        <w:spacing w:before="160"/>
        <w:ind w:left="-1753" w:firstLine="0"/>
        <w:rPr>
          <w:lang w:val="en-US"/>
        </w:rPr>
      </w:pPr>
      <w:bookmarkStart w:id="55" w:name="_Ref488080207"/>
      <w:bookmarkStart w:id="56" w:name="_Toc497132805"/>
      <w:r w:rsidRPr="00FC077F">
        <w:rPr>
          <w:rStyle w:val="CaptionLabel"/>
          <w:lang w:val="en-US"/>
        </w:rPr>
        <w:t>Table </w:t>
      </w:r>
      <w:r w:rsidRPr="00FC077F">
        <w:rPr>
          <w:rStyle w:val="CaptionLabel"/>
          <w:lang w:val="en-US"/>
        </w:rPr>
        <w:fldChar w:fldCharType="begin"/>
      </w:r>
      <w:r w:rsidRPr="00FC077F">
        <w:rPr>
          <w:rStyle w:val="CaptionLabel"/>
          <w:lang w:val="en-US"/>
        </w:rPr>
        <w:instrText xml:space="preserve"> STYLEREF 1 \s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r w:rsidRPr="00FC077F">
        <w:rPr>
          <w:rStyle w:val="CaptionLabel"/>
          <w:lang w:val="en-US"/>
        </w:rPr>
        <w:t>.</w:t>
      </w:r>
      <w:r w:rsidRPr="00FC077F">
        <w:rPr>
          <w:rStyle w:val="CaptionLabel"/>
          <w:lang w:val="en-US"/>
        </w:rPr>
        <w:fldChar w:fldCharType="begin"/>
      </w:r>
      <w:r w:rsidRPr="00FC077F">
        <w:rPr>
          <w:rStyle w:val="CaptionLabel"/>
          <w:lang w:val="en-US"/>
        </w:rPr>
        <w:instrText xml:space="preserve"> SEQ Table \* ARABIC \s 1 </w:instrText>
      </w:r>
      <w:r w:rsidRPr="00FC077F">
        <w:rPr>
          <w:rStyle w:val="CaptionLabel"/>
          <w:lang w:val="en-US"/>
        </w:rPr>
        <w:fldChar w:fldCharType="separate"/>
      </w:r>
      <w:r w:rsidR="001977DE">
        <w:rPr>
          <w:rStyle w:val="CaptionLabel"/>
          <w:noProof/>
          <w:lang w:val="en-US"/>
        </w:rPr>
        <w:t>6</w:t>
      </w:r>
      <w:r w:rsidRPr="00FC077F">
        <w:rPr>
          <w:rStyle w:val="CaptionLabel"/>
          <w:lang w:val="en-US"/>
        </w:rPr>
        <w:fldChar w:fldCharType="end"/>
      </w:r>
      <w:bookmarkEnd w:id="55"/>
      <w:r w:rsidRPr="00FC077F">
        <w:rPr>
          <w:lang w:val="en-US"/>
        </w:rPr>
        <w:tab/>
      </w:r>
      <w:r>
        <w:rPr>
          <w:lang w:val="en-US"/>
        </w:rPr>
        <w:t>US pesticide manufacturing industry, 2008–16</w:t>
      </w:r>
      <w:bookmarkEnd w:id="56"/>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5"/>
        <w:gridCol w:w="1428"/>
        <w:gridCol w:w="1417"/>
        <w:gridCol w:w="1417"/>
        <w:gridCol w:w="1417"/>
        <w:gridCol w:w="1417"/>
        <w:gridCol w:w="1417"/>
        <w:gridCol w:w="1407"/>
      </w:tblGrid>
      <w:tr w:rsidR="00E86A68" w:rsidTr="00573CCE">
        <w:trPr>
          <w:cantSplit/>
          <w:tblHeader/>
        </w:trPr>
        <w:tc>
          <w:tcPr>
            <w:tcW w:w="907" w:type="pct"/>
            <w:gridSpan w:val="2"/>
            <w:shd w:val="clear" w:color="auto" w:fill="9D57A6"/>
            <w:tcMar>
              <w:left w:w="454" w:type="dxa"/>
              <w:bottom w:w="0" w:type="dxa"/>
            </w:tcMar>
          </w:tcPr>
          <w:p w:rsidR="00573CCE" w:rsidRDefault="00573CCE" w:rsidP="00573CCE">
            <w:pPr>
              <w:pStyle w:val="Tablecolumnheadings"/>
              <w:rPr>
                <w:lang w:val="en-US"/>
              </w:rPr>
            </w:pPr>
            <w:r>
              <w:rPr>
                <w:lang w:val="en-US"/>
              </w:rPr>
              <w:t>Year</w:t>
            </w:r>
          </w:p>
        </w:tc>
        <w:tc>
          <w:tcPr>
            <w:tcW w:w="683" w:type="pct"/>
            <w:shd w:val="clear" w:color="auto" w:fill="9D57A6"/>
            <w:tcMar>
              <w:bottom w:w="0" w:type="dxa"/>
            </w:tcMar>
          </w:tcPr>
          <w:p w:rsidR="00573CCE" w:rsidRDefault="00573CCE" w:rsidP="00573CCE">
            <w:pPr>
              <w:pStyle w:val="Tablecolumnheadings"/>
              <w:jc w:val="right"/>
              <w:rPr>
                <w:lang w:val="en-US"/>
              </w:rPr>
            </w:pPr>
            <w:r>
              <w:rPr>
                <w:lang w:val="en-US"/>
              </w:rPr>
              <w:t xml:space="preserve">Revenue </w:t>
            </w:r>
          </w:p>
        </w:tc>
        <w:tc>
          <w:tcPr>
            <w:tcW w:w="683" w:type="pct"/>
            <w:shd w:val="clear" w:color="auto" w:fill="9D57A6"/>
            <w:tcMar>
              <w:bottom w:w="0" w:type="dxa"/>
            </w:tcMar>
          </w:tcPr>
          <w:p w:rsidR="00573CCE" w:rsidRDefault="00573CCE" w:rsidP="00573CCE">
            <w:pPr>
              <w:pStyle w:val="Tablecolumnheadings"/>
              <w:jc w:val="right"/>
              <w:rPr>
                <w:lang w:val="en-US"/>
              </w:rPr>
            </w:pPr>
            <w:r>
              <w:rPr>
                <w:lang w:val="en-US"/>
              </w:rPr>
              <w:t xml:space="preserve">Industry gross value-add </w:t>
            </w:r>
          </w:p>
        </w:tc>
        <w:tc>
          <w:tcPr>
            <w:tcW w:w="683" w:type="pct"/>
            <w:shd w:val="clear" w:color="auto" w:fill="9D57A6"/>
            <w:tcMar>
              <w:bottom w:w="0" w:type="dxa"/>
            </w:tcMar>
          </w:tcPr>
          <w:p w:rsidR="00573CCE" w:rsidRDefault="00573CCE" w:rsidP="00573CCE">
            <w:pPr>
              <w:pStyle w:val="Tablecolumnheadings"/>
              <w:jc w:val="right"/>
              <w:rPr>
                <w:lang w:val="en-US"/>
              </w:rPr>
            </w:pPr>
            <w:r>
              <w:rPr>
                <w:lang w:val="en-US"/>
              </w:rPr>
              <w:t>Exports</w:t>
            </w:r>
          </w:p>
        </w:tc>
        <w:tc>
          <w:tcPr>
            <w:tcW w:w="683" w:type="pct"/>
            <w:shd w:val="clear" w:color="auto" w:fill="9D57A6"/>
            <w:tcMar>
              <w:bottom w:w="0" w:type="dxa"/>
            </w:tcMar>
          </w:tcPr>
          <w:p w:rsidR="00573CCE" w:rsidRDefault="00573CCE" w:rsidP="00573CCE">
            <w:pPr>
              <w:pStyle w:val="Tablecolumnheadings"/>
              <w:jc w:val="right"/>
              <w:rPr>
                <w:lang w:val="en-US"/>
              </w:rPr>
            </w:pPr>
            <w:r>
              <w:rPr>
                <w:lang w:val="en-US"/>
              </w:rPr>
              <w:t xml:space="preserve">Imports </w:t>
            </w:r>
          </w:p>
        </w:tc>
        <w:tc>
          <w:tcPr>
            <w:tcW w:w="683" w:type="pct"/>
            <w:shd w:val="clear" w:color="auto" w:fill="9D57A6"/>
            <w:tcMar>
              <w:bottom w:w="0" w:type="dxa"/>
            </w:tcMar>
          </w:tcPr>
          <w:p w:rsidR="00573CCE" w:rsidRDefault="00573CCE" w:rsidP="00573CCE">
            <w:pPr>
              <w:pStyle w:val="Tablecolumnheadings"/>
              <w:jc w:val="right"/>
              <w:rPr>
                <w:lang w:val="en-US"/>
              </w:rPr>
            </w:pPr>
            <w:r>
              <w:rPr>
                <w:lang w:val="en-US"/>
              </w:rPr>
              <w:t>Domestic demand</w:t>
            </w:r>
          </w:p>
        </w:tc>
        <w:tc>
          <w:tcPr>
            <w:tcW w:w="678" w:type="pct"/>
            <w:shd w:val="clear" w:color="auto" w:fill="9D57A6"/>
            <w:tcMar>
              <w:bottom w:w="0" w:type="dxa"/>
            </w:tcMar>
          </w:tcPr>
          <w:p w:rsidR="00573CCE" w:rsidRDefault="00573CCE" w:rsidP="00573CCE">
            <w:pPr>
              <w:pStyle w:val="Tablecolumnheadings"/>
              <w:jc w:val="right"/>
              <w:rPr>
                <w:lang w:val="en-US"/>
              </w:rPr>
            </w:pPr>
            <w:r>
              <w:rPr>
                <w:lang w:val="en-US"/>
              </w:rPr>
              <w:t xml:space="preserve">Trade balance </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DDDDDD"/>
            <w:vAlign w:val="bottom"/>
          </w:tcPr>
          <w:p w:rsidR="00573CCE" w:rsidRDefault="00573CCE" w:rsidP="00573CCE">
            <w:pPr>
              <w:pStyle w:val="Tabletext"/>
              <w:jc w:val="right"/>
              <w:rPr>
                <w:lang w:val="en-US"/>
              </w:rPr>
            </w:pPr>
          </w:p>
        </w:tc>
        <w:tc>
          <w:tcPr>
            <w:tcW w:w="683" w:type="pct"/>
            <w:tcBorders>
              <w:top w:val="nil"/>
            </w:tcBorders>
            <w:shd w:val="clear" w:color="auto" w:fill="DDDDDD"/>
            <w:vAlign w:val="bottom"/>
          </w:tcPr>
          <w:p w:rsidR="00573CCE" w:rsidRDefault="00573CCE" w:rsidP="00573CCE">
            <w:pPr>
              <w:pStyle w:val="Tabletext"/>
              <w:jc w:val="right"/>
              <w:rPr>
                <w:sz w:val="22"/>
              </w:rPr>
            </w:pPr>
            <w:r>
              <w:rPr>
                <w:lang w:val="en-US"/>
              </w:rPr>
              <w:t>US$</w:t>
            </w:r>
            <w:r>
              <w:t> million</w:t>
            </w:r>
          </w:p>
        </w:tc>
        <w:tc>
          <w:tcPr>
            <w:tcW w:w="683" w:type="pct"/>
            <w:tcBorders>
              <w:top w:val="nil"/>
            </w:tcBorders>
            <w:shd w:val="clear" w:color="auto" w:fill="DDDDDD"/>
          </w:tcPr>
          <w:p w:rsidR="00573CCE" w:rsidRDefault="00573CCE" w:rsidP="00573CCE">
            <w:pPr>
              <w:pStyle w:val="Tabletext"/>
              <w:jc w:val="right"/>
            </w:pPr>
            <w:r>
              <w:rPr>
                <w:lang w:val="en-US"/>
              </w:rPr>
              <w:t>US$</w:t>
            </w:r>
            <w:r>
              <w:t> million</w:t>
            </w:r>
          </w:p>
        </w:tc>
        <w:tc>
          <w:tcPr>
            <w:tcW w:w="683" w:type="pct"/>
            <w:tcBorders>
              <w:top w:val="nil"/>
            </w:tcBorders>
            <w:shd w:val="clear" w:color="auto" w:fill="DDDDDD"/>
          </w:tcPr>
          <w:p w:rsidR="00573CCE" w:rsidRDefault="00573CCE" w:rsidP="00573CCE">
            <w:pPr>
              <w:pStyle w:val="Tabletext"/>
              <w:jc w:val="right"/>
            </w:pPr>
            <w:r>
              <w:rPr>
                <w:lang w:val="en-US"/>
              </w:rPr>
              <w:t>US$</w:t>
            </w:r>
            <w:r>
              <w:t> million</w:t>
            </w:r>
          </w:p>
        </w:tc>
        <w:tc>
          <w:tcPr>
            <w:tcW w:w="683" w:type="pct"/>
            <w:tcBorders>
              <w:top w:val="nil"/>
            </w:tcBorders>
            <w:shd w:val="clear" w:color="auto" w:fill="DDDDDD"/>
          </w:tcPr>
          <w:p w:rsidR="00573CCE" w:rsidRDefault="00573CCE" w:rsidP="00573CCE">
            <w:pPr>
              <w:pStyle w:val="Tabletext"/>
              <w:jc w:val="right"/>
            </w:pPr>
            <w:r>
              <w:rPr>
                <w:lang w:val="en-US"/>
              </w:rPr>
              <w:t>US</w:t>
            </w:r>
            <w:r w:rsidRPr="00F50E86">
              <w:rPr>
                <w:lang w:val="en-US"/>
              </w:rPr>
              <w:t>$</w:t>
            </w:r>
            <w:r w:rsidRPr="00F50E86">
              <w:t> million</w:t>
            </w:r>
          </w:p>
        </w:tc>
        <w:tc>
          <w:tcPr>
            <w:tcW w:w="683" w:type="pct"/>
            <w:tcBorders>
              <w:top w:val="nil"/>
            </w:tcBorders>
            <w:shd w:val="clear" w:color="auto" w:fill="DDDDDD"/>
          </w:tcPr>
          <w:p w:rsidR="00573CCE" w:rsidRDefault="00573CCE" w:rsidP="00573CCE">
            <w:pPr>
              <w:pStyle w:val="Tabletext"/>
              <w:jc w:val="right"/>
            </w:pPr>
            <w:r>
              <w:rPr>
                <w:lang w:val="en-US"/>
              </w:rPr>
              <w:t>US</w:t>
            </w:r>
            <w:r w:rsidRPr="00F50E86">
              <w:rPr>
                <w:lang w:val="en-US"/>
              </w:rPr>
              <w:t>$</w:t>
            </w:r>
            <w:r w:rsidRPr="00F50E86">
              <w:t> million</w:t>
            </w:r>
          </w:p>
        </w:tc>
        <w:tc>
          <w:tcPr>
            <w:tcW w:w="678" w:type="pct"/>
            <w:tcBorders>
              <w:top w:val="nil"/>
            </w:tcBorders>
            <w:shd w:val="clear" w:color="auto" w:fill="DDDDDD"/>
          </w:tcPr>
          <w:p w:rsidR="00573CCE" w:rsidRDefault="00573CCE" w:rsidP="00573CCE">
            <w:pPr>
              <w:pStyle w:val="Tabletext"/>
              <w:jc w:val="right"/>
            </w:pPr>
            <w:r>
              <w:rPr>
                <w:lang w:val="en-US"/>
              </w:rPr>
              <w:t>US</w:t>
            </w:r>
            <w:r w:rsidRPr="00F50E86">
              <w:rPr>
                <w:lang w:val="en-US"/>
              </w:rPr>
              <w:t>$</w:t>
            </w:r>
            <w:r w:rsidRPr="00F50E86">
              <w:t> million</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auto"/>
            <w:vAlign w:val="bottom"/>
          </w:tcPr>
          <w:p w:rsidR="00573CCE" w:rsidRDefault="00573CCE" w:rsidP="00573CCE">
            <w:pPr>
              <w:pStyle w:val="Tabletext"/>
              <w:rPr>
                <w:lang w:val="en-US"/>
              </w:rPr>
            </w:pPr>
            <w:r>
              <w:t>2008</w:t>
            </w:r>
          </w:p>
        </w:tc>
        <w:tc>
          <w:tcPr>
            <w:tcW w:w="683" w:type="pct"/>
            <w:tcBorders>
              <w:top w:val="nil"/>
            </w:tcBorders>
            <w:shd w:val="clear" w:color="auto" w:fill="auto"/>
            <w:vAlign w:val="bottom"/>
          </w:tcPr>
          <w:p w:rsidR="00573CCE" w:rsidRDefault="00573CCE" w:rsidP="00573CCE">
            <w:pPr>
              <w:pStyle w:val="Tabletext"/>
              <w:jc w:val="right"/>
              <w:rPr>
                <w:lang w:val="en-US"/>
              </w:rPr>
            </w:pPr>
            <w:r>
              <w:t>15,012</w:t>
            </w:r>
          </w:p>
        </w:tc>
        <w:tc>
          <w:tcPr>
            <w:tcW w:w="683" w:type="pct"/>
            <w:tcBorders>
              <w:top w:val="nil"/>
            </w:tcBorders>
            <w:shd w:val="clear" w:color="auto" w:fill="auto"/>
            <w:vAlign w:val="bottom"/>
          </w:tcPr>
          <w:p w:rsidR="00573CCE" w:rsidRDefault="00573CCE" w:rsidP="00573CCE">
            <w:pPr>
              <w:pStyle w:val="Tabletext"/>
              <w:jc w:val="right"/>
            </w:pPr>
            <w:r>
              <w:t>1,645</w:t>
            </w:r>
          </w:p>
        </w:tc>
        <w:tc>
          <w:tcPr>
            <w:tcW w:w="683" w:type="pct"/>
            <w:tcBorders>
              <w:top w:val="nil"/>
            </w:tcBorders>
            <w:shd w:val="clear" w:color="auto" w:fill="auto"/>
            <w:vAlign w:val="bottom"/>
          </w:tcPr>
          <w:p w:rsidR="00573CCE" w:rsidRDefault="00573CCE" w:rsidP="00573CCE">
            <w:pPr>
              <w:pStyle w:val="Tabletext"/>
              <w:jc w:val="right"/>
            </w:pPr>
            <w:r>
              <w:t>2,839</w:t>
            </w:r>
          </w:p>
        </w:tc>
        <w:tc>
          <w:tcPr>
            <w:tcW w:w="683" w:type="pct"/>
            <w:tcBorders>
              <w:top w:val="nil"/>
            </w:tcBorders>
            <w:shd w:val="clear" w:color="auto" w:fill="auto"/>
            <w:vAlign w:val="bottom"/>
          </w:tcPr>
          <w:p w:rsidR="00573CCE" w:rsidRDefault="00573CCE" w:rsidP="00573CCE">
            <w:pPr>
              <w:pStyle w:val="Tabletext"/>
              <w:jc w:val="right"/>
            </w:pPr>
            <w:r>
              <w:t>952</w:t>
            </w:r>
          </w:p>
        </w:tc>
        <w:tc>
          <w:tcPr>
            <w:tcW w:w="683" w:type="pct"/>
            <w:tcBorders>
              <w:top w:val="nil"/>
            </w:tcBorders>
            <w:shd w:val="clear" w:color="auto" w:fill="auto"/>
            <w:vAlign w:val="bottom"/>
          </w:tcPr>
          <w:p w:rsidR="00573CCE" w:rsidRDefault="00573CCE" w:rsidP="00573CCE">
            <w:pPr>
              <w:pStyle w:val="Tabletext"/>
              <w:jc w:val="right"/>
            </w:pPr>
            <w:r>
              <w:t>13,124</w:t>
            </w:r>
          </w:p>
        </w:tc>
        <w:tc>
          <w:tcPr>
            <w:tcW w:w="678" w:type="pct"/>
            <w:tcBorders>
              <w:top w:val="nil"/>
            </w:tcBorders>
            <w:shd w:val="clear" w:color="auto" w:fill="auto"/>
            <w:vAlign w:val="bottom"/>
          </w:tcPr>
          <w:p w:rsidR="00573CCE" w:rsidRDefault="00573CCE" w:rsidP="00573CCE">
            <w:pPr>
              <w:pStyle w:val="Tabletext"/>
              <w:jc w:val="right"/>
            </w:pPr>
            <w:r>
              <w:t>1,888</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2009</w:t>
            </w:r>
          </w:p>
        </w:tc>
        <w:tc>
          <w:tcPr>
            <w:tcW w:w="683" w:type="pct"/>
            <w:shd w:val="clear" w:color="auto" w:fill="auto"/>
            <w:vAlign w:val="bottom"/>
          </w:tcPr>
          <w:p w:rsidR="00573CCE" w:rsidRDefault="00573CCE" w:rsidP="00573CCE">
            <w:pPr>
              <w:pStyle w:val="Tabletext"/>
              <w:jc w:val="right"/>
            </w:pPr>
            <w:r>
              <w:t>13,800</w:t>
            </w:r>
          </w:p>
        </w:tc>
        <w:tc>
          <w:tcPr>
            <w:tcW w:w="683" w:type="pct"/>
            <w:shd w:val="clear" w:color="auto" w:fill="auto"/>
            <w:vAlign w:val="bottom"/>
          </w:tcPr>
          <w:p w:rsidR="00573CCE" w:rsidRDefault="00573CCE" w:rsidP="00573CCE">
            <w:pPr>
              <w:pStyle w:val="Tabletext"/>
              <w:jc w:val="right"/>
            </w:pPr>
            <w:r>
              <w:t>1,924</w:t>
            </w:r>
          </w:p>
        </w:tc>
        <w:tc>
          <w:tcPr>
            <w:tcW w:w="683" w:type="pct"/>
            <w:shd w:val="clear" w:color="auto" w:fill="auto"/>
            <w:vAlign w:val="bottom"/>
          </w:tcPr>
          <w:p w:rsidR="00573CCE" w:rsidRDefault="00573CCE" w:rsidP="00573CCE">
            <w:pPr>
              <w:pStyle w:val="Tabletext"/>
              <w:jc w:val="right"/>
            </w:pPr>
            <w:r>
              <w:t>2,505</w:t>
            </w:r>
          </w:p>
        </w:tc>
        <w:tc>
          <w:tcPr>
            <w:tcW w:w="683" w:type="pct"/>
            <w:shd w:val="clear" w:color="auto" w:fill="auto"/>
            <w:vAlign w:val="bottom"/>
          </w:tcPr>
          <w:p w:rsidR="00573CCE" w:rsidRDefault="00573CCE" w:rsidP="00573CCE">
            <w:pPr>
              <w:pStyle w:val="Tabletext"/>
              <w:jc w:val="right"/>
            </w:pPr>
            <w:r>
              <w:t>844</w:t>
            </w:r>
          </w:p>
        </w:tc>
        <w:tc>
          <w:tcPr>
            <w:tcW w:w="683" w:type="pct"/>
            <w:shd w:val="clear" w:color="auto" w:fill="auto"/>
            <w:vAlign w:val="bottom"/>
          </w:tcPr>
          <w:p w:rsidR="00573CCE" w:rsidRDefault="00573CCE" w:rsidP="00573CCE">
            <w:pPr>
              <w:pStyle w:val="Tabletext"/>
              <w:jc w:val="right"/>
            </w:pPr>
            <w:r>
              <w:t>12,139</w:t>
            </w:r>
          </w:p>
        </w:tc>
        <w:tc>
          <w:tcPr>
            <w:tcW w:w="678" w:type="pct"/>
            <w:shd w:val="clear" w:color="auto" w:fill="auto"/>
            <w:vAlign w:val="bottom"/>
          </w:tcPr>
          <w:p w:rsidR="00573CCE" w:rsidRDefault="00573CCE" w:rsidP="00573CCE">
            <w:pPr>
              <w:pStyle w:val="Tabletext"/>
              <w:jc w:val="right"/>
            </w:pPr>
            <w:r>
              <w:t>1,661</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2010</w:t>
            </w:r>
          </w:p>
        </w:tc>
        <w:tc>
          <w:tcPr>
            <w:tcW w:w="683" w:type="pct"/>
            <w:shd w:val="clear" w:color="auto" w:fill="auto"/>
            <w:vAlign w:val="bottom"/>
          </w:tcPr>
          <w:p w:rsidR="00573CCE" w:rsidRDefault="00573CCE" w:rsidP="00573CCE">
            <w:pPr>
              <w:pStyle w:val="Tabletext"/>
              <w:jc w:val="right"/>
            </w:pPr>
            <w:r>
              <w:t>12,460</w:t>
            </w:r>
          </w:p>
        </w:tc>
        <w:tc>
          <w:tcPr>
            <w:tcW w:w="683" w:type="pct"/>
            <w:shd w:val="clear" w:color="auto" w:fill="auto"/>
            <w:vAlign w:val="bottom"/>
          </w:tcPr>
          <w:p w:rsidR="00573CCE" w:rsidRDefault="00573CCE" w:rsidP="00573CCE">
            <w:pPr>
              <w:pStyle w:val="Tabletext"/>
              <w:jc w:val="right"/>
            </w:pPr>
            <w:r>
              <w:t>2,012</w:t>
            </w:r>
          </w:p>
        </w:tc>
        <w:tc>
          <w:tcPr>
            <w:tcW w:w="683" w:type="pct"/>
            <w:shd w:val="clear" w:color="auto" w:fill="auto"/>
            <w:vAlign w:val="bottom"/>
          </w:tcPr>
          <w:p w:rsidR="00573CCE" w:rsidRDefault="00573CCE" w:rsidP="00573CCE">
            <w:pPr>
              <w:pStyle w:val="Tabletext"/>
              <w:jc w:val="right"/>
            </w:pPr>
            <w:r>
              <w:t>3,065</w:t>
            </w:r>
          </w:p>
        </w:tc>
        <w:tc>
          <w:tcPr>
            <w:tcW w:w="683" w:type="pct"/>
            <w:shd w:val="clear" w:color="auto" w:fill="auto"/>
            <w:vAlign w:val="bottom"/>
          </w:tcPr>
          <w:p w:rsidR="00573CCE" w:rsidRDefault="00573CCE" w:rsidP="00573CCE">
            <w:pPr>
              <w:pStyle w:val="Tabletext"/>
              <w:jc w:val="right"/>
            </w:pPr>
            <w:r>
              <w:t>842</w:t>
            </w:r>
          </w:p>
        </w:tc>
        <w:tc>
          <w:tcPr>
            <w:tcW w:w="683" w:type="pct"/>
            <w:shd w:val="clear" w:color="auto" w:fill="auto"/>
            <w:vAlign w:val="bottom"/>
          </w:tcPr>
          <w:p w:rsidR="00573CCE" w:rsidRDefault="00573CCE" w:rsidP="00573CCE">
            <w:pPr>
              <w:pStyle w:val="Tabletext"/>
              <w:jc w:val="right"/>
            </w:pPr>
            <w:r>
              <w:t>10,237</w:t>
            </w:r>
          </w:p>
        </w:tc>
        <w:tc>
          <w:tcPr>
            <w:tcW w:w="678" w:type="pct"/>
            <w:shd w:val="clear" w:color="auto" w:fill="auto"/>
            <w:vAlign w:val="bottom"/>
          </w:tcPr>
          <w:p w:rsidR="00573CCE" w:rsidRDefault="00573CCE" w:rsidP="00573CCE">
            <w:pPr>
              <w:pStyle w:val="Tabletext"/>
              <w:jc w:val="right"/>
            </w:pPr>
            <w:r>
              <w:t>2,223</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2011</w:t>
            </w:r>
          </w:p>
        </w:tc>
        <w:tc>
          <w:tcPr>
            <w:tcW w:w="683" w:type="pct"/>
            <w:shd w:val="clear" w:color="auto" w:fill="auto"/>
            <w:vAlign w:val="bottom"/>
          </w:tcPr>
          <w:p w:rsidR="00573CCE" w:rsidRDefault="00573CCE" w:rsidP="00573CCE">
            <w:pPr>
              <w:pStyle w:val="Tabletext"/>
              <w:jc w:val="right"/>
            </w:pPr>
            <w:r>
              <w:t>12,784</w:t>
            </w:r>
          </w:p>
        </w:tc>
        <w:tc>
          <w:tcPr>
            <w:tcW w:w="683" w:type="pct"/>
            <w:shd w:val="clear" w:color="auto" w:fill="auto"/>
            <w:vAlign w:val="bottom"/>
          </w:tcPr>
          <w:p w:rsidR="00573CCE" w:rsidRDefault="00573CCE" w:rsidP="00573CCE">
            <w:pPr>
              <w:pStyle w:val="Tabletext"/>
              <w:jc w:val="right"/>
            </w:pPr>
            <w:r>
              <w:t>2,613</w:t>
            </w:r>
          </w:p>
        </w:tc>
        <w:tc>
          <w:tcPr>
            <w:tcW w:w="683" w:type="pct"/>
            <w:shd w:val="clear" w:color="auto" w:fill="auto"/>
            <w:vAlign w:val="bottom"/>
          </w:tcPr>
          <w:p w:rsidR="00573CCE" w:rsidRDefault="00573CCE" w:rsidP="00573CCE">
            <w:pPr>
              <w:pStyle w:val="Tabletext"/>
              <w:jc w:val="right"/>
            </w:pPr>
            <w:r>
              <w:t>3,268</w:t>
            </w:r>
          </w:p>
        </w:tc>
        <w:tc>
          <w:tcPr>
            <w:tcW w:w="683" w:type="pct"/>
            <w:shd w:val="clear" w:color="auto" w:fill="auto"/>
            <w:vAlign w:val="bottom"/>
          </w:tcPr>
          <w:p w:rsidR="00573CCE" w:rsidRDefault="00573CCE" w:rsidP="00573CCE">
            <w:pPr>
              <w:pStyle w:val="Tabletext"/>
              <w:jc w:val="right"/>
            </w:pPr>
            <w:r>
              <w:t>1,045</w:t>
            </w:r>
          </w:p>
        </w:tc>
        <w:tc>
          <w:tcPr>
            <w:tcW w:w="683" w:type="pct"/>
            <w:shd w:val="clear" w:color="auto" w:fill="auto"/>
            <w:vAlign w:val="bottom"/>
          </w:tcPr>
          <w:p w:rsidR="00573CCE" w:rsidRDefault="00573CCE" w:rsidP="00573CCE">
            <w:pPr>
              <w:pStyle w:val="Tabletext"/>
              <w:jc w:val="right"/>
            </w:pPr>
            <w:r>
              <w:t>10,561</w:t>
            </w:r>
          </w:p>
        </w:tc>
        <w:tc>
          <w:tcPr>
            <w:tcW w:w="678" w:type="pct"/>
            <w:shd w:val="clear" w:color="auto" w:fill="auto"/>
            <w:vAlign w:val="bottom"/>
          </w:tcPr>
          <w:p w:rsidR="00573CCE" w:rsidRDefault="00573CCE" w:rsidP="00573CCE">
            <w:pPr>
              <w:pStyle w:val="Tabletext"/>
              <w:jc w:val="right"/>
            </w:pPr>
            <w:r>
              <w:t>2,223</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2012</w:t>
            </w:r>
          </w:p>
        </w:tc>
        <w:tc>
          <w:tcPr>
            <w:tcW w:w="683" w:type="pct"/>
            <w:shd w:val="clear" w:color="auto" w:fill="auto"/>
            <w:vAlign w:val="bottom"/>
          </w:tcPr>
          <w:p w:rsidR="00573CCE" w:rsidRDefault="00573CCE" w:rsidP="00573CCE">
            <w:pPr>
              <w:pStyle w:val="Tabletext"/>
              <w:jc w:val="right"/>
            </w:pPr>
            <w:r>
              <w:t>16,385</w:t>
            </w:r>
          </w:p>
        </w:tc>
        <w:tc>
          <w:tcPr>
            <w:tcW w:w="683" w:type="pct"/>
            <w:shd w:val="clear" w:color="auto" w:fill="auto"/>
            <w:vAlign w:val="bottom"/>
          </w:tcPr>
          <w:p w:rsidR="00573CCE" w:rsidRDefault="00573CCE" w:rsidP="00573CCE">
            <w:pPr>
              <w:pStyle w:val="Tabletext"/>
              <w:jc w:val="right"/>
            </w:pPr>
            <w:r>
              <w:t>3,565</w:t>
            </w:r>
          </w:p>
        </w:tc>
        <w:tc>
          <w:tcPr>
            <w:tcW w:w="683" w:type="pct"/>
            <w:shd w:val="clear" w:color="auto" w:fill="auto"/>
            <w:vAlign w:val="bottom"/>
          </w:tcPr>
          <w:p w:rsidR="00573CCE" w:rsidRDefault="00573CCE" w:rsidP="00573CCE">
            <w:pPr>
              <w:pStyle w:val="Tabletext"/>
              <w:jc w:val="right"/>
            </w:pPr>
            <w:r>
              <w:t>3,564</w:t>
            </w:r>
          </w:p>
        </w:tc>
        <w:tc>
          <w:tcPr>
            <w:tcW w:w="683" w:type="pct"/>
            <w:shd w:val="clear" w:color="auto" w:fill="auto"/>
            <w:vAlign w:val="bottom"/>
          </w:tcPr>
          <w:p w:rsidR="00573CCE" w:rsidRDefault="00573CCE" w:rsidP="00573CCE">
            <w:pPr>
              <w:pStyle w:val="Tabletext"/>
              <w:jc w:val="right"/>
            </w:pPr>
            <w:r>
              <w:t>1,022</w:t>
            </w:r>
          </w:p>
        </w:tc>
        <w:tc>
          <w:tcPr>
            <w:tcW w:w="683" w:type="pct"/>
            <w:shd w:val="clear" w:color="auto" w:fill="auto"/>
            <w:vAlign w:val="bottom"/>
          </w:tcPr>
          <w:p w:rsidR="00573CCE" w:rsidRDefault="00573CCE" w:rsidP="00573CCE">
            <w:pPr>
              <w:pStyle w:val="Tabletext"/>
              <w:jc w:val="right"/>
            </w:pPr>
            <w:r>
              <w:t>13,843</w:t>
            </w:r>
          </w:p>
        </w:tc>
        <w:tc>
          <w:tcPr>
            <w:tcW w:w="678" w:type="pct"/>
            <w:shd w:val="clear" w:color="auto" w:fill="auto"/>
            <w:vAlign w:val="bottom"/>
          </w:tcPr>
          <w:p w:rsidR="00573CCE" w:rsidRDefault="00573CCE" w:rsidP="00573CCE">
            <w:pPr>
              <w:pStyle w:val="Tabletext"/>
              <w:jc w:val="right"/>
            </w:pPr>
            <w:r>
              <w:t>2,542</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2013</w:t>
            </w:r>
          </w:p>
        </w:tc>
        <w:tc>
          <w:tcPr>
            <w:tcW w:w="683" w:type="pct"/>
            <w:shd w:val="clear" w:color="auto" w:fill="auto"/>
            <w:vAlign w:val="bottom"/>
          </w:tcPr>
          <w:p w:rsidR="00573CCE" w:rsidRDefault="00573CCE" w:rsidP="00573CCE">
            <w:pPr>
              <w:pStyle w:val="Tabletext"/>
              <w:jc w:val="right"/>
            </w:pPr>
            <w:r>
              <w:t>18,935</w:t>
            </w:r>
          </w:p>
        </w:tc>
        <w:tc>
          <w:tcPr>
            <w:tcW w:w="683" w:type="pct"/>
            <w:shd w:val="clear" w:color="auto" w:fill="auto"/>
            <w:vAlign w:val="bottom"/>
          </w:tcPr>
          <w:p w:rsidR="00573CCE" w:rsidRDefault="00573CCE" w:rsidP="00573CCE">
            <w:pPr>
              <w:pStyle w:val="Tabletext"/>
              <w:jc w:val="right"/>
            </w:pPr>
            <w:r>
              <w:t>4,271</w:t>
            </w:r>
          </w:p>
        </w:tc>
        <w:tc>
          <w:tcPr>
            <w:tcW w:w="683" w:type="pct"/>
            <w:shd w:val="clear" w:color="auto" w:fill="auto"/>
            <w:vAlign w:val="bottom"/>
          </w:tcPr>
          <w:p w:rsidR="00573CCE" w:rsidRDefault="00573CCE" w:rsidP="00573CCE">
            <w:pPr>
              <w:pStyle w:val="Tabletext"/>
              <w:jc w:val="right"/>
            </w:pPr>
            <w:r>
              <w:t>4,026</w:t>
            </w:r>
          </w:p>
        </w:tc>
        <w:tc>
          <w:tcPr>
            <w:tcW w:w="683" w:type="pct"/>
            <w:shd w:val="clear" w:color="auto" w:fill="auto"/>
            <w:vAlign w:val="bottom"/>
          </w:tcPr>
          <w:p w:rsidR="00573CCE" w:rsidRDefault="00573CCE" w:rsidP="00573CCE">
            <w:pPr>
              <w:pStyle w:val="Tabletext"/>
              <w:jc w:val="right"/>
            </w:pPr>
            <w:r>
              <w:t>1,230</w:t>
            </w:r>
          </w:p>
        </w:tc>
        <w:tc>
          <w:tcPr>
            <w:tcW w:w="683" w:type="pct"/>
            <w:shd w:val="clear" w:color="auto" w:fill="auto"/>
            <w:vAlign w:val="bottom"/>
          </w:tcPr>
          <w:p w:rsidR="00573CCE" w:rsidRDefault="00573CCE" w:rsidP="00573CCE">
            <w:pPr>
              <w:pStyle w:val="Tabletext"/>
              <w:jc w:val="right"/>
            </w:pPr>
            <w:r>
              <w:t>16,139</w:t>
            </w:r>
          </w:p>
        </w:tc>
        <w:tc>
          <w:tcPr>
            <w:tcW w:w="678" w:type="pct"/>
            <w:shd w:val="clear" w:color="auto" w:fill="auto"/>
            <w:vAlign w:val="bottom"/>
          </w:tcPr>
          <w:p w:rsidR="00573CCE" w:rsidRDefault="00573CCE" w:rsidP="00573CCE">
            <w:pPr>
              <w:pStyle w:val="Tabletext"/>
              <w:jc w:val="right"/>
            </w:pPr>
            <w:r>
              <w:t>2,796</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2014</w:t>
            </w:r>
          </w:p>
        </w:tc>
        <w:tc>
          <w:tcPr>
            <w:tcW w:w="683" w:type="pct"/>
            <w:shd w:val="clear" w:color="auto" w:fill="auto"/>
            <w:vAlign w:val="bottom"/>
          </w:tcPr>
          <w:p w:rsidR="00573CCE" w:rsidRDefault="00573CCE" w:rsidP="00573CCE">
            <w:pPr>
              <w:pStyle w:val="Tabletext"/>
              <w:jc w:val="right"/>
            </w:pPr>
            <w:r>
              <w:t>16,612</w:t>
            </w:r>
          </w:p>
        </w:tc>
        <w:tc>
          <w:tcPr>
            <w:tcW w:w="683" w:type="pct"/>
            <w:shd w:val="clear" w:color="auto" w:fill="auto"/>
            <w:vAlign w:val="bottom"/>
          </w:tcPr>
          <w:p w:rsidR="00573CCE" w:rsidRDefault="00573CCE" w:rsidP="00573CCE">
            <w:pPr>
              <w:pStyle w:val="Tabletext"/>
              <w:jc w:val="right"/>
            </w:pPr>
            <w:r>
              <w:t>4,199</w:t>
            </w:r>
          </w:p>
        </w:tc>
        <w:tc>
          <w:tcPr>
            <w:tcW w:w="683" w:type="pct"/>
            <w:shd w:val="clear" w:color="auto" w:fill="auto"/>
            <w:vAlign w:val="bottom"/>
          </w:tcPr>
          <w:p w:rsidR="00573CCE" w:rsidRDefault="00573CCE" w:rsidP="00573CCE">
            <w:pPr>
              <w:pStyle w:val="Tabletext"/>
              <w:jc w:val="right"/>
            </w:pPr>
            <w:r>
              <w:t>4,201</w:t>
            </w:r>
          </w:p>
        </w:tc>
        <w:tc>
          <w:tcPr>
            <w:tcW w:w="683" w:type="pct"/>
            <w:shd w:val="clear" w:color="auto" w:fill="auto"/>
            <w:vAlign w:val="bottom"/>
          </w:tcPr>
          <w:p w:rsidR="00573CCE" w:rsidRDefault="00573CCE" w:rsidP="00573CCE">
            <w:pPr>
              <w:pStyle w:val="Tabletext"/>
              <w:jc w:val="right"/>
            </w:pPr>
            <w:r>
              <w:t>1,275</w:t>
            </w:r>
          </w:p>
        </w:tc>
        <w:tc>
          <w:tcPr>
            <w:tcW w:w="683" w:type="pct"/>
            <w:shd w:val="clear" w:color="auto" w:fill="auto"/>
            <w:vAlign w:val="bottom"/>
          </w:tcPr>
          <w:p w:rsidR="00573CCE" w:rsidRDefault="00573CCE" w:rsidP="00573CCE">
            <w:pPr>
              <w:pStyle w:val="Tabletext"/>
              <w:jc w:val="right"/>
            </w:pPr>
            <w:r>
              <w:t>13,686</w:t>
            </w:r>
          </w:p>
        </w:tc>
        <w:tc>
          <w:tcPr>
            <w:tcW w:w="678" w:type="pct"/>
            <w:shd w:val="clear" w:color="auto" w:fill="auto"/>
            <w:vAlign w:val="bottom"/>
          </w:tcPr>
          <w:p w:rsidR="00573CCE" w:rsidRDefault="00573CCE" w:rsidP="00573CCE">
            <w:pPr>
              <w:pStyle w:val="Tabletext"/>
              <w:jc w:val="right"/>
            </w:pPr>
            <w:r>
              <w:t>2,926</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2015</w:t>
            </w:r>
          </w:p>
        </w:tc>
        <w:tc>
          <w:tcPr>
            <w:tcW w:w="683" w:type="pct"/>
            <w:shd w:val="clear" w:color="auto" w:fill="auto"/>
            <w:vAlign w:val="bottom"/>
          </w:tcPr>
          <w:p w:rsidR="00573CCE" w:rsidRDefault="00573CCE" w:rsidP="00573CCE">
            <w:pPr>
              <w:pStyle w:val="Tabletext"/>
              <w:jc w:val="right"/>
            </w:pPr>
            <w:r>
              <w:t>15,400</w:t>
            </w:r>
          </w:p>
        </w:tc>
        <w:tc>
          <w:tcPr>
            <w:tcW w:w="683" w:type="pct"/>
            <w:shd w:val="clear" w:color="auto" w:fill="auto"/>
            <w:vAlign w:val="bottom"/>
          </w:tcPr>
          <w:p w:rsidR="00573CCE" w:rsidRDefault="00573CCE" w:rsidP="00573CCE">
            <w:pPr>
              <w:pStyle w:val="Tabletext"/>
              <w:jc w:val="right"/>
            </w:pPr>
            <w:r>
              <w:t>3,633</w:t>
            </w:r>
          </w:p>
        </w:tc>
        <w:tc>
          <w:tcPr>
            <w:tcW w:w="683" w:type="pct"/>
            <w:shd w:val="clear" w:color="auto" w:fill="auto"/>
            <w:vAlign w:val="bottom"/>
          </w:tcPr>
          <w:p w:rsidR="00573CCE" w:rsidRDefault="00573CCE" w:rsidP="00573CCE">
            <w:pPr>
              <w:pStyle w:val="Tabletext"/>
              <w:jc w:val="right"/>
            </w:pPr>
            <w:r>
              <w:t>3,639</w:t>
            </w:r>
          </w:p>
        </w:tc>
        <w:tc>
          <w:tcPr>
            <w:tcW w:w="683" w:type="pct"/>
            <w:shd w:val="clear" w:color="auto" w:fill="auto"/>
            <w:vAlign w:val="bottom"/>
          </w:tcPr>
          <w:p w:rsidR="00573CCE" w:rsidRDefault="00573CCE" w:rsidP="00573CCE">
            <w:pPr>
              <w:pStyle w:val="Tabletext"/>
              <w:jc w:val="right"/>
            </w:pPr>
            <w:r>
              <w:t>1,403</w:t>
            </w:r>
          </w:p>
        </w:tc>
        <w:tc>
          <w:tcPr>
            <w:tcW w:w="683" w:type="pct"/>
            <w:shd w:val="clear" w:color="auto" w:fill="auto"/>
            <w:vAlign w:val="bottom"/>
          </w:tcPr>
          <w:p w:rsidR="00573CCE" w:rsidRDefault="00573CCE" w:rsidP="00573CCE">
            <w:pPr>
              <w:pStyle w:val="Tabletext"/>
              <w:jc w:val="right"/>
            </w:pPr>
            <w:r>
              <w:t>13,164</w:t>
            </w:r>
          </w:p>
        </w:tc>
        <w:tc>
          <w:tcPr>
            <w:tcW w:w="678" w:type="pct"/>
            <w:shd w:val="clear" w:color="auto" w:fill="auto"/>
            <w:vAlign w:val="bottom"/>
          </w:tcPr>
          <w:p w:rsidR="00573CCE" w:rsidRDefault="00573CCE" w:rsidP="00573CCE">
            <w:pPr>
              <w:pStyle w:val="Tabletext"/>
              <w:jc w:val="right"/>
            </w:pPr>
            <w:r>
              <w:t>2,237</w:t>
            </w:r>
          </w:p>
        </w:tc>
      </w:tr>
      <w:tr w:rsidR="00E86A68" w:rsidTr="00573CCE">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73CCE" w:rsidRDefault="00573CCE" w:rsidP="00573CCE">
            <w:pPr>
              <w:pStyle w:val="Tabletext"/>
            </w:pPr>
            <w:r>
              <w:t>2016</w:t>
            </w:r>
          </w:p>
        </w:tc>
        <w:tc>
          <w:tcPr>
            <w:tcW w:w="683" w:type="pct"/>
            <w:shd w:val="clear" w:color="auto" w:fill="auto"/>
            <w:vAlign w:val="bottom"/>
          </w:tcPr>
          <w:p w:rsidR="00573CCE" w:rsidRDefault="00573CCE" w:rsidP="00573CCE">
            <w:pPr>
              <w:pStyle w:val="Tabletext"/>
              <w:jc w:val="right"/>
            </w:pPr>
            <w:r>
              <w:t>15,599</w:t>
            </w:r>
          </w:p>
        </w:tc>
        <w:tc>
          <w:tcPr>
            <w:tcW w:w="683" w:type="pct"/>
            <w:shd w:val="clear" w:color="auto" w:fill="auto"/>
            <w:vAlign w:val="bottom"/>
          </w:tcPr>
          <w:p w:rsidR="00573CCE" w:rsidRDefault="00573CCE" w:rsidP="00573CCE">
            <w:pPr>
              <w:pStyle w:val="Tabletext"/>
              <w:jc w:val="right"/>
            </w:pPr>
            <w:r>
              <w:t>3,224</w:t>
            </w:r>
          </w:p>
        </w:tc>
        <w:tc>
          <w:tcPr>
            <w:tcW w:w="683" w:type="pct"/>
            <w:shd w:val="clear" w:color="auto" w:fill="auto"/>
            <w:vAlign w:val="bottom"/>
          </w:tcPr>
          <w:p w:rsidR="00573CCE" w:rsidRDefault="00573CCE" w:rsidP="00573CCE">
            <w:pPr>
              <w:pStyle w:val="Tabletext"/>
              <w:jc w:val="right"/>
            </w:pPr>
            <w:r>
              <w:t>3,553</w:t>
            </w:r>
          </w:p>
        </w:tc>
        <w:tc>
          <w:tcPr>
            <w:tcW w:w="683" w:type="pct"/>
            <w:shd w:val="clear" w:color="auto" w:fill="auto"/>
            <w:vAlign w:val="bottom"/>
          </w:tcPr>
          <w:p w:rsidR="00573CCE" w:rsidRDefault="00573CCE" w:rsidP="00573CCE">
            <w:pPr>
              <w:pStyle w:val="Tabletext"/>
              <w:jc w:val="right"/>
            </w:pPr>
            <w:r>
              <w:t>1,482</w:t>
            </w:r>
          </w:p>
        </w:tc>
        <w:tc>
          <w:tcPr>
            <w:tcW w:w="683" w:type="pct"/>
            <w:shd w:val="clear" w:color="auto" w:fill="auto"/>
            <w:vAlign w:val="bottom"/>
          </w:tcPr>
          <w:p w:rsidR="00573CCE" w:rsidRDefault="00573CCE" w:rsidP="00573CCE">
            <w:pPr>
              <w:pStyle w:val="Tabletext"/>
              <w:jc w:val="right"/>
            </w:pPr>
            <w:r>
              <w:t>13,528</w:t>
            </w:r>
          </w:p>
        </w:tc>
        <w:tc>
          <w:tcPr>
            <w:tcW w:w="678" w:type="pct"/>
            <w:shd w:val="clear" w:color="auto" w:fill="auto"/>
            <w:vAlign w:val="bottom"/>
          </w:tcPr>
          <w:p w:rsidR="00573CCE" w:rsidRDefault="00573CCE" w:rsidP="00573CCE">
            <w:pPr>
              <w:pStyle w:val="Tabletext"/>
              <w:jc w:val="right"/>
            </w:pPr>
            <w:r>
              <w:t>2,072</w:t>
            </w:r>
          </w:p>
        </w:tc>
      </w:tr>
      <w:tr w:rsidR="00E86A68" w:rsidTr="00573CCE">
        <w:tblPrEx>
          <w:tblBorders>
            <w:bottom w:val="single" w:sz="4" w:space="0" w:color="646464"/>
            <w:insideH w:val="single" w:sz="4" w:space="0" w:color="646464"/>
          </w:tblBorders>
        </w:tblPrEx>
        <w:trPr>
          <w:gridBefore w:val="1"/>
          <w:wBefore w:w="219" w:type="pct"/>
          <w:cantSplit/>
        </w:trPr>
        <w:tc>
          <w:tcPr>
            <w:tcW w:w="4781" w:type="pct"/>
            <w:gridSpan w:val="7"/>
            <w:tcBorders>
              <w:bottom w:val="single" w:sz="4" w:space="0" w:color="646464"/>
            </w:tcBorders>
            <w:shd w:val="clear" w:color="auto" w:fill="auto"/>
          </w:tcPr>
          <w:p w:rsidR="00573CCE" w:rsidRDefault="00573CCE" w:rsidP="00E401E7">
            <w:pPr>
              <w:pStyle w:val="Source"/>
              <w:rPr>
                <w:lang w:val="en-US"/>
              </w:rPr>
            </w:pPr>
            <w:r>
              <w:t>Source:</w:t>
            </w:r>
            <w:r>
              <w:rPr>
                <w:lang w:val="en-US"/>
              </w:rPr>
              <w:t xml:space="preserve"> </w:t>
            </w:r>
            <w:r>
              <w:t>IBISWorld Report 2016C</w:t>
            </w:r>
            <w:r w:rsidR="00E401E7">
              <w:t>,</w:t>
            </w:r>
            <w:r>
              <w:rPr>
                <w:lang w:val="en-US"/>
              </w:rPr>
              <w:t xml:space="preserve"> C20.200, Pesticide and other agrochemical manufacturing in the UK, October 2016</w:t>
            </w:r>
          </w:p>
        </w:tc>
      </w:tr>
      <w:tr w:rsidR="00E86A68" w:rsidTr="00573CCE">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top w:val="single" w:sz="4" w:space="0" w:color="646464"/>
              <w:bottom w:val="nil"/>
            </w:tcBorders>
            <w:shd w:val="clear" w:color="auto" w:fill="auto"/>
          </w:tcPr>
          <w:p w:rsidR="00573CCE" w:rsidRDefault="00573CCE" w:rsidP="00573CCE">
            <w:pPr>
              <w:pStyle w:val="spacertbl"/>
              <w:rPr>
                <w:lang w:val="en-US"/>
              </w:rPr>
            </w:pPr>
          </w:p>
        </w:tc>
      </w:tr>
    </w:tbl>
    <w:p w:rsidR="00D31F8C" w:rsidRDefault="00D31F8C" w:rsidP="00D31F8C">
      <w:pPr>
        <w:pStyle w:val="BodyText"/>
      </w:pPr>
      <w:r>
        <w:t xml:space="preserve">An average US Roundup price is provided in </w:t>
      </w:r>
      <w:r>
        <w:fldChar w:fldCharType="begin"/>
      </w:r>
      <w:r>
        <w:instrText xml:space="preserve"> REF _Ref487645826 \h </w:instrText>
      </w:r>
      <w:r>
        <w:fldChar w:fldCharType="separate"/>
      </w:r>
      <w:r w:rsidR="0087688C" w:rsidRPr="00897E60">
        <w:rPr>
          <w:rStyle w:val="CaptionLabel"/>
        </w:rPr>
        <w:t>Figure</w:t>
      </w:r>
      <w:r w:rsidR="0087688C">
        <w:rPr>
          <w:rStyle w:val="CaptionLabel"/>
        </w:rPr>
        <w:t> </w:t>
      </w:r>
      <w:r w:rsidR="0087688C">
        <w:rPr>
          <w:rStyle w:val="CaptionLabel"/>
          <w:noProof/>
        </w:rPr>
        <w:t>2</w:t>
      </w:r>
      <w:r w:rsidR="0087688C" w:rsidRPr="00897E60">
        <w:rPr>
          <w:rStyle w:val="CaptionLabel"/>
        </w:rPr>
        <w:t>.</w:t>
      </w:r>
      <w:r w:rsidR="0087688C">
        <w:rPr>
          <w:rStyle w:val="CaptionLabel"/>
          <w:noProof/>
        </w:rPr>
        <w:t>7</w:t>
      </w:r>
      <w:r>
        <w:fldChar w:fldCharType="end"/>
      </w:r>
      <w:r>
        <w:t xml:space="preserve">. This shows </w:t>
      </w:r>
      <w:r w:rsidR="00E401E7">
        <w:t xml:space="preserve">that there is </w:t>
      </w:r>
      <w:r>
        <w:t xml:space="preserve">considerable </w:t>
      </w:r>
      <w:r w:rsidR="00D968F0">
        <w:t xml:space="preserve">price </w:t>
      </w:r>
      <w:r>
        <w:t>volati</w:t>
      </w:r>
      <w:r w:rsidR="00D968F0">
        <w:t>lity within the US market alone</w:t>
      </w:r>
      <w:r>
        <w:t xml:space="preserve">. </w:t>
      </w:r>
      <w:r w:rsidR="00E401E7">
        <w:t xml:space="preserve">There is </w:t>
      </w:r>
      <w:r>
        <w:t xml:space="preserve">also a general downward trend as the Roundup patents expire. </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222015" w:rsidRPr="00AA4DEE" w:rsidRDefault="00222015" w:rsidP="003D2AD5">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222015" w:rsidRPr="00897E60" w:rsidRDefault="00222015" w:rsidP="00E401E7">
            <w:pPr>
              <w:pStyle w:val="Caption"/>
            </w:pPr>
            <w:bookmarkStart w:id="57" w:name="_Ref487645826"/>
            <w:bookmarkStart w:id="58" w:name="_Toc49729809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1977DE">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7688C">
              <w:rPr>
                <w:rStyle w:val="CaptionLabel"/>
                <w:noProof/>
              </w:rPr>
              <w:t>7</w:t>
            </w:r>
            <w:r w:rsidRPr="00897E60">
              <w:rPr>
                <w:rStyle w:val="CaptionLabel"/>
              </w:rPr>
              <w:fldChar w:fldCharType="end"/>
            </w:r>
            <w:bookmarkEnd w:id="57"/>
            <w:r>
              <w:tab/>
              <w:t>average US roundup price US$</w:t>
            </w:r>
            <w:r w:rsidR="008079E4">
              <w:t xml:space="preserve"> </w:t>
            </w:r>
            <w:r>
              <w:t>/</w:t>
            </w:r>
            <w:r w:rsidR="008079E4">
              <w:t xml:space="preserve"> </w:t>
            </w:r>
            <w:r>
              <w:t>gallon, 2001-14</w:t>
            </w:r>
            <w:bookmarkEnd w:id="58"/>
            <w:r>
              <w:t xml:space="preserve"> </w:t>
            </w:r>
          </w:p>
        </w:tc>
      </w:tr>
      <w:tr w:rsidR="00222015" w:rsidRPr="00AA4DEE" w:rsidTr="00580CF7">
        <w:trPr>
          <w:cantSplit/>
          <w:trHeight w:hRule="exact" w:val="380"/>
        </w:trPr>
        <w:tc>
          <w:tcPr>
            <w:tcW w:w="8168" w:type="dxa"/>
            <w:tcBorders>
              <w:bottom w:val="single" w:sz="4" w:space="0" w:color="auto"/>
            </w:tcBorders>
            <w:shd w:val="clear" w:color="auto" w:fill="auto"/>
          </w:tcPr>
          <w:p w:rsidR="00222015" w:rsidRPr="00AA4DEE" w:rsidRDefault="004F7246" w:rsidP="003D2AD5">
            <w:pPr>
              <w:pStyle w:val="spacer"/>
            </w:pPr>
            <w:r>
              <w:rPr>
                <w:noProof/>
                <w:lang w:eastAsia="en-AU"/>
              </w:rPr>
              <mc:AlternateContent>
                <mc:Choice Requires="wps">
                  <w:drawing>
                    <wp:anchor distT="0" distB="0" distL="114300" distR="114300" simplePos="0" relativeHeight="251992064" behindDoc="0" locked="1" layoutInCell="1" allowOverlap="1" wp14:anchorId="3F32A881" wp14:editId="157742D8">
                      <wp:simplePos x="0" y="0"/>
                      <wp:positionH relativeFrom="page">
                        <wp:posOffset>4602480</wp:posOffset>
                      </wp:positionH>
                      <wp:positionV relativeFrom="page">
                        <wp:posOffset>22225</wp:posOffset>
                      </wp:positionV>
                      <wp:extent cx="434975" cy="212090"/>
                      <wp:effectExtent l="0" t="0" r="3175" b="0"/>
                      <wp:wrapNone/>
                      <wp:docPr id="6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4975" cy="21209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BAC39D" id="Freeform 5" o:spid="_x0000_s1026" style="position:absolute;margin-left:362.4pt;margin-top:1.75pt;width:34.25pt;height:16.7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" path="m822,r,828l,828,822,xm863,828r823,l1686,,863,828xe" fillcolor="#9d57a6" stroked="f">
                      <v:path arrowok="t" o:connecttype="custom" o:connectlocs="212070,0;212070,212090;0,212090;212070,0;222647,212090;434975,212090;434975,0;222647,212090" o:connectangles="0,0,0,0,0,0,0,0"/>
                      <o:lock v:ext="edit" aspectratio="t" verticies="t"/>
                      <w10:wrap anchorx="page" anchory="page"/>
                      <w10:anchorlock/>
                    </v:shape>
                  </w:pict>
                </mc:Fallback>
              </mc:AlternateContent>
            </w:r>
            <w:r w:rsidR="00546375">
              <w:rPr>
                <w:noProof/>
                <w:lang w:eastAsia="en-AU"/>
              </w:rPr>
              <mc:AlternateContent>
                <mc:Choice Requires="wps">
                  <w:drawing>
                    <wp:anchor distT="0" distB="0" distL="114300" distR="114300" simplePos="0" relativeHeight="251883520" behindDoc="0" locked="1" layoutInCell="1" allowOverlap="1" wp14:anchorId="53384B6A" wp14:editId="31B1FEDF">
                      <wp:simplePos x="0" y="0"/>
                      <wp:positionH relativeFrom="page">
                        <wp:posOffset>6514465</wp:posOffset>
                      </wp:positionH>
                      <wp:positionV relativeFrom="page">
                        <wp:posOffset>1471295</wp:posOffset>
                      </wp:positionV>
                      <wp:extent cx="436880" cy="213360"/>
                      <wp:effectExtent l="0" t="0" r="1270" b="0"/>
                      <wp:wrapNone/>
                      <wp:docPr id="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06B3BD" id="Freeform 5" o:spid="_x0000_s1026" style="position:absolute;margin-left:512.95pt;margin-top:115.85pt;width:34.4pt;height:16.8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tfgMAAME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222015" w:rsidRPr="00AA4DEE" w:rsidTr="00580CF7">
        <w:trPr>
          <w:cantSplit/>
        </w:trPr>
        <w:tc>
          <w:tcPr>
            <w:tcW w:w="8168" w:type="dxa"/>
            <w:tcBorders>
              <w:top w:val="single" w:sz="4" w:space="0" w:color="auto"/>
              <w:bottom w:val="single" w:sz="4" w:space="0" w:color="auto"/>
            </w:tcBorders>
            <w:shd w:val="clear" w:color="auto" w:fill="auto"/>
          </w:tcPr>
          <w:p w:rsidR="00222015" w:rsidRPr="00AA4DEE" w:rsidRDefault="00546375" w:rsidP="003D2AD5">
            <w:pPr>
              <w:pStyle w:val="Figure"/>
            </w:pPr>
            <w:r w:rsidRPr="006E33DA">
              <w:rPr>
                <w:noProof/>
                <w:lang w:eastAsia="en-AU"/>
              </w:rPr>
              <w:drawing>
                <wp:inline distT="0" distB="0" distL="0" distR="0" wp14:anchorId="44780B9D" wp14:editId="4C6265DE">
                  <wp:extent cx="5188585" cy="2386965"/>
                  <wp:effectExtent l="0" t="0" r="0"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222015" w:rsidRPr="00AA4DEE" w:rsidRDefault="00222015" w:rsidP="00AE1643">
            <w:pPr>
              <w:pStyle w:val="Source"/>
            </w:pPr>
            <w:r w:rsidRPr="00AA4DEE">
              <w:t xml:space="preserve">Source: </w:t>
            </w:r>
            <w:r>
              <w:t>USDA National Agricultural and Statistical services</w:t>
            </w:r>
            <w:r w:rsidR="00AE1643">
              <w:t xml:space="preserve">, </w:t>
            </w:r>
            <w:r>
              <w:t xml:space="preserve">accessed </w:t>
            </w:r>
            <w:r w:rsidR="00AE1643">
              <w:t xml:space="preserve">on </w:t>
            </w:r>
            <w:r>
              <w:t>12 July 2017</w:t>
            </w:r>
          </w:p>
        </w:tc>
      </w:tr>
      <w:tr w:rsidR="00E86A68" w:rsidTr="00401D90">
        <w:trPr>
          <w:trHeight w:hRule="exact" w:val="160"/>
        </w:trPr>
        <w:tc>
          <w:tcPr>
            <w:tcW w:w="8168" w:type="dxa"/>
            <w:tcBorders>
              <w:top w:val="single" w:sz="4" w:space="0" w:color="auto"/>
            </w:tcBorders>
            <w:shd w:val="clear" w:color="auto" w:fill="auto"/>
          </w:tcPr>
          <w:p w:rsidR="00222015" w:rsidRDefault="00222015" w:rsidP="003D2AD5">
            <w:pPr>
              <w:pStyle w:val="spacertbl"/>
            </w:pPr>
          </w:p>
        </w:tc>
      </w:tr>
    </w:tbl>
    <w:p w:rsidR="00990953" w:rsidRDefault="00990953" w:rsidP="00990953">
      <w:pPr>
        <w:pStyle w:val="Heading2"/>
      </w:pPr>
      <w:bookmarkStart w:id="59" w:name="_Toc497300819"/>
      <w:r>
        <w:t>Canadian market</w:t>
      </w:r>
      <w:bookmarkEnd w:id="59"/>
    </w:p>
    <w:p w:rsidR="007B3E9C" w:rsidRDefault="007B3E9C" w:rsidP="007B3E9C">
      <w:pPr>
        <w:pStyle w:val="BodyText"/>
      </w:pPr>
      <w:r>
        <w:t>The pesticide manufacturing industry in Canada has a very low level of market share concentration. Th</w:t>
      </w:r>
      <w:r w:rsidR="00D73917">
        <w:t xml:space="preserve">is </w:t>
      </w:r>
      <w:r>
        <w:t xml:space="preserve">is mainly the result of a highly fragmented industry, composed mostly of smaller </w:t>
      </w:r>
      <w:r w:rsidR="00AE1643">
        <w:t>companies</w:t>
      </w:r>
      <w:r>
        <w:t xml:space="preserve"> and owner operators. Major global pesticide companies have vast operations in the </w:t>
      </w:r>
      <w:r w:rsidR="00AE1643">
        <w:t>USA</w:t>
      </w:r>
      <w:r>
        <w:t xml:space="preserve"> and a significant proportion (65 per cent) of </w:t>
      </w:r>
      <w:r w:rsidR="00D73917">
        <w:t xml:space="preserve">Canadian </w:t>
      </w:r>
      <w:r>
        <w:t xml:space="preserve">domestic demand is met by imports from the </w:t>
      </w:r>
      <w:r w:rsidR="00AE1643">
        <w:t>USA</w:t>
      </w:r>
      <w:r>
        <w:t xml:space="preserve"> </w:t>
      </w:r>
      <w:r>
        <w:rPr>
          <w:lang w:val="en-US"/>
        </w:rPr>
        <w:t xml:space="preserve">(see </w:t>
      </w:r>
      <w:r w:rsidR="005A23DF">
        <w:rPr>
          <w:lang w:val="en-US"/>
        </w:rPr>
        <w:fldChar w:fldCharType="begin"/>
      </w:r>
      <w:r w:rsidR="005A23DF">
        <w:rPr>
          <w:lang w:val="en-US"/>
        </w:rPr>
        <w:instrText xml:space="preserve"> REF _Ref487646833 \h </w:instrText>
      </w:r>
      <w:r w:rsidR="005A23DF">
        <w:rPr>
          <w:lang w:val="en-US"/>
        </w:rPr>
      </w:r>
      <w:r w:rsidR="005A23DF">
        <w:rPr>
          <w:lang w:val="en-US"/>
        </w:rPr>
        <w:fldChar w:fldCharType="separate"/>
      </w:r>
      <w:r w:rsidR="0087688C" w:rsidRPr="00FC077F">
        <w:rPr>
          <w:rStyle w:val="CaptionLabel"/>
          <w:lang w:val="en-US"/>
        </w:rPr>
        <w:t>Table </w:t>
      </w:r>
      <w:r w:rsidR="0087688C">
        <w:rPr>
          <w:rStyle w:val="CaptionLabel"/>
          <w:noProof/>
          <w:lang w:val="en-US"/>
        </w:rPr>
        <w:t>2</w:t>
      </w:r>
      <w:r w:rsidR="0087688C" w:rsidRPr="00FC077F">
        <w:rPr>
          <w:rStyle w:val="CaptionLabel"/>
          <w:lang w:val="en-US"/>
        </w:rPr>
        <w:t>.</w:t>
      </w:r>
      <w:r w:rsidR="0087688C">
        <w:rPr>
          <w:rStyle w:val="CaptionLabel"/>
          <w:noProof/>
          <w:lang w:val="en-US"/>
        </w:rPr>
        <w:t>7</w:t>
      </w:r>
      <w:r w:rsidR="005A23DF">
        <w:rPr>
          <w:lang w:val="en-US"/>
        </w:rPr>
        <w:fldChar w:fldCharType="end"/>
      </w:r>
      <w:r>
        <w:rPr>
          <w:lang w:val="en-US"/>
        </w:rPr>
        <w:t>).</w:t>
      </w:r>
      <w:r>
        <w:t xml:space="preserve"> Th</w:t>
      </w:r>
      <w:r w:rsidR="00D73917">
        <w:t>us</w:t>
      </w:r>
      <w:r>
        <w:t xml:space="preserve"> there are no major </w:t>
      </w:r>
      <w:r w:rsidR="00AE1643">
        <w:t xml:space="preserve">Canadian </w:t>
      </w:r>
      <w:r>
        <w:t>players in the industry.</w:t>
      </w:r>
    </w:p>
    <w:p w:rsidR="007B3E9C" w:rsidRDefault="007B3E9C" w:rsidP="007B3E9C">
      <w:pPr>
        <w:pStyle w:val="Caption"/>
        <w:spacing w:before="160"/>
        <w:ind w:left="-1753" w:firstLine="0"/>
        <w:rPr>
          <w:lang w:val="en-US"/>
        </w:rPr>
      </w:pPr>
      <w:bookmarkStart w:id="60" w:name="_Ref487646833"/>
      <w:bookmarkStart w:id="61" w:name="_Toc497132806"/>
      <w:r w:rsidRPr="00FC077F">
        <w:rPr>
          <w:rStyle w:val="CaptionLabel"/>
          <w:lang w:val="en-US"/>
        </w:rPr>
        <w:t>Table </w:t>
      </w:r>
      <w:r w:rsidRPr="00FC077F">
        <w:rPr>
          <w:rStyle w:val="CaptionLabel"/>
          <w:lang w:val="en-US"/>
        </w:rPr>
        <w:fldChar w:fldCharType="begin"/>
      </w:r>
      <w:r w:rsidRPr="00FC077F">
        <w:rPr>
          <w:rStyle w:val="CaptionLabel"/>
          <w:lang w:val="en-US"/>
        </w:rPr>
        <w:instrText xml:space="preserve"> STYLEREF 1 \s </w:instrText>
      </w:r>
      <w:r w:rsidRPr="00FC077F">
        <w:rPr>
          <w:rStyle w:val="CaptionLabel"/>
          <w:lang w:val="en-US"/>
        </w:rPr>
        <w:fldChar w:fldCharType="separate"/>
      </w:r>
      <w:r w:rsidR="001977DE">
        <w:rPr>
          <w:rStyle w:val="CaptionLabel"/>
          <w:noProof/>
          <w:lang w:val="en-US"/>
        </w:rPr>
        <w:t>2</w:t>
      </w:r>
      <w:r w:rsidRPr="00FC077F">
        <w:rPr>
          <w:rStyle w:val="CaptionLabel"/>
          <w:lang w:val="en-US"/>
        </w:rPr>
        <w:fldChar w:fldCharType="end"/>
      </w:r>
      <w:r w:rsidRPr="00FC077F">
        <w:rPr>
          <w:rStyle w:val="CaptionLabel"/>
          <w:lang w:val="en-US"/>
        </w:rPr>
        <w:t>.</w:t>
      </w:r>
      <w:r w:rsidRPr="00FC077F">
        <w:rPr>
          <w:rStyle w:val="CaptionLabel"/>
          <w:lang w:val="en-US"/>
        </w:rPr>
        <w:fldChar w:fldCharType="begin"/>
      </w:r>
      <w:r w:rsidRPr="00FC077F">
        <w:rPr>
          <w:rStyle w:val="CaptionLabel"/>
          <w:lang w:val="en-US"/>
        </w:rPr>
        <w:instrText xml:space="preserve"> SEQ Table \* ARABIC \s 1 </w:instrText>
      </w:r>
      <w:r w:rsidRPr="00FC077F">
        <w:rPr>
          <w:rStyle w:val="CaptionLabel"/>
          <w:lang w:val="en-US"/>
        </w:rPr>
        <w:fldChar w:fldCharType="separate"/>
      </w:r>
      <w:r w:rsidR="001977DE">
        <w:rPr>
          <w:rStyle w:val="CaptionLabel"/>
          <w:noProof/>
          <w:lang w:val="en-US"/>
        </w:rPr>
        <w:t>7</w:t>
      </w:r>
      <w:r w:rsidRPr="00FC077F">
        <w:rPr>
          <w:rStyle w:val="CaptionLabel"/>
          <w:lang w:val="en-US"/>
        </w:rPr>
        <w:fldChar w:fldCharType="end"/>
      </w:r>
      <w:bookmarkEnd w:id="60"/>
      <w:r w:rsidRPr="00FC077F">
        <w:rPr>
          <w:lang w:val="en-US"/>
        </w:rPr>
        <w:tab/>
      </w:r>
      <w:r>
        <w:rPr>
          <w:lang w:val="en-US"/>
        </w:rPr>
        <w:t>Canadian pesticide manufacturing industry, 2008–16</w:t>
      </w:r>
      <w:bookmarkEnd w:id="61"/>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5"/>
        <w:gridCol w:w="1428"/>
        <w:gridCol w:w="1417"/>
        <w:gridCol w:w="1417"/>
        <w:gridCol w:w="1417"/>
        <w:gridCol w:w="1417"/>
        <w:gridCol w:w="1417"/>
        <w:gridCol w:w="1407"/>
      </w:tblGrid>
      <w:tr w:rsidR="00E86A68" w:rsidTr="003D2AD5">
        <w:trPr>
          <w:cantSplit/>
          <w:tblHeader/>
        </w:trPr>
        <w:tc>
          <w:tcPr>
            <w:tcW w:w="907" w:type="pct"/>
            <w:gridSpan w:val="2"/>
            <w:shd w:val="clear" w:color="auto" w:fill="9D57A6"/>
            <w:tcMar>
              <w:left w:w="454" w:type="dxa"/>
              <w:bottom w:w="0" w:type="dxa"/>
            </w:tcMar>
          </w:tcPr>
          <w:p w:rsidR="007B3E9C" w:rsidRDefault="007B3E9C" w:rsidP="003D2AD5">
            <w:pPr>
              <w:pStyle w:val="Tablecolumnheadings"/>
              <w:rPr>
                <w:lang w:val="en-US"/>
              </w:rPr>
            </w:pPr>
            <w:r>
              <w:rPr>
                <w:lang w:val="en-US"/>
              </w:rPr>
              <w:t>Year</w:t>
            </w:r>
          </w:p>
        </w:tc>
        <w:tc>
          <w:tcPr>
            <w:tcW w:w="683" w:type="pct"/>
            <w:shd w:val="clear" w:color="auto" w:fill="9D57A6"/>
            <w:tcMar>
              <w:bottom w:w="0" w:type="dxa"/>
            </w:tcMar>
          </w:tcPr>
          <w:p w:rsidR="007B3E9C" w:rsidRDefault="007B3E9C" w:rsidP="003D2AD5">
            <w:pPr>
              <w:pStyle w:val="Tablecolumnheadings"/>
              <w:jc w:val="right"/>
              <w:rPr>
                <w:lang w:val="en-US"/>
              </w:rPr>
            </w:pPr>
            <w:r>
              <w:rPr>
                <w:lang w:val="en-US"/>
              </w:rPr>
              <w:t xml:space="preserve">Revenue </w:t>
            </w:r>
          </w:p>
        </w:tc>
        <w:tc>
          <w:tcPr>
            <w:tcW w:w="683" w:type="pct"/>
            <w:shd w:val="clear" w:color="auto" w:fill="9D57A6"/>
            <w:tcMar>
              <w:bottom w:w="0" w:type="dxa"/>
            </w:tcMar>
          </w:tcPr>
          <w:p w:rsidR="007B3E9C" w:rsidRDefault="007B3E9C" w:rsidP="003D2AD5">
            <w:pPr>
              <w:pStyle w:val="Tablecolumnheadings"/>
              <w:jc w:val="right"/>
              <w:rPr>
                <w:lang w:val="en-US"/>
              </w:rPr>
            </w:pPr>
            <w:r>
              <w:rPr>
                <w:lang w:val="en-US"/>
              </w:rPr>
              <w:t xml:space="preserve">Industry gross value-add </w:t>
            </w:r>
          </w:p>
        </w:tc>
        <w:tc>
          <w:tcPr>
            <w:tcW w:w="683" w:type="pct"/>
            <w:shd w:val="clear" w:color="auto" w:fill="9D57A6"/>
            <w:tcMar>
              <w:bottom w:w="0" w:type="dxa"/>
            </w:tcMar>
          </w:tcPr>
          <w:p w:rsidR="007B3E9C" w:rsidRDefault="007B3E9C" w:rsidP="003D2AD5">
            <w:pPr>
              <w:pStyle w:val="Tablecolumnheadings"/>
              <w:jc w:val="right"/>
              <w:rPr>
                <w:lang w:val="en-US"/>
              </w:rPr>
            </w:pPr>
            <w:r>
              <w:rPr>
                <w:lang w:val="en-US"/>
              </w:rPr>
              <w:t>Exports</w:t>
            </w:r>
          </w:p>
        </w:tc>
        <w:tc>
          <w:tcPr>
            <w:tcW w:w="683" w:type="pct"/>
            <w:shd w:val="clear" w:color="auto" w:fill="9D57A6"/>
            <w:tcMar>
              <w:bottom w:w="0" w:type="dxa"/>
            </w:tcMar>
          </w:tcPr>
          <w:p w:rsidR="007B3E9C" w:rsidRDefault="007B3E9C" w:rsidP="003D2AD5">
            <w:pPr>
              <w:pStyle w:val="Tablecolumnheadings"/>
              <w:jc w:val="right"/>
              <w:rPr>
                <w:lang w:val="en-US"/>
              </w:rPr>
            </w:pPr>
            <w:r>
              <w:rPr>
                <w:lang w:val="en-US"/>
              </w:rPr>
              <w:t xml:space="preserve">Imports </w:t>
            </w:r>
          </w:p>
        </w:tc>
        <w:tc>
          <w:tcPr>
            <w:tcW w:w="683" w:type="pct"/>
            <w:shd w:val="clear" w:color="auto" w:fill="9D57A6"/>
            <w:tcMar>
              <w:bottom w:w="0" w:type="dxa"/>
            </w:tcMar>
          </w:tcPr>
          <w:p w:rsidR="007B3E9C" w:rsidRDefault="007B3E9C" w:rsidP="003D2AD5">
            <w:pPr>
              <w:pStyle w:val="Tablecolumnheadings"/>
              <w:jc w:val="right"/>
              <w:rPr>
                <w:lang w:val="en-US"/>
              </w:rPr>
            </w:pPr>
            <w:r>
              <w:rPr>
                <w:lang w:val="en-US"/>
              </w:rPr>
              <w:t>Domestic demand</w:t>
            </w:r>
          </w:p>
        </w:tc>
        <w:tc>
          <w:tcPr>
            <w:tcW w:w="678" w:type="pct"/>
            <w:shd w:val="clear" w:color="auto" w:fill="9D57A6"/>
            <w:tcMar>
              <w:bottom w:w="0" w:type="dxa"/>
            </w:tcMar>
          </w:tcPr>
          <w:p w:rsidR="007B3E9C" w:rsidRDefault="007B3E9C" w:rsidP="003D2AD5">
            <w:pPr>
              <w:pStyle w:val="Tablecolumnheadings"/>
              <w:jc w:val="right"/>
              <w:rPr>
                <w:lang w:val="en-US"/>
              </w:rPr>
            </w:pPr>
            <w:r>
              <w:rPr>
                <w:lang w:val="en-US"/>
              </w:rPr>
              <w:t xml:space="preserve">Trade balance </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DDDDDD"/>
            <w:vAlign w:val="bottom"/>
          </w:tcPr>
          <w:p w:rsidR="007B3E9C" w:rsidRDefault="007B3E9C" w:rsidP="003D2AD5">
            <w:pPr>
              <w:pStyle w:val="Tabletext"/>
              <w:jc w:val="right"/>
              <w:rPr>
                <w:lang w:val="en-US"/>
              </w:rPr>
            </w:pPr>
          </w:p>
        </w:tc>
        <w:tc>
          <w:tcPr>
            <w:tcW w:w="683" w:type="pct"/>
            <w:tcBorders>
              <w:top w:val="nil"/>
            </w:tcBorders>
            <w:shd w:val="clear" w:color="auto" w:fill="DDDDDD"/>
            <w:vAlign w:val="bottom"/>
          </w:tcPr>
          <w:p w:rsidR="007B3E9C" w:rsidRDefault="007B3E9C" w:rsidP="003D2AD5">
            <w:pPr>
              <w:pStyle w:val="Tabletext"/>
              <w:jc w:val="right"/>
              <w:rPr>
                <w:sz w:val="22"/>
              </w:rPr>
            </w:pPr>
            <w:r>
              <w:rPr>
                <w:lang w:val="en-US"/>
              </w:rPr>
              <w:t>C$</w:t>
            </w:r>
            <w:r>
              <w:t> million</w:t>
            </w:r>
          </w:p>
        </w:tc>
        <w:tc>
          <w:tcPr>
            <w:tcW w:w="683" w:type="pct"/>
            <w:tcBorders>
              <w:top w:val="nil"/>
            </w:tcBorders>
            <w:shd w:val="clear" w:color="auto" w:fill="DDDDDD"/>
          </w:tcPr>
          <w:p w:rsidR="007B3E9C" w:rsidRDefault="007B3E9C" w:rsidP="003D2AD5">
            <w:pPr>
              <w:pStyle w:val="Tabletext"/>
              <w:jc w:val="right"/>
            </w:pPr>
            <w:r>
              <w:rPr>
                <w:lang w:val="en-US"/>
              </w:rPr>
              <w:t>C$</w:t>
            </w:r>
            <w:r>
              <w:t> million</w:t>
            </w:r>
          </w:p>
        </w:tc>
        <w:tc>
          <w:tcPr>
            <w:tcW w:w="683" w:type="pct"/>
            <w:tcBorders>
              <w:top w:val="nil"/>
            </w:tcBorders>
            <w:shd w:val="clear" w:color="auto" w:fill="DDDDDD"/>
          </w:tcPr>
          <w:p w:rsidR="007B3E9C" w:rsidRDefault="007B3E9C" w:rsidP="003D2AD5">
            <w:pPr>
              <w:pStyle w:val="Tabletext"/>
              <w:jc w:val="right"/>
            </w:pPr>
            <w:r>
              <w:rPr>
                <w:lang w:val="en-US"/>
              </w:rPr>
              <w:t>C$</w:t>
            </w:r>
            <w:r>
              <w:t> million</w:t>
            </w:r>
          </w:p>
        </w:tc>
        <w:tc>
          <w:tcPr>
            <w:tcW w:w="683" w:type="pct"/>
            <w:tcBorders>
              <w:top w:val="nil"/>
            </w:tcBorders>
            <w:shd w:val="clear" w:color="auto" w:fill="DDDDDD"/>
          </w:tcPr>
          <w:p w:rsidR="007B3E9C" w:rsidRDefault="007B3E9C" w:rsidP="003D2AD5">
            <w:pPr>
              <w:pStyle w:val="Tabletext"/>
              <w:jc w:val="right"/>
            </w:pPr>
            <w:r>
              <w:rPr>
                <w:lang w:val="en-US"/>
              </w:rPr>
              <w:t>C</w:t>
            </w:r>
            <w:r w:rsidRPr="00F50E86">
              <w:rPr>
                <w:lang w:val="en-US"/>
              </w:rPr>
              <w:t>$</w:t>
            </w:r>
            <w:r w:rsidRPr="00F50E86">
              <w:t> million</w:t>
            </w:r>
          </w:p>
        </w:tc>
        <w:tc>
          <w:tcPr>
            <w:tcW w:w="683" w:type="pct"/>
            <w:tcBorders>
              <w:top w:val="nil"/>
            </w:tcBorders>
            <w:shd w:val="clear" w:color="auto" w:fill="DDDDDD"/>
          </w:tcPr>
          <w:p w:rsidR="007B3E9C" w:rsidRDefault="007B3E9C" w:rsidP="003D2AD5">
            <w:pPr>
              <w:pStyle w:val="Tabletext"/>
              <w:jc w:val="right"/>
            </w:pPr>
            <w:r>
              <w:rPr>
                <w:lang w:val="en-US"/>
              </w:rPr>
              <w:t>C</w:t>
            </w:r>
            <w:r w:rsidRPr="00F50E86">
              <w:rPr>
                <w:lang w:val="en-US"/>
              </w:rPr>
              <w:t>$</w:t>
            </w:r>
            <w:r w:rsidRPr="00F50E86">
              <w:t> million</w:t>
            </w:r>
          </w:p>
        </w:tc>
        <w:tc>
          <w:tcPr>
            <w:tcW w:w="678" w:type="pct"/>
            <w:tcBorders>
              <w:top w:val="nil"/>
            </w:tcBorders>
            <w:shd w:val="clear" w:color="auto" w:fill="DDDDDD"/>
          </w:tcPr>
          <w:p w:rsidR="007B3E9C" w:rsidRDefault="007B3E9C" w:rsidP="003D2AD5">
            <w:pPr>
              <w:pStyle w:val="Tabletext"/>
              <w:jc w:val="right"/>
            </w:pPr>
            <w:r>
              <w:rPr>
                <w:lang w:val="en-US"/>
              </w:rPr>
              <w:t>C</w:t>
            </w:r>
            <w:r w:rsidRPr="00F50E86">
              <w:rPr>
                <w:lang w:val="en-US"/>
              </w:rPr>
              <w:t>$</w:t>
            </w:r>
            <w:r w:rsidRPr="00F50E86">
              <w:t> million</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tcBorders>
              <w:top w:val="nil"/>
            </w:tcBorders>
            <w:shd w:val="clear" w:color="auto" w:fill="auto"/>
            <w:vAlign w:val="bottom"/>
          </w:tcPr>
          <w:p w:rsidR="005A23DF" w:rsidRDefault="005A23DF" w:rsidP="005A23DF">
            <w:pPr>
              <w:pStyle w:val="Tabletext"/>
              <w:rPr>
                <w:lang w:val="en-US"/>
              </w:rPr>
            </w:pPr>
            <w:r>
              <w:t>2008</w:t>
            </w:r>
          </w:p>
        </w:tc>
        <w:tc>
          <w:tcPr>
            <w:tcW w:w="683" w:type="pct"/>
            <w:tcBorders>
              <w:top w:val="nil"/>
            </w:tcBorders>
            <w:shd w:val="clear" w:color="auto" w:fill="auto"/>
            <w:vAlign w:val="bottom"/>
          </w:tcPr>
          <w:p w:rsidR="005A23DF" w:rsidRDefault="005A23DF" w:rsidP="005A23DF">
            <w:pPr>
              <w:pStyle w:val="Tabletext"/>
              <w:jc w:val="right"/>
              <w:rPr>
                <w:lang w:val="en-US"/>
              </w:rPr>
            </w:pPr>
            <w:r>
              <w:t>965.3</w:t>
            </w:r>
          </w:p>
        </w:tc>
        <w:tc>
          <w:tcPr>
            <w:tcW w:w="683" w:type="pct"/>
            <w:tcBorders>
              <w:top w:val="nil"/>
            </w:tcBorders>
            <w:shd w:val="clear" w:color="auto" w:fill="auto"/>
            <w:vAlign w:val="bottom"/>
          </w:tcPr>
          <w:p w:rsidR="005A23DF" w:rsidRDefault="005A23DF" w:rsidP="005A23DF">
            <w:pPr>
              <w:pStyle w:val="Tabletext"/>
              <w:jc w:val="right"/>
            </w:pPr>
            <w:r>
              <w:t>303.5</w:t>
            </w:r>
          </w:p>
        </w:tc>
        <w:tc>
          <w:tcPr>
            <w:tcW w:w="683" w:type="pct"/>
            <w:tcBorders>
              <w:top w:val="nil"/>
            </w:tcBorders>
            <w:shd w:val="clear" w:color="auto" w:fill="auto"/>
            <w:vAlign w:val="bottom"/>
          </w:tcPr>
          <w:p w:rsidR="005A23DF" w:rsidRDefault="005A23DF" w:rsidP="005A23DF">
            <w:pPr>
              <w:pStyle w:val="Tabletext"/>
              <w:jc w:val="right"/>
            </w:pPr>
            <w:r>
              <w:t>106.9</w:t>
            </w:r>
          </w:p>
        </w:tc>
        <w:tc>
          <w:tcPr>
            <w:tcW w:w="683" w:type="pct"/>
            <w:tcBorders>
              <w:top w:val="nil"/>
            </w:tcBorders>
            <w:shd w:val="clear" w:color="auto" w:fill="auto"/>
            <w:vAlign w:val="bottom"/>
          </w:tcPr>
          <w:p w:rsidR="005A23DF" w:rsidRDefault="005A23DF" w:rsidP="005A23DF">
            <w:pPr>
              <w:pStyle w:val="Tabletext"/>
              <w:jc w:val="right"/>
            </w:pPr>
            <w:r>
              <w:t>1</w:t>
            </w:r>
            <w:r w:rsidR="0012074F">
              <w:t>,</w:t>
            </w:r>
            <w:r>
              <w:t>262.9</w:t>
            </w:r>
          </w:p>
        </w:tc>
        <w:tc>
          <w:tcPr>
            <w:tcW w:w="683" w:type="pct"/>
            <w:tcBorders>
              <w:top w:val="nil"/>
            </w:tcBorders>
            <w:shd w:val="clear" w:color="auto" w:fill="auto"/>
            <w:vAlign w:val="bottom"/>
          </w:tcPr>
          <w:p w:rsidR="005A23DF" w:rsidRDefault="005A23DF" w:rsidP="005A23DF">
            <w:pPr>
              <w:pStyle w:val="Tabletext"/>
              <w:jc w:val="right"/>
            </w:pPr>
            <w:r>
              <w:t>2</w:t>
            </w:r>
            <w:r w:rsidR="0012074F">
              <w:t>,</w:t>
            </w:r>
            <w:r>
              <w:t>121.3</w:t>
            </w:r>
          </w:p>
        </w:tc>
        <w:tc>
          <w:tcPr>
            <w:tcW w:w="678" w:type="pct"/>
            <w:tcBorders>
              <w:top w:val="nil"/>
            </w:tcBorders>
            <w:shd w:val="clear" w:color="auto" w:fill="auto"/>
            <w:vAlign w:val="bottom"/>
          </w:tcPr>
          <w:p w:rsidR="005A23DF" w:rsidRDefault="005A23DF" w:rsidP="005A23DF">
            <w:pPr>
              <w:pStyle w:val="Tabletext"/>
              <w:jc w:val="right"/>
            </w:pPr>
            <w:r>
              <w:t>-1</w:t>
            </w:r>
            <w:r w:rsidR="0012074F">
              <w:t>,</w:t>
            </w:r>
            <w:r>
              <w:t>156.0</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2009</w:t>
            </w:r>
          </w:p>
        </w:tc>
        <w:tc>
          <w:tcPr>
            <w:tcW w:w="683" w:type="pct"/>
            <w:shd w:val="clear" w:color="auto" w:fill="auto"/>
            <w:vAlign w:val="bottom"/>
          </w:tcPr>
          <w:p w:rsidR="005A23DF" w:rsidRDefault="005A23DF" w:rsidP="005A23DF">
            <w:pPr>
              <w:pStyle w:val="Tabletext"/>
              <w:jc w:val="right"/>
            </w:pPr>
            <w:r>
              <w:t>1</w:t>
            </w:r>
            <w:r w:rsidR="0012074F">
              <w:t>,</w:t>
            </w:r>
            <w:r>
              <w:t>115.8</w:t>
            </w:r>
          </w:p>
        </w:tc>
        <w:tc>
          <w:tcPr>
            <w:tcW w:w="683" w:type="pct"/>
            <w:shd w:val="clear" w:color="auto" w:fill="auto"/>
            <w:vAlign w:val="bottom"/>
          </w:tcPr>
          <w:p w:rsidR="005A23DF" w:rsidRDefault="005A23DF" w:rsidP="005A23DF">
            <w:pPr>
              <w:pStyle w:val="Tabletext"/>
              <w:jc w:val="right"/>
            </w:pPr>
            <w:r>
              <w:t>250.1</w:t>
            </w:r>
          </w:p>
        </w:tc>
        <w:tc>
          <w:tcPr>
            <w:tcW w:w="683" w:type="pct"/>
            <w:shd w:val="clear" w:color="auto" w:fill="auto"/>
            <w:vAlign w:val="bottom"/>
          </w:tcPr>
          <w:p w:rsidR="005A23DF" w:rsidRDefault="005A23DF" w:rsidP="005A23DF">
            <w:pPr>
              <w:pStyle w:val="Tabletext"/>
              <w:jc w:val="right"/>
            </w:pPr>
            <w:r>
              <w:t>120.3</w:t>
            </w:r>
          </w:p>
        </w:tc>
        <w:tc>
          <w:tcPr>
            <w:tcW w:w="683" w:type="pct"/>
            <w:shd w:val="clear" w:color="auto" w:fill="auto"/>
            <w:vAlign w:val="bottom"/>
          </w:tcPr>
          <w:p w:rsidR="005A23DF" w:rsidRDefault="005A23DF" w:rsidP="005A23DF">
            <w:pPr>
              <w:pStyle w:val="Tabletext"/>
              <w:jc w:val="right"/>
            </w:pPr>
            <w:r>
              <w:t>1</w:t>
            </w:r>
            <w:r w:rsidR="0012074F">
              <w:t>,</w:t>
            </w:r>
            <w:r>
              <w:t>466.0</w:t>
            </w:r>
          </w:p>
        </w:tc>
        <w:tc>
          <w:tcPr>
            <w:tcW w:w="683" w:type="pct"/>
            <w:shd w:val="clear" w:color="auto" w:fill="auto"/>
            <w:vAlign w:val="bottom"/>
          </w:tcPr>
          <w:p w:rsidR="005A23DF" w:rsidRDefault="005A23DF" w:rsidP="005A23DF">
            <w:pPr>
              <w:pStyle w:val="Tabletext"/>
              <w:jc w:val="right"/>
            </w:pPr>
            <w:r>
              <w:t>2</w:t>
            </w:r>
            <w:r w:rsidR="0012074F">
              <w:t>,</w:t>
            </w:r>
            <w:r>
              <w:t>461.5</w:t>
            </w:r>
          </w:p>
        </w:tc>
        <w:tc>
          <w:tcPr>
            <w:tcW w:w="678" w:type="pct"/>
            <w:shd w:val="clear" w:color="auto" w:fill="auto"/>
            <w:vAlign w:val="bottom"/>
          </w:tcPr>
          <w:p w:rsidR="005A23DF" w:rsidRDefault="005A23DF" w:rsidP="005A23DF">
            <w:pPr>
              <w:pStyle w:val="Tabletext"/>
              <w:jc w:val="right"/>
            </w:pPr>
            <w:r>
              <w:t>-1</w:t>
            </w:r>
            <w:r w:rsidR="0012074F">
              <w:t>,</w:t>
            </w:r>
            <w:r>
              <w:t>345.7</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2010</w:t>
            </w:r>
          </w:p>
        </w:tc>
        <w:tc>
          <w:tcPr>
            <w:tcW w:w="683" w:type="pct"/>
            <w:shd w:val="clear" w:color="auto" w:fill="auto"/>
            <w:vAlign w:val="bottom"/>
          </w:tcPr>
          <w:p w:rsidR="005A23DF" w:rsidRDefault="005A23DF" w:rsidP="005A23DF">
            <w:pPr>
              <w:pStyle w:val="Tabletext"/>
              <w:jc w:val="right"/>
            </w:pPr>
            <w:r>
              <w:t>975.3</w:t>
            </w:r>
          </w:p>
        </w:tc>
        <w:tc>
          <w:tcPr>
            <w:tcW w:w="683" w:type="pct"/>
            <w:shd w:val="clear" w:color="auto" w:fill="auto"/>
            <w:vAlign w:val="bottom"/>
          </w:tcPr>
          <w:p w:rsidR="005A23DF" w:rsidRDefault="005A23DF" w:rsidP="005A23DF">
            <w:pPr>
              <w:pStyle w:val="Tabletext"/>
              <w:jc w:val="right"/>
            </w:pPr>
            <w:r>
              <w:t>238.8</w:t>
            </w:r>
          </w:p>
        </w:tc>
        <w:tc>
          <w:tcPr>
            <w:tcW w:w="683" w:type="pct"/>
            <w:shd w:val="clear" w:color="auto" w:fill="auto"/>
            <w:vAlign w:val="bottom"/>
          </w:tcPr>
          <w:p w:rsidR="005A23DF" w:rsidRDefault="005A23DF" w:rsidP="005A23DF">
            <w:pPr>
              <w:pStyle w:val="Tabletext"/>
              <w:jc w:val="right"/>
            </w:pPr>
            <w:r>
              <w:t>102.6</w:t>
            </w:r>
          </w:p>
        </w:tc>
        <w:tc>
          <w:tcPr>
            <w:tcW w:w="683" w:type="pct"/>
            <w:shd w:val="clear" w:color="auto" w:fill="auto"/>
            <w:vAlign w:val="bottom"/>
          </w:tcPr>
          <w:p w:rsidR="005A23DF" w:rsidRDefault="005A23DF" w:rsidP="005A23DF">
            <w:pPr>
              <w:pStyle w:val="Tabletext"/>
              <w:jc w:val="right"/>
            </w:pPr>
            <w:r>
              <w:t>1</w:t>
            </w:r>
            <w:r w:rsidR="0012074F">
              <w:t>,</w:t>
            </w:r>
            <w:r>
              <w:t>198.1</w:t>
            </w:r>
          </w:p>
        </w:tc>
        <w:tc>
          <w:tcPr>
            <w:tcW w:w="683" w:type="pct"/>
            <w:shd w:val="clear" w:color="auto" w:fill="auto"/>
            <w:vAlign w:val="bottom"/>
          </w:tcPr>
          <w:p w:rsidR="005A23DF" w:rsidRDefault="005A23DF" w:rsidP="005A23DF">
            <w:pPr>
              <w:pStyle w:val="Tabletext"/>
              <w:jc w:val="right"/>
            </w:pPr>
            <w:r>
              <w:t>2</w:t>
            </w:r>
            <w:r w:rsidR="0012074F">
              <w:t>,</w:t>
            </w:r>
            <w:r>
              <w:t>070.8</w:t>
            </w:r>
          </w:p>
        </w:tc>
        <w:tc>
          <w:tcPr>
            <w:tcW w:w="678" w:type="pct"/>
            <w:shd w:val="clear" w:color="auto" w:fill="auto"/>
            <w:vAlign w:val="bottom"/>
          </w:tcPr>
          <w:p w:rsidR="005A23DF" w:rsidRDefault="005A23DF" w:rsidP="005A23DF">
            <w:pPr>
              <w:pStyle w:val="Tabletext"/>
              <w:jc w:val="right"/>
            </w:pPr>
            <w:r>
              <w:t>-1</w:t>
            </w:r>
            <w:r w:rsidR="0012074F">
              <w:t>,</w:t>
            </w:r>
            <w:r>
              <w:t>095.5</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2011</w:t>
            </w:r>
          </w:p>
        </w:tc>
        <w:tc>
          <w:tcPr>
            <w:tcW w:w="683" w:type="pct"/>
            <w:shd w:val="clear" w:color="auto" w:fill="auto"/>
            <w:vAlign w:val="bottom"/>
          </w:tcPr>
          <w:p w:rsidR="005A23DF" w:rsidRDefault="005A23DF" w:rsidP="005A23DF">
            <w:pPr>
              <w:pStyle w:val="Tabletext"/>
              <w:jc w:val="right"/>
            </w:pPr>
            <w:r>
              <w:t>960.8</w:t>
            </w:r>
          </w:p>
        </w:tc>
        <w:tc>
          <w:tcPr>
            <w:tcW w:w="683" w:type="pct"/>
            <w:shd w:val="clear" w:color="auto" w:fill="auto"/>
            <w:vAlign w:val="bottom"/>
          </w:tcPr>
          <w:p w:rsidR="005A23DF" w:rsidRDefault="005A23DF" w:rsidP="005A23DF">
            <w:pPr>
              <w:pStyle w:val="Tabletext"/>
              <w:jc w:val="right"/>
            </w:pPr>
            <w:r>
              <w:t>140.9</w:t>
            </w:r>
          </w:p>
        </w:tc>
        <w:tc>
          <w:tcPr>
            <w:tcW w:w="683" w:type="pct"/>
            <w:shd w:val="clear" w:color="auto" w:fill="auto"/>
            <w:vAlign w:val="bottom"/>
          </w:tcPr>
          <w:p w:rsidR="005A23DF" w:rsidRDefault="005A23DF" w:rsidP="005A23DF">
            <w:pPr>
              <w:pStyle w:val="Tabletext"/>
              <w:jc w:val="right"/>
            </w:pPr>
            <w:r>
              <w:t>81.5</w:t>
            </w:r>
          </w:p>
        </w:tc>
        <w:tc>
          <w:tcPr>
            <w:tcW w:w="683" w:type="pct"/>
            <w:shd w:val="clear" w:color="auto" w:fill="auto"/>
            <w:vAlign w:val="bottom"/>
          </w:tcPr>
          <w:p w:rsidR="005A23DF" w:rsidRDefault="005A23DF" w:rsidP="005A23DF">
            <w:pPr>
              <w:pStyle w:val="Tabletext"/>
              <w:jc w:val="right"/>
            </w:pPr>
            <w:r>
              <w:t>1</w:t>
            </w:r>
            <w:r w:rsidR="0012074F">
              <w:t>,</w:t>
            </w:r>
            <w:r>
              <w:t>059.1</w:t>
            </w:r>
          </w:p>
        </w:tc>
        <w:tc>
          <w:tcPr>
            <w:tcW w:w="683" w:type="pct"/>
            <w:shd w:val="clear" w:color="auto" w:fill="auto"/>
            <w:vAlign w:val="bottom"/>
          </w:tcPr>
          <w:p w:rsidR="005A23DF" w:rsidRDefault="005A23DF" w:rsidP="005A23DF">
            <w:pPr>
              <w:pStyle w:val="Tabletext"/>
              <w:jc w:val="right"/>
            </w:pPr>
            <w:r>
              <w:t>1</w:t>
            </w:r>
            <w:r w:rsidR="0012074F">
              <w:t>,</w:t>
            </w:r>
            <w:r>
              <w:t>938.4</w:t>
            </w:r>
          </w:p>
        </w:tc>
        <w:tc>
          <w:tcPr>
            <w:tcW w:w="678" w:type="pct"/>
            <w:shd w:val="clear" w:color="auto" w:fill="auto"/>
            <w:vAlign w:val="bottom"/>
          </w:tcPr>
          <w:p w:rsidR="005A23DF" w:rsidRDefault="005A23DF" w:rsidP="005A23DF">
            <w:pPr>
              <w:pStyle w:val="Tabletext"/>
              <w:jc w:val="right"/>
            </w:pPr>
            <w:r>
              <w:t>-977.6</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2012</w:t>
            </w:r>
          </w:p>
        </w:tc>
        <w:tc>
          <w:tcPr>
            <w:tcW w:w="683" w:type="pct"/>
            <w:shd w:val="clear" w:color="auto" w:fill="auto"/>
            <w:vAlign w:val="bottom"/>
          </w:tcPr>
          <w:p w:rsidR="005A23DF" w:rsidRDefault="005A23DF" w:rsidP="005A23DF">
            <w:pPr>
              <w:pStyle w:val="Tabletext"/>
              <w:jc w:val="right"/>
            </w:pPr>
            <w:r>
              <w:t>1</w:t>
            </w:r>
            <w:r w:rsidR="0012074F">
              <w:t>,</w:t>
            </w:r>
            <w:r>
              <w:t>068.2</w:t>
            </w:r>
          </w:p>
        </w:tc>
        <w:tc>
          <w:tcPr>
            <w:tcW w:w="683" w:type="pct"/>
            <w:shd w:val="clear" w:color="auto" w:fill="auto"/>
            <w:vAlign w:val="bottom"/>
          </w:tcPr>
          <w:p w:rsidR="005A23DF" w:rsidRDefault="005A23DF" w:rsidP="005A23DF">
            <w:pPr>
              <w:pStyle w:val="Tabletext"/>
              <w:jc w:val="right"/>
            </w:pPr>
            <w:r>
              <w:t>170.6</w:t>
            </w:r>
          </w:p>
        </w:tc>
        <w:tc>
          <w:tcPr>
            <w:tcW w:w="683" w:type="pct"/>
            <w:shd w:val="clear" w:color="auto" w:fill="auto"/>
            <w:vAlign w:val="bottom"/>
          </w:tcPr>
          <w:p w:rsidR="005A23DF" w:rsidRDefault="005A23DF" w:rsidP="005A23DF">
            <w:pPr>
              <w:pStyle w:val="Tabletext"/>
              <w:jc w:val="right"/>
            </w:pPr>
            <w:r>
              <w:t>84.9</w:t>
            </w:r>
          </w:p>
        </w:tc>
        <w:tc>
          <w:tcPr>
            <w:tcW w:w="683" w:type="pct"/>
            <w:shd w:val="clear" w:color="auto" w:fill="auto"/>
            <w:vAlign w:val="bottom"/>
          </w:tcPr>
          <w:p w:rsidR="005A23DF" w:rsidRDefault="005A23DF" w:rsidP="005A23DF">
            <w:pPr>
              <w:pStyle w:val="Tabletext"/>
              <w:jc w:val="right"/>
            </w:pPr>
            <w:r>
              <w:t>1</w:t>
            </w:r>
            <w:r w:rsidR="0012074F">
              <w:t>,</w:t>
            </w:r>
            <w:r>
              <w:t>210.1</w:t>
            </w:r>
          </w:p>
        </w:tc>
        <w:tc>
          <w:tcPr>
            <w:tcW w:w="683" w:type="pct"/>
            <w:shd w:val="clear" w:color="auto" w:fill="auto"/>
            <w:vAlign w:val="bottom"/>
          </w:tcPr>
          <w:p w:rsidR="005A23DF" w:rsidRDefault="005A23DF" w:rsidP="005A23DF">
            <w:pPr>
              <w:pStyle w:val="Tabletext"/>
              <w:jc w:val="right"/>
            </w:pPr>
            <w:r>
              <w:t>2</w:t>
            </w:r>
            <w:r w:rsidR="0012074F">
              <w:t>,</w:t>
            </w:r>
            <w:r>
              <w:t>193.4</w:t>
            </w:r>
          </w:p>
        </w:tc>
        <w:tc>
          <w:tcPr>
            <w:tcW w:w="678" w:type="pct"/>
            <w:shd w:val="clear" w:color="auto" w:fill="auto"/>
            <w:vAlign w:val="bottom"/>
          </w:tcPr>
          <w:p w:rsidR="005A23DF" w:rsidRDefault="005A23DF" w:rsidP="005A23DF">
            <w:pPr>
              <w:pStyle w:val="Tabletext"/>
              <w:jc w:val="right"/>
            </w:pPr>
            <w:r>
              <w:t>-1</w:t>
            </w:r>
            <w:r w:rsidR="0012074F">
              <w:t>,</w:t>
            </w:r>
            <w:r>
              <w:t>125.2</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2013</w:t>
            </w:r>
          </w:p>
        </w:tc>
        <w:tc>
          <w:tcPr>
            <w:tcW w:w="683" w:type="pct"/>
            <w:shd w:val="clear" w:color="auto" w:fill="auto"/>
            <w:vAlign w:val="bottom"/>
          </w:tcPr>
          <w:p w:rsidR="005A23DF" w:rsidRDefault="005A23DF" w:rsidP="005A23DF">
            <w:pPr>
              <w:pStyle w:val="Tabletext"/>
              <w:jc w:val="right"/>
            </w:pPr>
            <w:r>
              <w:t>1</w:t>
            </w:r>
            <w:r w:rsidR="0012074F">
              <w:t>,</w:t>
            </w:r>
            <w:r>
              <w:t>125.3</w:t>
            </w:r>
          </w:p>
        </w:tc>
        <w:tc>
          <w:tcPr>
            <w:tcW w:w="683" w:type="pct"/>
            <w:shd w:val="clear" w:color="auto" w:fill="auto"/>
            <w:vAlign w:val="bottom"/>
          </w:tcPr>
          <w:p w:rsidR="005A23DF" w:rsidRDefault="005A23DF" w:rsidP="005A23DF">
            <w:pPr>
              <w:pStyle w:val="Tabletext"/>
              <w:jc w:val="right"/>
            </w:pPr>
            <w:r>
              <w:t>210.3</w:t>
            </w:r>
          </w:p>
        </w:tc>
        <w:tc>
          <w:tcPr>
            <w:tcW w:w="683" w:type="pct"/>
            <w:shd w:val="clear" w:color="auto" w:fill="auto"/>
            <w:vAlign w:val="bottom"/>
          </w:tcPr>
          <w:p w:rsidR="005A23DF" w:rsidRDefault="005A23DF" w:rsidP="005A23DF">
            <w:pPr>
              <w:pStyle w:val="Tabletext"/>
              <w:jc w:val="right"/>
            </w:pPr>
            <w:r>
              <w:t>67.1</w:t>
            </w:r>
          </w:p>
        </w:tc>
        <w:tc>
          <w:tcPr>
            <w:tcW w:w="683" w:type="pct"/>
            <w:shd w:val="clear" w:color="auto" w:fill="auto"/>
            <w:vAlign w:val="bottom"/>
          </w:tcPr>
          <w:p w:rsidR="005A23DF" w:rsidRDefault="005A23DF" w:rsidP="005A23DF">
            <w:pPr>
              <w:pStyle w:val="Tabletext"/>
              <w:jc w:val="right"/>
            </w:pPr>
            <w:r>
              <w:t>1</w:t>
            </w:r>
            <w:r w:rsidR="0012074F">
              <w:t>,</w:t>
            </w:r>
            <w:r>
              <w:t>585.5</w:t>
            </w:r>
          </w:p>
        </w:tc>
        <w:tc>
          <w:tcPr>
            <w:tcW w:w="683" w:type="pct"/>
            <w:shd w:val="clear" w:color="auto" w:fill="auto"/>
            <w:vAlign w:val="bottom"/>
          </w:tcPr>
          <w:p w:rsidR="005A23DF" w:rsidRDefault="005A23DF" w:rsidP="005A23DF">
            <w:pPr>
              <w:pStyle w:val="Tabletext"/>
              <w:jc w:val="right"/>
            </w:pPr>
            <w:r>
              <w:t>2</w:t>
            </w:r>
            <w:r w:rsidR="0012074F">
              <w:t>,</w:t>
            </w:r>
            <w:r>
              <w:t>643.7</w:t>
            </w:r>
          </w:p>
        </w:tc>
        <w:tc>
          <w:tcPr>
            <w:tcW w:w="678" w:type="pct"/>
            <w:shd w:val="clear" w:color="auto" w:fill="auto"/>
            <w:vAlign w:val="bottom"/>
          </w:tcPr>
          <w:p w:rsidR="005A23DF" w:rsidRDefault="005A23DF" w:rsidP="005A23DF">
            <w:pPr>
              <w:pStyle w:val="Tabletext"/>
              <w:jc w:val="right"/>
            </w:pPr>
            <w:r>
              <w:t>-1</w:t>
            </w:r>
            <w:r w:rsidR="0012074F">
              <w:t>,</w:t>
            </w:r>
            <w:r>
              <w:t>518.4</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2014</w:t>
            </w:r>
          </w:p>
        </w:tc>
        <w:tc>
          <w:tcPr>
            <w:tcW w:w="683" w:type="pct"/>
            <w:shd w:val="clear" w:color="auto" w:fill="auto"/>
            <w:vAlign w:val="bottom"/>
          </w:tcPr>
          <w:p w:rsidR="005A23DF" w:rsidRDefault="005A23DF" w:rsidP="005A23DF">
            <w:pPr>
              <w:pStyle w:val="Tabletext"/>
              <w:jc w:val="right"/>
            </w:pPr>
            <w:r>
              <w:t>1</w:t>
            </w:r>
            <w:r w:rsidR="0012074F">
              <w:t>,</w:t>
            </w:r>
            <w:r>
              <w:t>147.7</w:t>
            </w:r>
          </w:p>
        </w:tc>
        <w:tc>
          <w:tcPr>
            <w:tcW w:w="683" w:type="pct"/>
            <w:shd w:val="clear" w:color="auto" w:fill="auto"/>
            <w:vAlign w:val="bottom"/>
          </w:tcPr>
          <w:p w:rsidR="005A23DF" w:rsidRDefault="005A23DF" w:rsidP="005A23DF">
            <w:pPr>
              <w:pStyle w:val="Tabletext"/>
              <w:jc w:val="right"/>
            </w:pPr>
            <w:r>
              <w:t>216.9</w:t>
            </w:r>
          </w:p>
        </w:tc>
        <w:tc>
          <w:tcPr>
            <w:tcW w:w="683" w:type="pct"/>
            <w:shd w:val="clear" w:color="auto" w:fill="auto"/>
            <w:vAlign w:val="bottom"/>
          </w:tcPr>
          <w:p w:rsidR="005A23DF" w:rsidRDefault="005A23DF" w:rsidP="005A23DF">
            <w:pPr>
              <w:pStyle w:val="Tabletext"/>
              <w:jc w:val="right"/>
            </w:pPr>
            <w:r>
              <w:t>83.6</w:t>
            </w:r>
          </w:p>
        </w:tc>
        <w:tc>
          <w:tcPr>
            <w:tcW w:w="683" w:type="pct"/>
            <w:shd w:val="clear" w:color="auto" w:fill="auto"/>
            <w:vAlign w:val="bottom"/>
          </w:tcPr>
          <w:p w:rsidR="005A23DF" w:rsidRDefault="005A23DF" w:rsidP="005A23DF">
            <w:pPr>
              <w:pStyle w:val="Tabletext"/>
              <w:jc w:val="right"/>
            </w:pPr>
            <w:r>
              <w:t>1</w:t>
            </w:r>
            <w:r w:rsidR="0012074F">
              <w:t>,</w:t>
            </w:r>
            <w:r>
              <w:t>686.9</w:t>
            </w:r>
          </w:p>
        </w:tc>
        <w:tc>
          <w:tcPr>
            <w:tcW w:w="683" w:type="pct"/>
            <w:shd w:val="clear" w:color="auto" w:fill="auto"/>
            <w:vAlign w:val="bottom"/>
          </w:tcPr>
          <w:p w:rsidR="005A23DF" w:rsidRDefault="005A23DF" w:rsidP="005A23DF">
            <w:pPr>
              <w:pStyle w:val="Tabletext"/>
              <w:jc w:val="right"/>
            </w:pPr>
            <w:r>
              <w:t>2</w:t>
            </w:r>
            <w:r w:rsidR="0012074F">
              <w:t>,</w:t>
            </w:r>
            <w:r>
              <w:t>751.0</w:t>
            </w:r>
          </w:p>
        </w:tc>
        <w:tc>
          <w:tcPr>
            <w:tcW w:w="678" w:type="pct"/>
            <w:shd w:val="clear" w:color="auto" w:fill="auto"/>
            <w:vAlign w:val="bottom"/>
          </w:tcPr>
          <w:p w:rsidR="005A23DF" w:rsidRDefault="005A23DF" w:rsidP="005A23DF">
            <w:pPr>
              <w:pStyle w:val="Tabletext"/>
              <w:jc w:val="right"/>
            </w:pPr>
            <w:r>
              <w:t>-1</w:t>
            </w:r>
            <w:r w:rsidR="0012074F">
              <w:t>,</w:t>
            </w:r>
            <w:r>
              <w:t>603.3</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2015</w:t>
            </w:r>
          </w:p>
        </w:tc>
        <w:tc>
          <w:tcPr>
            <w:tcW w:w="683" w:type="pct"/>
            <w:shd w:val="clear" w:color="auto" w:fill="auto"/>
            <w:vAlign w:val="bottom"/>
          </w:tcPr>
          <w:p w:rsidR="005A23DF" w:rsidRDefault="005A23DF" w:rsidP="005A23DF">
            <w:pPr>
              <w:pStyle w:val="Tabletext"/>
              <w:jc w:val="right"/>
            </w:pPr>
            <w:r>
              <w:t>1</w:t>
            </w:r>
            <w:r w:rsidR="0012074F">
              <w:t>,</w:t>
            </w:r>
            <w:r>
              <w:t>086.0</w:t>
            </w:r>
          </w:p>
        </w:tc>
        <w:tc>
          <w:tcPr>
            <w:tcW w:w="683" w:type="pct"/>
            <w:shd w:val="clear" w:color="auto" w:fill="auto"/>
            <w:vAlign w:val="bottom"/>
          </w:tcPr>
          <w:p w:rsidR="005A23DF" w:rsidRDefault="005A23DF" w:rsidP="005A23DF">
            <w:pPr>
              <w:pStyle w:val="Tabletext"/>
              <w:jc w:val="right"/>
            </w:pPr>
            <w:r>
              <w:t>232.2</w:t>
            </w:r>
          </w:p>
        </w:tc>
        <w:tc>
          <w:tcPr>
            <w:tcW w:w="683" w:type="pct"/>
            <w:shd w:val="clear" w:color="auto" w:fill="auto"/>
            <w:vAlign w:val="bottom"/>
          </w:tcPr>
          <w:p w:rsidR="005A23DF" w:rsidRDefault="005A23DF" w:rsidP="005A23DF">
            <w:pPr>
              <w:pStyle w:val="Tabletext"/>
              <w:jc w:val="right"/>
            </w:pPr>
            <w:r>
              <w:t>114.8</w:t>
            </w:r>
          </w:p>
        </w:tc>
        <w:tc>
          <w:tcPr>
            <w:tcW w:w="683" w:type="pct"/>
            <w:shd w:val="clear" w:color="auto" w:fill="auto"/>
            <w:vAlign w:val="bottom"/>
          </w:tcPr>
          <w:p w:rsidR="005A23DF" w:rsidRDefault="005A23DF" w:rsidP="005A23DF">
            <w:pPr>
              <w:pStyle w:val="Tabletext"/>
              <w:jc w:val="right"/>
            </w:pPr>
            <w:r>
              <w:t>1</w:t>
            </w:r>
            <w:r w:rsidR="0012074F">
              <w:t>,</w:t>
            </w:r>
            <w:r>
              <w:t>635.6</w:t>
            </w:r>
          </w:p>
        </w:tc>
        <w:tc>
          <w:tcPr>
            <w:tcW w:w="683" w:type="pct"/>
            <w:shd w:val="clear" w:color="auto" w:fill="auto"/>
            <w:vAlign w:val="bottom"/>
          </w:tcPr>
          <w:p w:rsidR="005A23DF" w:rsidRDefault="005A23DF" w:rsidP="005A23DF">
            <w:pPr>
              <w:pStyle w:val="Tabletext"/>
              <w:jc w:val="right"/>
            </w:pPr>
            <w:r>
              <w:t>2</w:t>
            </w:r>
            <w:r w:rsidR="0012074F">
              <w:t>,</w:t>
            </w:r>
            <w:r>
              <w:t>606.8</w:t>
            </w:r>
          </w:p>
        </w:tc>
        <w:tc>
          <w:tcPr>
            <w:tcW w:w="678" w:type="pct"/>
            <w:shd w:val="clear" w:color="auto" w:fill="auto"/>
            <w:vAlign w:val="bottom"/>
          </w:tcPr>
          <w:p w:rsidR="005A23DF" w:rsidRDefault="005A23DF" w:rsidP="005A23DF">
            <w:pPr>
              <w:pStyle w:val="Tabletext"/>
              <w:jc w:val="right"/>
            </w:pPr>
            <w:r>
              <w:t>-1</w:t>
            </w:r>
            <w:r w:rsidR="0012074F">
              <w:t>,</w:t>
            </w:r>
            <w:r>
              <w:t>520.8</w:t>
            </w:r>
          </w:p>
        </w:tc>
      </w:tr>
      <w:tr w:rsidR="00E86A68" w:rsidTr="003D2AD5">
        <w:tblPrEx>
          <w:tblBorders>
            <w:bottom w:val="single" w:sz="4" w:space="0" w:color="646464"/>
            <w:insideH w:val="single" w:sz="4" w:space="0" w:color="646464"/>
          </w:tblBorders>
        </w:tblPrEx>
        <w:trPr>
          <w:gridBefore w:val="1"/>
          <w:wBefore w:w="219" w:type="pct"/>
          <w:cantSplit/>
        </w:trPr>
        <w:tc>
          <w:tcPr>
            <w:tcW w:w="688" w:type="pct"/>
            <w:shd w:val="clear" w:color="auto" w:fill="auto"/>
            <w:vAlign w:val="bottom"/>
          </w:tcPr>
          <w:p w:rsidR="005A23DF" w:rsidRDefault="005A23DF" w:rsidP="005A23DF">
            <w:pPr>
              <w:pStyle w:val="Tabletext"/>
            </w:pPr>
            <w:r>
              <w:t>2016</w:t>
            </w:r>
          </w:p>
        </w:tc>
        <w:tc>
          <w:tcPr>
            <w:tcW w:w="683" w:type="pct"/>
            <w:shd w:val="clear" w:color="auto" w:fill="auto"/>
            <w:vAlign w:val="bottom"/>
          </w:tcPr>
          <w:p w:rsidR="005A23DF" w:rsidRDefault="005A23DF" w:rsidP="005A23DF">
            <w:pPr>
              <w:pStyle w:val="Tabletext"/>
              <w:jc w:val="right"/>
            </w:pPr>
            <w:r>
              <w:t>1</w:t>
            </w:r>
            <w:r w:rsidR="0012074F">
              <w:t>,</w:t>
            </w:r>
            <w:r>
              <w:t>076.9</w:t>
            </w:r>
          </w:p>
        </w:tc>
        <w:tc>
          <w:tcPr>
            <w:tcW w:w="683" w:type="pct"/>
            <w:shd w:val="clear" w:color="auto" w:fill="auto"/>
            <w:vAlign w:val="bottom"/>
          </w:tcPr>
          <w:p w:rsidR="005A23DF" w:rsidRDefault="005A23DF" w:rsidP="005A23DF">
            <w:pPr>
              <w:pStyle w:val="Tabletext"/>
              <w:jc w:val="right"/>
            </w:pPr>
            <w:r>
              <w:t>253.9</w:t>
            </w:r>
          </w:p>
        </w:tc>
        <w:tc>
          <w:tcPr>
            <w:tcW w:w="683" w:type="pct"/>
            <w:shd w:val="clear" w:color="auto" w:fill="auto"/>
            <w:vAlign w:val="bottom"/>
          </w:tcPr>
          <w:p w:rsidR="005A23DF" w:rsidRDefault="005A23DF" w:rsidP="005A23DF">
            <w:pPr>
              <w:pStyle w:val="Tabletext"/>
              <w:jc w:val="right"/>
            </w:pPr>
            <w:r>
              <w:t>113.9</w:t>
            </w:r>
          </w:p>
        </w:tc>
        <w:tc>
          <w:tcPr>
            <w:tcW w:w="683" w:type="pct"/>
            <w:shd w:val="clear" w:color="auto" w:fill="auto"/>
            <w:vAlign w:val="bottom"/>
          </w:tcPr>
          <w:p w:rsidR="005A23DF" w:rsidRDefault="005A23DF" w:rsidP="005A23DF">
            <w:pPr>
              <w:pStyle w:val="Tabletext"/>
              <w:jc w:val="right"/>
            </w:pPr>
            <w:r>
              <w:t>1</w:t>
            </w:r>
            <w:r w:rsidR="0012074F">
              <w:t>,</w:t>
            </w:r>
            <w:r>
              <w:t>599.3</w:t>
            </w:r>
          </w:p>
        </w:tc>
        <w:tc>
          <w:tcPr>
            <w:tcW w:w="683" w:type="pct"/>
            <w:shd w:val="clear" w:color="auto" w:fill="auto"/>
            <w:vAlign w:val="bottom"/>
          </w:tcPr>
          <w:p w:rsidR="005A23DF" w:rsidRDefault="005A23DF" w:rsidP="005A23DF">
            <w:pPr>
              <w:pStyle w:val="Tabletext"/>
              <w:jc w:val="right"/>
            </w:pPr>
            <w:r>
              <w:t>2</w:t>
            </w:r>
            <w:r w:rsidR="0012074F">
              <w:t>,</w:t>
            </w:r>
            <w:r>
              <w:t>562.3</w:t>
            </w:r>
          </w:p>
        </w:tc>
        <w:tc>
          <w:tcPr>
            <w:tcW w:w="678" w:type="pct"/>
            <w:shd w:val="clear" w:color="auto" w:fill="auto"/>
            <w:vAlign w:val="bottom"/>
          </w:tcPr>
          <w:p w:rsidR="005A23DF" w:rsidRDefault="005A23DF" w:rsidP="005A23DF">
            <w:pPr>
              <w:pStyle w:val="Tabletext"/>
              <w:jc w:val="right"/>
            </w:pPr>
            <w:r>
              <w:t>-1</w:t>
            </w:r>
            <w:r w:rsidR="0012074F">
              <w:t>,</w:t>
            </w:r>
            <w:r>
              <w:t>485.4</w:t>
            </w:r>
          </w:p>
        </w:tc>
      </w:tr>
      <w:tr w:rsidR="00E86A68" w:rsidTr="003D2AD5">
        <w:tblPrEx>
          <w:tblBorders>
            <w:bottom w:val="single" w:sz="4" w:space="0" w:color="646464"/>
            <w:insideH w:val="single" w:sz="4" w:space="0" w:color="646464"/>
          </w:tblBorders>
        </w:tblPrEx>
        <w:trPr>
          <w:gridBefore w:val="1"/>
          <w:wBefore w:w="219" w:type="pct"/>
          <w:cantSplit/>
        </w:trPr>
        <w:tc>
          <w:tcPr>
            <w:tcW w:w="4781" w:type="pct"/>
            <w:gridSpan w:val="7"/>
            <w:tcBorders>
              <w:bottom w:val="single" w:sz="4" w:space="0" w:color="646464"/>
            </w:tcBorders>
            <w:shd w:val="clear" w:color="auto" w:fill="auto"/>
          </w:tcPr>
          <w:p w:rsidR="007B3E9C" w:rsidRDefault="007B3E9C" w:rsidP="009A464D">
            <w:pPr>
              <w:pStyle w:val="Source"/>
              <w:rPr>
                <w:lang w:val="en-US"/>
              </w:rPr>
            </w:pPr>
            <w:r>
              <w:t>Source:</w:t>
            </w:r>
            <w:r>
              <w:rPr>
                <w:lang w:val="en-US"/>
              </w:rPr>
              <w:t xml:space="preserve"> </w:t>
            </w:r>
            <w:r>
              <w:t>IBISWorld Report 2016C</w:t>
            </w:r>
            <w:r w:rsidR="009A464D">
              <w:t>,</w:t>
            </w:r>
            <w:r>
              <w:rPr>
                <w:lang w:val="en-US"/>
              </w:rPr>
              <w:t xml:space="preserve"> C20.200, Pesticide and other agrochemical manufacturing in the UK, October 2016</w:t>
            </w:r>
          </w:p>
        </w:tc>
      </w:tr>
      <w:tr w:rsidR="00E86A68" w:rsidTr="003D2AD5">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top w:val="single" w:sz="4" w:space="0" w:color="646464"/>
              <w:bottom w:val="nil"/>
            </w:tcBorders>
            <w:shd w:val="clear" w:color="auto" w:fill="auto"/>
          </w:tcPr>
          <w:p w:rsidR="007B3E9C" w:rsidRDefault="007B3E9C" w:rsidP="003D2AD5">
            <w:pPr>
              <w:pStyle w:val="spacertbl"/>
              <w:rPr>
                <w:lang w:val="en-US"/>
              </w:rPr>
            </w:pPr>
          </w:p>
        </w:tc>
      </w:tr>
    </w:tbl>
    <w:p w:rsidR="007B3E9C" w:rsidRDefault="003349C7" w:rsidP="007B3E9C">
      <w:pPr>
        <w:pStyle w:val="BodyText"/>
      </w:pPr>
      <w:r>
        <w:t xml:space="preserve">A number of plant protection products registered in Canada are provided in </w:t>
      </w:r>
      <w:r w:rsidR="00035112">
        <w:t>Figure 2.8</w:t>
      </w:r>
      <w:r>
        <w:t xml:space="preserve">. </w:t>
      </w:r>
      <w:r w:rsidR="000B3CEF">
        <w:t>In 2015-16, 44</w:t>
      </w:r>
      <w:r w:rsidR="009A464D">
        <w:t> </w:t>
      </w:r>
      <w:r w:rsidR="000B3CEF">
        <w:t>generic products, including 27 technical or manufacturing products and 17 end-use products and 18 novel products were registered in Canada.</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8632F1" w:rsidRPr="00AA4DEE" w:rsidRDefault="008632F1" w:rsidP="00A54215">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8632F1" w:rsidRPr="00897E60" w:rsidRDefault="008632F1" w:rsidP="008632F1">
            <w:pPr>
              <w:pStyle w:val="Caption"/>
            </w:pPr>
            <w:bookmarkStart w:id="62" w:name="_Toc409004814"/>
            <w:bookmarkStart w:id="63" w:name="_Toc497298091"/>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1977DE">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7688C">
              <w:rPr>
                <w:rStyle w:val="CaptionLabel"/>
                <w:noProof/>
              </w:rPr>
              <w:t>8</w:t>
            </w:r>
            <w:r w:rsidRPr="00897E60">
              <w:rPr>
                <w:rStyle w:val="CaptionLabel"/>
              </w:rPr>
              <w:fldChar w:fldCharType="end"/>
            </w:r>
            <w:r>
              <w:tab/>
            </w:r>
            <w:bookmarkEnd w:id="62"/>
            <w:r>
              <w:t xml:space="preserve">Number of </w:t>
            </w:r>
            <w:r w:rsidR="0012074F">
              <w:t xml:space="preserve">plant protection </w:t>
            </w:r>
            <w:r>
              <w:t>products registered in Canada, 2011-12 to 2015-16</w:t>
            </w:r>
            <w:bookmarkEnd w:id="63"/>
          </w:p>
        </w:tc>
      </w:tr>
      <w:tr w:rsidR="008632F1" w:rsidRPr="00AA4DEE" w:rsidTr="00580CF7">
        <w:trPr>
          <w:cantSplit/>
          <w:trHeight w:hRule="exact" w:val="380"/>
        </w:trPr>
        <w:tc>
          <w:tcPr>
            <w:tcW w:w="8168" w:type="dxa"/>
            <w:tcBorders>
              <w:bottom w:val="single" w:sz="4" w:space="0" w:color="auto"/>
            </w:tcBorders>
            <w:shd w:val="clear" w:color="auto" w:fill="auto"/>
          </w:tcPr>
          <w:p w:rsidR="008632F1" w:rsidRPr="00AA4DEE" w:rsidRDefault="00FA16BE" w:rsidP="00A54215">
            <w:pPr>
              <w:pStyle w:val="spacer"/>
            </w:pPr>
            <w:r>
              <w:rPr>
                <w:noProof/>
                <w:lang w:eastAsia="en-AU"/>
              </w:rPr>
              <mc:AlternateContent>
                <mc:Choice Requires="wps">
                  <w:drawing>
                    <wp:anchor distT="0" distB="0" distL="114300" distR="114300" simplePos="0" relativeHeight="251994112" behindDoc="0" locked="1" layoutInCell="1" allowOverlap="1" wp14:anchorId="3F32A881" wp14:editId="157742D8">
                      <wp:simplePos x="0" y="0"/>
                      <wp:positionH relativeFrom="page">
                        <wp:posOffset>4653280</wp:posOffset>
                      </wp:positionH>
                      <wp:positionV relativeFrom="paragraph">
                        <wp:posOffset>-17780</wp:posOffset>
                      </wp:positionV>
                      <wp:extent cx="435600" cy="212400"/>
                      <wp:effectExtent l="0" t="0" r="3175" b="0"/>
                      <wp:wrapNone/>
                      <wp:docPr id="6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E0CB2C" id="Freeform 5" o:spid="_x0000_s1026" style="position:absolute;margin-left:366.4pt;margin-top:-1.4pt;width:34.3pt;height:16.7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KfQMAAMIJAAAOAAAAZHJzL2Uyb0RvYy54bWysVsFu2zgQvRfYfyB0XKCR5diOY0QJgqQp&#10;CmS7AeJFz7REWcJKpErSltOv7xtKtGVvlAb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r w:rsidR="00546375">
              <w:rPr>
                <w:noProof/>
                <w:lang w:eastAsia="en-AU"/>
              </w:rPr>
              <mc:AlternateContent>
                <mc:Choice Requires="wps">
                  <w:drawing>
                    <wp:anchor distT="0" distB="0" distL="114300" distR="114300" simplePos="0" relativeHeight="251885568" behindDoc="0" locked="1" layoutInCell="1" allowOverlap="1" wp14:anchorId="4DFB4B00" wp14:editId="3C792B46">
                      <wp:simplePos x="0" y="0"/>
                      <wp:positionH relativeFrom="page">
                        <wp:posOffset>6514465</wp:posOffset>
                      </wp:positionH>
                      <wp:positionV relativeFrom="page">
                        <wp:posOffset>1097915</wp:posOffset>
                      </wp:positionV>
                      <wp:extent cx="436880" cy="213360"/>
                      <wp:effectExtent l="0" t="0" r="1270" b="0"/>
                      <wp:wrapNone/>
                      <wp:docPr id="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6D6F59" id="Freeform 5" o:spid="_x0000_s1026" style="position:absolute;margin-left:512.95pt;margin-top:86.45pt;width:34.4pt;height:16.8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cgfAMAAMEJAAAOAAAAZHJzL2Uyb0RvYy54bWysVsFu2zgQvS/QfyB0LNDIsh3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8632F1" w:rsidRPr="00AA4DEE" w:rsidTr="00580CF7">
        <w:trPr>
          <w:cantSplit/>
        </w:trPr>
        <w:tc>
          <w:tcPr>
            <w:tcW w:w="8168" w:type="dxa"/>
            <w:tcBorders>
              <w:top w:val="single" w:sz="4" w:space="0" w:color="auto"/>
              <w:bottom w:val="single" w:sz="4" w:space="0" w:color="auto"/>
            </w:tcBorders>
            <w:shd w:val="clear" w:color="auto" w:fill="auto"/>
          </w:tcPr>
          <w:p w:rsidR="008632F1" w:rsidRPr="00AA4DEE" w:rsidRDefault="00546375" w:rsidP="00A54215">
            <w:pPr>
              <w:pStyle w:val="Figure"/>
            </w:pPr>
            <w:r w:rsidRPr="006E33DA">
              <w:rPr>
                <w:noProof/>
                <w:lang w:eastAsia="en-AU"/>
              </w:rPr>
              <w:drawing>
                <wp:inline distT="0" distB="0" distL="0" distR="0" wp14:anchorId="6B5289C9" wp14:editId="587CC1AE">
                  <wp:extent cx="4572000" cy="2743200"/>
                  <wp:effectExtent l="0" t="0" r="0" b="0"/>
                  <wp:docPr id="63"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8632F1" w:rsidRPr="00AA4DEE" w:rsidRDefault="008632F1" w:rsidP="00A54215">
            <w:pPr>
              <w:pStyle w:val="Source"/>
            </w:pPr>
            <w:r w:rsidRPr="00AA4DEE">
              <w:t xml:space="preserve">Source: </w:t>
            </w:r>
            <w:r>
              <w:t>Pest Management Regulatory Agency, Annual Report 2016-16 and Previous issues.</w:t>
            </w:r>
          </w:p>
        </w:tc>
      </w:tr>
      <w:tr w:rsidR="00E86A68" w:rsidTr="00401D90">
        <w:trPr>
          <w:trHeight w:hRule="exact" w:val="160"/>
        </w:trPr>
        <w:tc>
          <w:tcPr>
            <w:tcW w:w="8168" w:type="dxa"/>
            <w:tcBorders>
              <w:top w:val="single" w:sz="4" w:space="0" w:color="auto"/>
            </w:tcBorders>
            <w:shd w:val="clear" w:color="auto" w:fill="auto"/>
          </w:tcPr>
          <w:p w:rsidR="008632F1" w:rsidRDefault="008632F1" w:rsidP="00A54215">
            <w:pPr>
              <w:pStyle w:val="spacertbl"/>
            </w:pPr>
          </w:p>
        </w:tc>
      </w:tr>
    </w:tbl>
    <w:p w:rsidR="000A344D" w:rsidRDefault="000A344D" w:rsidP="000A344D">
      <w:pPr>
        <w:pStyle w:val="BodyText"/>
      </w:pPr>
      <w:r>
        <w:t>The Canadian pesticide market is about 3 per cent of the size of the US market. Canadian firms in this sector tend to be subsidiaries of US or European multinationals. These companies are generally vertically integrated. However</w:t>
      </w:r>
      <w:r w:rsidR="009800EE">
        <w:t>,</w:t>
      </w:r>
      <w:r>
        <w:t xml:space="preserve"> the formulation process </w:t>
      </w:r>
      <w:r w:rsidR="00F37395">
        <w:t>has been</w:t>
      </w:r>
      <w:r>
        <w:t xml:space="preserve"> increasingly tendered out to specialised large</w:t>
      </w:r>
      <w:r w:rsidR="009A464D">
        <w:t>-</w:t>
      </w:r>
      <w:r>
        <w:t>scale low</w:t>
      </w:r>
      <w:r w:rsidR="009A464D">
        <w:t>-</w:t>
      </w:r>
      <w:r>
        <w:t>cost formulators.</w:t>
      </w:r>
      <w:r>
        <w:rPr>
          <w:rStyle w:val="FootnoteReference"/>
        </w:rPr>
        <w:footnoteReference w:id="28"/>
      </w:r>
      <w:r>
        <w:t xml:space="preserve"> </w:t>
      </w:r>
    </w:p>
    <w:p w:rsidR="000A344D" w:rsidRDefault="000A344D" w:rsidP="000A344D">
      <w:pPr>
        <w:pStyle w:val="BodyText"/>
      </w:pPr>
      <w:r>
        <w:t>Canada’s pesticide market is not large by world standards. Canada’s large acreage crops use only modest amounts of pesticides. Regulation in Canada is reported to be slower than the USA and involves higher costs. Surveys of Canadian and US pesticide</w:t>
      </w:r>
      <w:r w:rsidR="007E404E">
        <w:t xml:space="preserve"> price</w:t>
      </w:r>
      <w:r>
        <w:t xml:space="preserve">s have found some significant differences—for some products the prices </w:t>
      </w:r>
      <w:r w:rsidR="00D73917">
        <w:t>were</w:t>
      </w:r>
      <w:r>
        <w:t xml:space="preserve"> higher in Canada</w:t>
      </w:r>
      <w:r w:rsidR="009A464D">
        <w:t>,</w:t>
      </w:r>
      <w:r>
        <w:t xml:space="preserve"> </w:t>
      </w:r>
      <w:r w:rsidR="009A464D">
        <w:t>while for</w:t>
      </w:r>
      <w:r>
        <w:t xml:space="preserve"> others the prices </w:t>
      </w:r>
      <w:r w:rsidR="009A464D">
        <w:t>were</w:t>
      </w:r>
      <w:r>
        <w:t xml:space="preserve"> higher in the USA.</w:t>
      </w:r>
      <w:r>
        <w:rPr>
          <w:rStyle w:val="FootnoteReference"/>
        </w:rPr>
        <w:footnoteReference w:id="29"/>
      </w:r>
      <w:r>
        <w:t xml:space="preserve"> In the past, Canadian farmers have felt disadvantaged by the smaller number of new product registrations in Canada relative to the USA. This has been a particular problem for minor uses. </w:t>
      </w:r>
    </w:p>
    <w:p w:rsidR="000A344D" w:rsidRDefault="006E2AAF" w:rsidP="000A344D">
      <w:pPr>
        <w:pStyle w:val="BodyText"/>
      </w:pPr>
      <w:r>
        <w:t xml:space="preserve">In seeking to understand pesticide markets, there are lessons that can be learned from some unique Canadian work that does not appear to have been replicated elsewhere. </w:t>
      </w:r>
      <w:r w:rsidR="009A464D">
        <w:t xml:space="preserve">Reports by McEwan and colleagues </w:t>
      </w:r>
      <w:r w:rsidR="000A344D">
        <w:t xml:space="preserve">in </w:t>
      </w:r>
      <w:r w:rsidR="007E404E">
        <w:t xml:space="preserve">the </w:t>
      </w:r>
      <w:r w:rsidR="000A344D">
        <w:t xml:space="preserve">late 1990s </w:t>
      </w:r>
      <w:r w:rsidR="009A464D">
        <w:t xml:space="preserve">suggested </w:t>
      </w:r>
      <w:r w:rsidR="000A344D">
        <w:t xml:space="preserve">that there are many factors that can influence </w:t>
      </w:r>
      <w:r w:rsidR="009A464D">
        <w:t xml:space="preserve">Canadian </w:t>
      </w:r>
      <w:r w:rsidR="000A344D">
        <w:t xml:space="preserve">pesticide prices including health of the agricultural economy, regulation and standards, advanced marketing and advertising campaigns, effectiveness and crops safety. </w:t>
      </w:r>
      <w:r w:rsidR="00D73917">
        <w:t xml:space="preserve">McEwan and Deen </w:t>
      </w:r>
      <w:r w:rsidR="000A344D">
        <w:t>examined pesticide availability in Canada</w:t>
      </w:r>
      <w:r w:rsidR="00F37395">
        <w:t>,</w:t>
      </w:r>
      <w:r w:rsidR="000A344D">
        <w:t xml:space="preserve"> and Canada’s position in the North American pesticide industry in terms of market size, types of crops grown and overall pricing strategies. </w:t>
      </w:r>
    </w:p>
    <w:p w:rsidR="000A344D" w:rsidRDefault="000A344D" w:rsidP="000A344D">
      <w:pPr>
        <w:pStyle w:val="BodyText"/>
      </w:pPr>
      <w:r>
        <w:t xml:space="preserve">In relation to pesticide pricing, </w:t>
      </w:r>
      <w:r w:rsidR="009A464D">
        <w:t>McEwan and Deen</w:t>
      </w:r>
      <w:r w:rsidR="009A464D">
        <w:rPr>
          <w:rStyle w:val="FootnoteReference"/>
        </w:rPr>
        <w:footnoteReference w:id="30"/>
      </w:r>
      <w:r w:rsidR="009A464D">
        <w:t xml:space="preserve"> </w:t>
      </w:r>
      <w:r>
        <w:t>compared Canada and Australia</w:t>
      </w:r>
      <w:r w:rsidR="006E2AAF">
        <w:t xml:space="preserve">. Even though </w:t>
      </w:r>
      <w:r>
        <w:t>this analysis was undertaken twenty years ago</w:t>
      </w:r>
      <w:r w:rsidR="006E2AAF">
        <w:t>, much of it appears to be relevant to Australia today</w:t>
      </w:r>
      <w:r>
        <w:t xml:space="preserve">. </w:t>
      </w:r>
      <w:r w:rsidR="006E2AAF">
        <w:t xml:space="preserve">McEwan and Deen </w:t>
      </w:r>
      <w:r>
        <w:t>concluded that</w:t>
      </w:r>
      <w:r w:rsidR="00785391">
        <w:t xml:space="preserve"> </w:t>
      </w:r>
      <w:r>
        <w:t xml:space="preserve">Canadian and Australian pesticide markets are different in terms of climate, crop mix, </w:t>
      </w:r>
      <w:r w:rsidR="007E404E">
        <w:t xml:space="preserve">and the </w:t>
      </w:r>
      <w:r>
        <w:t xml:space="preserve">size of </w:t>
      </w:r>
      <w:r w:rsidR="007E404E">
        <w:t xml:space="preserve">the </w:t>
      </w:r>
      <w:r>
        <w:t>domestic market.</w:t>
      </w:r>
      <w:r w:rsidR="00D31F8C">
        <w:t xml:space="preserve"> H</w:t>
      </w:r>
      <w:r>
        <w:t>owever, they are similar from the perspective that they both represent relatively small pesticide markets</w:t>
      </w:r>
      <w:r w:rsidR="007E404E">
        <w:t xml:space="preserve"> and</w:t>
      </w:r>
      <w:r>
        <w:t xml:space="preserve"> grow extensive crops </w:t>
      </w:r>
      <w:r w:rsidR="00D31F8C">
        <w:t>(</w:t>
      </w:r>
      <w:r>
        <w:t xml:space="preserve">i.e. low yielding crops, </w:t>
      </w:r>
      <w:r w:rsidR="00D73917">
        <w:t xml:space="preserve">with </w:t>
      </w:r>
      <w:r>
        <w:t>limited crop price subsidi</w:t>
      </w:r>
      <w:r w:rsidR="00D31F8C">
        <w:t>s</w:t>
      </w:r>
      <w:r>
        <w:t>ation</w:t>
      </w:r>
      <w:r w:rsidR="00D31F8C">
        <w:t>)</w:t>
      </w:r>
      <w:r>
        <w:t xml:space="preserve">. </w:t>
      </w:r>
      <w:r w:rsidR="006E2AAF">
        <w:t>The report considered that p</w:t>
      </w:r>
      <w:r>
        <w:t xml:space="preserve">esticide pricing </w:t>
      </w:r>
      <w:r w:rsidR="006E2AAF">
        <w:t>was</w:t>
      </w:r>
      <w:r>
        <w:t xml:space="preserve"> </w:t>
      </w:r>
      <w:r w:rsidR="00D31F8C">
        <w:t xml:space="preserve">therefore </w:t>
      </w:r>
      <w:r>
        <w:t xml:space="preserve">probably similar in the two jurisdictions. </w:t>
      </w:r>
      <w:r w:rsidR="00D73917">
        <w:t>McEwan and Deen</w:t>
      </w:r>
      <w:r>
        <w:t xml:space="preserve"> concluded that:</w:t>
      </w:r>
    </w:p>
    <w:p w:rsidR="00D31F8C" w:rsidRDefault="000A344D" w:rsidP="00785391">
      <w:pPr>
        <w:pStyle w:val="Quote"/>
        <w:rPr>
          <w:highlight w:val="yellow"/>
        </w:rPr>
      </w:pPr>
      <w:r w:rsidRPr="00785391">
        <w:t>The authors of this report felt the major crop markets did have strong price competition over time. When manufacturers are introducing a new product</w:t>
      </w:r>
      <w:r w:rsidR="009A464D">
        <w:t>,</w:t>
      </w:r>
      <w:r w:rsidRPr="00785391">
        <w:t xml:space="preserve"> detailed market analysis is performed to position the product relative to other competitive products. The Canadian pesticide industry is highly segmented and firms try to differentiate themselves in the market place by competing on service, crop safety, effectiveness and etc. There is no difference in programs or pricing setting schemes in the different regions of Canada. Much of the flexibility in price that occurs at the distributor and retail level is function of local demand and the ability to take advantage of manufacturer programs</w:t>
      </w:r>
      <w:r w:rsidR="00D31F8C">
        <w:t>.</w:t>
      </w:r>
    </w:p>
    <w:p w:rsidR="000A344D" w:rsidRDefault="00594032" w:rsidP="00D31F8C">
      <w:pPr>
        <w:pStyle w:val="QuoteSource"/>
      </w:pPr>
      <w:r w:rsidRPr="00594032">
        <w:t xml:space="preserve">McEwan </w:t>
      </w:r>
      <w:r>
        <w:t xml:space="preserve">K </w:t>
      </w:r>
      <w:r w:rsidRPr="00594032">
        <w:t>and Deen</w:t>
      </w:r>
      <w:r>
        <w:t xml:space="preserve"> B 1997, </w:t>
      </w:r>
      <w:r w:rsidRPr="00594032">
        <w:t>A review of agricultural pesticide pricing and availability in Canada</w:t>
      </w:r>
      <w:r>
        <w:t xml:space="preserve">, </w:t>
      </w:r>
      <w:r w:rsidR="00D31F8C">
        <w:t>p70</w:t>
      </w:r>
    </w:p>
    <w:p w:rsidR="002E7BB2" w:rsidRDefault="009A464D" w:rsidP="000A344D">
      <w:pPr>
        <w:pStyle w:val="BodyText"/>
      </w:pPr>
      <w:r>
        <w:t>McEwan and Deen</w:t>
      </w:r>
      <w:r w:rsidR="000A344D">
        <w:t xml:space="preserve"> referenced a 1993 Australian Prices Surveillance Authority (PSA) report which compared international pesticide pricing and showed substantial differences across countries and products. The conclusion reached by the PSA was that individual country markets are in effect largely insulated one from the other even though free trade may exist. As a result</w:t>
      </w:r>
      <w:r w:rsidR="00D73917">
        <w:t>,</w:t>
      </w:r>
      <w:r w:rsidR="000A344D">
        <w:t xml:space="preserve"> the Australian farm chemi</w:t>
      </w:r>
      <w:r w:rsidR="006E2AAF">
        <w:t xml:space="preserve">cal industry at a global level was not considered to be </w:t>
      </w:r>
      <w:r w:rsidR="000A344D">
        <w:t>a competitive industry with respect to prices. While Australian firms d</w:t>
      </w:r>
      <w:r w:rsidR="006E2AAF">
        <w:t>id</w:t>
      </w:r>
      <w:r w:rsidR="000A344D">
        <w:t xml:space="preserve"> compete, the majority of their products </w:t>
      </w:r>
      <w:r w:rsidR="006E2AAF">
        <w:t>were</w:t>
      </w:r>
      <w:r w:rsidR="000A344D">
        <w:t xml:space="preserve"> sufficiently differentiated for firms to be able to be price makers</w:t>
      </w:r>
      <w:r w:rsidR="00D73917">
        <w:t>,</w:t>
      </w:r>
      <w:r w:rsidR="000A344D">
        <w:t xml:space="preserve"> not price takers. Such differentiation c</w:t>
      </w:r>
      <w:r w:rsidR="006E2AAF">
        <w:t>ould</w:t>
      </w:r>
      <w:r w:rsidR="000A344D">
        <w:t xml:space="preserve"> occur from a natural source (resistance, seasonal factors) or from value added delivery systems. The final conclusion of the PSA was that pesticide pricing is not cost based but “determined according to what the market will bear, given the high proportion of costs accounted for by the active ingredient.”</w:t>
      </w:r>
      <w:r w:rsidR="002E7BB2">
        <w:t xml:space="preserve"> </w:t>
      </w:r>
    </w:p>
    <w:p w:rsidR="000A344D" w:rsidRDefault="002E7BB2" w:rsidP="000A344D">
      <w:pPr>
        <w:pStyle w:val="BodyText"/>
      </w:pPr>
      <w:r>
        <w:t xml:space="preserve">Most of </w:t>
      </w:r>
      <w:r w:rsidR="00D73917">
        <w:t xml:space="preserve">the </w:t>
      </w:r>
      <w:r>
        <w:t>McEwan and Deen (and the PSA) views appear to continue to be true even though Australia’s IP and data protection arrangements have undergone a number of changes in the intervening period. Australia’s high level of agricultural chemical imports means that we are now a price-taker.</w:t>
      </w:r>
    </w:p>
    <w:p w:rsidR="006332B9" w:rsidRDefault="00D06975" w:rsidP="00D06975">
      <w:pPr>
        <w:pStyle w:val="Heading2"/>
      </w:pPr>
      <w:bookmarkStart w:id="64" w:name="_Toc497300820"/>
      <w:r>
        <w:t>N</w:t>
      </w:r>
      <w:r w:rsidR="00C53184">
        <w:t>ew Zealand</w:t>
      </w:r>
      <w:r>
        <w:t xml:space="preserve"> market</w:t>
      </w:r>
      <w:bookmarkEnd w:id="64"/>
    </w:p>
    <w:p w:rsidR="006332B9" w:rsidRDefault="006332B9" w:rsidP="006332B9">
      <w:pPr>
        <w:pStyle w:val="BodyText"/>
      </w:pPr>
      <w:r>
        <w:t xml:space="preserve">The number of agvet products registered each year for the last five years in New Zealand are shown in </w:t>
      </w:r>
      <w:r w:rsidR="00F23772">
        <w:fldChar w:fldCharType="begin"/>
      </w:r>
      <w:r w:rsidR="00F23772">
        <w:instrText xml:space="preserve"> REF _Ref485297205 \h </w:instrText>
      </w:r>
      <w:r w:rsidR="00F23772">
        <w:fldChar w:fldCharType="separate"/>
      </w:r>
      <w:r w:rsidR="0087688C" w:rsidRPr="00897E60">
        <w:rPr>
          <w:rStyle w:val="CaptionLabel"/>
        </w:rPr>
        <w:t>Figure</w:t>
      </w:r>
      <w:r w:rsidR="0087688C">
        <w:rPr>
          <w:rStyle w:val="CaptionLabel"/>
        </w:rPr>
        <w:t> </w:t>
      </w:r>
      <w:r w:rsidR="0087688C">
        <w:rPr>
          <w:rStyle w:val="CaptionLabel"/>
          <w:noProof/>
        </w:rPr>
        <w:t>2</w:t>
      </w:r>
      <w:r w:rsidR="0087688C">
        <w:rPr>
          <w:rStyle w:val="CaptionLabel"/>
        </w:rPr>
        <w:t>.</w:t>
      </w:r>
      <w:r w:rsidR="0087688C">
        <w:rPr>
          <w:rStyle w:val="CaptionLabel"/>
          <w:noProof/>
        </w:rPr>
        <w:t>9</w:t>
      </w:r>
      <w:r w:rsidR="00F23772">
        <w:fldChar w:fldCharType="end"/>
      </w:r>
      <w:r>
        <w:t>. On average, 150 generic and 14 novel agvet chemicals were registered in New Zealand since 2011. This is unpublished data provided by the New Zealand authorities</w:t>
      </w:r>
      <w:r w:rsidR="009A464D">
        <w:t>. S</w:t>
      </w:r>
      <w:r>
        <w:t xml:space="preserve">imilar information is not </w:t>
      </w:r>
      <w:r w:rsidR="009A464D">
        <w:t xml:space="preserve">generally </w:t>
      </w:r>
      <w:r>
        <w:t>available for other countries.</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6332B9" w:rsidRPr="00AA4DEE" w:rsidRDefault="006332B9" w:rsidP="00573CCE">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6332B9" w:rsidRPr="00897E60" w:rsidRDefault="006332B9" w:rsidP="00573CCE">
            <w:pPr>
              <w:pStyle w:val="Caption"/>
            </w:pPr>
            <w:bookmarkStart w:id="65" w:name="_Ref485297205"/>
            <w:bookmarkStart w:id="66" w:name="_Toc497298092"/>
            <w:r w:rsidRPr="00897E60">
              <w:rPr>
                <w:rStyle w:val="CaptionLabel"/>
              </w:rPr>
              <w:t>Figure</w:t>
            </w:r>
            <w:r>
              <w:rPr>
                <w:rStyle w:val="CaptionLabel"/>
              </w:rPr>
              <w:t> </w:t>
            </w:r>
            <w:r>
              <w:rPr>
                <w:rStyle w:val="CaptionLabel"/>
              </w:rPr>
              <w:fldChar w:fldCharType="begin"/>
            </w:r>
            <w:r>
              <w:rPr>
                <w:rStyle w:val="CaptionLabel"/>
              </w:rPr>
              <w:instrText xml:space="preserve"> STYLEREF 1 \s </w:instrText>
            </w:r>
            <w:r>
              <w:rPr>
                <w:rStyle w:val="CaptionLabel"/>
              </w:rPr>
              <w:fldChar w:fldCharType="separate"/>
            </w:r>
            <w:r w:rsidR="001977D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87688C">
              <w:rPr>
                <w:rStyle w:val="CaptionLabel"/>
                <w:noProof/>
              </w:rPr>
              <w:t>9</w:t>
            </w:r>
            <w:r>
              <w:rPr>
                <w:rStyle w:val="CaptionLabel"/>
              </w:rPr>
              <w:fldChar w:fldCharType="end"/>
            </w:r>
            <w:bookmarkEnd w:id="65"/>
            <w:r>
              <w:tab/>
              <w:t xml:space="preserve">Number of </w:t>
            </w:r>
            <w:r w:rsidR="007E404E">
              <w:t xml:space="preserve">AGVET chemical </w:t>
            </w:r>
            <w:r>
              <w:t>products Registered in New Zealand, 2011–2016</w:t>
            </w:r>
            <w:bookmarkEnd w:id="66"/>
          </w:p>
        </w:tc>
      </w:tr>
      <w:tr w:rsidR="006332B9" w:rsidRPr="00AA4DEE" w:rsidTr="00580CF7">
        <w:trPr>
          <w:cantSplit/>
          <w:trHeight w:hRule="exact" w:val="380"/>
        </w:trPr>
        <w:tc>
          <w:tcPr>
            <w:tcW w:w="8168" w:type="dxa"/>
            <w:tcBorders>
              <w:bottom w:val="single" w:sz="4" w:space="0" w:color="auto"/>
            </w:tcBorders>
            <w:shd w:val="clear" w:color="auto" w:fill="auto"/>
          </w:tcPr>
          <w:p w:rsidR="006332B9" w:rsidRPr="00AA4DEE" w:rsidRDefault="00546375" w:rsidP="00FA16BE">
            <w:pPr>
              <w:pStyle w:val="spacer"/>
              <w:tabs>
                <w:tab w:val="left" w:pos="5350"/>
              </w:tabs>
            </w:pPr>
            <w:r>
              <w:rPr>
                <w:noProof/>
                <w:lang w:eastAsia="en-AU"/>
              </w:rPr>
              <mc:AlternateContent>
                <mc:Choice Requires="wps">
                  <w:drawing>
                    <wp:anchor distT="0" distB="0" distL="114300" distR="114300" simplePos="0" relativeHeight="251887616" behindDoc="0" locked="1" layoutInCell="1" allowOverlap="1" wp14:anchorId="56059F05" wp14:editId="30B25B88">
                      <wp:simplePos x="0" y="0"/>
                      <wp:positionH relativeFrom="page">
                        <wp:posOffset>6514465</wp:posOffset>
                      </wp:positionH>
                      <wp:positionV relativeFrom="page">
                        <wp:posOffset>5672455</wp:posOffset>
                      </wp:positionV>
                      <wp:extent cx="436880" cy="213360"/>
                      <wp:effectExtent l="0" t="0" r="1270" b="0"/>
                      <wp:wrapNone/>
                      <wp:docPr id="27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C0229D" id="Freeform 5" o:spid="_x0000_s1026" style="position:absolute;margin-left:512.95pt;margin-top:446.65pt;width:34.4pt;height:16.8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r5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r w:rsidR="00FA16BE">
              <w:tab/>
            </w:r>
            <w:r w:rsidR="00FA16BE">
              <w:rPr>
                <w:noProof/>
                <w:lang w:eastAsia="en-AU"/>
              </w:rPr>
              <mc:AlternateContent>
                <mc:Choice Requires="wps">
                  <w:drawing>
                    <wp:anchor distT="0" distB="0" distL="114300" distR="114300" simplePos="0" relativeHeight="251996160" behindDoc="0" locked="1" layoutInCell="1" allowOverlap="1" wp14:anchorId="3F32A881" wp14:editId="157742D8">
                      <wp:simplePos x="0" y="0"/>
                      <wp:positionH relativeFrom="page">
                        <wp:posOffset>4583430</wp:posOffset>
                      </wp:positionH>
                      <wp:positionV relativeFrom="page">
                        <wp:posOffset>-2540</wp:posOffset>
                      </wp:positionV>
                      <wp:extent cx="435600" cy="212400"/>
                      <wp:effectExtent l="0" t="0" r="3175" b="0"/>
                      <wp:wrapNone/>
                      <wp:docPr id="65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DC7D2E" id="Freeform 5" o:spid="_x0000_s1026" style="position:absolute;margin-left:360.9pt;margin-top:-.2pt;width:34.3pt;height:16.7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OKfA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anchory="page"/>
                      <w10:anchorlock/>
                    </v:shape>
                  </w:pict>
                </mc:Fallback>
              </mc:AlternateContent>
            </w:r>
          </w:p>
        </w:tc>
      </w:tr>
      <w:tr w:rsidR="006332B9" w:rsidRPr="00AA4DEE" w:rsidTr="00580CF7">
        <w:trPr>
          <w:cantSplit/>
        </w:trPr>
        <w:tc>
          <w:tcPr>
            <w:tcW w:w="8168" w:type="dxa"/>
            <w:tcBorders>
              <w:top w:val="single" w:sz="4" w:space="0" w:color="auto"/>
              <w:bottom w:val="single" w:sz="4" w:space="0" w:color="auto"/>
            </w:tcBorders>
            <w:shd w:val="clear" w:color="auto" w:fill="auto"/>
          </w:tcPr>
          <w:p w:rsidR="006332B9" w:rsidRPr="00AA4DEE" w:rsidRDefault="00546375" w:rsidP="00573CCE">
            <w:pPr>
              <w:pStyle w:val="Figure"/>
            </w:pPr>
            <w:r w:rsidRPr="006E33DA">
              <w:rPr>
                <w:noProof/>
                <w:lang w:eastAsia="en-AU"/>
              </w:rPr>
              <w:drawing>
                <wp:inline distT="0" distB="0" distL="0" distR="0" wp14:anchorId="337F206C" wp14:editId="2F0B97D7">
                  <wp:extent cx="5188585" cy="2207260"/>
                  <wp:effectExtent l="0" t="0" r="12065" b="2540"/>
                  <wp:docPr id="276" name="Chart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6332B9" w:rsidRPr="00AA4DEE" w:rsidRDefault="006332B9" w:rsidP="00573CCE">
            <w:pPr>
              <w:pStyle w:val="Source"/>
            </w:pPr>
            <w:r w:rsidRPr="00AA4DEE">
              <w:t xml:space="preserve">Source: </w:t>
            </w:r>
            <w:r>
              <w:t>Personal communication with NZ MPI, received on 15 June 2017</w:t>
            </w:r>
          </w:p>
        </w:tc>
      </w:tr>
      <w:tr w:rsidR="00E86A68" w:rsidTr="00401D90">
        <w:trPr>
          <w:trHeight w:hRule="exact" w:val="160"/>
        </w:trPr>
        <w:tc>
          <w:tcPr>
            <w:tcW w:w="8168" w:type="dxa"/>
            <w:tcBorders>
              <w:top w:val="single" w:sz="4" w:space="0" w:color="auto"/>
            </w:tcBorders>
            <w:shd w:val="clear" w:color="auto" w:fill="auto"/>
          </w:tcPr>
          <w:p w:rsidR="006332B9" w:rsidRDefault="006332B9" w:rsidP="00573CCE">
            <w:pPr>
              <w:pStyle w:val="spacertbl"/>
            </w:pPr>
          </w:p>
        </w:tc>
      </w:tr>
    </w:tbl>
    <w:p w:rsidR="008331D6" w:rsidRDefault="006D1F1B" w:rsidP="001B13B0">
      <w:pPr>
        <w:pStyle w:val="Heading2"/>
      </w:pPr>
      <w:bookmarkStart w:id="67" w:name="_Toc497300821"/>
      <w:r>
        <w:t xml:space="preserve">The </w:t>
      </w:r>
      <w:r w:rsidR="008331D6">
        <w:t>Australia</w:t>
      </w:r>
      <w:r>
        <w:t>n market</w:t>
      </w:r>
      <w:r w:rsidR="008331D6">
        <w:t xml:space="preserve"> in context</w:t>
      </w:r>
      <w:bookmarkEnd w:id="67"/>
    </w:p>
    <w:p w:rsidR="008331D6" w:rsidRDefault="008331D6" w:rsidP="008331D6">
      <w:pPr>
        <w:pStyle w:val="BodyText"/>
      </w:pPr>
      <w:r>
        <w:t>In regulating agvet chemical products, Australia needs to ensure that:</w:t>
      </w:r>
    </w:p>
    <w:p w:rsidR="008331D6" w:rsidRDefault="008331D6" w:rsidP="008331D6">
      <w:pPr>
        <w:pStyle w:val="ListBullet"/>
      </w:pPr>
      <w:r>
        <w:t>original product manufacturers are encouraged to register their products in Australia and at an early stage in product life cycles</w:t>
      </w:r>
    </w:p>
    <w:p w:rsidR="008331D6" w:rsidRDefault="008331D6" w:rsidP="008331D6">
      <w:pPr>
        <w:pStyle w:val="ListBullet"/>
      </w:pPr>
      <w:r>
        <w:t>generic manufacturers are provided with the opportunity to enter the Australian market soon after patent protection for the original product has lapsed.</w:t>
      </w:r>
    </w:p>
    <w:p w:rsidR="008331D6" w:rsidRDefault="008331D6" w:rsidP="008331D6">
      <w:pPr>
        <w:pStyle w:val="BodyText"/>
      </w:pPr>
      <w:r>
        <w:t xml:space="preserve">There are several possible indicators of how well Australia is striking this balance. Two </w:t>
      </w:r>
      <w:r w:rsidR="00CE1C21">
        <w:t>indicators are</w:t>
      </w:r>
      <w:r>
        <w:t>:</w:t>
      </w:r>
    </w:p>
    <w:p w:rsidR="008331D6" w:rsidRDefault="008331D6" w:rsidP="008331D6">
      <w:pPr>
        <w:pStyle w:val="ListBullet"/>
      </w:pPr>
      <w:r>
        <w:t xml:space="preserve">The numbers of new agvet and generic products registered in Australia compared with numbers registered in other countries in the same year is a broad indicator of </w:t>
      </w:r>
      <w:r w:rsidR="00D90699">
        <w:t xml:space="preserve">the </w:t>
      </w:r>
      <w:r>
        <w:t>level of activity in relation to these two categories. This does not necessarily compare registration of the same products. However</w:t>
      </w:r>
      <w:r w:rsidR="00D90699">
        <w:t>,</w:t>
      </w:r>
      <w:r>
        <w:t xml:space="preserve"> a product-by-product comparison would be difficult (it would need information on the active ingredients) and time consuming, and may not yield better information.</w:t>
      </w:r>
    </w:p>
    <w:p w:rsidR="008331D6" w:rsidRDefault="008331D6" w:rsidP="008331D6">
      <w:pPr>
        <w:pStyle w:val="ListBullet"/>
      </w:pPr>
      <w:r>
        <w:t xml:space="preserve">A comparison of the ratios of generic to new agvet products registered annually is a broad indicator of how well Australia is faring in the registration of generics.  </w:t>
      </w:r>
    </w:p>
    <w:p w:rsidR="00CE1C21" w:rsidRDefault="00CE1C21" w:rsidP="001B13B0">
      <w:pPr>
        <w:pStyle w:val="BodyText"/>
      </w:pPr>
      <w:r>
        <w:t>A simple comparison of crop protection products registered in Australia and Canada is provided</w:t>
      </w:r>
      <w:r w:rsidR="00D90699">
        <w:t xml:space="preserve"> below</w:t>
      </w:r>
      <w:r>
        <w:t xml:space="preserve"> in </w:t>
      </w:r>
      <w:r w:rsidR="00E86EA9">
        <w:fldChar w:fldCharType="begin"/>
      </w:r>
      <w:r w:rsidR="00E86EA9">
        <w:instrText xml:space="preserve"> REF _Ref490813119 \h </w:instrText>
      </w:r>
      <w:r w:rsidR="00E86EA9">
        <w:fldChar w:fldCharType="separate"/>
      </w:r>
      <w:r w:rsidR="0087688C" w:rsidRPr="00D86791">
        <w:rPr>
          <w:rStyle w:val="CaptionLabel"/>
        </w:rPr>
        <w:t>Table </w:t>
      </w:r>
      <w:r w:rsidR="0087688C">
        <w:rPr>
          <w:rStyle w:val="CaptionLabel"/>
          <w:noProof/>
        </w:rPr>
        <w:t>2</w:t>
      </w:r>
      <w:r w:rsidR="0087688C" w:rsidRPr="001B13B0">
        <w:rPr>
          <w:rStyle w:val="CaptionLabel"/>
        </w:rPr>
        <w:t>.</w:t>
      </w:r>
      <w:r w:rsidR="0087688C">
        <w:rPr>
          <w:rStyle w:val="CaptionLabel"/>
          <w:noProof/>
        </w:rPr>
        <w:t>8</w:t>
      </w:r>
      <w:r w:rsidR="00E86EA9">
        <w:fldChar w:fldCharType="end"/>
      </w:r>
      <w:r w:rsidR="00E86EA9">
        <w:t>.</w:t>
      </w:r>
    </w:p>
    <w:p w:rsidR="00CE1C21" w:rsidRDefault="00CE1C21" w:rsidP="001B13B0">
      <w:pPr>
        <w:pStyle w:val="BodyText"/>
      </w:pPr>
      <w:r>
        <w:t xml:space="preserve">On average over the past five years, the number of novel plant protection chemicals registered in </w:t>
      </w:r>
      <w:r w:rsidR="00D90699">
        <w:t xml:space="preserve">the </w:t>
      </w:r>
      <w:r>
        <w:t xml:space="preserve">two countries was similar, that is around </w:t>
      </w:r>
      <w:r w:rsidR="00F37395">
        <w:t>seven</w:t>
      </w:r>
      <w:r>
        <w:t xml:space="preserve"> products in each country. However, the number of generic plant protection products registered with their respective agencies </w:t>
      </w:r>
      <w:r w:rsidR="00D90699">
        <w:t>was</w:t>
      </w:r>
      <w:r>
        <w:t xml:space="preserve"> significantly different. </w:t>
      </w:r>
    </w:p>
    <w:p w:rsidR="00CE1C21" w:rsidRDefault="00CE1C21" w:rsidP="001B13B0">
      <w:pPr>
        <w:pStyle w:val="BodyText"/>
      </w:pPr>
      <w:r>
        <w:t xml:space="preserve">In Australia, on average over 700 generic plant protection </w:t>
      </w:r>
      <w:r w:rsidR="00D90699">
        <w:t xml:space="preserve">products </w:t>
      </w:r>
      <w:r>
        <w:t>were registered with the APVMA</w:t>
      </w:r>
      <w:r w:rsidR="00D90699">
        <w:t xml:space="preserve"> each year</w:t>
      </w:r>
      <w:r>
        <w:t>. On the other hand, on average only 44 generic plant protection products were</w:t>
      </w:r>
      <w:r w:rsidRPr="00D4417C">
        <w:t xml:space="preserve"> </w:t>
      </w:r>
      <w:r>
        <w:t>registered</w:t>
      </w:r>
      <w:r w:rsidR="00D90699">
        <w:t xml:space="preserve"> annually</w:t>
      </w:r>
      <w:r>
        <w:t xml:space="preserve"> with </w:t>
      </w:r>
      <w:r w:rsidR="00F37395">
        <w:t>Canada’s</w:t>
      </w:r>
      <w:r>
        <w:t xml:space="preserve"> PMRA. </w:t>
      </w:r>
    </w:p>
    <w:p w:rsidR="00CE1C21" w:rsidRPr="001B13B0" w:rsidRDefault="00CE1C21" w:rsidP="001B13B0">
      <w:pPr>
        <w:pStyle w:val="Caption"/>
        <w:rPr>
          <w:rStyle w:val="CaptionLabel"/>
        </w:rPr>
      </w:pPr>
      <w:bookmarkStart w:id="68" w:name="_Ref490813119"/>
      <w:bookmarkStart w:id="69" w:name="_Toc497132807"/>
      <w:r w:rsidRPr="00D86791">
        <w:rPr>
          <w:rStyle w:val="CaptionLabel"/>
        </w:rPr>
        <w:t>Table </w:t>
      </w:r>
      <w:r w:rsidRPr="001B13B0">
        <w:rPr>
          <w:rStyle w:val="CaptionLabel"/>
        </w:rPr>
        <w:fldChar w:fldCharType="begin"/>
      </w:r>
      <w:r w:rsidRPr="001B13B0">
        <w:rPr>
          <w:rStyle w:val="CaptionLabel"/>
        </w:rPr>
        <w:instrText xml:space="preserve"> STYLEREF 1 \s </w:instrText>
      </w:r>
      <w:r w:rsidRPr="001B13B0">
        <w:rPr>
          <w:rStyle w:val="CaptionLabel"/>
        </w:rPr>
        <w:fldChar w:fldCharType="separate"/>
      </w:r>
      <w:r w:rsidR="001977DE">
        <w:rPr>
          <w:rStyle w:val="CaptionLabel"/>
          <w:noProof/>
        </w:rPr>
        <w:t>2</w:t>
      </w:r>
      <w:r w:rsidRPr="001B13B0">
        <w:rPr>
          <w:rStyle w:val="CaptionLabel"/>
        </w:rPr>
        <w:fldChar w:fldCharType="end"/>
      </w:r>
      <w:r w:rsidRPr="001B13B0">
        <w:rPr>
          <w:rStyle w:val="CaptionLabel"/>
        </w:rPr>
        <w:t>.</w:t>
      </w:r>
      <w:r w:rsidRPr="001B13B0">
        <w:rPr>
          <w:rStyle w:val="CaptionLabel"/>
        </w:rPr>
        <w:fldChar w:fldCharType="begin"/>
      </w:r>
      <w:r w:rsidRPr="001B13B0">
        <w:rPr>
          <w:rStyle w:val="CaptionLabel"/>
        </w:rPr>
        <w:instrText xml:space="preserve"> SEQ Table \* ARABIC \s 1 </w:instrText>
      </w:r>
      <w:r w:rsidRPr="001B13B0">
        <w:rPr>
          <w:rStyle w:val="CaptionLabel"/>
        </w:rPr>
        <w:fldChar w:fldCharType="separate"/>
      </w:r>
      <w:r w:rsidR="001977DE">
        <w:rPr>
          <w:rStyle w:val="CaptionLabel"/>
          <w:noProof/>
        </w:rPr>
        <w:t>8</w:t>
      </w:r>
      <w:r w:rsidRPr="001B13B0">
        <w:rPr>
          <w:rStyle w:val="CaptionLabel"/>
        </w:rPr>
        <w:fldChar w:fldCharType="end"/>
      </w:r>
      <w:bookmarkEnd w:id="68"/>
      <w:r w:rsidRPr="001B13B0">
        <w:rPr>
          <w:rStyle w:val="CaptionLabel"/>
        </w:rPr>
        <w:tab/>
      </w:r>
      <w:r w:rsidRPr="001B13B0">
        <w:rPr>
          <w:rStyle w:val="CaptionLabel"/>
          <w:b w:val="0"/>
        </w:rPr>
        <w:t>A compar</w:t>
      </w:r>
      <w:r w:rsidR="00D90699" w:rsidRPr="00D86791">
        <w:rPr>
          <w:rStyle w:val="CaptionLabel"/>
          <w:b w:val="0"/>
        </w:rPr>
        <w:t>i</w:t>
      </w:r>
      <w:r w:rsidRPr="001B13B0">
        <w:rPr>
          <w:rStyle w:val="CaptionLabel"/>
          <w:b w:val="0"/>
        </w:rPr>
        <w:t>son of plant protection product registrations</w:t>
      </w:r>
      <w:r w:rsidR="00E86EA9">
        <w:rPr>
          <w:rStyle w:val="CaptionLabel"/>
          <w:b w:val="0"/>
        </w:rPr>
        <w:t>,</w:t>
      </w:r>
      <w:r w:rsidRPr="001B13B0">
        <w:rPr>
          <w:rStyle w:val="CaptionLabel"/>
          <w:b w:val="0"/>
        </w:rPr>
        <w:t xml:space="preserve"> AUstralia and canada, 2011-16</w:t>
      </w:r>
      <w:bookmarkEnd w:id="69"/>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6"/>
        <w:gridCol w:w="1633"/>
        <w:gridCol w:w="1633"/>
        <w:gridCol w:w="1635"/>
        <w:gridCol w:w="1635"/>
        <w:gridCol w:w="1632"/>
      </w:tblGrid>
      <w:tr w:rsidR="00E86A68" w:rsidTr="008637CA">
        <w:trPr>
          <w:cantSplit/>
          <w:tblHeader/>
        </w:trPr>
        <w:tc>
          <w:tcPr>
            <w:tcW w:w="1211" w:type="pct"/>
            <w:gridSpan w:val="2"/>
            <w:shd w:val="clear" w:color="auto" w:fill="9D57A6"/>
            <w:tcMar>
              <w:left w:w="454" w:type="dxa"/>
              <w:bottom w:w="0" w:type="dxa"/>
            </w:tcMar>
          </w:tcPr>
          <w:p w:rsidR="00CE1C21" w:rsidRDefault="00CE1C21" w:rsidP="008637CA">
            <w:pPr>
              <w:pStyle w:val="Tablecolumnheadings"/>
            </w:pPr>
          </w:p>
        </w:tc>
        <w:tc>
          <w:tcPr>
            <w:tcW w:w="1895" w:type="pct"/>
            <w:gridSpan w:val="2"/>
            <w:shd w:val="clear" w:color="auto" w:fill="9D57A6"/>
            <w:tcMar>
              <w:bottom w:w="0" w:type="dxa"/>
            </w:tcMar>
            <w:vAlign w:val="center"/>
          </w:tcPr>
          <w:p w:rsidR="00CE1C21" w:rsidRDefault="00CE1C21" w:rsidP="008637CA">
            <w:pPr>
              <w:pStyle w:val="Tablecolumnheadings"/>
              <w:jc w:val="center"/>
            </w:pPr>
            <w:r>
              <w:t>Australia</w:t>
            </w:r>
          </w:p>
        </w:tc>
        <w:tc>
          <w:tcPr>
            <w:tcW w:w="1894" w:type="pct"/>
            <w:gridSpan w:val="2"/>
            <w:shd w:val="clear" w:color="auto" w:fill="9D57A6"/>
            <w:tcMar>
              <w:bottom w:w="0" w:type="dxa"/>
            </w:tcMar>
            <w:vAlign w:val="center"/>
          </w:tcPr>
          <w:p w:rsidR="00CE1C21" w:rsidRDefault="00CE1C21" w:rsidP="008637CA">
            <w:pPr>
              <w:pStyle w:val="Tablecolumnheadings"/>
              <w:jc w:val="center"/>
            </w:pPr>
            <w:r>
              <w:t>Canada</w:t>
            </w:r>
          </w:p>
        </w:tc>
      </w:tr>
      <w:tr w:rsidR="00E86A68" w:rsidTr="008637CA">
        <w:trPr>
          <w:cantSplit/>
          <w:tblHeader/>
        </w:trPr>
        <w:tc>
          <w:tcPr>
            <w:tcW w:w="1211" w:type="pct"/>
            <w:gridSpan w:val="2"/>
            <w:shd w:val="clear" w:color="auto" w:fill="9D57A6"/>
            <w:tcMar>
              <w:left w:w="454" w:type="dxa"/>
              <w:bottom w:w="0" w:type="dxa"/>
            </w:tcMar>
          </w:tcPr>
          <w:p w:rsidR="00CE1C21" w:rsidRDefault="00CE1C21" w:rsidP="008637CA">
            <w:pPr>
              <w:pStyle w:val="Tablecolumnheadings"/>
            </w:pPr>
          </w:p>
        </w:tc>
        <w:tc>
          <w:tcPr>
            <w:tcW w:w="947" w:type="pct"/>
            <w:shd w:val="clear" w:color="auto" w:fill="9D57A6"/>
            <w:tcMar>
              <w:bottom w:w="0" w:type="dxa"/>
            </w:tcMar>
          </w:tcPr>
          <w:p w:rsidR="00CE1C21" w:rsidRDefault="00CE1C21" w:rsidP="008637CA">
            <w:pPr>
              <w:pStyle w:val="Tablecolumnheadings"/>
              <w:jc w:val="right"/>
            </w:pPr>
            <w:r>
              <w:t>Generic</w:t>
            </w:r>
          </w:p>
        </w:tc>
        <w:tc>
          <w:tcPr>
            <w:tcW w:w="948" w:type="pct"/>
            <w:shd w:val="clear" w:color="auto" w:fill="9D57A6"/>
            <w:tcMar>
              <w:bottom w:w="0" w:type="dxa"/>
            </w:tcMar>
          </w:tcPr>
          <w:p w:rsidR="00CE1C21" w:rsidRDefault="00CE1C21" w:rsidP="008637CA">
            <w:pPr>
              <w:pStyle w:val="Tablecolumnheadings"/>
              <w:jc w:val="right"/>
            </w:pPr>
            <w:r>
              <w:t>Novel</w:t>
            </w:r>
          </w:p>
        </w:tc>
        <w:tc>
          <w:tcPr>
            <w:tcW w:w="948" w:type="pct"/>
            <w:shd w:val="clear" w:color="auto" w:fill="9D57A6"/>
            <w:tcMar>
              <w:bottom w:w="0" w:type="dxa"/>
            </w:tcMar>
          </w:tcPr>
          <w:p w:rsidR="00CE1C21" w:rsidRDefault="00CE1C21" w:rsidP="008637CA">
            <w:pPr>
              <w:pStyle w:val="Tablecolumnheadings"/>
              <w:jc w:val="right"/>
            </w:pPr>
            <w:r>
              <w:t>Generic</w:t>
            </w:r>
          </w:p>
        </w:tc>
        <w:tc>
          <w:tcPr>
            <w:tcW w:w="946" w:type="pct"/>
            <w:shd w:val="clear" w:color="auto" w:fill="9D57A6"/>
            <w:tcMar>
              <w:bottom w:w="0" w:type="dxa"/>
            </w:tcMar>
          </w:tcPr>
          <w:p w:rsidR="00CE1C21" w:rsidRDefault="00CE1C21" w:rsidP="008637CA">
            <w:pPr>
              <w:pStyle w:val="Tablecolumnheadings"/>
              <w:jc w:val="right"/>
            </w:pPr>
            <w:r>
              <w:t>Novel</w:t>
            </w:r>
          </w:p>
        </w:tc>
      </w:tr>
      <w:tr w:rsidR="00E86A68" w:rsidTr="008637CA">
        <w:tblPrEx>
          <w:tblBorders>
            <w:bottom w:val="single" w:sz="4" w:space="0" w:color="646464"/>
            <w:insideH w:val="single" w:sz="4" w:space="0" w:color="646464"/>
          </w:tblBorders>
        </w:tblPrEx>
        <w:trPr>
          <w:gridBefore w:val="1"/>
          <w:wBefore w:w="264" w:type="pct"/>
          <w:cantSplit/>
        </w:trPr>
        <w:tc>
          <w:tcPr>
            <w:tcW w:w="947" w:type="pct"/>
            <w:tcBorders>
              <w:top w:val="nil"/>
            </w:tcBorders>
            <w:shd w:val="clear" w:color="auto" w:fill="auto"/>
            <w:vAlign w:val="bottom"/>
          </w:tcPr>
          <w:p w:rsidR="00CE1C21" w:rsidRDefault="00CE1C21" w:rsidP="008637CA">
            <w:pPr>
              <w:pStyle w:val="Tabletext"/>
            </w:pPr>
            <w:r>
              <w:t>2011-12</w:t>
            </w:r>
          </w:p>
        </w:tc>
        <w:tc>
          <w:tcPr>
            <w:tcW w:w="947" w:type="pct"/>
            <w:tcBorders>
              <w:top w:val="nil"/>
            </w:tcBorders>
            <w:shd w:val="clear" w:color="auto" w:fill="auto"/>
            <w:vAlign w:val="bottom"/>
          </w:tcPr>
          <w:p w:rsidR="00CE1C21" w:rsidRDefault="00CE1C21" w:rsidP="008637CA">
            <w:pPr>
              <w:pStyle w:val="Tabletext"/>
              <w:jc w:val="right"/>
            </w:pPr>
            <w:r>
              <w:t>914</w:t>
            </w:r>
          </w:p>
        </w:tc>
        <w:tc>
          <w:tcPr>
            <w:tcW w:w="948" w:type="pct"/>
            <w:tcBorders>
              <w:top w:val="nil"/>
            </w:tcBorders>
            <w:shd w:val="clear" w:color="auto" w:fill="auto"/>
            <w:vAlign w:val="bottom"/>
          </w:tcPr>
          <w:p w:rsidR="00CE1C21" w:rsidRDefault="00CE1C21" w:rsidP="008637CA">
            <w:pPr>
              <w:pStyle w:val="Tabletext"/>
              <w:jc w:val="right"/>
            </w:pPr>
            <w:r>
              <w:t>13</w:t>
            </w:r>
          </w:p>
        </w:tc>
        <w:tc>
          <w:tcPr>
            <w:tcW w:w="948" w:type="pct"/>
            <w:tcBorders>
              <w:top w:val="nil"/>
            </w:tcBorders>
            <w:shd w:val="clear" w:color="auto" w:fill="auto"/>
            <w:vAlign w:val="bottom"/>
          </w:tcPr>
          <w:p w:rsidR="00CE1C21" w:rsidRDefault="00CE1C21" w:rsidP="008637CA">
            <w:pPr>
              <w:pStyle w:val="Tabletext"/>
              <w:jc w:val="right"/>
            </w:pPr>
            <w:r>
              <w:t>45</w:t>
            </w:r>
          </w:p>
        </w:tc>
        <w:tc>
          <w:tcPr>
            <w:tcW w:w="946" w:type="pct"/>
            <w:tcBorders>
              <w:top w:val="nil"/>
            </w:tcBorders>
            <w:shd w:val="clear" w:color="auto" w:fill="auto"/>
            <w:vAlign w:val="bottom"/>
          </w:tcPr>
          <w:p w:rsidR="00CE1C21" w:rsidRDefault="00CE1C21" w:rsidP="008637CA">
            <w:pPr>
              <w:pStyle w:val="Tabletext"/>
              <w:jc w:val="right"/>
            </w:pPr>
            <w:r>
              <w:t>15</w:t>
            </w:r>
          </w:p>
        </w:tc>
      </w:tr>
      <w:tr w:rsidR="00E86A68" w:rsidTr="008637CA">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CE1C21" w:rsidRDefault="00CE1C21" w:rsidP="008637CA">
            <w:pPr>
              <w:pStyle w:val="Tabletext"/>
            </w:pPr>
            <w:r>
              <w:t>2012-13</w:t>
            </w:r>
          </w:p>
        </w:tc>
        <w:tc>
          <w:tcPr>
            <w:tcW w:w="947" w:type="pct"/>
            <w:shd w:val="clear" w:color="auto" w:fill="auto"/>
            <w:vAlign w:val="bottom"/>
          </w:tcPr>
          <w:p w:rsidR="00CE1C21" w:rsidRDefault="00CE1C21" w:rsidP="008637CA">
            <w:pPr>
              <w:pStyle w:val="Tabletext"/>
              <w:jc w:val="right"/>
            </w:pPr>
            <w:r>
              <w:t>1006</w:t>
            </w:r>
          </w:p>
        </w:tc>
        <w:tc>
          <w:tcPr>
            <w:tcW w:w="948" w:type="pct"/>
            <w:shd w:val="clear" w:color="auto" w:fill="auto"/>
            <w:vAlign w:val="bottom"/>
          </w:tcPr>
          <w:p w:rsidR="00CE1C21" w:rsidRDefault="00CE1C21" w:rsidP="008637CA">
            <w:pPr>
              <w:pStyle w:val="Tabletext"/>
              <w:jc w:val="right"/>
            </w:pPr>
            <w:r>
              <w:t>22</w:t>
            </w:r>
          </w:p>
        </w:tc>
        <w:tc>
          <w:tcPr>
            <w:tcW w:w="948" w:type="pct"/>
            <w:shd w:val="clear" w:color="auto" w:fill="auto"/>
            <w:vAlign w:val="bottom"/>
          </w:tcPr>
          <w:p w:rsidR="00CE1C21" w:rsidRDefault="00CE1C21" w:rsidP="008637CA">
            <w:pPr>
              <w:pStyle w:val="Tabletext"/>
              <w:jc w:val="right"/>
            </w:pPr>
            <w:r>
              <w:t>35</w:t>
            </w:r>
          </w:p>
        </w:tc>
        <w:tc>
          <w:tcPr>
            <w:tcW w:w="946" w:type="pct"/>
            <w:shd w:val="clear" w:color="auto" w:fill="auto"/>
            <w:vAlign w:val="bottom"/>
          </w:tcPr>
          <w:p w:rsidR="00CE1C21" w:rsidRDefault="00CE1C21" w:rsidP="008637CA">
            <w:pPr>
              <w:pStyle w:val="Tabletext"/>
              <w:jc w:val="right"/>
            </w:pPr>
            <w:r>
              <w:t>27</w:t>
            </w:r>
          </w:p>
        </w:tc>
      </w:tr>
      <w:tr w:rsidR="00E86A68" w:rsidTr="008637CA">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CE1C21" w:rsidRDefault="00CE1C21" w:rsidP="008637CA">
            <w:pPr>
              <w:pStyle w:val="Tabletext"/>
            </w:pPr>
            <w:r>
              <w:t>2013-14</w:t>
            </w:r>
          </w:p>
        </w:tc>
        <w:tc>
          <w:tcPr>
            <w:tcW w:w="947" w:type="pct"/>
            <w:shd w:val="clear" w:color="auto" w:fill="auto"/>
            <w:vAlign w:val="bottom"/>
          </w:tcPr>
          <w:p w:rsidR="00CE1C21" w:rsidRDefault="00CE1C21" w:rsidP="008637CA">
            <w:pPr>
              <w:pStyle w:val="Tabletext"/>
              <w:jc w:val="right"/>
            </w:pPr>
            <w:r>
              <w:t>689</w:t>
            </w:r>
          </w:p>
        </w:tc>
        <w:tc>
          <w:tcPr>
            <w:tcW w:w="948" w:type="pct"/>
            <w:shd w:val="clear" w:color="auto" w:fill="auto"/>
            <w:vAlign w:val="bottom"/>
          </w:tcPr>
          <w:p w:rsidR="00CE1C21" w:rsidRDefault="00CE1C21" w:rsidP="008637CA">
            <w:pPr>
              <w:pStyle w:val="Tabletext"/>
              <w:jc w:val="right"/>
            </w:pPr>
            <w:r>
              <w:t>8</w:t>
            </w:r>
          </w:p>
        </w:tc>
        <w:tc>
          <w:tcPr>
            <w:tcW w:w="948" w:type="pct"/>
            <w:shd w:val="clear" w:color="auto" w:fill="auto"/>
            <w:vAlign w:val="bottom"/>
          </w:tcPr>
          <w:p w:rsidR="00CE1C21" w:rsidRDefault="00CE1C21" w:rsidP="008637CA">
            <w:pPr>
              <w:pStyle w:val="Tabletext"/>
              <w:jc w:val="right"/>
            </w:pPr>
            <w:r>
              <w:t>48</w:t>
            </w:r>
          </w:p>
        </w:tc>
        <w:tc>
          <w:tcPr>
            <w:tcW w:w="946" w:type="pct"/>
            <w:shd w:val="clear" w:color="auto" w:fill="auto"/>
            <w:vAlign w:val="bottom"/>
          </w:tcPr>
          <w:p w:rsidR="00CE1C21" w:rsidRDefault="00CE1C21" w:rsidP="008637CA">
            <w:pPr>
              <w:pStyle w:val="Tabletext"/>
              <w:jc w:val="right"/>
            </w:pPr>
            <w:r>
              <w:t>12</w:t>
            </w:r>
          </w:p>
        </w:tc>
      </w:tr>
      <w:tr w:rsidR="00E86A68" w:rsidTr="008637CA">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CE1C21" w:rsidRDefault="00CE1C21" w:rsidP="008637CA">
            <w:pPr>
              <w:pStyle w:val="Tabletext"/>
            </w:pPr>
            <w:r>
              <w:t>2014-15</w:t>
            </w:r>
          </w:p>
        </w:tc>
        <w:tc>
          <w:tcPr>
            <w:tcW w:w="947" w:type="pct"/>
            <w:shd w:val="clear" w:color="auto" w:fill="auto"/>
            <w:vAlign w:val="bottom"/>
          </w:tcPr>
          <w:p w:rsidR="00CE1C21" w:rsidRDefault="00CE1C21" w:rsidP="008637CA">
            <w:pPr>
              <w:pStyle w:val="Tabletext"/>
              <w:jc w:val="right"/>
            </w:pPr>
            <w:r>
              <w:t>493</w:t>
            </w:r>
          </w:p>
        </w:tc>
        <w:tc>
          <w:tcPr>
            <w:tcW w:w="948" w:type="pct"/>
            <w:shd w:val="clear" w:color="auto" w:fill="auto"/>
            <w:vAlign w:val="bottom"/>
          </w:tcPr>
          <w:p w:rsidR="00CE1C21" w:rsidRDefault="00CE1C21" w:rsidP="008637CA">
            <w:pPr>
              <w:pStyle w:val="Tabletext"/>
              <w:jc w:val="right"/>
            </w:pPr>
            <w:r>
              <w:t>15</w:t>
            </w:r>
          </w:p>
        </w:tc>
        <w:tc>
          <w:tcPr>
            <w:tcW w:w="948" w:type="pct"/>
            <w:shd w:val="clear" w:color="auto" w:fill="auto"/>
            <w:vAlign w:val="bottom"/>
          </w:tcPr>
          <w:p w:rsidR="00CE1C21" w:rsidRDefault="00CE1C21" w:rsidP="008637CA">
            <w:pPr>
              <w:pStyle w:val="Tabletext"/>
              <w:jc w:val="right"/>
            </w:pPr>
            <w:r>
              <w:t>46</w:t>
            </w:r>
          </w:p>
        </w:tc>
        <w:tc>
          <w:tcPr>
            <w:tcW w:w="946" w:type="pct"/>
            <w:shd w:val="clear" w:color="auto" w:fill="auto"/>
            <w:vAlign w:val="bottom"/>
          </w:tcPr>
          <w:p w:rsidR="00CE1C21" w:rsidRDefault="00CE1C21" w:rsidP="008637CA">
            <w:pPr>
              <w:pStyle w:val="Tabletext"/>
              <w:jc w:val="right"/>
            </w:pPr>
            <w:r>
              <w:t>14</w:t>
            </w:r>
          </w:p>
        </w:tc>
      </w:tr>
      <w:tr w:rsidR="00E86A68" w:rsidTr="008637CA">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CE1C21" w:rsidRDefault="00CE1C21" w:rsidP="008637CA">
            <w:pPr>
              <w:pStyle w:val="Tabletext"/>
            </w:pPr>
            <w:r>
              <w:t>2015-16</w:t>
            </w:r>
          </w:p>
        </w:tc>
        <w:tc>
          <w:tcPr>
            <w:tcW w:w="947" w:type="pct"/>
            <w:shd w:val="clear" w:color="auto" w:fill="auto"/>
            <w:vAlign w:val="bottom"/>
          </w:tcPr>
          <w:p w:rsidR="00CE1C21" w:rsidRDefault="00CE1C21" w:rsidP="008637CA">
            <w:pPr>
              <w:pStyle w:val="Tabletext"/>
              <w:jc w:val="right"/>
            </w:pPr>
            <w:r>
              <w:t>498</w:t>
            </w:r>
          </w:p>
        </w:tc>
        <w:tc>
          <w:tcPr>
            <w:tcW w:w="948" w:type="pct"/>
            <w:shd w:val="clear" w:color="auto" w:fill="auto"/>
            <w:vAlign w:val="bottom"/>
          </w:tcPr>
          <w:p w:rsidR="00CE1C21" w:rsidRDefault="00CE1C21" w:rsidP="008637CA">
            <w:pPr>
              <w:pStyle w:val="Tabletext"/>
              <w:jc w:val="right"/>
            </w:pPr>
            <w:r>
              <w:t>27</w:t>
            </w:r>
          </w:p>
        </w:tc>
        <w:tc>
          <w:tcPr>
            <w:tcW w:w="948" w:type="pct"/>
            <w:shd w:val="clear" w:color="auto" w:fill="auto"/>
            <w:vAlign w:val="bottom"/>
          </w:tcPr>
          <w:p w:rsidR="00CE1C21" w:rsidRDefault="00CE1C21" w:rsidP="008637CA">
            <w:pPr>
              <w:pStyle w:val="Tabletext"/>
              <w:jc w:val="right"/>
            </w:pPr>
            <w:r>
              <w:t>44</w:t>
            </w:r>
          </w:p>
        </w:tc>
        <w:tc>
          <w:tcPr>
            <w:tcW w:w="946" w:type="pct"/>
            <w:shd w:val="clear" w:color="auto" w:fill="auto"/>
            <w:vAlign w:val="bottom"/>
          </w:tcPr>
          <w:p w:rsidR="00CE1C21" w:rsidRDefault="00CE1C21" w:rsidP="008637CA">
            <w:pPr>
              <w:pStyle w:val="Tabletext"/>
              <w:jc w:val="right"/>
            </w:pPr>
            <w:r>
              <w:t>18</w:t>
            </w:r>
          </w:p>
        </w:tc>
      </w:tr>
      <w:tr w:rsidR="00E86A68" w:rsidRPr="00A86F56" w:rsidTr="008637CA">
        <w:tblPrEx>
          <w:tblBorders>
            <w:bottom w:val="single" w:sz="4" w:space="0" w:color="646464"/>
            <w:insideH w:val="single" w:sz="4" w:space="0" w:color="646464"/>
          </w:tblBorders>
        </w:tblPrEx>
        <w:trPr>
          <w:gridBefore w:val="1"/>
          <w:wBefore w:w="264" w:type="pct"/>
          <w:cantSplit/>
        </w:trPr>
        <w:tc>
          <w:tcPr>
            <w:tcW w:w="947" w:type="pct"/>
            <w:shd w:val="clear" w:color="auto" w:fill="auto"/>
            <w:vAlign w:val="bottom"/>
          </w:tcPr>
          <w:p w:rsidR="00CE1C21" w:rsidRPr="00A86F56" w:rsidRDefault="00CE1C21" w:rsidP="008637CA">
            <w:pPr>
              <w:pStyle w:val="Tabletext"/>
              <w:rPr>
                <w:b/>
                <w:i/>
              </w:rPr>
            </w:pPr>
            <w:r w:rsidRPr="00A86F56">
              <w:rPr>
                <w:b/>
                <w:i/>
              </w:rPr>
              <w:t>Average</w:t>
            </w:r>
          </w:p>
        </w:tc>
        <w:tc>
          <w:tcPr>
            <w:tcW w:w="947" w:type="pct"/>
            <w:shd w:val="clear" w:color="auto" w:fill="auto"/>
            <w:vAlign w:val="bottom"/>
          </w:tcPr>
          <w:p w:rsidR="00CE1C21" w:rsidRPr="00A86F56" w:rsidRDefault="00CE1C21" w:rsidP="008637CA">
            <w:pPr>
              <w:pStyle w:val="Tabletext"/>
              <w:jc w:val="right"/>
              <w:rPr>
                <w:b/>
                <w:i/>
              </w:rPr>
            </w:pPr>
            <w:r w:rsidRPr="00A86F56">
              <w:rPr>
                <w:b/>
                <w:i/>
              </w:rPr>
              <w:t>720</w:t>
            </w:r>
          </w:p>
        </w:tc>
        <w:tc>
          <w:tcPr>
            <w:tcW w:w="948" w:type="pct"/>
            <w:shd w:val="clear" w:color="auto" w:fill="auto"/>
            <w:vAlign w:val="bottom"/>
          </w:tcPr>
          <w:p w:rsidR="00CE1C21" w:rsidRPr="00A86F56" w:rsidRDefault="00CE1C21" w:rsidP="008637CA">
            <w:pPr>
              <w:pStyle w:val="Tabletext"/>
              <w:jc w:val="right"/>
              <w:rPr>
                <w:b/>
                <w:i/>
              </w:rPr>
            </w:pPr>
            <w:r w:rsidRPr="00A86F56">
              <w:rPr>
                <w:b/>
                <w:i/>
              </w:rPr>
              <w:t>17</w:t>
            </w:r>
          </w:p>
        </w:tc>
        <w:tc>
          <w:tcPr>
            <w:tcW w:w="948" w:type="pct"/>
            <w:shd w:val="clear" w:color="auto" w:fill="auto"/>
            <w:vAlign w:val="bottom"/>
          </w:tcPr>
          <w:p w:rsidR="00CE1C21" w:rsidRPr="00A86F56" w:rsidRDefault="00CE1C21" w:rsidP="008637CA">
            <w:pPr>
              <w:pStyle w:val="Tabletext"/>
              <w:jc w:val="right"/>
              <w:rPr>
                <w:b/>
                <w:i/>
              </w:rPr>
            </w:pPr>
            <w:r w:rsidRPr="00A86F56">
              <w:rPr>
                <w:b/>
                <w:i/>
              </w:rPr>
              <w:t>44</w:t>
            </w:r>
          </w:p>
        </w:tc>
        <w:tc>
          <w:tcPr>
            <w:tcW w:w="946" w:type="pct"/>
            <w:shd w:val="clear" w:color="auto" w:fill="auto"/>
            <w:vAlign w:val="bottom"/>
          </w:tcPr>
          <w:p w:rsidR="00CE1C21" w:rsidRPr="00A86F56" w:rsidRDefault="00CE1C21" w:rsidP="008637CA">
            <w:pPr>
              <w:pStyle w:val="Tabletext"/>
              <w:jc w:val="right"/>
              <w:rPr>
                <w:b/>
                <w:i/>
              </w:rPr>
            </w:pPr>
            <w:r w:rsidRPr="00A86F56">
              <w:rPr>
                <w:b/>
                <w:i/>
              </w:rPr>
              <w:t>17</w:t>
            </w:r>
          </w:p>
        </w:tc>
      </w:tr>
      <w:tr w:rsidR="00E86A68" w:rsidTr="008637CA">
        <w:tblPrEx>
          <w:tblBorders>
            <w:bottom w:val="single" w:sz="4" w:space="0" w:color="646464"/>
            <w:insideH w:val="single" w:sz="4" w:space="0" w:color="646464"/>
          </w:tblBorders>
        </w:tblPrEx>
        <w:trPr>
          <w:gridBefore w:val="1"/>
          <w:wBefore w:w="264" w:type="pct"/>
          <w:cantSplit/>
        </w:trPr>
        <w:tc>
          <w:tcPr>
            <w:tcW w:w="4736" w:type="pct"/>
            <w:gridSpan w:val="5"/>
            <w:tcBorders>
              <w:bottom w:val="single" w:sz="4" w:space="0" w:color="646464"/>
            </w:tcBorders>
            <w:shd w:val="clear" w:color="auto" w:fill="auto"/>
          </w:tcPr>
          <w:p w:rsidR="00CE1C21" w:rsidRDefault="00CE1C21" w:rsidP="008637CA">
            <w:pPr>
              <w:pStyle w:val="Source"/>
            </w:pPr>
            <w:r>
              <w:t>Source: APVMA AND PMRA</w:t>
            </w:r>
          </w:p>
        </w:tc>
      </w:tr>
      <w:tr w:rsidR="00E86A68" w:rsidTr="008637CA">
        <w:tblPrEx>
          <w:tblBorders>
            <w:bottom w:val="single" w:sz="4" w:space="0" w:color="646464"/>
            <w:insideH w:val="single" w:sz="4" w:space="0" w:color="646464"/>
          </w:tblBorders>
        </w:tblPrEx>
        <w:trPr>
          <w:gridBefore w:val="1"/>
          <w:wBefore w:w="264" w:type="pct"/>
          <w:cantSplit/>
          <w:trHeight w:hRule="exact" w:val="120"/>
        </w:trPr>
        <w:tc>
          <w:tcPr>
            <w:tcW w:w="4736" w:type="pct"/>
            <w:gridSpan w:val="5"/>
            <w:tcBorders>
              <w:top w:val="single" w:sz="4" w:space="0" w:color="646464"/>
              <w:bottom w:val="nil"/>
            </w:tcBorders>
            <w:shd w:val="clear" w:color="auto" w:fill="auto"/>
          </w:tcPr>
          <w:p w:rsidR="00CE1C21" w:rsidRDefault="00CE1C21" w:rsidP="008637CA">
            <w:pPr>
              <w:pStyle w:val="spacertbl"/>
            </w:pPr>
          </w:p>
        </w:tc>
      </w:tr>
    </w:tbl>
    <w:p w:rsidR="00594032" w:rsidRDefault="00594032" w:rsidP="001B13B0">
      <w:pPr>
        <w:pStyle w:val="Heading2"/>
      </w:pPr>
      <w:bookmarkStart w:id="70" w:name="_Toc497300822"/>
      <w:r>
        <w:t>Conclusions</w:t>
      </w:r>
      <w:bookmarkEnd w:id="70"/>
    </w:p>
    <w:p w:rsidR="00A66986" w:rsidRDefault="00A66986" w:rsidP="00A66986">
      <w:pPr>
        <w:pStyle w:val="BodyText"/>
      </w:pPr>
      <w:r>
        <w:t xml:space="preserve">The world market for agvet chemicals is dominated by a small number of large multinational corporations based in North America and Europe. Nufarm Ltd is the largest agvet chemical </w:t>
      </w:r>
      <w:r w:rsidR="00D86791">
        <w:t xml:space="preserve">company in </w:t>
      </w:r>
      <w:r>
        <w:t>Australia. The Australian agvet chemical market is very small (less than 1.5 per cent of the world market). The total domestic demand in the USA and Australia for plant protection products in 2016 was A$17.8 billion and A$1.7 billion respectively. Thus the small size of the Australian market means that</w:t>
      </w:r>
      <w:r w:rsidR="00D73917">
        <w:t>, in general,</w:t>
      </w:r>
      <w:r>
        <w:t xml:space="preserve"> it can provide only limited returns to agvet chemical manufacturers.</w:t>
      </w:r>
    </w:p>
    <w:p w:rsidR="00A66986" w:rsidRDefault="00A66986" w:rsidP="00A66986">
      <w:pPr>
        <w:pStyle w:val="BodyText"/>
      </w:pPr>
      <w:r>
        <w:t>Australia needs timely access to innovative agvet chemical products, which are generally</w:t>
      </w:r>
      <w:r w:rsidR="003E19AC">
        <w:t xml:space="preserve"> better</w:t>
      </w:r>
      <w:r w:rsidR="00CB4BA6">
        <w:t xml:space="preserve"> </w:t>
      </w:r>
      <w:r>
        <w:t xml:space="preserve">than older products. </w:t>
      </w:r>
      <w:r w:rsidR="00D73917">
        <w:t>However, a</w:t>
      </w:r>
      <w:r>
        <w:t>s a recent report has noted:</w:t>
      </w:r>
    </w:p>
    <w:p w:rsidR="00594032" w:rsidRDefault="00594032" w:rsidP="00594032">
      <w:pPr>
        <w:pStyle w:val="Quote"/>
      </w:pPr>
      <w:r>
        <w:t>With a general decline in productivity growth and changes to external factors in managing weed, pest and disease risk, Australia more than ever requires access to new and safer pesticide and veterinary medicines. The plant and animal industries are all facing significant emerging biosecurity threats and being impacted on by pesticide resistance. Australia is no longer on the global priority list for pesticide and veterinary medicine commercialisation as it was 20 years ago.</w:t>
      </w:r>
    </w:p>
    <w:p w:rsidR="00594032" w:rsidRDefault="00594032" w:rsidP="00594032">
      <w:pPr>
        <w:pStyle w:val="QuoteSource"/>
      </w:pPr>
      <w:r>
        <w:t xml:space="preserve">Rainbow R 2017, Delivery of Access to AgVet chemicals collaborative system – AgVet Collaborative Forum, accessed on 17 July 2017 at </w:t>
      </w:r>
      <w:hyperlink r:id="rId51" w:history="1">
        <w:r w:rsidRPr="00CF741D">
          <w:rPr>
            <w:rStyle w:val="Hyperlink"/>
          </w:rPr>
          <w:t>https://rirdc.infoservices.com.au/items/17-019</w:t>
        </w:r>
      </w:hyperlink>
      <w:r>
        <w:t xml:space="preserve"> </w:t>
      </w:r>
    </w:p>
    <w:p w:rsidR="00594032" w:rsidRDefault="00594032" w:rsidP="00594032">
      <w:pPr>
        <w:pStyle w:val="BodyText"/>
      </w:pPr>
      <w:r>
        <w:t xml:space="preserve">Factors which influence the prices of agvet chemicals in Australia are complex. They include </w:t>
      </w:r>
      <w:r w:rsidR="00A66986">
        <w:t xml:space="preserve">the </w:t>
      </w:r>
      <w:r>
        <w:t xml:space="preserve">ability of the consumer to pay / market demand, the price of oil, the extent to which there is competition between different products serving similar purposes, and the availability of generics. For major plant protection products, the market for generics in Australia appears to grow quickly once patent and / or data protection expires (see </w:t>
      </w:r>
      <w:r>
        <w:fldChar w:fldCharType="begin"/>
      </w:r>
      <w:r>
        <w:instrText xml:space="preserve"> REF _Ref483923218 \h </w:instrText>
      </w:r>
      <w:r>
        <w:fldChar w:fldCharType="separate"/>
      </w:r>
      <w:r w:rsidR="0087688C" w:rsidRPr="009B3A73">
        <w:rPr>
          <w:rStyle w:val="CaptionLabel"/>
          <w:lang w:val="en-US"/>
        </w:rPr>
        <w:t>Table </w:t>
      </w:r>
      <w:r w:rsidR="0087688C">
        <w:rPr>
          <w:rStyle w:val="CaptionLabel"/>
          <w:noProof/>
          <w:lang w:val="en-US"/>
        </w:rPr>
        <w:t>2</w:t>
      </w:r>
      <w:r w:rsidR="0087688C">
        <w:rPr>
          <w:rStyle w:val="CaptionLabel"/>
          <w:lang w:val="en-US"/>
        </w:rPr>
        <w:t>.</w:t>
      </w:r>
      <w:r w:rsidR="0087688C">
        <w:rPr>
          <w:rStyle w:val="CaptionLabel"/>
          <w:noProof/>
          <w:lang w:val="en-US"/>
        </w:rPr>
        <w:t>4</w:t>
      </w:r>
      <w:r>
        <w:fldChar w:fldCharType="end"/>
      </w:r>
      <w:r w:rsidR="004C68DF">
        <w:t>).</w:t>
      </w:r>
    </w:p>
    <w:p w:rsidR="00594032" w:rsidRDefault="00594032" w:rsidP="00594032">
      <w:pPr>
        <w:pStyle w:val="BodyText"/>
      </w:pPr>
      <w:r>
        <w:t>The veterinary product market in Australia has some characteristics which are different to those of the agricultural ch</w:t>
      </w:r>
      <w:r w:rsidR="00CF1600">
        <w:t>emical market—principally that t</w:t>
      </w:r>
      <w:r>
        <w:t xml:space="preserve">here are more manufacturers of veterinary products and imports play a less important role.  </w:t>
      </w:r>
    </w:p>
    <w:p w:rsidR="00A6681D" w:rsidRDefault="002F4DFA" w:rsidP="00A6681D">
      <w:pPr>
        <w:pStyle w:val="BodyText"/>
      </w:pPr>
      <w:r>
        <w:t xml:space="preserve">For plant protection products, </w:t>
      </w:r>
      <w:r w:rsidR="00A6681D" w:rsidRPr="004D2CAD">
        <w:t xml:space="preserve">Australian agricultural producers </w:t>
      </w:r>
      <w:r w:rsidR="00A6681D">
        <w:t xml:space="preserve">seem to have better access to generic agvet chemicals </w:t>
      </w:r>
      <w:r w:rsidR="00A6681D" w:rsidRPr="004D2CAD">
        <w:t>than their Canadian counterparts. The numbers of novel agvet</w:t>
      </w:r>
      <w:r w:rsidR="00A6681D">
        <w:t xml:space="preserve"> chemical</w:t>
      </w:r>
      <w:r w:rsidR="00A6681D" w:rsidRPr="004D2CAD">
        <w:t xml:space="preserve"> products being registered in each country are about the same.</w:t>
      </w:r>
    </w:p>
    <w:p w:rsidR="00A6681D" w:rsidRDefault="00A6681D" w:rsidP="00594032">
      <w:pPr>
        <w:pStyle w:val="BodyText"/>
      </w:pPr>
    </w:p>
    <w:p w:rsidR="00B65F74" w:rsidRDefault="00B65F74" w:rsidP="0006797A">
      <w:pPr>
        <w:pStyle w:val="BodyText"/>
      </w:pPr>
    </w:p>
    <w:p w:rsidR="00594032" w:rsidRDefault="00594032" w:rsidP="0006797A">
      <w:pPr>
        <w:pStyle w:val="BodyText"/>
      </w:pPr>
    </w:p>
    <w:p w:rsidR="00146D3D" w:rsidRDefault="00146D3D" w:rsidP="0006797A">
      <w:pPr>
        <w:pStyle w:val="BodyText"/>
        <w:sectPr w:rsidR="00146D3D" w:rsidSect="00146D3D">
          <w:headerReference w:type="even" r:id="rId52"/>
          <w:headerReference w:type="default" r:id="rId53"/>
          <w:footerReference w:type="even" r:id="rId54"/>
          <w:headerReference w:type="first" r:id="rId55"/>
          <w:footerReference w:type="first" r:id="rId56"/>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5103"/>
        <w:gridCol w:w="3065"/>
      </w:tblGrid>
      <w:tr w:rsidR="003D260A" w:rsidTr="00580CF7">
        <w:trPr>
          <w:trHeight w:hRule="exact" w:val="382"/>
        </w:trPr>
        <w:tc>
          <w:tcPr>
            <w:tcW w:w="5103" w:type="dxa"/>
            <w:shd w:val="clear" w:color="auto" w:fill="9D57A6"/>
          </w:tcPr>
          <w:p w:rsidR="003D260A" w:rsidRDefault="00546375" w:rsidP="004F73D0">
            <w:pPr>
              <w:pStyle w:val="tagchapterBanner"/>
            </w:pPr>
            <w:r>
              <w:rPr>
                <w:noProof/>
                <w:lang w:eastAsia="en-AU"/>
              </w:rPr>
              <mc:AlternateContent>
                <mc:Choice Requires="wps">
                  <w:drawing>
                    <wp:anchor distT="0" distB="0" distL="114300" distR="114300" simplePos="0" relativeHeight="251889664" behindDoc="0" locked="1" layoutInCell="1" allowOverlap="1" wp14:anchorId="25975269" wp14:editId="39415D36">
                      <wp:simplePos x="0" y="0"/>
                      <wp:positionH relativeFrom="page">
                        <wp:posOffset>158750</wp:posOffset>
                      </wp:positionH>
                      <wp:positionV relativeFrom="page">
                        <wp:posOffset>6350</wp:posOffset>
                      </wp:positionV>
                      <wp:extent cx="439420" cy="215265"/>
                      <wp:effectExtent l="0" t="0" r="0" b="0"/>
                      <wp:wrapNone/>
                      <wp:docPr id="28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71337E" id="Freeform 5" o:spid="_x0000_s1026" style="position:absolute;margin-left:12.5pt;margin-top:.5pt;width:34.6pt;height:16.9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6R8/E3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065" w:type="dxa"/>
            <w:shd w:val="clear" w:color="auto" w:fill="9D57A6"/>
          </w:tcPr>
          <w:p w:rsidR="003D260A" w:rsidRDefault="003D260A" w:rsidP="004F73D0">
            <w:pPr>
              <w:pStyle w:val="spacer"/>
            </w:pPr>
          </w:p>
        </w:tc>
      </w:tr>
      <w:tr w:rsidR="00E86A68" w:rsidRPr="003D3CD2" w:rsidTr="00401D90">
        <w:trPr>
          <w:trHeight w:hRule="exact" w:val="3665"/>
        </w:trPr>
        <w:tc>
          <w:tcPr>
            <w:tcW w:w="5103" w:type="dxa"/>
            <w:shd w:val="clear" w:color="auto" w:fill="9D57A6"/>
            <w:tcMar>
              <w:left w:w="0" w:type="dxa"/>
              <w:bottom w:w="0" w:type="dxa"/>
            </w:tcMar>
            <w:vAlign w:val="bottom"/>
          </w:tcPr>
          <w:p w:rsidR="003D260A" w:rsidRPr="0014019A" w:rsidRDefault="003D260A" w:rsidP="00E86A68">
            <w:pPr>
              <w:pStyle w:val="Heading1"/>
              <w:spacing w:line="240" w:lineRule="auto"/>
            </w:pPr>
            <w:r>
              <w:t xml:space="preserve">Agvet </w:t>
            </w:r>
            <w:r w:rsidR="00166815">
              <w:t xml:space="preserve">chemical </w:t>
            </w:r>
            <w:r w:rsidR="00312E4D">
              <w:t xml:space="preserve">product </w:t>
            </w:r>
            <w:r>
              <w:t>IP and data protection</w:t>
            </w:r>
          </w:p>
        </w:tc>
        <w:tc>
          <w:tcPr>
            <w:tcW w:w="3065" w:type="dxa"/>
            <w:shd w:val="clear" w:color="auto" w:fill="9D57A6"/>
            <w:tcMar>
              <w:right w:w="344" w:type="dxa"/>
            </w:tcMar>
          </w:tcPr>
          <w:p w:rsidR="003D260A" w:rsidRPr="00F5723F" w:rsidRDefault="00221158" w:rsidP="004F73D0">
            <w:pPr>
              <w:pStyle w:val="HeadingChapter"/>
              <w:keepNext/>
            </w:pPr>
            <w:r>
              <w:fldChar w:fldCharType="begin"/>
            </w:r>
            <w:r>
              <w:instrText xml:space="preserve"> SEQ ChptNum\* Arabic \* MERGEFORMAT </w:instrText>
            </w:r>
            <w:r>
              <w:fldChar w:fldCharType="separate"/>
            </w:r>
            <w:bookmarkStart w:id="71" w:name="_Toc497300823"/>
            <w:r w:rsidR="001977DE">
              <w:t>3</w:t>
            </w:r>
            <w:bookmarkEnd w:id="71"/>
            <w:r>
              <w:fldChar w:fldCharType="end"/>
            </w:r>
          </w:p>
        </w:tc>
      </w:tr>
      <w:tr w:rsidR="00E86A68" w:rsidTr="00401D90">
        <w:trPr>
          <w:trHeight w:hRule="exact" w:val="232"/>
        </w:trPr>
        <w:tc>
          <w:tcPr>
            <w:tcW w:w="5103" w:type="dxa"/>
            <w:shd w:val="clear" w:color="auto" w:fill="9D57A6"/>
          </w:tcPr>
          <w:p w:rsidR="003D260A" w:rsidRDefault="003D260A" w:rsidP="004F73D0">
            <w:pPr>
              <w:pStyle w:val="Chpt-Context"/>
            </w:pPr>
          </w:p>
        </w:tc>
        <w:tc>
          <w:tcPr>
            <w:tcW w:w="3065" w:type="dxa"/>
            <w:shd w:val="clear" w:color="auto" w:fill="9D57A6"/>
          </w:tcPr>
          <w:p w:rsidR="003D260A" w:rsidRPr="008A4E3C" w:rsidRDefault="00221158" w:rsidP="004F73D0">
            <w:pPr>
              <w:pStyle w:val="Chpt-Context"/>
            </w:pPr>
            <w:r>
              <w:fldChar w:fldCharType="begin"/>
            </w:r>
            <w:r>
              <w:instrText xml:space="preserve"> STYLEREF  "Heading 1" \l  \* MERGEFORMAT </w:instrText>
            </w:r>
            <w:r>
              <w:fldChar w:fldCharType="separate"/>
            </w:r>
            <w:bookmarkStart w:id="72" w:name="_Toc497300824"/>
            <w:r w:rsidR="0087688C">
              <w:rPr>
                <w:noProof/>
              </w:rPr>
              <w:t>Agvet chemical product IP and data protection</w:t>
            </w:r>
            <w:bookmarkEnd w:id="72"/>
            <w:r>
              <w:rPr>
                <w:noProof/>
              </w:rPr>
              <w:fldChar w:fldCharType="end"/>
            </w:r>
          </w:p>
        </w:tc>
      </w:tr>
      <w:tr w:rsidR="00E86A68" w:rsidTr="00401D90">
        <w:trPr>
          <w:trHeight w:hRule="exact" w:val="228"/>
        </w:trPr>
        <w:tc>
          <w:tcPr>
            <w:tcW w:w="5103" w:type="dxa"/>
            <w:tcBorders>
              <w:top w:val="single" w:sz="4" w:space="0" w:color="9D57A6"/>
            </w:tcBorders>
            <w:shd w:val="clear" w:color="auto" w:fill="auto"/>
          </w:tcPr>
          <w:p w:rsidR="003D260A" w:rsidRDefault="003D260A" w:rsidP="004F73D0">
            <w:pPr>
              <w:pStyle w:val="spacer"/>
            </w:pPr>
          </w:p>
        </w:tc>
        <w:tc>
          <w:tcPr>
            <w:tcW w:w="3065" w:type="dxa"/>
            <w:tcBorders>
              <w:top w:val="single" w:sz="4" w:space="0" w:color="9D57A6"/>
            </w:tcBorders>
            <w:shd w:val="clear" w:color="auto" w:fill="auto"/>
          </w:tcPr>
          <w:p w:rsidR="003D260A" w:rsidRDefault="003D260A" w:rsidP="004F73D0">
            <w:pPr>
              <w:pStyle w:val="spacer"/>
            </w:pPr>
          </w:p>
        </w:tc>
      </w:tr>
    </w:tbl>
    <w:p w:rsidR="00A75CD1" w:rsidRDefault="00AD5AAA" w:rsidP="00AD5AAA">
      <w:pPr>
        <w:pStyle w:val="BodyText"/>
      </w:pPr>
      <w:bookmarkStart w:id="73" w:name="_Toc485059522"/>
      <w:bookmarkStart w:id="74" w:name="_Toc485482854"/>
      <w:r>
        <w:t xml:space="preserve">This chapter summarises the various IP arrangements for agricultural </w:t>
      </w:r>
      <w:r w:rsidR="006B141E">
        <w:t xml:space="preserve">chemical </w:t>
      </w:r>
      <w:r>
        <w:t xml:space="preserve">products and veterinary </w:t>
      </w:r>
      <w:r w:rsidR="006B141E">
        <w:t>chemicals</w:t>
      </w:r>
      <w:r>
        <w:t xml:space="preserve"> in Australia, the EU including the UK and Germany, the US</w:t>
      </w:r>
      <w:r w:rsidR="00FC3E44">
        <w:t>A</w:t>
      </w:r>
      <w:r>
        <w:t>, Canada and New Zealand.</w:t>
      </w:r>
    </w:p>
    <w:p w:rsidR="0062274E" w:rsidRDefault="00337D7E" w:rsidP="0062274E">
      <w:pPr>
        <w:pStyle w:val="Heading2"/>
      </w:pPr>
      <w:bookmarkStart w:id="75" w:name="_Toc497300825"/>
      <w:bookmarkEnd w:id="73"/>
      <w:bookmarkEnd w:id="74"/>
      <w:r>
        <w:t>Context</w:t>
      </w:r>
      <w:bookmarkEnd w:id="75"/>
    </w:p>
    <w:p w:rsidR="0062274E" w:rsidRDefault="0062274E" w:rsidP="0062274E">
      <w:pPr>
        <w:pStyle w:val="BodyText"/>
      </w:pPr>
      <w:r w:rsidRPr="00716EA0">
        <w:t>In order for a chemical plant prot</w:t>
      </w:r>
      <w:r>
        <w:t>ection product to be authorised f</w:t>
      </w:r>
      <w:r w:rsidRPr="00716EA0">
        <w:t>or</w:t>
      </w:r>
      <w:r>
        <w:t xml:space="preserve"> </w:t>
      </w:r>
      <w:r w:rsidRPr="00716EA0">
        <w:t>sale,</w:t>
      </w:r>
      <w:r>
        <w:t xml:space="preserve"> </w:t>
      </w:r>
      <w:r w:rsidRPr="00716EA0">
        <w:t>a</w:t>
      </w:r>
      <w:r>
        <w:t xml:space="preserve"> </w:t>
      </w:r>
      <w:r w:rsidRPr="00716EA0">
        <w:t>registration</w:t>
      </w:r>
      <w:r>
        <w:t xml:space="preserve"> </w:t>
      </w:r>
      <w:r w:rsidRPr="00716EA0">
        <w:t>dossier</w:t>
      </w:r>
      <w:r>
        <w:t xml:space="preserve"> </w:t>
      </w:r>
      <w:r w:rsidRPr="00716EA0">
        <w:t>has</w:t>
      </w:r>
      <w:r>
        <w:t xml:space="preserve"> </w:t>
      </w:r>
      <w:r w:rsidRPr="00716EA0">
        <w:t>to</w:t>
      </w:r>
      <w:r>
        <w:t xml:space="preserve"> </w:t>
      </w:r>
      <w:r w:rsidRPr="00716EA0">
        <w:t>be</w:t>
      </w:r>
      <w:r>
        <w:t xml:space="preserve"> </w:t>
      </w:r>
      <w:r w:rsidRPr="00716EA0">
        <w:t>assembled</w:t>
      </w:r>
      <w:r>
        <w:t xml:space="preserve"> </w:t>
      </w:r>
      <w:r w:rsidRPr="00716EA0">
        <w:t>to</w:t>
      </w:r>
      <w:r>
        <w:t xml:space="preserve"> </w:t>
      </w:r>
      <w:r w:rsidRPr="00716EA0">
        <w:t>demonstrate safety and e</w:t>
      </w:r>
      <w:r w:rsidRPr="00716EA0">
        <w:rPr>
          <w:rFonts w:ascii="Arial" w:hAnsi="Arial" w:cs="Arial"/>
        </w:rPr>
        <w:t>ﬃ</w:t>
      </w:r>
      <w:r w:rsidRPr="00716EA0">
        <w:t>cacy to the satisfaction of government regulators</w:t>
      </w:r>
      <w:r>
        <w:t xml:space="preserve"> across major developed economies</w:t>
      </w:r>
      <w:r w:rsidRPr="00716EA0">
        <w:t xml:space="preserve">. </w:t>
      </w:r>
    </w:p>
    <w:p w:rsidR="0062274E" w:rsidRDefault="0062274E" w:rsidP="0062274E">
      <w:pPr>
        <w:pStyle w:val="BodyText"/>
      </w:pPr>
      <w:r w:rsidRPr="00716EA0">
        <w:t>The registration dossier contains many components that are also</w:t>
      </w:r>
      <w:r>
        <w:t xml:space="preserve"> c</w:t>
      </w:r>
      <w:r w:rsidRPr="00716EA0">
        <w:t>overed</w:t>
      </w:r>
      <w:r>
        <w:t xml:space="preserve"> </w:t>
      </w:r>
      <w:r w:rsidRPr="00716EA0">
        <w:t>by</w:t>
      </w:r>
      <w:r>
        <w:t xml:space="preserve"> mainly five </w:t>
      </w:r>
      <w:r w:rsidRPr="00716EA0">
        <w:t>forms</w:t>
      </w:r>
      <w:r>
        <w:t xml:space="preserve"> </w:t>
      </w:r>
      <w:r w:rsidRPr="00716EA0">
        <w:t>of</w:t>
      </w:r>
      <w:r>
        <w:t xml:space="preserve"> </w:t>
      </w:r>
      <w:r w:rsidRPr="00716EA0">
        <w:t>intellectual</w:t>
      </w:r>
      <w:r>
        <w:t xml:space="preserve"> </w:t>
      </w:r>
      <w:r w:rsidRPr="00716EA0">
        <w:t>property</w:t>
      </w:r>
      <w:r>
        <w:t xml:space="preserve"> </w:t>
      </w:r>
      <w:r w:rsidRPr="00716EA0">
        <w:t>right</w:t>
      </w:r>
      <w:r w:rsidR="006B141E">
        <w:t>s</w:t>
      </w:r>
      <w:r w:rsidRPr="00716EA0">
        <w:t>.</w:t>
      </w:r>
      <w:r>
        <w:rPr>
          <w:rStyle w:val="FootnoteReference"/>
        </w:rPr>
        <w:footnoteReference w:id="31"/>
      </w:r>
      <w:r w:rsidRPr="00716EA0">
        <w:t xml:space="preserve"> </w:t>
      </w:r>
    </w:p>
    <w:p w:rsidR="0062274E" w:rsidRDefault="0062274E" w:rsidP="0062274E">
      <w:pPr>
        <w:pStyle w:val="ListBullet"/>
      </w:pPr>
      <w:r w:rsidRPr="00716EA0">
        <w:t>The</w:t>
      </w:r>
      <w:r>
        <w:t xml:space="preserve"> </w:t>
      </w:r>
      <w:r w:rsidRPr="005250F1">
        <w:rPr>
          <w:b/>
        </w:rPr>
        <w:t>patent</w:t>
      </w:r>
      <w:r>
        <w:t xml:space="preserve"> </w:t>
      </w:r>
      <w:r w:rsidRPr="00716EA0">
        <w:t>usually</w:t>
      </w:r>
      <w:r>
        <w:t xml:space="preserve"> </w:t>
      </w:r>
      <w:r w:rsidRPr="00716EA0">
        <w:t>covers</w:t>
      </w:r>
      <w:r>
        <w:t xml:space="preserve"> </w:t>
      </w:r>
      <w:r w:rsidRPr="00716EA0">
        <w:t>the</w:t>
      </w:r>
      <w:r>
        <w:t xml:space="preserve"> </w:t>
      </w:r>
      <w:r w:rsidRPr="00716EA0">
        <w:t>invention,</w:t>
      </w:r>
      <w:r>
        <w:t xml:space="preserve"> </w:t>
      </w:r>
      <w:r w:rsidRPr="00716EA0">
        <w:t>which</w:t>
      </w:r>
      <w:r>
        <w:t xml:space="preserve"> </w:t>
      </w:r>
      <w:r w:rsidRPr="00716EA0">
        <w:t>can</w:t>
      </w:r>
      <w:r>
        <w:t xml:space="preserve"> </w:t>
      </w:r>
      <w:r w:rsidRPr="00716EA0">
        <w:t>be</w:t>
      </w:r>
      <w:r>
        <w:t xml:space="preserve"> </w:t>
      </w:r>
      <w:r w:rsidRPr="00716EA0">
        <w:t>the</w:t>
      </w:r>
      <w:r>
        <w:t xml:space="preserve"> </w:t>
      </w:r>
      <w:r w:rsidRPr="00716EA0">
        <w:t>active substance</w:t>
      </w:r>
      <w:r>
        <w:t xml:space="preserve"> </w:t>
      </w:r>
      <w:r w:rsidRPr="00716EA0">
        <w:t>and</w:t>
      </w:r>
      <w:r>
        <w:t xml:space="preserve"> </w:t>
      </w:r>
      <w:r w:rsidRPr="00716EA0">
        <w:t>the</w:t>
      </w:r>
      <w:r>
        <w:t xml:space="preserve"> </w:t>
      </w:r>
      <w:r w:rsidRPr="00716EA0">
        <w:t>formulated</w:t>
      </w:r>
      <w:r>
        <w:t xml:space="preserve"> </w:t>
      </w:r>
      <w:r w:rsidRPr="00716EA0">
        <w:t>products</w:t>
      </w:r>
      <w:r>
        <w:t xml:space="preserve"> </w:t>
      </w:r>
      <w:r w:rsidRPr="00716EA0">
        <w:t>but</w:t>
      </w:r>
      <w:r>
        <w:t xml:space="preserve"> </w:t>
      </w:r>
      <w:r w:rsidRPr="00716EA0">
        <w:t>also</w:t>
      </w:r>
      <w:r>
        <w:t xml:space="preserve"> </w:t>
      </w:r>
      <w:r w:rsidRPr="00716EA0">
        <w:t>in</w:t>
      </w:r>
      <w:r>
        <w:t xml:space="preserve"> </w:t>
      </w:r>
      <w:r w:rsidRPr="00716EA0">
        <w:t>some</w:t>
      </w:r>
      <w:r>
        <w:t xml:space="preserve"> </w:t>
      </w:r>
      <w:r w:rsidRPr="00716EA0">
        <w:t>cases</w:t>
      </w:r>
      <w:r>
        <w:t xml:space="preserve"> </w:t>
      </w:r>
      <w:r w:rsidRPr="00716EA0">
        <w:t>the</w:t>
      </w:r>
      <w:r>
        <w:t xml:space="preserve"> m</w:t>
      </w:r>
      <w:r w:rsidRPr="00716EA0">
        <w:t>anufacturing</w:t>
      </w:r>
      <w:r>
        <w:t xml:space="preserve"> </w:t>
      </w:r>
      <w:r w:rsidRPr="00716EA0">
        <w:t>process,</w:t>
      </w:r>
      <w:r>
        <w:t xml:space="preserve"> </w:t>
      </w:r>
      <w:r w:rsidRPr="00716EA0">
        <w:t>and</w:t>
      </w:r>
      <w:r>
        <w:t xml:space="preserve"> </w:t>
      </w:r>
      <w:r w:rsidRPr="00716EA0">
        <w:t>these</w:t>
      </w:r>
      <w:r>
        <w:t xml:space="preserve"> </w:t>
      </w:r>
      <w:r w:rsidRPr="00716EA0">
        <w:t>are</w:t>
      </w:r>
      <w:r>
        <w:t xml:space="preserve"> </w:t>
      </w:r>
      <w:r w:rsidRPr="00716EA0">
        <w:t>described</w:t>
      </w:r>
      <w:r>
        <w:t xml:space="preserve"> </w:t>
      </w:r>
      <w:r w:rsidRPr="00716EA0">
        <w:t>brieﬂy</w:t>
      </w:r>
      <w:r>
        <w:t xml:space="preserve"> </w:t>
      </w:r>
      <w:r w:rsidRPr="00716EA0">
        <w:t>in</w:t>
      </w:r>
      <w:r>
        <w:t xml:space="preserve"> </w:t>
      </w:r>
      <w:r w:rsidRPr="00716EA0">
        <w:t>the</w:t>
      </w:r>
      <w:r>
        <w:t xml:space="preserve"> </w:t>
      </w:r>
      <w:r w:rsidRPr="00716EA0">
        <w:t xml:space="preserve">registration dossier. </w:t>
      </w:r>
    </w:p>
    <w:p w:rsidR="0062274E" w:rsidRDefault="0062274E" w:rsidP="0062274E">
      <w:pPr>
        <w:pStyle w:val="ListBullet2"/>
      </w:pPr>
      <w:r w:rsidRPr="00716EA0">
        <w:t xml:space="preserve">Patents involve disclosure and annual payment by country and are time limited. </w:t>
      </w:r>
    </w:p>
    <w:p w:rsidR="0062274E" w:rsidRDefault="0062274E" w:rsidP="0062274E">
      <w:pPr>
        <w:pStyle w:val="ListBullet2"/>
      </w:pPr>
      <w:r w:rsidRPr="00716EA0">
        <w:t xml:space="preserve">In </w:t>
      </w:r>
      <w:r>
        <w:t xml:space="preserve">Australia, the </w:t>
      </w:r>
      <w:r w:rsidRPr="00716EA0">
        <w:t>E</w:t>
      </w:r>
      <w:r>
        <w:t>U</w:t>
      </w:r>
      <w:r w:rsidRPr="00716EA0">
        <w:t xml:space="preserve"> and North America</w:t>
      </w:r>
      <w:r>
        <w:t xml:space="preserve"> (</w:t>
      </w:r>
      <w:r w:rsidR="002516F8">
        <w:t>USA</w:t>
      </w:r>
      <w:r>
        <w:t xml:space="preserve"> and Canada)</w:t>
      </w:r>
      <w:r w:rsidRPr="00716EA0">
        <w:t xml:space="preserve">, patents for </w:t>
      </w:r>
      <w:r>
        <w:t xml:space="preserve">agvet </w:t>
      </w:r>
      <w:r w:rsidRPr="00716EA0">
        <w:t>chemical</w:t>
      </w:r>
      <w:r>
        <w:t>s</w:t>
      </w:r>
      <w:r w:rsidRPr="00716EA0">
        <w:t xml:space="preserve"> are typically of 20 years</w:t>
      </w:r>
      <w:r>
        <w:t xml:space="preserve"> </w:t>
      </w:r>
      <w:r w:rsidRPr="00716EA0">
        <w:t>duration</w:t>
      </w:r>
      <w:r>
        <w:t xml:space="preserve"> </w:t>
      </w:r>
      <w:r w:rsidRPr="00716EA0">
        <w:t>from</w:t>
      </w:r>
      <w:r>
        <w:t xml:space="preserve"> </w:t>
      </w:r>
      <w:r w:rsidRPr="00716EA0">
        <w:t>ﬁling</w:t>
      </w:r>
      <w:r>
        <w:t>. I</w:t>
      </w:r>
      <w:r w:rsidRPr="00716EA0">
        <w:t>n</w:t>
      </w:r>
      <w:r>
        <w:t xml:space="preserve"> </w:t>
      </w:r>
      <w:r w:rsidRPr="00716EA0">
        <w:t>Europe</w:t>
      </w:r>
      <w:r>
        <w:t xml:space="preserve"> </w:t>
      </w:r>
      <w:r w:rsidRPr="00716EA0">
        <w:t>th</w:t>
      </w:r>
      <w:r>
        <w:t xml:space="preserve">is </w:t>
      </w:r>
      <w:r w:rsidRPr="00716EA0">
        <w:t>can</w:t>
      </w:r>
      <w:r>
        <w:t xml:space="preserve"> </w:t>
      </w:r>
      <w:r w:rsidRPr="00716EA0">
        <w:t>be</w:t>
      </w:r>
      <w:r>
        <w:t xml:space="preserve"> </w:t>
      </w:r>
      <w:r w:rsidRPr="00716EA0">
        <w:t>extended</w:t>
      </w:r>
      <w:r>
        <w:t xml:space="preserve"> </w:t>
      </w:r>
      <w:r w:rsidRPr="00716EA0">
        <w:t>by</w:t>
      </w:r>
      <w:r>
        <w:t xml:space="preserve"> </w:t>
      </w:r>
      <w:r w:rsidRPr="00716EA0">
        <w:t>up</w:t>
      </w:r>
      <w:r>
        <w:t xml:space="preserve"> </w:t>
      </w:r>
      <w:r w:rsidRPr="00716EA0">
        <w:t>to</w:t>
      </w:r>
      <w:r>
        <w:t xml:space="preserve"> </w:t>
      </w:r>
      <w:r w:rsidRPr="00716EA0">
        <w:t>a</w:t>
      </w:r>
      <w:r>
        <w:t xml:space="preserve"> </w:t>
      </w:r>
      <w:r w:rsidRPr="00716EA0">
        <w:t>further</w:t>
      </w:r>
      <w:r>
        <w:t xml:space="preserve"> </w:t>
      </w:r>
      <w:r w:rsidRPr="00716EA0">
        <w:t>5</w:t>
      </w:r>
      <w:r>
        <w:t xml:space="preserve"> </w:t>
      </w:r>
      <w:r w:rsidRPr="00716EA0">
        <w:t>years</w:t>
      </w:r>
      <w:r>
        <w:t xml:space="preserve"> </w:t>
      </w:r>
      <w:r w:rsidRPr="00716EA0">
        <w:t>if</w:t>
      </w:r>
      <w:r>
        <w:t xml:space="preserve"> </w:t>
      </w:r>
      <w:r w:rsidRPr="00716EA0">
        <w:t>the</w:t>
      </w:r>
      <w:r>
        <w:t xml:space="preserve"> </w:t>
      </w:r>
      <w:r w:rsidRPr="00716EA0">
        <w:t>registration</w:t>
      </w:r>
      <w:r>
        <w:t xml:space="preserve"> </w:t>
      </w:r>
      <w:r w:rsidRPr="00716EA0">
        <w:t>process</w:t>
      </w:r>
      <w:r>
        <w:t xml:space="preserve"> </w:t>
      </w:r>
      <w:r w:rsidRPr="00716EA0">
        <w:t>delays</w:t>
      </w:r>
      <w:r>
        <w:t xml:space="preserve"> </w:t>
      </w:r>
      <w:r w:rsidRPr="00716EA0">
        <w:t>market entry.</w:t>
      </w:r>
      <w:r>
        <w:t xml:space="preserve"> Such extensions are not available </w:t>
      </w:r>
      <w:r w:rsidR="006B141E">
        <w:t>outside the EU</w:t>
      </w:r>
      <w:r>
        <w:t>.</w:t>
      </w:r>
      <w:r w:rsidR="006B141E">
        <w:t xml:space="preserve"> Patent filing and agvet chemical registrations are different and unrelated processes in Australia.</w:t>
      </w:r>
    </w:p>
    <w:p w:rsidR="0062274E" w:rsidRDefault="0062274E" w:rsidP="00405C28">
      <w:pPr>
        <w:pStyle w:val="ListBullet"/>
      </w:pPr>
      <w:r w:rsidRPr="006A48B5">
        <w:rPr>
          <w:b/>
        </w:rPr>
        <w:t>Trade secrets</w:t>
      </w:r>
      <w:r>
        <w:t xml:space="preserve"> are found in the confidential business information </w:t>
      </w:r>
      <w:r w:rsidRPr="005250F1">
        <w:t>section of the registration dossier and are typically the manufacturing process if not patented, the technical speciﬁcation of the active ingredient and formulated product and any speciﬁc analytical methods that could betray the manufacturing process by extrapolation</w:t>
      </w:r>
      <w:r>
        <w:t xml:space="preserve"> </w:t>
      </w:r>
      <w:r w:rsidRPr="005250F1">
        <w:t>from</w:t>
      </w:r>
      <w:r>
        <w:t xml:space="preserve"> </w:t>
      </w:r>
      <w:r w:rsidRPr="005250F1">
        <w:t>individual</w:t>
      </w:r>
      <w:r>
        <w:t xml:space="preserve"> </w:t>
      </w:r>
      <w:r w:rsidRPr="005250F1">
        <w:t>impurities.</w:t>
      </w:r>
      <w:r>
        <w:t xml:space="preserve"> </w:t>
      </w:r>
      <w:r w:rsidRPr="005250F1">
        <w:t>Trade</w:t>
      </w:r>
      <w:r>
        <w:t xml:space="preserve"> </w:t>
      </w:r>
      <w:r w:rsidRPr="005250F1">
        <w:t>secrets</w:t>
      </w:r>
      <w:r>
        <w:t xml:space="preserve"> </w:t>
      </w:r>
      <w:r w:rsidRPr="005250F1">
        <w:t>are</w:t>
      </w:r>
      <w:r>
        <w:t xml:space="preserve"> not registered and applies where there are reasonable grounds for believing that the information has been and can continue to be kept secret.</w:t>
      </w:r>
    </w:p>
    <w:p w:rsidR="0062274E" w:rsidRDefault="0062274E" w:rsidP="0062274E">
      <w:pPr>
        <w:pStyle w:val="ListBullet"/>
      </w:pPr>
      <w:r w:rsidRPr="005250F1">
        <w:t xml:space="preserve">The </w:t>
      </w:r>
      <w:r w:rsidRPr="000E5AD0">
        <w:rPr>
          <w:b/>
        </w:rPr>
        <w:t>trademark</w:t>
      </w:r>
      <w:r w:rsidR="00592F5C">
        <w:rPr>
          <w:b/>
        </w:rPr>
        <w:t xml:space="preserve"> </w:t>
      </w:r>
      <w:r w:rsidRPr="005250F1">
        <w:t xml:space="preserve">is used to protect the brand name of the formulated product, and there is a current vogue for branding the active ingredient. </w:t>
      </w:r>
      <w:r w:rsidR="00A74DE0">
        <w:t>Trademark</w:t>
      </w:r>
      <w:r w:rsidRPr="005250F1">
        <w:t xml:space="preserve"> fees </w:t>
      </w:r>
      <w:r w:rsidR="00523E26">
        <w:t>are paid every five or ten years depending on the jurisdiction</w:t>
      </w:r>
      <w:r w:rsidR="00A74DE0">
        <w:t xml:space="preserve"> (</w:t>
      </w:r>
      <w:r w:rsidR="00523E26">
        <w:t>Australia</w:t>
      </w:r>
      <w:r w:rsidR="00A74DE0">
        <w:t>n</w:t>
      </w:r>
      <w:r w:rsidR="00523E26">
        <w:t xml:space="preserve"> fees are paid every ten years</w:t>
      </w:r>
      <w:r w:rsidR="00A74DE0">
        <w:t>)</w:t>
      </w:r>
      <w:r>
        <w:t xml:space="preserve">. Protection can be perpetual provided </w:t>
      </w:r>
      <w:r w:rsidR="00A74DE0">
        <w:t xml:space="preserve">fees are paid and </w:t>
      </w:r>
      <w:r>
        <w:t xml:space="preserve">the mark is in active use. Related to trademarks is the protection of invented names for agvet and pharmaceutical products. A proposed name of a new pharmaceutical that could confuse consumers with an existing product will not be approved. </w:t>
      </w:r>
    </w:p>
    <w:p w:rsidR="0062274E" w:rsidRDefault="0062274E" w:rsidP="0062274E">
      <w:pPr>
        <w:pStyle w:val="ListBullet"/>
      </w:pPr>
      <w:r w:rsidRPr="005250F1">
        <w:rPr>
          <w:b/>
        </w:rPr>
        <w:t>Copyright</w:t>
      </w:r>
      <w:r w:rsidRPr="005250F1">
        <w:t xml:space="preserve"> protects the chemical plant protection product label and, like</w:t>
      </w:r>
      <w:r w:rsidR="00592F5C">
        <w:t xml:space="preserve"> a</w:t>
      </w:r>
      <w:r w:rsidRPr="005250F1">
        <w:t xml:space="preserve"> trade secret, is </w:t>
      </w:r>
      <w:r>
        <w:t>not registered</w:t>
      </w:r>
      <w:r w:rsidR="00A74DE0">
        <w:t xml:space="preserve">. However </w:t>
      </w:r>
      <w:r w:rsidRPr="005250F1">
        <w:t>there is an enhanced system in the</w:t>
      </w:r>
      <w:r>
        <w:t xml:space="preserve"> U</w:t>
      </w:r>
      <w:r w:rsidR="00337D7E">
        <w:t>S</w:t>
      </w:r>
      <w:r w:rsidR="006A48B5">
        <w:t>A</w:t>
      </w:r>
      <w:r>
        <w:t xml:space="preserve"> </w:t>
      </w:r>
      <w:r w:rsidRPr="005250F1">
        <w:t>that</w:t>
      </w:r>
      <w:r>
        <w:t xml:space="preserve"> </w:t>
      </w:r>
      <w:r w:rsidRPr="005250F1">
        <w:t>involves</w:t>
      </w:r>
      <w:r>
        <w:t xml:space="preserve"> </w:t>
      </w:r>
      <w:r w:rsidRPr="005250F1">
        <w:t>an</w:t>
      </w:r>
      <w:r>
        <w:t xml:space="preserve"> </w:t>
      </w:r>
      <w:r w:rsidRPr="005250F1">
        <w:t>initial</w:t>
      </w:r>
      <w:r>
        <w:t xml:space="preserve"> </w:t>
      </w:r>
      <w:r w:rsidR="00523E26">
        <w:t>one-off</w:t>
      </w:r>
      <w:r>
        <w:rPr>
          <w:rFonts w:ascii="Arial" w:hAnsi="Arial" w:cs="Arial"/>
        </w:rPr>
        <w:t xml:space="preserve"> </w:t>
      </w:r>
      <w:r w:rsidRPr="005250F1">
        <w:t>payment.</w:t>
      </w:r>
    </w:p>
    <w:p w:rsidR="0075302F" w:rsidRDefault="0062274E" w:rsidP="00A74DE0">
      <w:pPr>
        <w:pStyle w:val="BodyText"/>
      </w:pPr>
      <w:r w:rsidRPr="00FD633A">
        <w:t xml:space="preserve">Finally, there is </w:t>
      </w:r>
      <w:r w:rsidRPr="00FD633A">
        <w:rPr>
          <w:b/>
        </w:rPr>
        <w:t>regulatory data protection</w:t>
      </w:r>
      <w:r w:rsidR="00D03675">
        <w:rPr>
          <w:b/>
        </w:rPr>
        <w:t xml:space="preserve">. </w:t>
      </w:r>
      <w:r w:rsidR="00D03675" w:rsidRPr="00D03675">
        <w:t>R</w:t>
      </w:r>
      <w:r w:rsidR="00D03675">
        <w:t xml:space="preserve">egulatory authorities </w:t>
      </w:r>
      <w:r w:rsidRPr="00FD633A">
        <w:t xml:space="preserve">protect the </w:t>
      </w:r>
      <w:r w:rsidR="00D03675">
        <w:t xml:space="preserve">data related to </w:t>
      </w:r>
      <w:r w:rsidRPr="00FD633A">
        <w:t xml:space="preserve">studies and tests that are undertaken to demonstrate safety and </w:t>
      </w:r>
      <w:r>
        <w:t>efficacy</w:t>
      </w:r>
      <w:r w:rsidRPr="00FD633A">
        <w:t xml:space="preserve"> of the </w:t>
      </w:r>
      <w:r>
        <w:t>agvet chemicals</w:t>
      </w:r>
      <w:r w:rsidRPr="00FD633A">
        <w:t>.</w:t>
      </w:r>
      <w:r w:rsidR="00A74DE0">
        <w:t xml:space="preserve"> ‘</w:t>
      </w:r>
      <w:r w:rsidR="008E539C" w:rsidRPr="008E539C">
        <w:rPr>
          <w:b/>
        </w:rPr>
        <w:t xml:space="preserve">Data </w:t>
      </w:r>
      <w:r w:rsidR="0075302F" w:rsidRPr="008E539C">
        <w:rPr>
          <w:b/>
        </w:rPr>
        <w:t>protection</w:t>
      </w:r>
      <w:r w:rsidR="008E539C">
        <w:rPr>
          <w:b/>
        </w:rPr>
        <w:t>’</w:t>
      </w:r>
      <w:r w:rsidR="0075302F">
        <w:t xml:space="preserve"> is a general term used in the literature. It is known as ‘</w:t>
      </w:r>
      <w:r w:rsidR="0075302F" w:rsidRPr="0075302F">
        <w:rPr>
          <w:b/>
        </w:rPr>
        <w:t>limitation on use</w:t>
      </w:r>
      <w:r w:rsidR="0075302F">
        <w:rPr>
          <w:b/>
        </w:rPr>
        <w:t>’</w:t>
      </w:r>
      <w:r w:rsidR="0075302F">
        <w:t xml:space="preserve"> in Australia</w:t>
      </w:r>
      <w:r w:rsidR="008E539C">
        <w:t>,</w:t>
      </w:r>
      <w:r w:rsidR="0075302F" w:rsidRPr="00FD633A">
        <w:t xml:space="preserve"> or </w:t>
      </w:r>
      <w:r w:rsidR="00DB3D61">
        <w:t>‘</w:t>
      </w:r>
      <w:r w:rsidR="00CD40A2" w:rsidRPr="00CD40A2">
        <w:rPr>
          <w:b/>
        </w:rPr>
        <w:t>data</w:t>
      </w:r>
      <w:r w:rsidR="00CD40A2">
        <w:t xml:space="preserve"> </w:t>
      </w:r>
      <w:r w:rsidR="0075302F" w:rsidRPr="0075302F">
        <w:rPr>
          <w:b/>
        </w:rPr>
        <w:t>exclusive use</w:t>
      </w:r>
      <w:r w:rsidR="008E539C">
        <w:rPr>
          <w:b/>
        </w:rPr>
        <w:t>’</w:t>
      </w:r>
      <w:r w:rsidR="00CD40A2">
        <w:rPr>
          <w:b/>
        </w:rPr>
        <w:t xml:space="preserve"> </w:t>
      </w:r>
      <w:r w:rsidR="00CD40A2" w:rsidRPr="008E539C">
        <w:t>or</w:t>
      </w:r>
      <w:r w:rsidR="00CD40A2">
        <w:rPr>
          <w:b/>
        </w:rPr>
        <w:t xml:space="preserve"> </w:t>
      </w:r>
      <w:r w:rsidR="008E539C">
        <w:rPr>
          <w:b/>
        </w:rPr>
        <w:t>‘</w:t>
      </w:r>
      <w:r w:rsidR="00CD40A2">
        <w:rPr>
          <w:b/>
        </w:rPr>
        <w:t>data exclusivity</w:t>
      </w:r>
      <w:r w:rsidR="00DB3D61">
        <w:rPr>
          <w:b/>
        </w:rPr>
        <w:t>’</w:t>
      </w:r>
      <w:r w:rsidR="0075302F" w:rsidRPr="00FD633A">
        <w:t xml:space="preserve"> in the </w:t>
      </w:r>
      <w:r w:rsidR="0075302F">
        <w:t>US</w:t>
      </w:r>
      <w:r w:rsidR="00DB3D61">
        <w:t>A</w:t>
      </w:r>
      <w:r w:rsidR="00D03675">
        <w:t>.</w:t>
      </w:r>
    </w:p>
    <w:p w:rsidR="008416F0" w:rsidRDefault="0056761B" w:rsidP="0056761B">
      <w:pPr>
        <w:pStyle w:val="BodyText"/>
      </w:pPr>
      <w:r w:rsidRPr="00B11614">
        <w:t xml:space="preserve">Patents are a core feature of the market for agvet products. Patent laws in Australia, the EU including the UK and Germany, the </w:t>
      </w:r>
      <w:r w:rsidR="002516F8">
        <w:t>USA</w:t>
      </w:r>
      <w:r w:rsidRPr="00B11614">
        <w:t xml:space="preserve">, Canada and New Zealand all provide standard patent terms of </w:t>
      </w:r>
      <w:r w:rsidR="00BB0C28">
        <w:t>twenty</w:t>
      </w:r>
      <w:r w:rsidRPr="00B11614">
        <w:t xml:space="preserve"> years. </w:t>
      </w:r>
    </w:p>
    <w:p w:rsidR="00605859" w:rsidRDefault="00CD40A2" w:rsidP="0056761B">
      <w:pPr>
        <w:pStyle w:val="BodyText"/>
      </w:pPr>
      <w:r w:rsidRPr="00FC3E44">
        <w:t xml:space="preserve">Patents and regulatory data protection </w:t>
      </w:r>
      <w:r w:rsidR="00FC3E44">
        <w:t>provide similar benefits for the manufacturers of original products,</w:t>
      </w:r>
      <w:r w:rsidRPr="00FC3E44">
        <w:t xml:space="preserve"> bu</w:t>
      </w:r>
      <w:r w:rsidR="00EE4630" w:rsidRPr="00FC3E44">
        <w:t>t are distinct from one another.</w:t>
      </w:r>
      <w:r w:rsidR="00FC3E44" w:rsidRPr="00FC3E44">
        <w:t xml:space="preserve"> </w:t>
      </w:r>
      <w:r w:rsidR="00605859" w:rsidRPr="00FC3E44">
        <w:t xml:space="preserve">Periods of regulatory data protection and patent terms may or may not run concurrently. Patents can be issued or expire at any time regardless of the approval status of the chemicals. Regulatory data protection </w:t>
      </w:r>
      <w:r w:rsidR="00FC3E44" w:rsidRPr="00FC3E44">
        <w:t xml:space="preserve">periods generally commence when </w:t>
      </w:r>
      <w:r w:rsidR="00605859" w:rsidRPr="00FC3E44">
        <w:t xml:space="preserve">a chemical product </w:t>
      </w:r>
      <w:r w:rsidR="00FC3E44" w:rsidRPr="00FC3E44">
        <w:t>is approved for use.</w:t>
      </w:r>
      <w:r w:rsidR="00605859" w:rsidRPr="00FC3E44">
        <w:t xml:space="preserve"> Some chemicals have both patent and regulatory data protection </w:t>
      </w:r>
      <w:r w:rsidR="00FC3E44" w:rsidRPr="00FC3E44">
        <w:t xml:space="preserve">simultaneously </w:t>
      </w:r>
      <w:r w:rsidR="00605859" w:rsidRPr="00FC3E44">
        <w:t xml:space="preserve">while others have just one or </w:t>
      </w:r>
      <w:r w:rsidR="00FC3E44" w:rsidRPr="00FC3E44">
        <w:t>the other</w:t>
      </w:r>
      <w:r w:rsidR="00605859" w:rsidRPr="00FC3E44">
        <w:t>.</w:t>
      </w:r>
    </w:p>
    <w:p w:rsidR="00A66986" w:rsidRDefault="00A66986" w:rsidP="00A66986">
      <w:pPr>
        <w:pStyle w:val="BodyText"/>
      </w:pPr>
      <w:bookmarkStart w:id="76" w:name="_Toc485059524"/>
      <w:bookmarkStart w:id="77" w:name="_Toc485482856"/>
      <w:r>
        <w:t xml:space="preserve">A key aim of regulatory data protection is </w:t>
      </w:r>
      <w:r w:rsidR="004C68DF">
        <w:t>to protect the property rights</w:t>
      </w:r>
      <w:r w:rsidR="00A74DE0">
        <w:rPr>
          <w:rStyle w:val="FootnoteReference"/>
        </w:rPr>
        <w:footnoteReference w:id="32"/>
      </w:r>
      <w:r w:rsidR="004C68DF">
        <w:t xml:space="preserve"> of the owner of the new agvet chemicals.</w:t>
      </w:r>
    </w:p>
    <w:p w:rsidR="00784A1E" w:rsidRDefault="00784A1E" w:rsidP="00A66986">
      <w:pPr>
        <w:pStyle w:val="BodyText"/>
      </w:pPr>
      <w:r>
        <w:t xml:space="preserve">The extent to which agvet chemical companies rely </w:t>
      </w:r>
      <w:r w:rsidR="00BD32CB">
        <w:t xml:space="preserve">on </w:t>
      </w:r>
      <w:r>
        <w:t>patents as opposed to data protection is not known. Consultations for this project suggest that the lat</w:t>
      </w:r>
      <w:r w:rsidR="00A74DE0">
        <w:t>t</w:t>
      </w:r>
      <w:r>
        <w:t xml:space="preserve">er </w:t>
      </w:r>
      <w:r w:rsidR="006310D1">
        <w:t>is</w:t>
      </w:r>
      <w:r>
        <w:t xml:space="preserve"> of some considerable importance. Given a patent life of twenty years, it is </w:t>
      </w:r>
      <w:r w:rsidR="00BB0C28">
        <w:t>likely</w:t>
      </w:r>
      <w:r>
        <w:t xml:space="preserve"> that </w:t>
      </w:r>
      <w:r w:rsidR="00BB0C28">
        <w:t xml:space="preserve">applicants to the APVMA still have some years before their patent(s) expire. </w:t>
      </w:r>
    </w:p>
    <w:p w:rsidR="0062274E" w:rsidRDefault="0062274E" w:rsidP="0062274E">
      <w:pPr>
        <w:pStyle w:val="Heading2"/>
      </w:pPr>
      <w:bookmarkStart w:id="78" w:name="_Toc497300826"/>
      <w:r>
        <w:t>Patent protection in selected countries</w:t>
      </w:r>
      <w:bookmarkEnd w:id="76"/>
      <w:bookmarkEnd w:id="77"/>
      <w:bookmarkEnd w:id="78"/>
    </w:p>
    <w:p w:rsidR="0062274E" w:rsidRDefault="0062274E" w:rsidP="0062274E">
      <w:pPr>
        <w:pStyle w:val="Heading3"/>
      </w:pPr>
      <w:r>
        <w:t>Australia</w:t>
      </w:r>
    </w:p>
    <w:p w:rsidR="00DF2F90" w:rsidRDefault="0062274E" w:rsidP="0062274E">
      <w:pPr>
        <w:pStyle w:val="BodyText"/>
      </w:pPr>
      <w:r>
        <w:t xml:space="preserve">The </w:t>
      </w:r>
      <w:r w:rsidRPr="0056761B">
        <w:rPr>
          <w:i/>
        </w:rPr>
        <w:t>Patents Act 1990</w:t>
      </w:r>
      <w:r>
        <w:t xml:space="preserve"> provides for patents with a standard term of twenty years. Under amendments passed in 1998, the term of a patent can be extended for </w:t>
      </w:r>
      <w:r w:rsidR="00DF2F90">
        <w:t xml:space="preserve">human </w:t>
      </w:r>
      <w:r>
        <w:t>pharmaceuticals</w:t>
      </w:r>
      <w:r w:rsidR="00DF2F90">
        <w:t xml:space="preserve">. However such extensions are not available for agvet chemicals. </w:t>
      </w:r>
    </w:p>
    <w:p w:rsidR="00DF2F90" w:rsidRDefault="00DF2F90" w:rsidP="00DF2F90">
      <w:pPr>
        <w:pStyle w:val="Heading5"/>
      </w:pPr>
      <w:r>
        <w:t>Pharmaceutical patent extensions</w:t>
      </w:r>
    </w:p>
    <w:p w:rsidR="0062274E" w:rsidRPr="00DF2F90" w:rsidRDefault="0062274E" w:rsidP="0062274E">
      <w:pPr>
        <w:pStyle w:val="BodyText"/>
      </w:pPr>
      <w:r w:rsidRPr="00DF2F90">
        <w:t xml:space="preserve">The holder of a patent </w:t>
      </w:r>
      <w:r w:rsidR="00DF2F90" w:rsidRPr="00DF2F90">
        <w:t xml:space="preserve">for a human pharmaceutical </w:t>
      </w:r>
      <w:r w:rsidRPr="00DF2F90">
        <w:t xml:space="preserve">may apply for extension of </w:t>
      </w:r>
      <w:r w:rsidR="00DF2F90" w:rsidRPr="00DF2F90">
        <w:t xml:space="preserve">patent </w:t>
      </w:r>
      <w:r w:rsidRPr="00DF2F90">
        <w:t>term if the following conditions are satisfied:</w:t>
      </w:r>
    </w:p>
    <w:p w:rsidR="0062274E" w:rsidRPr="00DF2F90" w:rsidRDefault="0062274E" w:rsidP="0062274E">
      <w:pPr>
        <w:pStyle w:val="ListBullet"/>
      </w:pPr>
      <w:r w:rsidRPr="00DF2F90">
        <w:t xml:space="preserve">One or more pharmaceutical substances </w:t>
      </w:r>
      <w:r w:rsidR="0088731D">
        <w:t xml:space="preserve">per se </w:t>
      </w:r>
      <w:r w:rsidRPr="00DF2F90">
        <w:t xml:space="preserve">must be disclosed in the specification of the patent and </w:t>
      </w:r>
      <w:r w:rsidR="0088731D">
        <w:t>in substance</w:t>
      </w:r>
      <w:r w:rsidRPr="00DF2F90">
        <w:t xml:space="preserve"> fall within the scope of </w:t>
      </w:r>
      <w:r w:rsidR="0088731D">
        <w:t>the claim or claims</w:t>
      </w:r>
      <w:r w:rsidRPr="00DF2F90">
        <w:t xml:space="preserve"> of that specification</w:t>
      </w:r>
    </w:p>
    <w:p w:rsidR="0062274E" w:rsidRPr="00DF2F90" w:rsidRDefault="0062274E" w:rsidP="0062274E">
      <w:pPr>
        <w:pStyle w:val="ListBullet"/>
      </w:pPr>
      <w:r w:rsidRPr="00DF2F90">
        <w:t>The goods containing, or consisting of, the substance must be included in the Australia</w:t>
      </w:r>
      <w:r w:rsidR="0088731D">
        <w:t>n</w:t>
      </w:r>
      <w:r w:rsidRPr="00DF2F90">
        <w:t xml:space="preserve"> Register</w:t>
      </w:r>
      <w:r w:rsidR="00F904B3">
        <w:t xml:space="preserve"> of </w:t>
      </w:r>
      <w:r w:rsidR="00F904B3" w:rsidRPr="00DF2F90">
        <w:t>Therapeutic Goods</w:t>
      </w:r>
      <w:r w:rsidRPr="00DF2F90">
        <w:t xml:space="preserve"> (ARTG), and</w:t>
      </w:r>
    </w:p>
    <w:p w:rsidR="0062274E" w:rsidRPr="00DF2F90" w:rsidRDefault="0062274E" w:rsidP="0062274E">
      <w:pPr>
        <w:pStyle w:val="ListBullet"/>
      </w:pPr>
      <w:r w:rsidRPr="00DF2F90">
        <w:t>The</w:t>
      </w:r>
      <w:r w:rsidR="00DF2F90" w:rsidRPr="00DF2F90">
        <w:t xml:space="preserve">re has to be a period of at least five years between the </w:t>
      </w:r>
      <w:r w:rsidRPr="00DF2F90">
        <w:t>date of the patent and the first regulatory approval date for the substance.</w:t>
      </w:r>
    </w:p>
    <w:p w:rsidR="0062274E" w:rsidRPr="00DF2F90" w:rsidRDefault="0062274E" w:rsidP="0062274E">
      <w:pPr>
        <w:pStyle w:val="BodyText"/>
      </w:pPr>
      <w:r w:rsidRPr="00DF2F90">
        <w:t>An application for an extension of term must be made within six months of either the date the patent was granted or the date of commencement of the first inclusion of a product containing the patented substance in the ARTG, which</w:t>
      </w:r>
      <w:r w:rsidR="00A74DE0">
        <w:t>ever</w:t>
      </w:r>
      <w:r w:rsidRPr="00DF2F90">
        <w:t xml:space="preserve"> is the later. The length of the extension is calculated by subtracting five years from the period between the commencement of the patent and the date of the first regulatory approval of the substance. The maximum extension is five years.</w:t>
      </w:r>
    </w:p>
    <w:p w:rsidR="0062274E" w:rsidRDefault="0062274E" w:rsidP="0062274E">
      <w:pPr>
        <w:pStyle w:val="BodyText"/>
      </w:pPr>
      <w:r w:rsidRPr="00DF2F90">
        <w:t xml:space="preserve">Where an extension of term is granted, the legislation provides that the exclusive rights of the patentee during the term of the extension are not considered to have been infringed if another person exploits the pharmaceutical substance for a purpose other than </w:t>
      </w:r>
      <w:r w:rsidR="00A74DE0">
        <w:t xml:space="preserve">a </w:t>
      </w:r>
      <w:r w:rsidRPr="00DF2F90">
        <w:t>therapeutic use.</w:t>
      </w:r>
    </w:p>
    <w:p w:rsidR="0062274E" w:rsidRPr="00DE0114" w:rsidRDefault="0062274E" w:rsidP="00580CF7">
      <w:pPr>
        <w:pStyle w:val="BodyText"/>
        <w:rPr>
          <w:i/>
          <w:iCs/>
        </w:rPr>
      </w:pPr>
      <w:r w:rsidRPr="00DE0114">
        <w:t>The 2004 Australia-</w:t>
      </w:r>
      <w:r w:rsidR="005B7490" w:rsidRPr="00DE0114">
        <w:t>US</w:t>
      </w:r>
      <w:r w:rsidRPr="00DE0114">
        <w:t xml:space="preserve"> Free Trade Agreement (AUSFTA) includes a provision requiring that “with respect to a pharmaceutical product that is subject to a patent, each Party shall make available an adjustment of the patent term to compensate the patent owner for unreasonable curtailment of the effective patent term as a result of the marketing approval process.” </w:t>
      </w:r>
      <w:r w:rsidR="00657FD0">
        <w:t>T</w:t>
      </w:r>
      <w:r w:rsidRPr="00DE0114">
        <w:t xml:space="preserve">his does not apply to agvet </w:t>
      </w:r>
      <w:r w:rsidR="000D1F10">
        <w:t xml:space="preserve">chemical </w:t>
      </w:r>
      <w:r w:rsidRPr="00DE0114">
        <w:t xml:space="preserve">products. </w:t>
      </w:r>
    </w:p>
    <w:p w:rsidR="0062274E" w:rsidRDefault="0062274E" w:rsidP="0062274E">
      <w:pPr>
        <w:pStyle w:val="BodyText"/>
      </w:pPr>
      <w:r>
        <w:t>A review of the Australian pharmaceutical patents system</w:t>
      </w:r>
      <w:r>
        <w:rPr>
          <w:rStyle w:val="FootnoteReference"/>
        </w:rPr>
        <w:footnoteReference w:id="33"/>
      </w:r>
      <w:r>
        <w:t xml:space="preserve"> examined </w:t>
      </w:r>
      <w:r w:rsidR="00DF2F90">
        <w:t>Australia’s</w:t>
      </w:r>
      <w:r>
        <w:t xml:space="preserve"> pharmaceutical patent extension provisions and recommended alternative approaches to meeting the stated policy objectives. This recommendation has not been accepted by the Government.</w:t>
      </w:r>
    </w:p>
    <w:p w:rsidR="0062274E" w:rsidRDefault="0062274E" w:rsidP="0062274E">
      <w:pPr>
        <w:pStyle w:val="BodyText"/>
      </w:pPr>
      <w:r w:rsidRPr="00316D88">
        <w:t xml:space="preserve">The </w:t>
      </w:r>
      <w:r w:rsidR="005835E9">
        <w:t>Productivity Commission</w:t>
      </w:r>
      <w:r w:rsidRPr="00316D88">
        <w:t xml:space="preserve"> reported on Intellectual Property Arrangements in 2016</w:t>
      </w:r>
      <w:r w:rsidR="000D1F10">
        <w:t>.</w:t>
      </w:r>
      <w:r w:rsidRPr="00316D88">
        <w:rPr>
          <w:rStyle w:val="FootnoteReference"/>
        </w:rPr>
        <w:footnoteReference w:id="34"/>
      </w:r>
      <w:r w:rsidRPr="00316D88">
        <w:t xml:space="preserve"> </w:t>
      </w:r>
      <w:r>
        <w:t>T</w:t>
      </w:r>
      <w:r w:rsidRPr="002046D9">
        <w:t xml:space="preserve">he </w:t>
      </w:r>
      <w:r w:rsidR="005835E9">
        <w:t>Commission</w:t>
      </w:r>
      <w:r w:rsidRPr="002046D9">
        <w:t xml:space="preserve"> </w:t>
      </w:r>
      <w:r>
        <w:t xml:space="preserve">noted that extensions of term for human pharmaceuticals are capped at an effective market life of 15 years. These arrangements were intended to attract pharmaceutical research and development investment to Australia and to improve incentives for innovation by providing an effective market life for pharmaceuticals more in line with other technologies. The </w:t>
      </w:r>
      <w:r w:rsidR="005835E9">
        <w:t>Productivity Commission</w:t>
      </w:r>
      <w:r>
        <w:t xml:space="preserve"> found that these arrangements have had little effect on innovation in Australia and describes the hoped-for benefits as “largely illusory”. It found that “poor targeting means that more than half of new chemical entities approved for sale in Australia enjoy an extension in patent term, and consumers and governments face higher prices for medicines”.</w:t>
      </w:r>
      <w:r w:rsidR="00784A1E">
        <w:t xml:space="preserve"> The implication would appear to be that better targeting might have produced more useful results.</w:t>
      </w:r>
    </w:p>
    <w:p w:rsidR="0062274E" w:rsidRDefault="0062274E" w:rsidP="0062274E">
      <w:pPr>
        <w:pStyle w:val="BodyText"/>
      </w:pPr>
      <w:r>
        <w:rPr>
          <w:sz w:val="23"/>
          <w:szCs w:val="23"/>
        </w:rPr>
        <w:t xml:space="preserve">In the </w:t>
      </w:r>
      <w:r w:rsidR="005835E9">
        <w:t>Productivity Commission</w:t>
      </w:r>
      <w:r>
        <w:rPr>
          <w:sz w:val="23"/>
          <w:szCs w:val="23"/>
        </w:rPr>
        <w:t xml:space="preserve">’s view, rather than compensating firms for being slow to introduce drugs to the Australian market, extensions should only be allowed where the actions of the regulator result in an </w:t>
      </w:r>
      <w:r>
        <w:rPr>
          <w:i/>
          <w:iCs/>
          <w:sz w:val="23"/>
          <w:szCs w:val="23"/>
        </w:rPr>
        <w:t xml:space="preserve">unreasonable </w:t>
      </w:r>
      <w:r>
        <w:rPr>
          <w:sz w:val="23"/>
          <w:szCs w:val="23"/>
        </w:rPr>
        <w:t xml:space="preserve">delay. It suggested that </w:t>
      </w:r>
      <w:r w:rsidR="00B41CFE">
        <w:rPr>
          <w:sz w:val="23"/>
          <w:szCs w:val="23"/>
        </w:rPr>
        <w:t>the one year timeframe</w:t>
      </w:r>
      <w:r>
        <w:rPr>
          <w:sz w:val="23"/>
          <w:szCs w:val="23"/>
        </w:rPr>
        <w:t xml:space="preserve"> set by Government for the Therapeutic Goods Administration </w:t>
      </w:r>
      <w:r w:rsidR="00B41CFE">
        <w:rPr>
          <w:sz w:val="23"/>
          <w:szCs w:val="23"/>
        </w:rPr>
        <w:t xml:space="preserve">would be a </w:t>
      </w:r>
      <w:r>
        <w:rPr>
          <w:sz w:val="23"/>
          <w:szCs w:val="23"/>
        </w:rPr>
        <w:t>reasonable processing period</w:t>
      </w:r>
      <w:r w:rsidR="00B41CFE">
        <w:rPr>
          <w:sz w:val="23"/>
          <w:szCs w:val="23"/>
        </w:rPr>
        <w:t xml:space="preserve">, with </w:t>
      </w:r>
      <w:r>
        <w:rPr>
          <w:sz w:val="23"/>
          <w:szCs w:val="23"/>
        </w:rPr>
        <w:t xml:space="preserve">extensions </w:t>
      </w:r>
      <w:r w:rsidR="00B41CFE">
        <w:rPr>
          <w:sz w:val="23"/>
          <w:szCs w:val="23"/>
        </w:rPr>
        <w:t>g</w:t>
      </w:r>
      <w:r>
        <w:rPr>
          <w:sz w:val="23"/>
          <w:szCs w:val="23"/>
        </w:rPr>
        <w:t xml:space="preserve">ranted </w:t>
      </w:r>
      <w:r w:rsidR="00A74DE0">
        <w:rPr>
          <w:sz w:val="23"/>
          <w:szCs w:val="23"/>
        </w:rPr>
        <w:t xml:space="preserve">only </w:t>
      </w:r>
      <w:r>
        <w:rPr>
          <w:sz w:val="23"/>
          <w:szCs w:val="23"/>
        </w:rPr>
        <w:t xml:space="preserve">where the time taken by the regulator exceeds this period. </w:t>
      </w:r>
      <w:r w:rsidR="00282F14">
        <w:rPr>
          <w:sz w:val="23"/>
          <w:szCs w:val="23"/>
        </w:rPr>
        <w:t xml:space="preserve">The Australian Government </w:t>
      </w:r>
      <w:r w:rsidR="0093176A">
        <w:rPr>
          <w:sz w:val="23"/>
          <w:szCs w:val="23"/>
        </w:rPr>
        <w:t>responded</w:t>
      </w:r>
      <w:r w:rsidR="00282F14">
        <w:rPr>
          <w:sz w:val="23"/>
          <w:szCs w:val="23"/>
        </w:rPr>
        <w:t xml:space="preserve"> to the Productivity Commission report in August 2017. The Government noted the Productivity Commission’s recommendation on reforming extensions of patent terms for pharmaceuticals and will discuss ways to improve arrangements with the sector. </w:t>
      </w:r>
      <w:r>
        <w:rPr>
          <w:sz w:val="23"/>
          <w:szCs w:val="23"/>
        </w:rPr>
        <w:t xml:space="preserve"> </w:t>
      </w:r>
    </w:p>
    <w:p w:rsidR="0062274E" w:rsidRDefault="0062274E" w:rsidP="0062274E">
      <w:pPr>
        <w:pStyle w:val="Heading3"/>
      </w:pPr>
      <w:r>
        <w:t>The European Union</w:t>
      </w:r>
    </w:p>
    <w:p w:rsidR="0062274E" w:rsidRDefault="0062274E" w:rsidP="0062274E">
      <w:pPr>
        <w:pStyle w:val="BodyText"/>
      </w:pPr>
      <w:r>
        <w:t>Standard patents in EU countries are granted for twenty years either by the relevant national agency or by the European Patent Office.</w:t>
      </w:r>
      <w:r>
        <w:rPr>
          <w:rStyle w:val="FootnoteReference"/>
        </w:rPr>
        <w:footnoteReference w:id="35"/>
      </w:r>
      <w:r>
        <w:t xml:space="preserve"> In these countries and three </w:t>
      </w:r>
      <w:r w:rsidR="00222B85">
        <w:t>European Economic Area (</w:t>
      </w:r>
      <w:r>
        <w:t>EEA</w:t>
      </w:r>
      <w:r w:rsidR="00222B85">
        <w:t>)</w:t>
      </w:r>
      <w:r>
        <w:t xml:space="preserve"> countries,</w:t>
      </w:r>
      <w:r>
        <w:rPr>
          <w:rStyle w:val="FootnoteReference"/>
        </w:rPr>
        <w:footnoteReference w:id="36"/>
      </w:r>
      <w:r>
        <w:t xml:space="preserve"> supplementary protection certificates (see </w:t>
      </w:r>
      <w:r>
        <w:fldChar w:fldCharType="begin"/>
      </w:r>
      <w:r>
        <w:instrText xml:space="preserve"> REF _Ref485481761 \h </w:instrText>
      </w:r>
      <w:r>
        <w:fldChar w:fldCharType="separate"/>
      </w:r>
      <w:r w:rsidR="0087688C" w:rsidRPr="00AF3F55">
        <w:rPr>
          <w:rStyle w:val="CaptionLabel"/>
        </w:rPr>
        <w:t>Box</w:t>
      </w:r>
      <w:r w:rsidR="0087688C">
        <w:rPr>
          <w:rStyle w:val="CaptionLabel"/>
        </w:rPr>
        <w:t> </w:t>
      </w:r>
      <w:r w:rsidR="0087688C">
        <w:rPr>
          <w:rStyle w:val="CaptionLabel"/>
          <w:noProof/>
        </w:rPr>
        <w:t>3</w:t>
      </w:r>
      <w:r w:rsidR="0087688C" w:rsidRPr="00AF3F55">
        <w:rPr>
          <w:rStyle w:val="CaptionLabel"/>
        </w:rPr>
        <w:t>.</w:t>
      </w:r>
      <w:r w:rsidR="0087688C">
        <w:rPr>
          <w:rStyle w:val="CaptionLabel"/>
          <w:noProof/>
        </w:rPr>
        <w:t>1</w:t>
      </w:r>
      <w:r>
        <w:fldChar w:fldCharType="end"/>
      </w:r>
      <w:r>
        <w:t>) are available that extend the protections of patents for medicinal and plant protection products to cover the period needed for regulatory approval of the product, typically for a maximum of five years.</w:t>
      </w:r>
      <w:r>
        <w:rPr>
          <w:rStyle w:val="FootnoteReference"/>
        </w:rPr>
        <w:footnoteReference w:id="37"/>
      </w:r>
    </w:p>
    <w:p w:rsidR="006310D1" w:rsidRDefault="006310D1" w:rsidP="006310D1">
      <w:pPr>
        <w:pStyle w:val="BodyText"/>
      </w:pPr>
      <w:r>
        <w:t>Infringement exemption arrangements</w:t>
      </w:r>
      <w:r>
        <w:rPr>
          <w:rStyle w:val="FootnoteReference"/>
        </w:rPr>
        <w:footnoteReference w:id="38"/>
      </w:r>
      <w:r>
        <w:t xml:space="preserve"> differ between European countries. Research exemptions do not have a common basis in European law.</w:t>
      </w:r>
      <w:r>
        <w:rPr>
          <w:rStyle w:val="FootnoteReference"/>
        </w:rPr>
        <w:footnoteReference w:id="39"/>
      </w:r>
      <w:r>
        <w:t xml:space="preserve"> As a result there are no uniform rules regarding this exemption in the EU.</w:t>
      </w:r>
    </w:p>
    <w:p w:rsidR="006310D1" w:rsidRDefault="006310D1" w:rsidP="006310D1">
      <w:pPr>
        <w:pStyle w:val="BodyText"/>
      </w:pPr>
      <w:r>
        <w:t>Article 10(6) of EU Directive 2001/83/EC authorises the Bolar exemption for conducting “necessary studies and trials”. There are significant differences in how different EU member countries have implemented this Directive.</w:t>
      </w:r>
    </w:p>
    <w:p w:rsidR="006310D1" w:rsidRDefault="006310D1" w:rsidP="006310D1">
      <w:pPr>
        <w:pStyle w:val="Heading3"/>
      </w:pPr>
      <w:r>
        <w:t>The United Kingdom</w:t>
      </w:r>
    </w:p>
    <w:p w:rsidR="006310D1" w:rsidRDefault="006310D1" w:rsidP="0062274E">
      <w:pPr>
        <w:pStyle w:val="BodyText"/>
      </w:pPr>
      <w:r>
        <w:t>Patent protection for agvet products in the UK closely follow the provisions of the European Union, with a standard patent term of twenty years. The UK has implemented the European Union provisions for extending the protection of patents for these products through SPCs.</w:t>
      </w:r>
      <w:r>
        <w:rPr>
          <w:rStyle w:val="FootnoteReference"/>
        </w:rPr>
        <w:footnoteReference w:id="40"/>
      </w:r>
      <w:r>
        <w:t xml:space="preserve"> </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62274E" w:rsidRPr="00AF3F55" w:rsidRDefault="0062274E" w:rsidP="002109B9">
            <w:pPr>
              <w:pStyle w:val="Caption"/>
            </w:pPr>
            <w:bookmarkStart w:id="79" w:name="_Ref485481761"/>
            <w:bookmarkStart w:id="80" w:name="_Toc485059571"/>
            <w:bookmarkStart w:id="81" w:name="_Ref485481740"/>
            <w:bookmarkStart w:id="82" w:name="_Toc485482931"/>
            <w:bookmarkStart w:id="83" w:name="_Toc497132831"/>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3</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1</w:t>
            </w:r>
            <w:r w:rsidRPr="00AF3F55">
              <w:rPr>
                <w:rStyle w:val="CaptionLabel"/>
              </w:rPr>
              <w:fldChar w:fldCharType="end"/>
            </w:r>
            <w:bookmarkEnd w:id="79"/>
            <w:r>
              <w:tab/>
              <w:t>E</w:t>
            </w:r>
            <w:r w:rsidR="004A2975">
              <w:t xml:space="preserve">uropean </w:t>
            </w:r>
            <w:r>
              <w:t>U</w:t>
            </w:r>
            <w:r w:rsidR="004A2975">
              <w:t>nion</w:t>
            </w:r>
            <w:r>
              <w:t xml:space="preserve"> Supplementary Protection Certificate</w:t>
            </w:r>
            <w:bookmarkEnd w:id="80"/>
            <w:bookmarkEnd w:id="81"/>
            <w:bookmarkEnd w:id="82"/>
            <w:bookmarkEnd w:id="83"/>
          </w:p>
        </w:tc>
      </w:tr>
      <w:tr w:rsidR="0062274E" w:rsidRPr="00B07121" w:rsidTr="00580CF7">
        <w:trPr>
          <w:cantSplit/>
          <w:trHeight w:hRule="exact" w:val="380"/>
        </w:trPr>
        <w:tc>
          <w:tcPr>
            <w:tcW w:w="8614" w:type="dxa"/>
            <w:shd w:val="clear" w:color="auto" w:fill="E4E0DD"/>
          </w:tcPr>
          <w:p w:rsidR="0062274E" w:rsidRPr="00B07121" w:rsidRDefault="00E94791" w:rsidP="002109B9">
            <w:pPr>
              <w:pStyle w:val="spacer"/>
            </w:pPr>
            <w:r>
              <w:rPr>
                <w:noProof/>
                <w:lang w:eastAsia="en-AU"/>
              </w:rPr>
              <mc:AlternateContent>
                <mc:Choice Requires="wps">
                  <w:drawing>
                    <wp:anchor distT="0" distB="0" distL="114300" distR="114300" simplePos="0" relativeHeight="252010496" behindDoc="0" locked="1" layoutInCell="1" allowOverlap="1" wp14:anchorId="1C5AB625" wp14:editId="5F0A7019">
                      <wp:simplePos x="0" y="0"/>
                      <wp:positionH relativeFrom="page">
                        <wp:posOffset>4855210</wp:posOffset>
                      </wp:positionH>
                      <wp:positionV relativeFrom="paragraph">
                        <wp:posOffset>-3810</wp:posOffset>
                      </wp:positionV>
                      <wp:extent cx="434975" cy="212090"/>
                      <wp:effectExtent l="0" t="0" r="3175" b="0"/>
                      <wp:wrapNone/>
                      <wp:docPr id="9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4975" cy="21209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F4EEB4" id="Freeform 5" o:spid="_x0000_s1026" style="position:absolute;margin-left:382.3pt;margin-top:-.3pt;width:34.25pt;height:16.7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" path="m822,r,828l,828,822,xm863,828r823,l1686,,863,828xe" fillcolor="#9d57a6" stroked="f">
                      <v:path arrowok="t" o:connecttype="custom" o:connectlocs="212070,0;212070,212090;0,212090;212070,0;222647,212090;434975,212090;434975,0;222647,212090" o:connectangles="0,0,0,0,0,0,0,0"/>
                      <o:lock v:ext="edit" aspectratio="t" verticies="t"/>
                      <w10:wrap anchorx="page"/>
                      <w10:anchorlock/>
                    </v:shape>
                  </w:pict>
                </mc:Fallback>
              </mc:AlternateContent>
            </w:r>
            <w:r w:rsidR="00546375">
              <w:rPr>
                <w:noProof/>
                <w:lang w:eastAsia="en-AU"/>
              </w:rPr>
              <mc:AlternateContent>
                <mc:Choice Requires="wps">
                  <w:drawing>
                    <wp:anchor distT="0" distB="0" distL="114300" distR="114300" simplePos="0" relativeHeight="251891712" behindDoc="0" locked="1" layoutInCell="1" allowOverlap="1" wp14:anchorId="396C0637" wp14:editId="003735F0">
                      <wp:simplePos x="0" y="0"/>
                      <wp:positionH relativeFrom="page">
                        <wp:posOffset>6223635</wp:posOffset>
                      </wp:positionH>
                      <wp:positionV relativeFrom="page">
                        <wp:posOffset>945515</wp:posOffset>
                      </wp:positionV>
                      <wp:extent cx="436880" cy="213360"/>
                      <wp:effectExtent l="0" t="0" r="1270" b="0"/>
                      <wp:wrapNone/>
                      <wp:docPr id="28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34182E" id="Freeform 5" o:spid="_x0000_s1026" style="position:absolute;margin-left:490.05pt;margin-top:74.45pt;width:34.4pt;height:16.8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62274E" w:rsidRDefault="0062274E" w:rsidP="002109B9">
            <w:pPr>
              <w:pStyle w:val="BoxText"/>
            </w:pPr>
            <w:r w:rsidRPr="001D1CF0">
              <w:t>Regulation No. 469/2009 Concerning the Supplementary Protection Certificate for Medicinal Products</w:t>
            </w:r>
            <w:r>
              <w:rPr>
                <w:rStyle w:val="FootnoteReference"/>
              </w:rPr>
              <w:footnoteReference w:id="41"/>
            </w:r>
            <w:r w:rsidRPr="001D1CF0">
              <w:t xml:space="preserve"> </w:t>
            </w:r>
            <w:r w:rsidR="00BB0C28">
              <w:t xml:space="preserve">(including products to treat animals) </w:t>
            </w:r>
            <w:r w:rsidRPr="001D1CF0">
              <w:t xml:space="preserve">applies to any product that has already been protected by a patent </w:t>
            </w:r>
            <w:r w:rsidR="00BB0C28">
              <w:t>in</w:t>
            </w:r>
            <w:r w:rsidRPr="001D1CF0">
              <w:t xml:space="preserve"> a Member State and is subject to an </w:t>
            </w:r>
            <w:r w:rsidR="0064164D">
              <w:t>authoris</w:t>
            </w:r>
            <w:r w:rsidRPr="001D1CF0">
              <w:t>ation procedure before it is placed on the market.</w:t>
            </w:r>
            <w:r>
              <w:rPr>
                <w:rStyle w:val="FootnoteReference"/>
              </w:rPr>
              <w:footnoteReference w:id="42"/>
            </w:r>
            <w:r>
              <w:t xml:space="preserve"> </w:t>
            </w:r>
          </w:p>
          <w:p w:rsidR="0062274E" w:rsidRDefault="0062274E" w:rsidP="002109B9">
            <w:pPr>
              <w:pStyle w:val="BoxText"/>
            </w:pPr>
            <w:r>
              <w:t>Regulation (EC) No. 1610/96</w:t>
            </w:r>
            <w:r>
              <w:rPr>
                <w:rStyle w:val="FootnoteReference"/>
              </w:rPr>
              <w:footnoteReference w:id="43"/>
            </w:r>
            <w:r>
              <w:t xml:space="preserve"> governs the creation of an SPC for plant protection products. Any product that is protected by a patent in a Member State and is subject, prior to being placed on the market as a plant protection product, to an administrative </w:t>
            </w:r>
            <w:r w:rsidR="0064164D">
              <w:t>authoris</w:t>
            </w:r>
            <w:r>
              <w:t>ation procedure under Directive 91/414/EEC,9 or an equivalent provision of national law, may be the subject of an SPC.</w:t>
            </w:r>
            <w:r w:rsidR="00461ED3">
              <w:t xml:space="preserve"> </w:t>
            </w:r>
            <w:r>
              <w:t>Plant protection products are defined as “active substances and preparations containing one or more active substances, put up in the form in which they are supplied to the user” and intended to:</w:t>
            </w:r>
          </w:p>
          <w:p w:rsidR="0062274E" w:rsidRDefault="0062274E" w:rsidP="002109B9">
            <w:pPr>
              <w:pStyle w:val="BoxListBullet"/>
            </w:pPr>
            <w:r>
              <w:t>protect plants or plant products against all harmful organisms or prevent the action of such organisms, in so far as such substances or preparations are not otherwise defined below;</w:t>
            </w:r>
          </w:p>
          <w:p w:rsidR="0062274E" w:rsidRDefault="0062274E" w:rsidP="002109B9">
            <w:pPr>
              <w:pStyle w:val="BoxListBullet"/>
            </w:pPr>
            <w:r>
              <w:t>influence the life processes of plants, other than as a nutrient (e.g. growth regulators)</w:t>
            </w:r>
          </w:p>
          <w:p w:rsidR="0062274E" w:rsidRDefault="0062274E" w:rsidP="002109B9">
            <w:pPr>
              <w:pStyle w:val="BoxListBullet"/>
            </w:pPr>
            <w:r>
              <w:t xml:space="preserve">preserve plant products, </w:t>
            </w:r>
            <w:r w:rsidR="0007299A">
              <w:t xml:space="preserve">and not be </w:t>
            </w:r>
            <w:r>
              <w:t xml:space="preserve">subject to special Council or Commission provisions </w:t>
            </w:r>
          </w:p>
          <w:p w:rsidR="0062274E" w:rsidRDefault="0062274E" w:rsidP="002109B9">
            <w:pPr>
              <w:pStyle w:val="BoxListBullet"/>
            </w:pPr>
            <w:r>
              <w:t>destroy undesirable plants, or</w:t>
            </w:r>
          </w:p>
          <w:p w:rsidR="0062274E" w:rsidRDefault="0062274E" w:rsidP="002109B9">
            <w:pPr>
              <w:pStyle w:val="BoxListBullet"/>
            </w:pPr>
            <w:r>
              <w:t>destroy parts of plants, check or prevent undesirable growth of plants.</w:t>
            </w:r>
          </w:p>
          <w:p w:rsidR="0062274E" w:rsidRDefault="0064164D" w:rsidP="002109B9">
            <w:pPr>
              <w:pStyle w:val="BoxText"/>
            </w:pPr>
            <w:r>
              <w:t>C</w:t>
            </w:r>
            <w:r w:rsidR="0062274E">
              <w:t>hemicals, micro-organisms and viruses</w:t>
            </w:r>
            <w:r>
              <w:t xml:space="preserve"> are included</w:t>
            </w:r>
            <w:r w:rsidR="0062274E">
              <w:t>.</w:t>
            </w:r>
          </w:p>
          <w:p w:rsidR="0062274E" w:rsidRDefault="0062274E" w:rsidP="002109B9">
            <w:pPr>
              <w:pStyle w:val="BoxText"/>
            </w:pPr>
            <w:r>
              <w:t xml:space="preserve">An application for an SPC for a medicinal or a plant protection product must be filed with the relevant national agency in the Member State </w:t>
            </w:r>
            <w:r w:rsidR="00BB0C28">
              <w:t>t</w:t>
            </w:r>
            <w:r>
              <w:t>hat granted the patent and where the authorisation was obtained. The conditions for applying for an SPC for a medicinal or plant protection product are the same. The applicant must:</w:t>
            </w:r>
          </w:p>
          <w:p w:rsidR="0062274E" w:rsidRDefault="0062274E" w:rsidP="002109B9">
            <w:pPr>
              <w:pStyle w:val="BoxListBullet"/>
            </w:pPr>
            <w:r>
              <w:t>Have a valid patent</w:t>
            </w:r>
          </w:p>
          <w:p w:rsidR="0062274E" w:rsidRDefault="0062274E" w:rsidP="002109B9">
            <w:pPr>
              <w:pStyle w:val="BoxListBullet"/>
            </w:pPr>
            <w:r>
              <w:t>Have valid authori</w:t>
            </w:r>
            <w:r w:rsidR="00461ED3">
              <w:t>s</w:t>
            </w:r>
            <w:r>
              <w:t>ation to place the product on the market</w:t>
            </w:r>
          </w:p>
          <w:p w:rsidR="0062274E" w:rsidRDefault="0062274E" w:rsidP="002109B9">
            <w:pPr>
              <w:pStyle w:val="BoxListBullet"/>
            </w:pPr>
            <w:r>
              <w:t>Show that the product has not already been the subject of a certificate</w:t>
            </w:r>
            <w:r w:rsidR="00B94822">
              <w:t>, and</w:t>
            </w:r>
          </w:p>
          <w:p w:rsidR="0062274E" w:rsidRDefault="0062274E" w:rsidP="002109B9">
            <w:pPr>
              <w:pStyle w:val="BoxListBullet"/>
            </w:pPr>
            <w:r>
              <w:t>Show that the marketing authori</w:t>
            </w:r>
            <w:r w:rsidR="00461ED3">
              <w:t>s</w:t>
            </w:r>
            <w:r>
              <w:t>ation is the first authori</w:t>
            </w:r>
            <w:r w:rsidR="00461ED3">
              <w:t>s</w:t>
            </w:r>
            <w:r>
              <w:t>ation to place the product on the market as a medicinal product or a plant protection product</w:t>
            </w:r>
            <w:r w:rsidR="00B94822">
              <w:t>.</w:t>
            </w:r>
          </w:p>
          <w:p w:rsidR="0062274E" w:rsidRDefault="0062274E" w:rsidP="002109B9">
            <w:pPr>
              <w:pStyle w:val="BoxText"/>
            </w:pPr>
            <w:r>
              <w:t>An SPC</w:t>
            </w:r>
            <w:r w:rsidRPr="00723226">
              <w:t xml:space="preserve"> grants the same rights, limitations, and obligations as those conferred by </w:t>
            </w:r>
            <w:r w:rsidR="00BB0C28">
              <w:t>a</w:t>
            </w:r>
            <w:r w:rsidRPr="00723226">
              <w:t xml:space="preserve"> patent, except that the protection extends </w:t>
            </w:r>
            <w:r w:rsidR="00BB0C28">
              <w:t xml:space="preserve">only </w:t>
            </w:r>
            <w:r w:rsidRPr="00723226">
              <w:t>to the product covered by the authori</w:t>
            </w:r>
            <w:r>
              <w:t>s</w:t>
            </w:r>
            <w:r w:rsidRPr="00723226">
              <w:t>ation to place the product on the market.</w:t>
            </w:r>
            <w:r>
              <w:t xml:space="preserve"> An application for an SPC must be filed within six months of the date the product was authorised to be marketed. If the authorisation to place the product on the market is granted before the patent is granted, the application for a certificate must be filed within six months of the date on which the patent is granted. An application to extend the duration of a certificate that has been already granted must be filed no later than two years before the expiration of the certificate.</w:t>
            </w:r>
          </w:p>
          <w:p w:rsidR="0062274E" w:rsidRDefault="0062274E" w:rsidP="002109B9">
            <w:pPr>
              <w:pStyle w:val="BoxText"/>
            </w:pPr>
            <w:r>
              <w:t>The duration of an SPC commences at the end of the term of the basic patent and extends for a period equal to the period that elapsed between the date on which the application for a basic patent was filed and the date the product was first authorised to be placed on the European Community market, reduced by a period of five years. The duration of an SPC may not exceed five years from the date on which it takes effect. Any provisional first marketing authorisation is taken into account only if it is directly followed by a definitive authorisation of the same product.</w:t>
            </w:r>
          </w:p>
        </w:tc>
      </w:tr>
      <w:tr w:rsidR="00E86A68" w:rsidTr="00401D90">
        <w:trPr>
          <w:cantSplit/>
        </w:trPr>
        <w:tc>
          <w:tcPr>
            <w:tcW w:w="8614" w:type="dxa"/>
            <w:shd w:val="clear" w:color="auto" w:fill="auto"/>
            <w:tcMar>
              <w:top w:w="12" w:type="dxa"/>
              <w:left w:w="446" w:type="dxa"/>
              <w:bottom w:w="113" w:type="dxa"/>
            </w:tcMar>
          </w:tcPr>
          <w:p w:rsidR="0062274E" w:rsidRDefault="0062274E" w:rsidP="002109B9">
            <w:pPr>
              <w:pStyle w:val="Source"/>
            </w:pPr>
            <w:r>
              <w:t>Source: ACIL Allen Consulting adapted from European Commission and other sources</w:t>
            </w:r>
          </w:p>
        </w:tc>
      </w:tr>
    </w:tbl>
    <w:p w:rsidR="006310D1" w:rsidRDefault="006310D1" w:rsidP="006310D1">
      <w:pPr>
        <w:pStyle w:val="BodyText"/>
        <w:rPr>
          <w:sz w:val="23"/>
          <w:szCs w:val="23"/>
        </w:rPr>
      </w:pPr>
      <w:r>
        <w:t xml:space="preserve">The purpose of the SPCs is to compensate patent holders for delays caused through UK regulatory processes. </w:t>
      </w:r>
      <w:r>
        <w:rPr>
          <w:sz w:val="23"/>
          <w:szCs w:val="23"/>
        </w:rPr>
        <w:t>In order to be eligible for an SPC, the individual must have:</w:t>
      </w:r>
    </w:p>
    <w:p w:rsidR="006310D1" w:rsidRDefault="006310D1" w:rsidP="006310D1">
      <w:pPr>
        <w:pStyle w:val="ListBullet"/>
      </w:pPr>
      <w:r>
        <w:t xml:space="preserve">a valid UK patent that protects either the active ingredient, the process to obtain the active ingredient, or an application of the active ingredient, and </w:t>
      </w:r>
    </w:p>
    <w:p w:rsidR="006310D1" w:rsidRDefault="006310D1" w:rsidP="006310D1">
      <w:pPr>
        <w:pStyle w:val="ListBullet"/>
      </w:pPr>
      <w:r>
        <w:t>a marketing authorisation that allows the active ingredient to be placed on the UK market as a pharmaceutical or plant protection product.</w:t>
      </w:r>
    </w:p>
    <w:p w:rsidR="006310D1" w:rsidRDefault="006310D1" w:rsidP="006310D1">
      <w:pPr>
        <w:pStyle w:val="BodyText"/>
      </w:pPr>
      <w:r>
        <w:t xml:space="preserve">The date of the marketing authorisation that first placed the active ingredient on the UK market is the starting date for any SPC. This authorisation can be from a regulatory agency elsewhere in the EU / EEA. </w:t>
      </w:r>
    </w:p>
    <w:p w:rsidR="00E83228" w:rsidRDefault="00E83228" w:rsidP="00E83228">
      <w:pPr>
        <w:pStyle w:val="BodyText"/>
      </w:pPr>
      <w:r>
        <w:t>The maximum period for which an SPC may be granted in the UK is fifteen years from the date of the first authorisation in the EU, or five years from the date on which the SPC takes effect, whichever occurs first. In the UK, an SPC covers only the active ingredient and the additional protection applies only in the UK.</w:t>
      </w:r>
    </w:p>
    <w:p w:rsidR="00E83228" w:rsidRDefault="00E83228" w:rsidP="00E83228">
      <w:pPr>
        <w:pStyle w:val="Heading3"/>
      </w:pPr>
      <w:r>
        <w:t>Germany</w:t>
      </w:r>
    </w:p>
    <w:p w:rsidR="00E83228" w:rsidRDefault="00E83228" w:rsidP="00E83228">
      <w:pPr>
        <w:pStyle w:val="BodyText"/>
      </w:pPr>
      <w:r>
        <w:t xml:space="preserve">The </w:t>
      </w:r>
      <w:r w:rsidRPr="00572A93">
        <w:rPr>
          <w:i/>
        </w:rPr>
        <w:t>German Patent Act</w:t>
      </w:r>
      <w:r>
        <w:t xml:space="preserve"> also closely follows the provisions of the European Union as described above, with a standard patent term of twenty years from the date the application is filed. Germany also provides SPCs for agvet products. An English translation of the </w:t>
      </w:r>
      <w:r w:rsidRPr="00572A93">
        <w:rPr>
          <w:i/>
        </w:rPr>
        <w:t>German Patent Act</w:t>
      </w:r>
      <w:r>
        <w:t xml:space="preserve"> is available</w:t>
      </w:r>
      <w:r>
        <w:rPr>
          <w:rStyle w:val="FootnoteReference"/>
        </w:rPr>
        <w:footnoteReference w:id="44"/>
      </w:r>
      <w:r>
        <w:t xml:space="preserve"> but other </w:t>
      </w:r>
      <w:r w:rsidR="0064164D">
        <w:t xml:space="preserve">relevant </w:t>
      </w:r>
      <w:r>
        <w:t>national documentation is available only in German.</w:t>
      </w:r>
    </w:p>
    <w:p w:rsidR="00784A1E" w:rsidRDefault="00784A1E" w:rsidP="00784A1E">
      <w:pPr>
        <w:pStyle w:val="BodyText"/>
      </w:pPr>
      <w:r w:rsidRPr="00784A1E">
        <w:t xml:space="preserve">The statutory basis for the experimental use exemption can be found in s.60(5)(b) of the Patents Act. This exemption need not be driven by purely scientific interest.  </w:t>
      </w:r>
    </w:p>
    <w:p w:rsidR="0062274E" w:rsidRDefault="00572A93" w:rsidP="00E83228">
      <w:pPr>
        <w:pStyle w:val="Heading3"/>
      </w:pPr>
      <w:r>
        <w:t>The United States</w:t>
      </w:r>
      <w:r w:rsidR="0064164D">
        <w:t xml:space="preserve"> of America</w:t>
      </w:r>
    </w:p>
    <w:p w:rsidR="0062274E" w:rsidRDefault="0062274E" w:rsidP="0062274E">
      <w:pPr>
        <w:pStyle w:val="BodyText"/>
      </w:pPr>
      <w:r>
        <w:t xml:space="preserve">The standard “utility patent” term in the </w:t>
      </w:r>
      <w:r w:rsidR="002516F8">
        <w:t>USA</w:t>
      </w:r>
      <w:r>
        <w:t xml:space="preserve"> is twenty years. For applications filed on or after </w:t>
      </w:r>
      <w:r w:rsidR="008E539C">
        <w:t>8 </w:t>
      </w:r>
      <w:r>
        <w:t>June</w:t>
      </w:r>
      <w:r w:rsidR="008E539C">
        <w:t> </w:t>
      </w:r>
      <w:r>
        <w:t xml:space="preserve">1995, the </w:t>
      </w:r>
      <w:r w:rsidRPr="009C535C">
        <w:rPr>
          <w:i/>
        </w:rPr>
        <w:t>Uruguay Round Agreements Act</w:t>
      </w:r>
      <w:r>
        <w:t xml:space="preserve"> provides that the term of a patent (other than a design patent) begins on the date the patent issues and ends on the date that is twenty years after the application for the patent was filed in the </w:t>
      </w:r>
      <w:r w:rsidR="002516F8">
        <w:t>USA</w:t>
      </w:r>
      <w:r>
        <w:t xml:space="preserve"> or, if the application contains a specific reference to an earlier filed application or applications, twenty years from the filing date of the earliest of such application(s). </w:t>
      </w:r>
    </w:p>
    <w:p w:rsidR="0062274E" w:rsidRDefault="0062274E" w:rsidP="0062274E">
      <w:pPr>
        <w:pStyle w:val="BodyText"/>
      </w:pPr>
      <w:r>
        <w:t>The term of utility patents can be adjusted for delays within the US Patent and Trademark Office (USPTO).</w:t>
      </w:r>
      <w:r>
        <w:rPr>
          <w:rStyle w:val="FootnoteReference"/>
        </w:rPr>
        <w:footnoteReference w:id="45"/>
      </w:r>
      <w:r>
        <w:t xml:space="preserve"> Utility patents issued for applications lodged after 29 May 2000 are eligible for adjustment under 35 U.S.C. 154(b) and 37 CFR 1.702-1.705. Patent term extensions are also available under 35</w:t>
      </w:r>
      <w:r w:rsidR="0064164D">
        <w:t> </w:t>
      </w:r>
      <w:r>
        <w:t xml:space="preserve">U.S.C. 156 for </w:t>
      </w:r>
      <w:r w:rsidR="008E539C">
        <w:t>pre-market</w:t>
      </w:r>
      <w:r>
        <w:t xml:space="preserve"> regulatory review</w:t>
      </w:r>
      <w:r w:rsidR="0064164D">
        <w:t>. These</w:t>
      </w:r>
      <w:r>
        <w:t xml:space="preserve"> are separate from USPTO delay extensions and are added to them. </w:t>
      </w:r>
    </w:p>
    <w:p w:rsidR="009C535C" w:rsidRDefault="0062274E" w:rsidP="0062274E">
      <w:pPr>
        <w:pStyle w:val="BodyText"/>
      </w:pPr>
      <w:r>
        <w:t xml:space="preserve">The right to a patent term extension based on </w:t>
      </w:r>
      <w:r w:rsidR="008E539C">
        <w:t xml:space="preserve">time lost to </w:t>
      </w:r>
      <w:r>
        <w:t xml:space="preserve">regulatory review </w:t>
      </w:r>
      <w:r w:rsidR="009C535C">
        <w:t>arises from</w:t>
      </w:r>
      <w:r>
        <w:t xml:space="preserve"> the </w:t>
      </w:r>
      <w:r w:rsidRPr="009C535C">
        <w:rPr>
          <w:i/>
        </w:rPr>
        <w:t>Drug Price Competition and Patent Term Restoration Act of 1984</w:t>
      </w:r>
      <w:r>
        <w:t xml:space="preserve">, (known as the </w:t>
      </w:r>
      <w:r w:rsidRPr="009C535C">
        <w:t>Hatch-Waxman Act</w:t>
      </w:r>
      <w:r>
        <w:t xml:space="preserve">). This Act </w:t>
      </w:r>
      <w:r w:rsidR="00513B5A">
        <w:t>elimi</w:t>
      </w:r>
      <w:r w:rsidR="00050E90">
        <w:t>n</w:t>
      </w:r>
      <w:r w:rsidR="00513B5A">
        <w:t>ated</w:t>
      </w:r>
      <w:r>
        <w:t xml:space="preserve"> two distortions to the normal patent term </w:t>
      </w:r>
      <w:r w:rsidR="00DE5C34">
        <w:t>arising from</w:t>
      </w:r>
      <w:r>
        <w:t xml:space="preserve"> the requirement that certain products must receive pre</w:t>
      </w:r>
      <w:r w:rsidR="008E539C">
        <w:t>-</w:t>
      </w:r>
      <w:r>
        <w:t>market regulatory approval</w:t>
      </w:r>
      <w:r w:rsidR="009C535C">
        <w:t>:</w:t>
      </w:r>
      <w:r>
        <w:t xml:space="preserve"> </w:t>
      </w:r>
    </w:p>
    <w:p w:rsidR="009C535C" w:rsidRDefault="0062274E" w:rsidP="009C535C">
      <w:pPr>
        <w:pStyle w:val="ListBullet"/>
      </w:pPr>
      <w:r>
        <w:t xml:space="preserve">The first distortion was the loss of patent term during the early years of the patent because the product cannot be commercially marketed without approval from a regulatory agency </w:t>
      </w:r>
    </w:p>
    <w:p w:rsidR="0062274E" w:rsidRDefault="0062274E" w:rsidP="009C535C">
      <w:pPr>
        <w:pStyle w:val="ListBullet"/>
      </w:pPr>
      <w:r>
        <w:t>The second distortion occurs after the end of the patent term because competitors could not immediately enter the market upon expiration of the patent because they were not allowed to begin testing and other activities necessary to receive USFDA approval before patent expiration.</w:t>
      </w:r>
    </w:p>
    <w:p w:rsidR="0062274E" w:rsidRDefault="0062274E" w:rsidP="0062274E">
      <w:pPr>
        <w:pStyle w:val="BodyText"/>
      </w:pPr>
      <w:r>
        <w:t xml:space="preserve">The </w:t>
      </w:r>
      <w:r w:rsidR="008E539C">
        <w:t xml:space="preserve">provisions of </w:t>
      </w:r>
      <w:r>
        <w:t xml:space="preserve">35 </w:t>
      </w:r>
      <w:r w:rsidRPr="008E539C">
        <w:t>U.S.C. 156</w:t>
      </w:r>
      <w:r w:rsidRPr="009C535C">
        <w:rPr>
          <w:i/>
        </w:rPr>
        <w:t xml:space="preserve"> </w:t>
      </w:r>
      <w:r>
        <w:t>w</w:t>
      </w:r>
      <w:r w:rsidR="008E539C">
        <w:t>ere</w:t>
      </w:r>
      <w:r>
        <w:t xml:space="preserve"> designed to create new incentives for research and development of certain products subject to </w:t>
      </w:r>
      <w:r w:rsidR="008E539C">
        <w:t>pre-market</w:t>
      </w:r>
      <w:r>
        <w:t xml:space="preserve"> government approval by a regulatory agency. This statute enables the owners of patents on certain products including animal drugs, and veterinary biological products to restore to the terms of those patents some of the time lost while awaiting </w:t>
      </w:r>
      <w:r w:rsidR="008E539C">
        <w:t>pre-market</w:t>
      </w:r>
      <w:r>
        <w:t xml:space="preserve"> government approval from a regulatory agency. The rights derived from extension of the patent term are defined in </w:t>
      </w:r>
      <w:r w:rsidRPr="008E539C">
        <w:t>35 U.S.C. 156(b)</w:t>
      </w:r>
      <w:r>
        <w:t xml:space="preserve"> and are </w:t>
      </w:r>
      <w:r w:rsidR="0064164D">
        <w:t xml:space="preserve">a </w:t>
      </w:r>
      <w:r>
        <w:t xml:space="preserve">right (i.e. not </w:t>
      </w:r>
      <w:r w:rsidR="0064164D">
        <w:t xml:space="preserve">subject </w:t>
      </w:r>
      <w:r>
        <w:t xml:space="preserve">to a claim-by-claim basis). </w:t>
      </w:r>
    </w:p>
    <w:p w:rsidR="0064164D" w:rsidRDefault="0062274E" w:rsidP="0062274E">
      <w:pPr>
        <w:pStyle w:val="BodyText"/>
      </w:pPr>
      <w:r>
        <w:t xml:space="preserve">In exchange for extension of the </w:t>
      </w:r>
      <w:r w:rsidR="0064164D">
        <w:t>patent term</w:t>
      </w:r>
      <w:r>
        <w:t xml:space="preserve">, Congress legislatively overruled </w:t>
      </w:r>
      <w:r w:rsidRPr="00953B86">
        <w:rPr>
          <w:i/>
        </w:rPr>
        <w:t>Roche Products v. Bolar Pharmaceuticals</w:t>
      </w:r>
      <w:r>
        <w:t xml:space="preserve"> and provided that it is not an act of infringement, for example, to make and test a patented drug solely for the purpose of developing and submitting information for an Abbreviated New Drug Application (ANDA).</w:t>
      </w:r>
      <w:r>
        <w:rPr>
          <w:rStyle w:val="FootnoteReference"/>
        </w:rPr>
        <w:footnoteReference w:id="46"/>
      </w:r>
      <w:r>
        <w:t xml:space="preserve"> </w:t>
      </w:r>
    </w:p>
    <w:p w:rsidR="0062274E" w:rsidRDefault="0062274E" w:rsidP="0062274E">
      <w:pPr>
        <w:pStyle w:val="BodyText"/>
      </w:pPr>
      <w:r>
        <w:t xml:space="preserve">On November 1988, </w:t>
      </w:r>
      <w:r w:rsidRPr="008E539C">
        <w:t>35 U.S.C. 156</w:t>
      </w:r>
      <w:r>
        <w:t xml:space="preserve"> was amended, to add animal drugs and veterinary biologics to the list of products that can form the basis of patent term extension. Animal drug products manufactured </w:t>
      </w:r>
      <w:r w:rsidR="008E539C">
        <w:t xml:space="preserve">primarily </w:t>
      </w:r>
      <w:r>
        <w:t xml:space="preserve">through biotechnology are excluded from the provisions of patent term extension. </w:t>
      </w:r>
    </w:p>
    <w:p w:rsidR="0062274E" w:rsidRDefault="0062274E" w:rsidP="0062274E">
      <w:pPr>
        <w:pStyle w:val="BodyText"/>
      </w:pPr>
      <w:r>
        <w:t xml:space="preserve">On 3 December 1993, </w:t>
      </w:r>
      <w:r w:rsidRPr="009C535C">
        <w:rPr>
          <w:i/>
        </w:rPr>
        <w:t xml:space="preserve">35 </w:t>
      </w:r>
      <w:r w:rsidRPr="008E539C">
        <w:t xml:space="preserve">U.S.C. 156 </w:t>
      </w:r>
      <w:r>
        <w:t xml:space="preserve">was further amended to provide for interim extension of a patent where a product </w:t>
      </w:r>
      <w:r w:rsidR="0064164D">
        <w:t>covered</w:t>
      </w:r>
      <w:r>
        <w:t xml:space="preserve"> by the patent was expected to be approved, but not until after the original expiration date of the patent.</w:t>
      </w:r>
    </w:p>
    <w:p w:rsidR="0062274E" w:rsidRDefault="0062274E" w:rsidP="0062274E">
      <w:pPr>
        <w:pStyle w:val="BodyText"/>
      </w:pPr>
      <w:r>
        <w:t xml:space="preserve">An application for the extension of the term of a patent under </w:t>
      </w:r>
      <w:r w:rsidRPr="008E539C">
        <w:t>35 U.S.C. 156</w:t>
      </w:r>
      <w:r>
        <w:t xml:space="preserve"> must be submitted by the owner of the patent within a sixty-day period beginning on the date the product received permission for commercial marketing. Details of the </w:t>
      </w:r>
      <w:r w:rsidR="0064164D">
        <w:t xml:space="preserve">calculation of the </w:t>
      </w:r>
      <w:r>
        <w:t xml:space="preserve">sixty-day period were clarified by the </w:t>
      </w:r>
      <w:r w:rsidRPr="00513B5A">
        <w:rPr>
          <w:i/>
        </w:rPr>
        <w:t>America Invents Act</w:t>
      </w:r>
      <w:r>
        <w:t>.</w:t>
      </w:r>
    </w:p>
    <w:p w:rsidR="0062274E" w:rsidRDefault="0062274E" w:rsidP="0062274E">
      <w:pPr>
        <w:pStyle w:val="BodyText"/>
      </w:pPr>
      <w:r>
        <w:t>The USPTO initially determines whether the application is formally complete and whether the patent is eligible for extension. The Director of the USPTO notifies the Secretary of Agriculture or the Secretary of Health and Human Services of the submission of an application for extension of patent term which complies with requirements within sixty days</w:t>
      </w:r>
      <w:r w:rsidR="008E539C">
        <w:t>,</w:t>
      </w:r>
      <w:r>
        <w:t xml:space="preserve"> and the Secretary determines the length of the applicable regulatory review period and notifies the Director of the determination. If the Director determines that the patent is eligible for extension, the Director calculates the length of extension for which the patent is eligible and issues an appropriate Certificate of Extension.</w:t>
      </w:r>
    </w:p>
    <w:p w:rsidR="0062274E" w:rsidRDefault="0062274E" w:rsidP="0062274E">
      <w:pPr>
        <w:pStyle w:val="BodyText"/>
      </w:pPr>
      <w:r>
        <w:t>It should be noted that:</w:t>
      </w:r>
    </w:p>
    <w:p w:rsidR="00711061" w:rsidRPr="002D2229" w:rsidRDefault="00711061" w:rsidP="00711061">
      <w:pPr>
        <w:pStyle w:val="ListBullet"/>
      </w:pPr>
      <w:r>
        <w:t>Under</w:t>
      </w:r>
      <w:r w:rsidRPr="002D2229">
        <w:t xml:space="preserve"> US patent law there is an option for </w:t>
      </w:r>
      <w:r w:rsidR="000C7DA4">
        <w:t xml:space="preserve">the </w:t>
      </w:r>
      <w:r w:rsidRPr="002D2229">
        <w:t xml:space="preserve">patentee to take </w:t>
      </w:r>
      <w:r w:rsidR="008E539C">
        <w:t>a</w:t>
      </w:r>
      <w:r w:rsidRPr="002D2229">
        <w:t xml:space="preserve"> patent term extension for a food producing animal indication even if a companion animal indication is approved first. This is only for the first approved use. No such extensions exists for human pharmaceutical patents.</w:t>
      </w:r>
    </w:p>
    <w:p w:rsidR="00711061" w:rsidRPr="002D2229" w:rsidRDefault="00711061" w:rsidP="00711061">
      <w:pPr>
        <w:pStyle w:val="ListBullet"/>
      </w:pPr>
      <w:r w:rsidRPr="002D2229">
        <w:t xml:space="preserve">Genetically engineered animal drugs are excluded from patent term restoration in the </w:t>
      </w:r>
      <w:r w:rsidR="002516F8">
        <w:t>USA</w:t>
      </w:r>
      <w:r w:rsidRPr="002D2229">
        <w:t>. There is no such exclusion in the case of human therapeutics.</w:t>
      </w:r>
    </w:p>
    <w:p w:rsidR="00711061" w:rsidRPr="002D2229" w:rsidRDefault="00711061" w:rsidP="00711061">
      <w:pPr>
        <w:pStyle w:val="ListBullet"/>
      </w:pPr>
      <w:r w:rsidRPr="002D2229">
        <w:t xml:space="preserve">Genetically engineered animal drugs are excluded from safe harbour provisions in the </w:t>
      </w:r>
      <w:r w:rsidR="002516F8">
        <w:t>USA</w:t>
      </w:r>
      <w:r w:rsidRPr="002D2229">
        <w:t>. There is no such exclusion in the case of human therapeutics.</w:t>
      </w:r>
    </w:p>
    <w:p w:rsidR="00711061" w:rsidRPr="002D2229" w:rsidRDefault="00711061" w:rsidP="00711061">
      <w:pPr>
        <w:pStyle w:val="ListBullet"/>
      </w:pPr>
      <w:r w:rsidRPr="002D2229">
        <w:t xml:space="preserve">In general, </w:t>
      </w:r>
      <w:r w:rsidR="0064164D">
        <w:t>a</w:t>
      </w:r>
      <w:r w:rsidRPr="002D2229">
        <w:t xml:space="preserve"> second patent term restoration for same active ingredient is prohibited in the </w:t>
      </w:r>
      <w:r w:rsidR="002516F8">
        <w:t>USA</w:t>
      </w:r>
      <w:r w:rsidRPr="002D2229">
        <w:t xml:space="preserve"> for animal drugs and but there is no prohibitions for human drugs</w:t>
      </w:r>
    </w:p>
    <w:p w:rsidR="00711061" w:rsidRPr="002D2229" w:rsidRDefault="00711061" w:rsidP="00711061">
      <w:pPr>
        <w:pStyle w:val="ListBullet"/>
      </w:pPr>
      <w:r w:rsidRPr="002D2229">
        <w:t xml:space="preserve">Unlike human drugs, there is no paediatric exclusivity for animal drugs in the </w:t>
      </w:r>
      <w:r w:rsidR="002516F8">
        <w:t>USA</w:t>
      </w:r>
    </w:p>
    <w:p w:rsidR="00711061" w:rsidRPr="002D2229" w:rsidRDefault="00711061" w:rsidP="00711061">
      <w:pPr>
        <w:pStyle w:val="ListBullet"/>
      </w:pPr>
      <w:r w:rsidRPr="002D2229">
        <w:t>Orphan drug status</w:t>
      </w:r>
      <w:r>
        <w:t>—</w:t>
      </w:r>
      <w:r w:rsidRPr="002D2229">
        <w:t>for rare diseases</w:t>
      </w:r>
      <w:r>
        <w:t>—</w:t>
      </w:r>
      <w:r w:rsidRPr="002D2229">
        <w:t xml:space="preserve">can be obtained under the </w:t>
      </w:r>
      <w:r w:rsidRPr="002B79EF">
        <w:rPr>
          <w:i/>
        </w:rPr>
        <w:t>US Orphan Drug Act</w:t>
      </w:r>
      <w:r w:rsidRPr="002D2229">
        <w:t>, where the holder is entitled to several specified benefits. This does not extend to animal drugs. However, animal drugs meeting certain criteria have the possibility to obtain so called Minor Use</w:t>
      </w:r>
      <w:r w:rsidR="006E37B2">
        <w:t xml:space="preserve"> </w:t>
      </w:r>
      <w:r w:rsidRPr="002D2229">
        <w:t>/</w:t>
      </w:r>
      <w:r w:rsidR="006E37B2">
        <w:t xml:space="preserve"> </w:t>
      </w:r>
      <w:r w:rsidRPr="002D2229">
        <w:t>Minor Species (MUMS) designation</w:t>
      </w:r>
      <w:r w:rsidR="008E539C">
        <w:t>,</w:t>
      </w:r>
      <w:r w:rsidRPr="002D2229">
        <w:t xml:space="preserve"> which provides seven years exclusivity for that indication. </w:t>
      </w:r>
    </w:p>
    <w:p w:rsidR="0062274E" w:rsidRDefault="0062274E" w:rsidP="0062274E">
      <w:pPr>
        <w:pStyle w:val="Heading3"/>
      </w:pPr>
      <w:r>
        <w:t>Canada</w:t>
      </w:r>
    </w:p>
    <w:p w:rsidR="0062274E" w:rsidRDefault="0062274E" w:rsidP="0062274E">
      <w:pPr>
        <w:pStyle w:val="BodyText"/>
      </w:pPr>
      <w:r>
        <w:t xml:space="preserve">Canada provides standard patent terms of </w:t>
      </w:r>
      <w:r w:rsidR="00711061">
        <w:t>20</w:t>
      </w:r>
      <w:r>
        <w:t xml:space="preserve"> years from the date on which a patent is filed. Canada does not provide patent term extensions for pharmaceutical or agvet products. However Canada has recently signed an agreement (CETA) with the EU which provides for such extensions (“restoration”) in the future</w:t>
      </w:r>
      <w:r w:rsidR="003915FA">
        <w:t>,</w:t>
      </w:r>
      <w:r>
        <w:t xml:space="preserve"> for patent term extensions of two years for qualifying pharmaceutical products.</w:t>
      </w:r>
    </w:p>
    <w:p w:rsidR="0062274E" w:rsidRDefault="0062274E" w:rsidP="0062274E">
      <w:pPr>
        <w:pStyle w:val="Heading3"/>
      </w:pPr>
      <w:r>
        <w:t>New Zealand</w:t>
      </w:r>
    </w:p>
    <w:p w:rsidR="0062274E" w:rsidRDefault="0062274E" w:rsidP="0062274E">
      <w:pPr>
        <w:pStyle w:val="BodyText"/>
      </w:pPr>
      <w:r>
        <w:t>The standard term of a New Zealand patent is twenty years. On 11 July 2016, the New Zealand Ministry of Business, Innovation and Employment released a consultation document seeking feedback on proposed regulations to implement the patent term extension provisions in the Trans-Pacific Partnership</w:t>
      </w:r>
      <w:r w:rsidR="00D4767D">
        <w:t xml:space="preserve"> (TPP)</w:t>
      </w:r>
      <w:r>
        <w:t xml:space="preserve"> Agreement Amendment Bill. The Bill received Royal Assent on 21 November 2016 but will only come into force when</w:t>
      </w:r>
      <w:r w:rsidR="006E37B2">
        <w:t xml:space="preserve"> </w:t>
      </w:r>
      <w:r>
        <w:t>/</w:t>
      </w:r>
      <w:r w:rsidR="006E37B2">
        <w:t xml:space="preserve"> </w:t>
      </w:r>
      <w:r>
        <w:t xml:space="preserve">if the TPP is ratified by sufficient countries. It amends the New Zealand </w:t>
      </w:r>
      <w:r w:rsidRPr="000C710D">
        <w:rPr>
          <w:i/>
        </w:rPr>
        <w:t>Patents Act 2013</w:t>
      </w:r>
      <w:r>
        <w:t xml:space="preserve"> to provide for patent term extensions for pharmaceuticals (but not agvet products):</w:t>
      </w:r>
    </w:p>
    <w:p w:rsidR="0062274E" w:rsidRDefault="0062274E" w:rsidP="0062274E">
      <w:pPr>
        <w:pStyle w:val="ListBullet"/>
      </w:pPr>
      <w:r>
        <w:t>Unreasonable delays in patent grant, and</w:t>
      </w:r>
    </w:p>
    <w:p w:rsidR="0062274E" w:rsidRDefault="0062274E" w:rsidP="0062274E">
      <w:pPr>
        <w:pStyle w:val="ListBullet"/>
      </w:pPr>
      <w:r>
        <w:t>Unreasonable curtailment of the effective patent term as a result of the Medsafe approval process.</w:t>
      </w:r>
    </w:p>
    <w:p w:rsidR="0062274E" w:rsidRDefault="0062274E" w:rsidP="0062274E">
      <w:pPr>
        <w:pStyle w:val="BodyText"/>
      </w:pPr>
      <w:r>
        <w:t>The proposed regulations mainly relate to procedural matters, including:</w:t>
      </w:r>
    </w:p>
    <w:p w:rsidR="0062274E" w:rsidRDefault="0062274E" w:rsidP="0062274E">
      <w:pPr>
        <w:pStyle w:val="ListBullet"/>
      </w:pPr>
      <w:r>
        <w:t>The manner in which requests for extension of term must be made</w:t>
      </w:r>
    </w:p>
    <w:p w:rsidR="0062274E" w:rsidRDefault="0062274E" w:rsidP="0062274E">
      <w:pPr>
        <w:pStyle w:val="ListBullet"/>
      </w:pPr>
      <w:r>
        <w:t xml:space="preserve">The information that must be provided (in addition to that required by the TPPA Bill) with requests for </w:t>
      </w:r>
      <w:r w:rsidR="0064164D">
        <w:t xml:space="preserve">an </w:t>
      </w:r>
      <w:r>
        <w:t>extension</w:t>
      </w:r>
    </w:p>
    <w:p w:rsidR="0062274E" w:rsidRDefault="0062274E" w:rsidP="0062274E">
      <w:pPr>
        <w:pStyle w:val="ListBullet"/>
      </w:pPr>
      <w:r>
        <w:t>Time limits for requesting an extension, and</w:t>
      </w:r>
    </w:p>
    <w:p w:rsidR="0062274E" w:rsidRDefault="0062274E" w:rsidP="0062274E">
      <w:pPr>
        <w:pStyle w:val="ListBullet"/>
      </w:pPr>
      <w:r>
        <w:t xml:space="preserve">Procedures by which third parties can oppose the grant of extensions of term for unreasonable curtailment, including the time limits by which </w:t>
      </w:r>
      <w:r w:rsidR="0064164D">
        <w:t xml:space="preserve">such </w:t>
      </w:r>
      <w:r>
        <w:t>oppositions must be made.</w:t>
      </w:r>
    </w:p>
    <w:p w:rsidR="0062274E" w:rsidRDefault="0062274E" w:rsidP="0062274E">
      <w:pPr>
        <w:pStyle w:val="BodyText"/>
      </w:pPr>
      <w:r>
        <w:t>The Bill provides for regulations to be made setting out time periods to be disregarded when determining whether there have been unreasonable delays in grant of a patent. These disregarded periods will be ignored when deciding whether th</w:t>
      </w:r>
      <w:r w:rsidR="0064164D">
        <w:t>ere has been unreasonable delay</w:t>
      </w:r>
      <w:r>
        <w:t>.</w:t>
      </w:r>
      <w:r w:rsidR="000C7DA4">
        <w:rPr>
          <w:rStyle w:val="FootnoteReference"/>
        </w:rPr>
        <w:footnoteReference w:id="47"/>
      </w:r>
      <w:r>
        <w:t xml:space="preserve"> </w:t>
      </w:r>
    </w:p>
    <w:p w:rsidR="0062274E" w:rsidRDefault="0062274E" w:rsidP="0062274E">
      <w:pPr>
        <w:pStyle w:val="BodyText"/>
      </w:pPr>
      <w:r>
        <w:t xml:space="preserve">The extension for delays at IP New Zealand would be available for all patents, no matter what the subject matter. However it appears that it will be very difficult to get this type of extension in New Zealand. This is partly because the Intellectual Property Office of New Zealand (IPONZ) is </w:t>
      </w:r>
      <w:r w:rsidR="00B94822">
        <w:t>currently</w:t>
      </w:r>
      <w:r>
        <w:t xml:space="preserve"> very quick to examine patent applications. I</w:t>
      </w:r>
      <w:r w:rsidR="0064164D">
        <w:t xml:space="preserve">n addition, under </w:t>
      </w:r>
      <w:r>
        <w:t>the present proposals for how the extension would be calculated, any periods of time during examination that are outside the direction or control of IPONZ will be discounted from the extension calculation.</w:t>
      </w:r>
    </w:p>
    <w:p w:rsidR="0062274E" w:rsidRDefault="0062274E" w:rsidP="0062274E">
      <w:pPr>
        <w:pStyle w:val="BodyText"/>
      </w:pPr>
      <w:r>
        <w:t xml:space="preserve">The extension for delays in Medsafe approvals is only available for pharmaceutical patents. </w:t>
      </w:r>
      <w:r w:rsidRPr="005C5505">
        <w:t xml:space="preserve">However, the proposals for calculation of the extension are very different to </w:t>
      </w:r>
      <w:r>
        <w:t xml:space="preserve">those used in </w:t>
      </w:r>
      <w:r w:rsidRPr="005C5505">
        <w:t>Australia. The calculation will be based on compensating for delays by the regulatory body (i.e. Medsafe) in processing the marketing approval</w:t>
      </w:r>
      <w:r w:rsidR="0064164D">
        <w:t>,</w:t>
      </w:r>
      <w:r w:rsidRPr="005C5505">
        <w:t xml:space="preserve"> rather than the overall length of time for a pharmaceutical to get to market.</w:t>
      </w:r>
    </w:p>
    <w:p w:rsidR="0062274E" w:rsidRDefault="0062274E" w:rsidP="0062274E">
      <w:pPr>
        <w:pStyle w:val="BodyText"/>
      </w:pPr>
      <w:r>
        <w:t xml:space="preserve">An extension will only be available if marketing approval is allowed after the patent is granted and it takes more than </w:t>
      </w:r>
      <w:r w:rsidR="000C710D">
        <w:t>three</w:t>
      </w:r>
      <w:r>
        <w:t xml:space="preserve"> years between the date marketing </w:t>
      </w:r>
      <w:r w:rsidR="000C710D">
        <w:t>approvals</w:t>
      </w:r>
      <w:r>
        <w:t xml:space="preserve"> is applied for and the date it is granted (or </w:t>
      </w:r>
      <w:r w:rsidR="000C710D">
        <w:t>five</w:t>
      </w:r>
      <w:r>
        <w:t xml:space="preserve"> years for the pharmaceutical substance produced by the use of recombinant DNA technology). Any time during the marketing approval process which is considered outside the direction or control of the regulator can also be disregarded for the purposes of calculating the extension. For example, if the applicant is asked by the regulator for more information</w:t>
      </w:r>
      <w:r w:rsidR="0064164D">
        <w:t>,</w:t>
      </w:r>
      <w:r>
        <w:t xml:space="preserve"> the time it takes for that information to be supplied will likely not be included in the calculation. </w:t>
      </w:r>
    </w:p>
    <w:p w:rsidR="0062274E" w:rsidRDefault="0062274E" w:rsidP="0062274E">
      <w:pPr>
        <w:pStyle w:val="BodyText"/>
      </w:pPr>
      <w:r>
        <w:t>The length of the extension will be the shortest of:</w:t>
      </w:r>
    </w:p>
    <w:p w:rsidR="0062274E" w:rsidRDefault="0062274E" w:rsidP="0062274E">
      <w:pPr>
        <w:pStyle w:val="ListBullet"/>
      </w:pPr>
      <w:r>
        <w:t>The length of time it takes to get marketing approval over the 3 or 5 years (minus time periods outside the control of the regulator</w:t>
      </w:r>
      <w:r w:rsidR="00066CB7">
        <w:t>,</w:t>
      </w:r>
      <w:r>
        <w:t xml:space="preserve"> or</w:t>
      </w:r>
    </w:p>
    <w:p w:rsidR="0062274E" w:rsidRDefault="0062274E" w:rsidP="0062274E">
      <w:pPr>
        <w:pStyle w:val="ListBullet"/>
      </w:pPr>
      <w:r>
        <w:t>The time between grant of the patent and obtaining marketing approval, or two years.</w:t>
      </w:r>
    </w:p>
    <w:p w:rsidR="00066CB7" w:rsidRDefault="00066CB7" w:rsidP="00066CB7">
      <w:pPr>
        <w:pStyle w:val="Heading2"/>
      </w:pPr>
      <w:bookmarkStart w:id="84" w:name="_Toc497300827"/>
      <w:r>
        <w:t>IP</w:t>
      </w:r>
      <w:r w:rsidR="008C693A">
        <w:t>-</w:t>
      </w:r>
      <w:r>
        <w:t>related provisions</w:t>
      </w:r>
      <w:bookmarkEnd w:id="84"/>
    </w:p>
    <w:p w:rsidR="00066CB7" w:rsidRPr="00B11614" w:rsidRDefault="00066CB7" w:rsidP="00066CB7">
      <w:pPr>
        <w:pStyle w:val="BodyText"/>
      </w:pPr>
      <w:r w:rsidRPr="00B11614">
        <w:t xml:space="preserve">There </w:t>
      </w:r>
      <w:r w:rsidR="008C693A">
        <w:t>are some IP-related</w:t>
      </w:r>
      <w:r w:rsidRPr="00B11614">
        <w:t xml:space="preserve"> </w:t>
      </w:r>
      <w:r w:rsidR="008C693A">
        <w:t>provisions that vary between countries</w:t>
      </w:r>
      <w:r w:rsidR="000441CD">
        <w:t>.</w:t>
      </w:r>
      <w:r w:rsidR="008C693A">
        <w:t xml:space="preserve"> </w:t>
      </w:r>
      <w:r w:rsidR="00A8189F">
        <w:t>Beyond general patent protection</w:t>
      </w:r>
      <w:r w:rsidR="00B75C89">
        <w:t xml:space="preserve"> of </w:t>
      </w:r>
      <w:r w:rsidR="0064164D">
        <w:t>twenty</w:t>
      </w:r>
      <w:r w:rsidR="00B75C89">
        <w:t xml:space="preserve"> years</w:t>
      </w:r>
      <w:r w:rsidR="00A8189F">
        <w:t>, some chemical products, particularly pharmaceuticals</w:t>
      </w:r>
      <w:r w:rsidR="00482248">
        <w:t>,</w:t>
      </w:r>
      <w:r w:rsidR="00A8189F">
        <w:t xml:space="preserve"> are subject to specific arrangements.</w:t>
      </w:r>
      <w:r w:rsidR="00482248">
        <w:t xml:space="preserve"> Areas of difference include:</w:t>
      </w:r>
    </w:p>
    <w:p w:rsidR="00264271" w:rsidRDefault="00264271" w:rsidP="00264271">
      <w:pPr>
        <w:pStyle w:val="ListBullet"/>
      </w:pPr>
      <w:r>
        <w:t>Exclusivity over the test data (data exclusivity or regulatory data protection)</w:t>
      </w:r>
      <w:r w:rsidR="00A20C38">
        <w:t>.</w:t>
      </w:r>
    </w:p>
    <w:p w:rsidR="00066CB7" w:rsidRPr="00B11614" w:rsidRDefault="00066CB7" w:rsidP="005D45D8">
      <w:pPr>
        <w:pStyle w:val="ListBullet"/>
      </w:pPr>
      <w:r w:rsidRPr="00B11614">
        <w:t xml:space="preserve">Patent </w:t>
      </w:r>
      <w:r w:rsidR="00B75C89">
        <w:t xml:space="preserve">extension of term provisions (called patent restoration period in </w:t>
      </w:r>
      <w:r w:rsidR="00482248">
        <w:t xml:space="preserve">the </w:t>
      </w:r>
      <w:r w:rsidR="002516F8">
        <w:t>USA</w:t>
      </w:r>
      <w:r w:rsidR="00B75C89">
        <w:t xml:space="preserve">), extending the </w:t>
      </w:r>
      <w:r w:rsidR="00FF1198">
        <w:t xml:space="preserve">time beyond </w:t>
      </w:r>
      <w:r w:rsidR="00B75C89">
        <w:t xml:space="preserve">20 years patent term </w:t>
      </w:r>
      <w:r w:rsidRPr="00B11614">
        <w:t xml:space="preserve">to restore patent life lost during the regulator’s review of new </w:t>
      </w:r>
      <w:r w:rsidR="00A57650">
        <w:t>chemical</w:t>
      </w:r>
      <w:r w:rsidR="00FF1198">
        <w:t xml:space="preserve"> products</w:t>
      </w:r>
      <w:r w:rsidR="00A20C38">
        <w:t>. Sometimes this includes clinical trials phases.</w:t>
      </w:r>
    </w:p>
    <w:p w:rsidR="005349AD" w:rsidRDefault="00264271" w:rsidP="00D71D52">
      <w:pPr>
        <w:pStyle w:val="ListBullet"/>
      </w:pPr>
      <w:r>
        <w:t xml:space="preserve">Market exclusivity </w:t>
      </w:r>
      <w:r w:rsidR="006013CB">
        <w:t>— some companies use the patent system strategically to extend their period of market exclusivity</w:t>
      </w:r>
      <w:r w:rsidR="005349AD">
        <w:t>. This practice of incremental patenting is known as “evergreening”. On the other hand, some generic manufacturing companies</w:t>
      </w:r>
      <w:r w:rsidR="0064164D">
        <w:t>,</w:t>
      </w:r>
      <w:r w:rsidR="00A20C38">
        <w:t xml:space="preserve"> or </w:t>
      </w:r>
      <w:r w:rsidR="008E539C">
        <w:t xml:space="preserve">the original manufacturer </w:t>
      </w:r>
      <w:r w:rsidR="00A20C38">
        <w:t xml:space="preserve">with </w:t>
      </w:r>
      <w:r w:rsidR="008E539C">
        <w:t>a</w:t>
      </w:r>
      <w:r w:rsidR="00A20C38">
        <w:t xml:space="preserve"> generic version of the patented product</w:t>
      </w:r>
      <w:r w:rsidR="0064164D">
        <w:t>,</w:t>
      </w:r>
      <w:r w:rsidR="00A20C38">
        <w:t xml:space="preserve"> seek regulatory approval </w:t>
      </w:r>
      <w:r w:rsidR="008E539C">
        <w:t xml:space="preserve">for a generic version </w:t>
      </w:r>
      <w:r w:rsidR="00A20C38">
        <w:t xml:space="preserve">of a patented </w:t>
      </w:r>
      <w:r w:rsidR="0085486C">
        <w:t xml:space="preserve">technology </w:t>
      </w:r>
      <w:r w:rsidR="00A20C38">
        <w:t>whilst the patent is still in force. This practice is known as “springboarding”.</w:t>
      </w:r>
    </w:p>
    <w:p w:rsidR="00A20C38" w:rsidRPr="00BA63C9" w:rsidRDefault="00A20C38" w:rsidP="00A20C38">
      <w:pPr>
        <w:pStyle w:val="Heading3"/>
      </w:pPr>
      <w:r w:rsidRPr="00BA63C9">
        <w:t>Evergreening</w:t>
      </w:r>
    </w:p>
    <w:p w:rsidR="00A20C38" w:rsidRDefault="00A20C38" w:rsidP="00A20C38">
      <w:pPr>
        <w:pStyle w:val="BodyText"/>
      </w:pPr>
      <w:r>
        <w:t>Evergreening is an informal term used to describe the ways in which patent owners can use the law and related regulatory processes to extend their rent</w:t>
      </w:r>
      <w:r w:rsidR="003F1F29">
        <w:t>-</w:t>
      </w:r>
      <w:r>
        <w:t xml:space="preserve">earning IP rights particularly over highly profitable chemicals and drugs. </w:t>
      </w:r>
    </w:p>
    <w:p w:rsidR="007C3208" w:rsidRDefault="007C3208" w:rsidP="00A20C38">
      <w:pPr>
        <w:pStyle w:val="BodyText"/>
      </w:pPr>
      <w:r>
        <w:t>Evergreening refers to the strategy of obtaining multiple patents that cover different aspects of the same product, typically by obtaining patents on improved versions of existing products</w:t>
      </w:r>
      <w:r w:rsidRPr="00FF4486">
        <w:t xml:space="preserve">. </w:t>
      </w:r>
    </w:p>
    <w:p w:rsidR="00A20C38" w:rsidRDefault="00A20C38" w:rsidP="00A20C38">
      <w:pPr>
        <w:pStyle w:val="BodyText"/>
      </w:pPr>
      <w:r>
        <w:t xml:space="preserve">The overall impact of evergreening </w:t>
      </w:r>
      <w:r w:rsidR="00D31870">
        <w:t>on the agricultural sector</w:t>
      </w:r>
      <w:r>
        <w:t xml:space="preserve"> is a loss to the economic productivity and capacity of the agricultural sector. </w:t>
      </w:r>
    </w:p>
    <w:p w:rsidR="00066CB7" w:rsidRDefault="00066CB7" w:rsidP="00066CB7">
      <w:pPr>
        <w:pStyle w:val="Heading3"/>
      </w:pPr>
      <w:r>
        <w:t>Springboarding</w:t>
      </w:r>
    </w:p>
    <w:p w:rsidR="00156FC1" w:rsidRDefault="00156FC1" w:rsidP="00156FC1">
      <w:pPr>
        <w:pStyle w:val="BodyText"/>
      </w:pPr>
      <w:r>
        <w:t xml:space="preserve">A patent confers on a patentee the right to </w:t>
      </w:r>
      <w:r w:rsidR="00B50A70">
        <w:t>prevent</w:t>
      </w:r>
      <w:r>
        <w:t xml:space="preserve"> others from using the patented invention during the patent term</w:t>
      </w:r>
      <w:r w:rsidR="001F7D47">
        <w:t xml:space="preserve">, although patentees </w:t>
      </w:r>
      <w:r w:rsidR="00DC5274">
        <w:t>may</w:t>
      </w:r>
      <w:r w:rsidR="001F7D47">
        <w:t xml:space="preserve"> license </w:t>
      </w:r>
      <w:r w:rsidR="00310B83">
        <w:t xml:space="preserve">its </w:t>
      </w:r>
      <w:r w:rsidR="001F7D47">
        <w:t>use to other parties</w:t>
      </w:r>
      <w:r>
        <w:t xml:space="preserve">. Ordinarily, a patent will be infringed by another person making, using or selling the invention without authority. Springboarding provides an exemption from infringement, for uses of a patented invention that are reasonably related to seeking regulatory approval. </w:t>
      </w:r>
    </w:p>
    <w:p w:rsidR="00066CB7" w:rsidRPr="00957FFE" w:rsidRDefault="00066CB7" w:rsidP="00156FC1">
      <w:pPr>
        <w:pStyle w:val="BodyText"/>
        <w:rPr>
          <w:shd w:val="clear" w:color="auto" w:fill="FFFFFF"/>
        </w:rPr>
      </w:pPr>
      <w:r>
        <w:rPr>
          <w:shd w:val="clear" w:color="auto" w:fill="FFFFFF"/>
        </w:rPr>
        <w:t>S</w:t>
      </w:r>
      <w:r w:rsidRPr="00957FFE">
        <w:rPr>
          <w:shd w:val="clear" w:color="auto" w:fill="FFFFFF"/>
        </w:rPr>
        <w:t xml:space="preserve">pringboarding allows a generic manufacturer to seek and obtain regulatory approval of their generic version of a patented </w:t>
      </w:r>
      <w:r w:rsidR="00CC0F76">
        <w:rPr>
          <w:shd w:val="clear" w:color="auto" w:fill="FFFFFF"/>
        </w:rPr>
        <w:t>technology</w:t>
      </w:r>
      <w:r w:rsidRPr="00957FFE">
        <w:rPr>
          <w:shd w:val="clear" w:color="auto" w:fill="FFFFFF"/>
        </w:rPr>
        <w:t xml:space="preserve">, whilst the patent is still in force. </w:t>
      </w:r>
      <w:r>
        <w:rPr>
          <w:shd w:val="clear" w:color="auto" w:fill="FFFFFF"/>
        </w:rPr>
        <w:t>Springboarding</w:t>
      </w:r>
      <w:r w:rsidRPr="00957FFE">
        <w:rPr>
          <w:shd w:val="clear" w:color="auto" w:fill="FFFFFF"/>
        </w:rPr>
        <w:t xml:space="preserve"> enables generic manufacturers to rapidly launch their bioequivalent version of the drug onto the market as soon as the patent has expired. Without springboarding, any use of the subject matter of the patent while it is in force </w:t>
      </w:r>
      <w:r w:rsidR="00B50A70">
        <w:rPr>
          <w:shd w:val="clear" w:color="auto" w:fill="FFFFFF"/>
        </w:rPr>
        <w:t>would c</w:t>
      </w:r>
      <w:r w:rsidRPr="00957FFE">
        <w:rPr>
          <w:shd w:val="clear" w:color="auto" w:fill="FFFFFF"/>
        </w:rPr>
        <w:t>onstitute</w:t>
      </w:r>
      <w:r w:rsidR="00B50A70">
        <w:rPr>
          <w:shd w:val="clear" w:color="auto" w:fill="FFFFFF"/>
        </w:rPr>
        <w:t xml:space="preserve"> a</w:t>
      </w:r>
      <w:r w:rsidRPr="00957FFE">
        <w:rPr>
          <w:shd w:val="clear" w:color="auto" w:fill="FFFFFF"/>
        </w:rPr>
        <w:t xml:space="preserve"> patent infringement. Hence, without the ability to springboard, it could be any number of years before </w:t>
      </w:r>
      <w:r w:rsidR="008C693A">
        <w:rPr>
          <w:shd w:val="clear" w:color="auto" w:fill="FFFFFF"/>
        </w:rPr>
        <w:t xml:space="preserve">the necessary data can be generated to enable </w:t>
      </w:r>
      <w:r w:rsidRPr="00957FFE">
        <w:rPr>
          <w:shd w:val="clear" w:color="auto" w:fill="FFFFFF"/>
        </w:rPr>
        <w:t xml:space="preserve">a generic version </w:t>
      </w:r>
      <w:r w:rsidR="008C693A">
        <w:rPr>
          <w:shd w:val="clear" w:color="auto" w:fill="FFFFFF"/>
        </w:rPr>
        <w:t>to enter the market</w:t>
      </w:r>
      <w:r w:rsidRPr="00957FFE">
        <w:rPr>
          <w:shd w:val="clear" w:color="auto" w:fill="FFFFFF"/>
        </w:rPr>
        <w:t>.</w:t>
      </w:r>
      <w:r w:rsidR="00D155B6">
        <w:rPr>
          <w:shd w:val="clear" w:color="auto" w:fill="FFFFFF"/>
        </w:rPr>
        <w:t xml:space="preserve"> </w:t>
      </w:r>
      <w:r>
        <w:rPr>
          <w:shd w:val="clear" w:color="auto" w:fill="FFFFFF"/>
        </w:rPr>
        <w:t>These types of provisions are commonly known as “Bolar exceptions” or “clinical trial exceptions” in the US</w:t>
      </w:r>
      <w:r w:rsidR="008C693A">
        <w:rPr>
          <w:shd w:val="clear" w:color="auto" w:fill="FFFFFF"/>
        </w:rPr>
        <w:t>A</w:t>
      </w:r>
      <w:r>
        <w:rPr>
          <w:shd w:val="clear" w:color="auto" w:fill="FFFFFF"/>
        </w:rPr>
        <w:t xml:space="preserve"> and Canada.</w:t>
      </w:r>
    </w:p>
    <w:p w:rsidR="00066CB7" w:rsidRDefault="00D155B6" w:rsidP="00066CB7">
      <w:pPr>
        <w:pStyle w:val="BodyText"/>
        <w:rPr>
          <w:rFonts w:cs="Arial"/>
          <w:color w:val="000000"/>
          <w:shd w:val="clear" w:color="auto" w:fill="FFFFFF"/>
        </w:rPr>
      </w:pPr>
      <w:r>
        <w:rPr>
          <w:shd w:val="clear" w:color="auto" w:fill="FFFFFF"/>
        </w:rPr>
        <w:t xml:space="preserve">In Australia the </w:t>
      </w:r>
      <w:r w:rsidR="00066CB7" w:rsidRPr="00B50A70">
        <w:rPr>
          <w:i/>
          <w:shd w:val="clear" w:color="auto" w:fill="FFFFFF"/>
        </w:rPr>
        <w:t>Intellectual Property Laws Amendment Bill 2006</w:t>
      </w:r>
      <w:r w:rsidR="00066CB7" w:rsidRPr="00957FFE">
        <w:rPr>
          <w:shd w:val="clear" w:color="auto" w:fill="FFFFFF"/>
        </w:rPr>
        <w:t>, passed by the House of Representatives on 22 J</w:t>
      </w:r>
      <w:r w:rsidR="00066CB7">
        <w:rPr>
          <w:shd w:val="clear" w:color="auto" w:fill="FFFFFF"/>
        </w:rPr>
        <w:t>une 2006</w:t>
      </w:r>
      <w:r w:rsidR="00066CB7">
        <w:rPr>
          <w:rStyle w:val="FootnoteReference"/>
          <w:shd w:val="clear" w:color="auto" w:fill="FFFFFF"/>
        </w:rPr>
        <w:footnoteReference w:id="48"/>
      </w:r>
      <w:r w:rsidR="00066CB7" w:rsidRPr="00957FFE">
        <w:rPr>
          <w:shd w:val="clear" w:color="auto" w:fill="FFFFFF"/>
        </w:rPr>
        <w:t xml:space="preserve"> made significant changes to the provisions in the </w:t>
      </w:r>
      <w:r w:rsidR="00066CB7" w:rsidRPr="009400F1">
        <w:rPr>
          <w:i/>
          <w:shd w:val="clear" w:color="auto" w:fill="FFFFFF"/>
        </w:rPr>
        <w:t>Australian Patents Act</w:t>
      </w:r>
      <w:r w:rsidR="00066CB7" w:rsidRPr="00957FFE">
        <w:rPr>
          <w:shd w:val="clear" w:color="auto" w:fill="FFFFFF"/>
        </w:rPr>
        <w:t xml:space="preserve"> relating </w:t>
      </w:r>
      <w:r w:rsidR="008768AF">
        <w:rPr>
          <w:shd w:val="clear" w:color="auto" w:fill="FFFFFF"/>
        </w:rPr>
        <w:t xml:space="preserve">to </w:t>
      </w:r>
      <w:r w:rsidR="00066CB7" w:rsidRPr="00957FFE">
        <w:rPr>
          <w:shd w:val="clear" w:color="auto" w:fill="FFFFFF"/>
        </w:rPr>
        <w:t>springboarding</w:t>
      </w:r>
      <w:r>
        <w:rPr>
          <w:shd w:val="clear" w:color="auto" w:fill="FFFFFF"/>
        </w:rPr>
        <w:t xml:space="preserve"> for human pharmaceuticals</w:t>
      </w:r>
      <w:r w:rsidR="008768AF">
        <w:rPr>
          <w:shd w:val="clear" w:color="auto" w:fill="FFFFFF"/>
        </w:rPr>
        <w:t xml:space="preserve">. Before </w:t>
      </w:r>
      <w:r w:rsidR="00066CB7" w:rsidRPr="00957FFE">
        <w:rPr>
          <w:shd w:val="clear" w:color="auto" w:fill="FFFFFF"/>
        </w:rPr>
        <w:t xml:space="preserve">2006, </w:t>
      </w:r>
      <w:r w:rsidR="00066CB7" w:rsidRPr="00957FFE">
        <w:rPr>
          <w:rFonts w:cs="Arial"/>
          <w:color w:val="000000"/>
          <w:shd w:val="clear" w:color="auto" w:fill="FFFFFF"/>
        </w:rPr>
        <w:t xml:space="preserve">springboarding was only possible in Australia in relation to pharmaceuticals protected by a patent </w:t>
      </w:r>
      <w:r w:rsidR="00B50A70">
        <w:rPr>
          <w:rFonts w:cs="Arial"/>
          <w:color w:val="000000"/>
          <w:shd w:val="clear" w:color="auto" w:fill="FFFFFF"/>
        </w:rPr>
        <w:t>for</w:t>
      </w:r>
      <w:r w:rsidR="00066CB7" w:rsidRPr="00957FFE">
        <w:rPr>
          <w:rFonts w:cs="Arial"/>
          <w:color w:val="000000"/>
          <w:shd w:val="clear" w:color="auto" w:fill="FFFFFF"/>
        </w:rPr>
        <w:t xml:space="preserve"> which an extension of term had been granted</w:t>
      </w:r>
      <w:r w:rsidR="00066CB7">
        <w:rPr>
          <w:rFonts w:cs="Arial"/>
          <w:color w:val="000000"/>
          <w:shd w:val="clear" w:color="auto" w:fill="FFFFFF"/>
        </w:rPr>
        <w:t xml:space="preserve"> for </w:t>
      </w:r>
      <w:r w:rsidR="00CC0F76">
        <w:rPr>
          <w:rFonts w:cs="Arial"/>
          <w:color w:val="000000"/>
          <w:shd w:val="clear" w:color="auto" w:fill="FFFFFF"/>
        </w:rPr>
        <w:t>up to</w:t>
      </w:r>
      <w:r w:rsidR="00066CB7">
        <w:rPr>
          <w:rFonts w:cs="Arial"/>
          <w:color w:val="000000"/>
          <w:shd w:val="clear" w:color="auto" w:fill="FFFFFF"/>
        </w:rPr>
        <w:t xml:space="preserve"> five years</w:t>
      </w:r>
      <w:r w:rsidR="00066CB7" w:rsidRPr="00957FFE">
        <w:rPr>
          <w:rFonts w:cs="Arial"/>
          <w:color w:val="000000"/>
          <w:shd w:val="clear" w:color="auto" w:fill="FFFFFF"/>
        </w:rPr>
        <w:t xml:space="preserve"> (taking the total period of protection from </w:t>
      </w:r>
      <w:r w:rsidR="00B50A70">
        <w:rPr>
          <w:rFonts w:cs="Arial"/>
          <w:color w:val="000000"/>
          <w:shd w:val="clear" w:color="auto" w:fill="FFFFFF"/>
        </w:rPr>
        <w:t>twenty</w:t>
      </w:r>
      <w:r w:rsidR="00066CB7" w:rsidRPr="00957FFE">
        <w:rPr>
          <w:rFonts w:cs="Arial"/>
          <w:color w:val="000000"/>
          <w:shd w:val="clear" w:color="auto" w:fill="FFFFFF"/>
        </w:rPr>
        <w:t xml:space="preserve"> years up to a maximum of </w:t>
      </w:r>
      <w:r w:rsidR="007855D0">
        <w:rPr>
          <w:rFonts w:cs="Arial"/>
          <w:color w:val="000000"/>
          <w:shd w:val="clear" w:color="auto" w:fill="FFFFFF"/>
        </w:rPr>
        <w:t>twenty-five</w:t>
      </w:r>
      <w:r w:rsidR="00066CB7" w:rsidRPr="00957FFE">
        <w:rPr>
          <w:rFonts w:cs="Arial"/>
          <w:color w:val="000000"/>
          <w:shd w:val="clear" w:color="auto" w:fill="FFFFFF"/>
        </w:rPr>
        <w:t xml:space="preserve"> years). That is, the subject matter of the patent could only be used</w:t>
      </w:r>
      <w:r w:rsidR="00B50A70">
        <w:rPr>
          <w:rFonts w:cs="Arial"/>
          <w:color w:val="000000"/>
          <w:shd w:val="clear" w:color="auto" w:fill="FFFFFF"/>
        </w:rPr>
        <w:t xml:space="preserve"> during</w:t>
      </w:r>
      <w:r w:rsidR="00066CB7" w:rsidRPr="00957FFE">
        <w:rPr>
          <w:rFonts w:cs="Arial"/>
          <w:color w:val="000000"/>
          <w:shd w:val="clear" w:color="auto" w:fill="FFFFFF"/>
        </w:rPr>
        <w:t xml:space="preserve"> the </w:t>
      </w:r>
      <w:r w:rsidR="00B50A70">
        <w:rPr>
          <w:rFonts w:cs="Arial"/>
          <w:color w:val="000000"/>
          <w:shd w:val="clear" w:color="auto" w:fill="FFFFFF"/>
        </w:rPr>
        <w:t xml:space="preserve">extension </w:t>
      </w:r>
      <w:r w:rsidR="00066CB7" w:rsidRPr="00957FFE">
        <w:rPr>
          <w:rFonts w:cs="Arial"/>
          <w:color w:val="000000"/>
          <w:shd w:val="clear" w:color="auto" w:fill="FFFFFF"/>
        </w:rPr>
        <w:t xml:space="preserve">period. </w:t>
      </w:r>
    </w:p>
    <w:p w:rsidR="00D155B6" w:rsidRDefault="00D155B6" w:rsidP="00066CB7">
      <w:pPr>
        <w:pStyle w:val="BodyText"/>
        <w:rPr>
          <w:shd w:val="clear" w:color="auto" w:fill="FFFFFF"/>
        </w:rPr>
      </w:pPr>
      <w:r>
        <w:rPr>
          <w:shd w:val="clear" w:color="auto" w:fill="FFFFFF"/>
        </w:rPr>
        <w:t>The</w:t>
      </w:r>
      <w:r w:rsidR="0064164D">
        <w:rPr>
          <w:shd w:val="clear" w:color="auto" w:fill="FFFFFF"/>
        </w:rPr>
        <w:t xml:space="preserve"> 2006 </w:t>
      </w:r>
      <w:r w:rsidR="00611126">
        <w:rPr>
          <w:shd w:val="clear" w:color="auto" w:fill="FFFFFF"/>
        </w:rPr>
        <w:t xml:space="preserve">changes were made </w:t>
      </w:r>
      <w:r w:rsidR="00066CB7">
        <w:rPr>
          <w:shd w:val="clear" w:color="auto" w:fill="FFFFFF"/>
        </w:rPr>
        <w:t xml:space="preserve">to address the impact that the previous provisions had on the ability of generic companies based in Australia to competitively enter the Australian human pharmaceutical market, particularly in comparison to the IP provisions in </w:t>
      </w:r>
      <w:r w:rsidR="002E63A7">
        <w:rPr>
          <w:shd w:val="clear" w:color="auto" w:fill="FFFFFF"/>
        </w:rPr>
        <w:t>the</w:t>
      </w:r>
      <w:r w:rsidR="00066CB7">
        <w:rPr>
          <w:shd w:val="clear" w:color="auto" w:fill="FFFFFF"/>
        </w:rPr>
        <w:t xml:space="preserve"> US</w:t>
      </w:r>
      <w:r w:rsidR="00611126">
        <w:rPr>
          <w:shd w:val="clear" w:color="auto" w:fill="FFFFFF"/>
        </w:rPr>
        <w:t>A</w:t>
      </w:r>
      <w:r w:rsidR="002E63A7">
        <w:rPr>
          <w:shd w:val="clear" w:color="auto" w:fill="FFFFFF"/>
        </w:rPr>
        <w:t>, Canada and New Zealand and later in Europe</w:t>
      </w:r>
      <w:r w:rsidR="00066CB7">
        <w:rPr>
          <w:shd w:val="clear" w:color="auto" w:fill="FFFFFF"/>
        </w:rPr>
        <w:t>. One of the aims of the 2006 legislation was to encourage the production of generics in Australia.</w:t>
      </w:r>
      <w:r>
        <w:rPr>
          <w:shd w:val="clear" w:color="auto" w:fill="FFFFFF"/>
        </w:rPr>
        <w:t xml:space="preserve"> </w:t>
      </w:r>
      <w:r w:rsidRPr="00957FFE">
        <w:rPr>
          <w:rFonts w:cs="Arial"/>
          <w:color w:val="000000"/>
          <w:shd w:val="clear" w:color="auto" w:fill="FFFFFF"/>
        </w:rPr>
        <w:t xml:space="preserve">Due to a series of eligibility criteria, including the fact that the extension of term was only up to five years if the patentee experienced significant delay in attaining regulatory approval, the superseded springboarding provisions were only applicable to a relatively </w:t>
      </w:r>
      <w:r w:rsidR="00B50A70">
        <w:rPr>
          <w:rFonts w:cs="Arial"/>
          <w:color w:val="000000"/>
          <w:shd w:val="clear" w:color="auto" w:fill="FFFFFF"/>
        </w:rPr>
        <w:t xml:space="preserve">limited number of </w:t>
      </w:r>
      <w:r w:rsidR="0064164D">
        <w:rPr>
          <w:rFonts w:cs="Arial"/>
          <w:color w:val="000000"/>
          <w:shd w:val="clear" w:color="auto" w:fill="FFFFFF"/>
        </w:rPr>
        <w:t>pharmaceuticals</w:t>
      </w:r>
      <w:r>
        <w:rPr>
          <w:rFonts w:cs="Arial"/>
          <w:color w:val="000000"/>
          <w:shd w:val="clear" w:color="auto" w:fill="FFFFFF"/>
        </w:rPr>
        <w:t>.</w:t>
      </w:r>
    </w:p>
    <w:p w:rsidR="00D155B6" w:rsidRPr="00D155B6" w:rsidRDefault="00D155B6" w:rsidP="00D155B6">
      <w:pPr>
        <w:pStyle w:val="BodyText"/>
        <w:rPr>
          <w:shd w:val="clear" w:color="auto" w:fill="FFFFFF"/>
        </w:rPr>
      </w:pPr>
      <w:r>
        <w:rPr>
          <w:shd w:val="clear" w:color="auto" w:fill="FFFFFF"/>
        </w:rPr>
        <w:t xml:space="preserve">In 2012, major changes were made to Australia’s patent system with the passage of the </w:t>
      </w:r>
      <w:r w:rsidRPr="009C535C">
        <w:rPr>
          <w:i/>
          <w:shd w:val="clear" w:color="auto" w:fill="FFFFFF"/>
        </w:rPr>
        <w:t>IP Laws Amendment (Raising the Bar) Act 2012</w:t>
      </w:r>
      <w:r>
        <w:rPr>
          <w:shd w:val="clear" w:color="auto" w:fill="FFFFFF"/>
        </w:rPr>
        <w:t xml:space="preserve">. </w:t>
      </w:r>
      <w:r w:rsidRPr="00D155B6">
        <w:rPr>
          <w:shd w:val="clear" w:color="auto" w:fill="FFFFFF"/>
        </w:rPr>
        <w:t xml:space="preserve">The </w:t>
      </w:r>
      <w:r w:rsidRPr="00B94822">
        <w:rPr>
          <w:i/>
          <w:shd w:val="clear" w:color="auto" w:fill="FFFFFF"/>
        </w:rPr>
        <w:t>Raising the Bar Act</w:t>
      </w:r>
      <w:r w:rsidRPr="00D155B6">
        <w:rPr>
          <w:shd w:val="clear" w:color="auto" w:fill="FFFFFF"/>
        </w:rPr>
        <w:t xml:space="preserve"> addresses six key areas</w:t>
      </w:r>
      <w:r w:rsidR="0033588F">
        <w:rPr>
          <w:shd w:val="clear" w:color="auto" w:fill="FFFFFF"/>
        </w:rPr>
        <w:t xml:space="preserve">, two of which are of </w:t>
      </w:r>
      <w:r w:rsidR="00B50A70">
        <w:rPr>
          <w:shd w:val="clear" w:color="auto" w:fill="FFFFFF"/>
        </w:rPr>
        <w:t>r</w:t>
      </w:r>
      <w:r w:rsidR="0033588F">
        <w:rPr>
          <w:shd w:val="clear" w:color="auto" w:fill="FFFFFF"/>
        </w:rPr>
        <w:t>elevance here</w:t>
      </w:r>
      <w:r w:rsidRPr="00D155B6">
        <w:rPr>
          <w:shd w:val="clear" w:color="auto" w:fill="FFFFFF"/>
        </w:rPr>
        <w:t>:</w:t>
      </w:r>
    </w:p>
    <w:p w:rsidR="00D155B6" w:rsidRPr="00D155B6" w:rsidRDefault="00D155B6" w:rsidP="0033588F">
      <w:pPr>
        <w:pStyle w:val="ListBullet"/>
        <w:rPr>
          <w:shd w:val="clear" w:color="auto" w:fill="FFFFFF"/>
        </w:rPr>
      </w:pPr>
      <w:r w:rsidRPr="00D155B6">
        <w:rPr>
          <w:shd w:val="clear" w:color="auto" w:fill="FFFFFF"/>
        </w:rPr>
        <w:t>Raising the quality of granted patents: the new</w:t>
      </w:r>
      <w:r w:rsidR="0033588F">
        <w:rPr>
          <w:shd w:val="clear" w:color="auto" w:fill="FFFFFF"/>
        </w:rPr>
        <w:t xml:space="preserve"> </w:t>
      </w:r>
      <w:r w:rsidRPr="00D155B6">
        <w:rPr>
          <w:shd w:val="clear" w:color="auto" w:fill="FFFFFF"/>
        </w:rPr>
        <w:t>standards are more closely aligned with international</w:t>
      </w:r>
      <w:r w:rsidR="0033588F">
        <w:rPr>
          <w:shd w:val="clear" w:color="auto" w:fill="FFFFFF"/>
        </w:rPr>
        <w:t xml:space="preserve"> </w:t>
      </w:r>
      <w:r w:rsidRPr="00D155B6">
        <w:rPr>
          <w:shd w:val="clear" w:color="auto" w:fill="FFFFFF"/>
        </w:rPr>
        <w:t>standards, giving innovators more certainty when</w:t>
      </w:r>
      <w:r w:rsidR="0033588F">
        <w:rPr>
          <w:shd w:val="clear" w:color="auto" w:fill="FFFFFF"/>
        </w:rPr>
        <w:t xml:space="preserve"> </w:t>
      </w:r>
      <w:r w:rsidRPr="00D155B6">
        <w:rPr>
          <w:shd w:val="clear" w:color="auto" w:fill="FFFFFF"/>
        </w:rPr>
        <w:t>applying in Australia and other jurisdictions</w:t>
      </w:r>
      <w:r w:rsidR="0033588F">
        <w:rPr>
          <w:shd w:val="clear" w:color="auto" w:fill="FFFFFF"/>
        </w:rPr>
        <w:t>, and</w:t>
      </w:r>
    </w:p>
    <w:p w:rsidR="00D155B6" w:rsidRPr="0033588F" w:rsidRDefault="000F2523" w:rsidP="00781B7A">
      <w:pPr>
        <w:pStyle w:val="ListBullet"/>
        <w:rPr>
          <w:shd w:val="clear" w:color="auto" w:fill="FFFFFF"/>
        </w:rPr>
      </w:pPr>
      <w:r>
        <w:rPr>
          <w:shd w:val="clear" w:color="auto" w:fill="FFFFFF"/>
        </w:rPr>
        <w:t>Providing f</w:t>
      </w:r>
      <w:r w:rsidR="00D155B6" w:rsidRPr="0033588F">
        <w:rPr>
          <w:shd w:val="clear" w:color="auto" w:fill="FFFFFF"/>
        </w:rPr>
        <w:t>ree access to patented inventions for regulatory</w:t>
      </w:r>
      <w:r w:rsidR="0033588F" w:rsidRPr="0033588F">
        <w:rPr>
          <w:shd w:val="clear" w:color="auto" w:fill="FFFFFF"/>
        </w:rPr>
        <w:t xml:space="preserve"> </w:t>
      </w:r>
      <w:r w:rsidR="00D155B6" w:rsidRPr="0033588F">
        <w:rPr>
          <w:shd w:val="clear" w:color="auto" w:fill="FFFFFF"/>
        </w:rPr>
        <w:t>approvals and research</w:t>
      </w:r>
      <w:r>
        <w:rPr>
          <w:shd w:val="clear" w:color="auto" w:fill="FFFFFF"/>
        </w:rPr>
        <w:t xml:space="preserve"> to ensure that</w:t>
      </w:r>
      <w:r w:rsidR="00D155B6" w:rsidRPr="0033588F">
        <w:rPr>
          <w:shd w:val="clear" w:color="auto" w:fill="FFFFFF"/>
        </w:rPr>
        <w:t xml:space="preserve"> experimentation</w:t>
      </w:r>
      <w:r w:rsidR="0033588F" w:rsidRPr="0033588F">
        <w:rPr>
          <w:shd w:val="clear" w:color="auto" w:fill="FFFFFF"/>
        </w:rPr>
        <w:t xml:space="preserve"> </w:t>
      </w:r>
      <w:r w:rsidR="00D155B6" w:rsidRPr="0033588F">
        <w:rPr>
          <w:shd w:val="clear" w:color="auto" w:fill="FFFFFF"/>
        </w:rPr>
        <w:t>and approval for generic manufacturers is not delayed</w:t>
      </w:r>
      <w:r w:rsidR="0033588F" w:rsidRPr="0033588F">
        <w:rPr>
          <w:shd w:val="clear" w:color="auto" w:fill="FFFFFF"/>
        </w:rPr>
        <w:t xml:space="preserve"> </w:t>
      </w:r>
      <w:r w:rsidR="00D155B6" w:rsidRPr="0033588F">
        <w:rPr>
          <w:shd w:val="clear" w:color="auto" w:fill="FFFFFF"/>
        </w:rPr>
        <w:t xml:space="preserve">or negatively impacted by patents. </w:t>
      </w:r>
    </w:p>
    <w:p w:rsidR="00066CB7" w:rsidRDefault="0033588F" w:rsidP="00066CB7">
      <w:pPr>
        <w:pStyle w:val="BodyText"/>
        <w:rPr>
          <w:shd w:val="clear" w:color="auto" w:fill="FFFFFF"/>
        </w:rPr>
      </w:pPr>
      <w:r>
        <w:rPr>
          <w:shd w:val="clear" w:color="auto" w:fill="FFFFFF"/>
        </w:rPr>
        <w:t xml:space="preserve">Thus </w:t>
      </w:r>
      <w:r w:rsidR="00CC0F76">
        <w:rPr>
          <w:shd w:val="clear" w:color="auto" w:fill="FFFFFF"/>
        </w:rPr>
        <w:t xml:space="preserve">in 2012 </w:t>
      </w:r>
      <w:r>
        <w:rPr>
          <w:shd w:val="clear" w:color="auto" w:fill="FFFFFF"/>
        </w:rPr>
        <w:t xml:space="preserve">springboarding became possible for </w:t>
      </w:r>
      <w:r w:rsidR="00CC0F76">
        <w:rPr>
          <w:shd w:val="clear" w:color="auto" w:fill="FFFFFF"/>
        </w:rPr>
        <w:t xml:space="preserve">all technologies, including </w:t>
      </w:r>
      <w:r>
        <w:rPr>
          <w:shd w:val="clear" w:color="auto" w:fill="FFFFFF"/>
        </w:rPr>
        <w:t xml:space="preserve">agvet chemicals. </w:t>
      </w:r>
      <w:r w:rsidR="00066CB7" w:rsidRPr="002B032A">
        <w:rPr>
          <w:shd w:val="clear" w:color="auto" w:fill="FFFFFF"/>
        </w:rPr>
        <w:t xml:space="preserve">It is important to note that there has been no change to the five year period of data </w:t>
      </w:r>
      <w:r w:rsidR="00611126">
        <w:rPr>
          <w:shd w:val="clear" w:color="auto" w:fill="FFFFFF"/>
        </w:rPr>
        <w:t>protection</w:t>
      </w:r>
      <w:r w:rsidR="00066CB7" w:rsidRPr="002B032A">
        <w:rPr>
          <w:shd w:val="clear" w:color="auto" w:fill="FFFFFF"/>
        </w:rPr>
        <w:t xml:space="preserve"> for pharmaceutical patents</w:t>
      </w:r>
      <w:r w:rsidR="00611126">
        <w:rPr>
          <w:shd w:val="clear" w:color="auto" w:fill="FFFFFF"/>
        </w:rPr>
        <w:t xml:space="preserve"> in Australia</w:t>
      </w:r>
      <w:r w:rsidR="00066CB7" w:rsidRPr="002B032A">
        <w:rPr>
          <w:shd w:val="clear" w:color="auto" w:fill="FFFFFF"/>
        </w:rPr>
        <w:t xml:space="preserve">, where the pharmaceutical patentee is entitled to five years of data </w:t>
      </w:r>
      <w:r w:rsidR="00611126">
        <w:rPr>
          <w:shd w:val="clear" w:color="auto" w:fill="FFFFFF"/>
        </w:rPr>
        <w:t>protection</w:t>
      </w:r>
      <w:r w:rsidR="00066CB7" w:rsidRPr="002B032A">
        <w:rPr>
          <w:shd w:val="clear" w:color="auto" w:fill="FFFFFF"/>
        </w:rPr>
        <w:t xml:space="preserve"> on clinical data submitted to the regulatory authorities. That is, </w:t>
      </w:r>
      <w:r w:rsidR="0064164D">
        <w:rPr>
          <w:shd w:val="clear" w:color="auto" w:fill="FFFFFF"/>
        </w:rPr>
        <w:t xml:space="preserve">in the data protection period </w:t>
      </w:r>
      <w:r w:rsidR="00066CB7" w:rsidRPr="002B032A">
        <w:rPr>
          <w:shd w:val="clear" w:color="auto" w:fill="FFFFFF"/>
        </w:rPr>
        <w:t>generic competitors are still unable to use, without the consent of the originator, previously undisclosed safety and efficacy test data and information.</w:t>
      </w:r>
    </w:p>
    <w:p w:rsidR="00066CB7" w:rsidRDefault="00066CB7" w:rsidP="00066CB7">
      <w:pPr>
        <w:pStyle w:val="BodyText"/>
      </w:pPr>
      <w:r>
        <w:t xml:space="preserve">Both Australia and New Zealand allow springboarding for a pharmaceutical patent and provide five year data </w:t>
      </w:r>
      <w:r w:rsidR="00611126">
        <w:t>protection</w:t>
      </w:r>
      <w:r>
        <w:t xml:space="preserve"> periods. The US</w:t>
      </w:r>
      <w:r w:rsidR="00611126">
        <w:t>A</w:t>
      </w:r>
      <w:r>
        <w:t xml:space="preserve"> on the other hand, provides data exclusivity for five years for new pharmaceutical entities, three years for new indications and twelve years for biologic products</w:t>
      </w:r>
      <w:r w:rsidR="009F3AE6">
        <w:t xml:space="preserve"> (consisting of four years data protection, and eight years of exclusivity on biologics).</w:t>
      </w:r>
    </w:p>
    <w:p w:rsidR="00D33AAD" w:rsidRDefault="003E471F" w:rsidP="00066CB7">
      <w:pPr>
        <w:pStyle w:val="BodyText"/>
      </w:pPr>
      <w:r>
        <w:t>M</w:t>
      </w:r>
      <w:r w:rsidR="00D33AAD">
        <w:t>ore analysis of springboarding can be found in Section 7.4.</w:t>
      </w:r>
    </w:p>
    <w:p w:rsidR="0062274E" w:rsidRDefault="000C7DA4" w:rsidP="0062274E">
      <w:pPr>
        <w:pStyle w:val="Heading2"/>
      </w:pPr>
      <w:bookmarkStart w:id="85" w:name="_Toc497300828"/>
      <w:r>
        <w:t>Regulatory data protection</w:t>
      </w:r>
      <w:r w:rsidR="00EE3C5E">
        <w:t xml:space="preserve"> in selected countries</w:t>
      </w:r>
      <w:bookmarkEnd w:id="85"/>
    </w:p>
    <w:p w:rsidR="0062274E" w:rsidRDefault="0062274E" w:rsidP="0062274E">
      <w:pPr>
        <w:pStyle w:val="Heading3"/>
      </w:pPr>
      <w:r>
        <w:t>Australia</w:t>
      </w:r>
    </w:p>
    <w:p w:rsidR="008768AF" w:rsidRDefault="008768AF" w:rsidP="008768AF">
      <w:pPr>
        <w:pStyle w:val="BodyText"/>
      </w:pPr>
      <w:r>
        <w:t>In Australia, the pathways for commercialisation of agvet chemical products involves obtaining regulatory and marketing approval based on proof of safety, quality and efficacy. The APVMA is responsible for the regulation of agvet chemical products up to the point of sale. Australia’s states and territories are responsible for regulating agvet chemical use after the point of sale.</w:t>
      </w:r>
    </w:p>
    <w:p w:rsidR="0062274E" w:rsidRPr="0008017A" w:rsidRDefault="000A19C5" w:rsidP="0062274E">
      <w:pPr>
        <w:pStyle w:val="BodyText"/>
        <w:rPr>
          <w:lang w:val="en-US"/>
        </w:rPr>
      </w:pPr>
      <w:r>
        <w:rPr>
          <w:lang w:val="en-US"/>
        </w:rPr>
        <w:t>For</w:t>
      </w:r>
      <w:r w:rsidR="0062274E" w:rsidRPr="0008017A">
        <w:rPr>
          <w:lang w:val="en-US"/>
        </w:rPr>
        <w:t xml:space="preserve"> agvet </w:t>
      </w:r>
      <w:r w:rsidR="008768AF">
        <w:rPr>
          <w:lang w:val="en-US"/>
        </w:rPr>
        <w:t xml:space="preserve">chemical </w:t>
      </w:r>
      <w:r w:rsidR="0062274E" w:rsidRPr="0008017A">
        <w:rPr>
          <w:lang w:val="en-US"/>
        </w:rPr>
        <w:t xml:space="preserve">products, up to </w:t>
      </w:r>
      <w:r w:rsidR="0062274E">
        <w:rPr>
          <w:lang w:val="en-US"/>
        </w:rPr>
        <w:t>1</w:t>
      </w:r>
      <w:r w:rsidR="000C7DA4">
        <w:rPr>
          <w:lang w:val="en-US"/>
        </w:rPr>
        <w:t>0</w:t>
      </w:r>
      <w:r w:rsidR="0062274E">
        <w:rPr>
          <w:lang w:val="en-US"/>
        </w:rPr>
        <w:t xml:space="preserve"> yea</w:t>
      </w:r>
      <w:r w:rsidR="0062274E" w:rsidRPr="004239B4">
        <w:rPr>
          <w:lang w:val="en-US"/>
        </w:rPr>
        <w:t>rs</w:t>
      </w:r>
      <w:r w:rsidR="0062274E" w:rsidRPr="0008017A">
        <w:rPr>
          <w:lang w:val="en-US"/>
        </w:rPr>
        <w:t xml:space="preserve"> </w:t>
      </w:r>
      <w:r w:rsidR="0062274E">
        <w:rPr>
          <w:lang w:val="en-US"/>
        </w:rPr>
        <w:t xml:space="preserve">data </w:t>
      </w:r>
      <w:r w:rsidR="000C7DA4">
        <w:rPr>
          <w:lang w:val="en-US"/>
        </w:rPr>
        <w:t>protection</w:t>
      </w:r>
      <w:r w:rsidR="0062274E">
        <w:rPr>
          <w:lang w:val="en-US"/>
        </w:rPr>
        <w:t xml:space="preserve"> is provided </w:t>
      </w:r>
      <w:r w:rsidR="0062274E" w:rsidRPr="0008017A">
        <w:rPr>
          <w:lang w:val="en-US"/>
        </w:rPr>
        <w:t xml:space="preserve">in relation to an application to register a new active constituent (i.e. an active constituent that was not a previously endorsed active constituent at the time of registration), or a product containing a new active constituent, where that product has been accepted for evaluation before the active </w:t>
      </w:r>
      <w:r w:rsidR="0062274E">
        <w:rPr>
          <w:lang w:val="en-US"/>
        </w:rPr>
        <w:t xml:space="preserve">ingredient </w:t>
      </w:r>
      <w:r w:rsidR="0062274E" w:rsidRPr="0008017A">
        <w:rPr>
          <w:lang w:val="en-US"/>
        </w:rPr>
        <w:t xml:space="preserve">had been </w:t>
      </w:r>
      <w:r w:rsidR="0062274E">
        <w:rPr>
          <w:lang w:val="en-US"/>
        </w:rPr>
        <w:t>approved:</w:t>
      </w:r>
    </w:p>
    <w:p w:rsidR="0062274E" w:rsidRPr="0008017A" w:rsidRDefault="0062274E" w:rsidP="009F3AE6">
      <w:pPr>
        <w:pStyle w:val="ListBullet"/>
        <w:rPr>
          <w:lang w:val="en-US"/>
        </w:rPr>
      </w:pPr>
      <w:r w:rsidRPr="000A19C5">
        <w:rPr>
          <w:b/>
          <w:lang w:val="en-US"/>
        </w:rPr>
        <w:t xml:space="preserve">five years </w:t>
      </w:r>
      <w:r w:rsidRPr="0008017A">
        <w:rPr>
          <w:lang w:val="en-US"/>
        </w:rPr>
        <w:t xml:space="preserve">in relation to the approval to register another </w:t>
      </w:r>
      <w:r w:rsidRPr="00B50A70">
        <w:rPr>
          <w:i/>
          <w:lang w:val="en-US"/>
        </w:rPr>
        <w:t>agricultural</w:t>
      </w:r>
      <w:r w:rsidRPr="0008017A">
        <w:rPr>
          <w:lang w:val="en-US"/>
        </w:rPr>
        <w:t xml:space="preserve"> </w:t>
      </w:r>
      <w:r w:rsidR="00B50A70">
        <w:rPr>
          <w:lang w:val="en-US"/>
        </w:rPr>
        <w:t xml:space="preserve">chemical </w:t>
      </w:r>
      <w:r w:rsidRPr="0008017A">
        <w:rPr>
          <w:lang w:val="en-US"/>
        </w:rPr>
        <w:t>product</w:t>
      </w:r>
      <w:r w:rsidR="00B50A70">
        <w:rPr>
          <w:lang w:val="en-US"/>
        </w:rPr>
        <w:t xml:space="preserve"> based on an approved active</w:t>
      </w:r>
      <w:r w:rsidRPr="0008017A">
        <w:rPr>
          <w:lang w:val="en-US"/>
        </w:rPr>
        <w:t xml:space="preserve">, or registration variations in relation to </w:t>
      </w:r>
      <w:r w:rsidR="00B50A70">
        <w:rPr>
          <w:lang w:val="en-US"/>
        </w:rPr>
        <w:t>such a product</w:t>
      </w:r>
      <w:r w:rsidRPr="0008017A">
        <w:rPr>
          <w:lang w:val="en-US"/>
        </w:rPr>
        <w:t>, such as labelling</w:t>
      </w:r>
    </w:p>
    <w:p w:rsidR="0062274E" w:rsidRPr="0008017A" w:rsidRDefault="0062274E" w:rsidP="009F3AE6">
      <w:pPr>
        <w:pStyle w:val="ListBullet"/>
        <w:rPr>
          <w:lang w:val="en-US"/>
        </w:rPr>
      </w:pPr>
      <w:r w:rsidRPr="000A19C5">
        <w:rPr>
          <w:b/>
          <w:lang w:val="en-US"/>
        </w:rPr>
        <w:t>three years</w:t>
      </w:r>
      <w:r w:rsidRPr="0008017A">
        <w:rPr>
          <w:lang w:val="en-US"/>
        </w:rPr>
        <w:t xml:space="preserve"> in relation to the approval to register another </w:t>
      </w:r>
      <w:r w:rsidRPr="00B50A70">
        <w:rPr>
          <w:i/>
          <w:lang w:val="en-US"/>
        </w:rPr>
        <w:t>veterinary</w:t>
      </w:r>
      <w:r w:rsidRPr="0008017A">
        <w:rPr>
          <w:lang w:val="en-US"/>
        </w:rPr>
        <w:t xml:space="preserve"> chemical product, or registration variations in relation to a veterinary chemical product, such as labelling.</w:t>
      </w:r>
    </w:p>
    <w:p w:rsidR="009F3AE6" w:rsidRDefault="0062274E" w:rsidP="0062274E">
      <w:pPr>
        <w:pStyle w:val="BodyText"/>
        <w:rPr>
          <w:lang w:val="en-US"/>
        </w:rPr>
      </w:pPr>
      <w:r>
        <w:rPr>
          <w:lang w:val="en-US"/>
        </w:rPr>
        <w:t xml:space="preserve">The period of data </w:t>
      </w:r>
      <w:r w:rsidR="000C7DA4">
        <w:rPr>
          <w:lang w:val="en-US"/>
        </w:rPr>
        <w:t>protection</w:t>
      </w:r>
      <w:r>
        <w:rPr>
          <w:lang w:val="en-US"/>
        </w:rPr>
        <w:t xml:space="preserve"> commences from the date on which the new product is registered. The effect is that generic competitors </w:t>
      </w:r>
      <w:r w:rsidR="00B50A70">
        <w:rPr>
          <w:lang w:val="en-US"/>
        </w:rPr>
        <w:t>are</w:t>
      </w:r>
      <w:r>
        <w:rPr>
          <w:lang w:val="en-US"/>
        </w:rPr>
        <w:t xml:space="preserve"> blocked for the period of </w:t>
      </w:r>
      <w:r w:rsidR="000C7DA4">
        <w:rPr>
          <w:lang w:val="en-US"/>
        </w:rPr>
        <w:t>protection</w:t>
      </w:r>
      <w:r>
        <w:rPr>
          <w:lang w:val="en-US"/>
        </w:rPr>
        <w:t xml:space="preserve"> from using an innovator company's data in support of their own application for approval of an equivalent product.</w:t>
      </w:r>
    </w:p>
    <w:p w:rsidR="0062274E" w:rsidRDefault="0062274E" w:rsidP="0062274E">
      <w:pPr>
        <w:pStyle w:val="BodyText"/>
        <w:rPr>
          <w:lang w:val="en-US"/>
        </w:rPr>
      </w:pPr>
      <w:r>
        <w:rPr>
          <w:lang w:val="en-US"/>
        </w:rPr>
        <w:t xml:space="preserve">In relation to human pharmaceuticals, the </w:t>
      </w:r>
      <w:r w:rsidR="005835E9">
        <w:t>Productivity Commission</w:t>
      </w:r>
      <w:r w:rsidR="005835E9">
        <w:rPr>
          <w:rStyle w:val="FootnoteReference"/>
          <w:lang w:val="en-US"/>
        </w:rPr>
        <w:t xml:space="preserve"> </w:t>
      </w:r>
      <w:r>
        <w:rPr>
          <w:rStyle w:val="FootnoteReference"/>
          <w:lang w:val="en-US"/>
        </w:rPr>
        <w:footnoteReference w:id="49"/>
      </w:r>
      <w:r>
        <w:rPr>
          <w:lang w:val="en-US"/>
        </w:rPr>
        <w:t xml:space="preserve"> noted that </w:t>
      </w:r>
      <w:r w:rsidRPr="00E3231A">
        <w:rPr>
          <w:lang w:val="en-US"/>
        </w:rPr>
        <w:t>confidential data submitted in support of regulatory approval processes are protected for a period of five years</w:t>
      </w:r>
      <w:r>
        <w:rPr>
          <w:lang w:val="en-US"/>
        </w:rPr>
        <w:t xml:space="preserve"> and that p</w:t>
      </w:r>
      <w:r w:rsidRPr="00E3231A">
        <w:rPr>
          <w:lang w:val="en-US"/>
        </w:rPr>
        <w:t>harmaceutical companies ha</w:t>
      </w:r>
      <w:r>
        <w:rPr>
          <w:lang w:val="en-US"/>
        </w:rPr>
        <w:t>d</w:t>
      </w:r>
      <w:r w:rsidRPr="00E3231A">
        <w:rPr>
          <w:lang w:val="en-US"/>
        </w:rPr>
        <w:t xml:space="preserve"> pressed the Australian Government to extend the duration of data protection. The</w:t>
      </w:r>
      <w:r w:rsidR="00713C3C">
        <w:rPr>
          <w:lang w:val="en-US"/>
        </w:rPr>
        <w:t xml:space="preserve"> companies</w:t>
      </w:r>
      <w:r w:rsidRPr="00E3231A">
        <w:rPr>
          <w:lang w:val="en-US"/>
        </w:rPr>
        <w:t xml:space="preserve"> view data protection as an insurance policy to guard against what they see as inadequate patent protection.</w:t>
      </w:r>
      <w:r>
        <w:rPr>
          <w:lang w:val="en-US"/>
        </w:rPr>
        <w:t xml:space="preserve"> </w:t>
      </w:r>
      <w:r w:rsidR="00B50A70">
        <w:rPr>
          <w:lang w:val="en-US"/>
        </w:rPr>
        <w:t>T</w:t>
      </w:r>
      <w:r>
        <w:rPr>
          <w:lang w:val="en-US"/>
        </w:rPr>
        <w:t xml:space="preserve">he </w:t>
      </w:r>
      <w:r w:rsidR="005835E9">
        <w:t>Productivity Commission</w:t>
      </w:r>
      <w:r>
        <w:rPr>
          <w:lang w:val="en-US"/>
        </w:rPr>
        <w:t xml:space="preserve"> found </w:t>
      </w:r>
      <w:r w:rsidRPr="00E3231A">
        <w:rPr>
          <w:lang w:val="en-US"/>
        </w:rPr>
        <w:t xml:space="preserve">little evidence </w:t>
      </w:r>
      <w:r>
        <w:rPr>
          <w:lang w:val="en-US"/>
        </w:rPr>
        <w:t>to support this complaint</w:t>
      </w:r>
      <w:r w:rsidRPr="00E3231A">
        <w:rPr>
          <w:lang w:val="en-US"/>
        </w:rPr>
        <w:t xml:space="preserve">. Even if isolated cases </w:t>
      </w:r>
      <w:r>
        <w:rPr>
          <w:lang w:val="en-US"/>
        </w:rPr>
        <w:t>could be verified</w:t>
      </w:r>
      <w:r w:rsidRPr="00E3231A">
        <w:rPr>
          <w:lang w:val="en-US"/>
        </w:rPr>
        <w:t xml:space="preserve">, extending protection to a broad class of products to address exceptional cases would represent a blunt and costly response. </w:t>
      </w:r>
    </w:p>
    <w:p w:rsidR="008768AF" w:rsidRPr="009F036F" w:rsidRDefault="008768AF" w:rsidP="008768AF">
      <w:pPr>
        <w:pStyle w:val="BodyText"/>
        <w:rPr>
          <w:lang w:val="en-US"/>
        </w:rPr>
      </w:pPr>
      <w:r w:rsidRPr="009F036F">
        <w:rPr>
          <w:lang w:val="en-US"/>
        </w:rPr>
        <w:t xml:space="preserve">In consultations for this report, the </w:t>
      </w:r>
      <w:r w:rsidRPr="009F036F">
        <w:t xml:space="preserve">Productivity Commission has suggested </w:t>
      </w:r>
      <w:r w:rsidRPr="009F036F">
        <w:rPr>
          <w:lang w:val="en-US"/>
        </w:rPr>
        <w:t xml:space="preserve">that using data protection as a proxy for patent protection has drawbacks. Beyond the obvious absence of disclosure of information to promote further innovation, data protection lacks other important balances that apply to patents. Data protection arises automatically and cannot be challenged in court. </w:t>
      </w:r>
    </w:p>
    <w:p w:rsidR="0062274E" w:rsidRDefault="0062274E" w:rsidP="0062274E">
      <w:pPr>
        <w:pStyle w:val="Heading3"/>
        <w:rPr>
          <w:lang w:val="en-US"/>
        </w:rPr>
      </w:pPr>
      <w:r>
        <w:rPr>
          <w:lang w:val="en-US"/>
        </w:rPr>
        <w:t>The European Union</w:t>
      </w:r>
    </w:p>
    <w:p w:rsidR="0062274E" w:rsidRPr="003A6273" w:rsidRDefault="0062274E" w:rsidP="0062274E">
      <w:pPr>
        <w:pStyle w:val="BodyText"/>
        <w:rPr>
          <w:lang w:val="en-US"/>
        </w:rPr>
      </w:pPr>
      <w:r>
        <w:rPr>
          <w:lang w:val="en-US"/>
        </w:rPr>
        <w:t>T</w:t>
      </w:r>
      <w:r w:rsidRPr="003A6273">
        <w:rPr>
          <w:lang w:val="en-US"/>
        </w:rPr>
        <w:t>he EU adopted new pharmaceutical legislation under Directive</w:t>
      </w:r>
      <w:r>
        <w:rPr>
          <w:lang w:val="en-US"/>
        </w:rPr>
        <w:t xml:space="preserve"> </w:t>
      </w:r>
      <w:r w:rsidRPr="003A6273">
        <w:rPr>
          <w:lang w:val="en-US"/>
        </w:rPr>
        <w:t xml:space="preserve">2004/27/EC </w:t>
      </w:r>
      <w:r>
        <w:rPr>
          <w:lang w:val="en-US"/>
        </w:rPr>
        <w:t xml:space="preserve">on 31 March 2004 </w:t>
      </w:r>
      <w:r w:rsidRPr="003A6273">
        <w:rPr>
          <w:lang w:val="en-US"/>
        </w:rPr>
        <w:t>and introduced a new data exclusivity system for original medicines. The</w:t>
      </w:r>
      <w:r>
        <w:rPr>
          <w:lang w:val="en-US"/>
        </w:rPr>
        <w:t xml:space="preserve"> </w:t>
      </w:r>
      <w:r w:rsidRPr="003A6273">
        <w:rPr>
          <w:lang w:val="en-US"/>
        </w:rPr>
        <w:t xml:space="preserve">new system introduces a period of data exclusivity of </w:t>
      </w:r>
      <w:r>
        <w:rPr>
          <w:lang w:val="en-US"/>
        </w:rPr>
        <w:t>eight</w:t>
      </w:r>
      <w:r w:rsidRPr="003A6273">
        <w:rPr>
          <w:lang w:val="en-US"/>
        </w:rPr>
        <w:t xml:space="preserve"> years (protecting against filing</w:t>
      </w:r>
      <w:r>
        <w:rPr>
          <w:lang w:val="en-US"/>
        </w:rPr>
        <w:t xml:space="preserve"> </w:t>
      </w:r>
      <w:r w:rsidRPr="003A6273">
        <w:rPr>
          <w:lang w:val="en-US"/>
        </w:rPr>
        <w:t xml:space="preserve">of a generic application), and then an additional </w:t>
      </w:r>
      <w:r>
        <w:rPr>
          <w:lang w:val="en-US"/>
        </w:rPr>
        <w:t>two</w:t>
      </w:r>
      <w:r w:rsidRPr="003A6273">
        <w:rPr>
          <w:lang w:val="en-US"/>
        </w:rPr>
        <w:t xml:space="preserve"> year </w:t>
      </w:r>
      <w:r w:rsidR="0064164D">
        <w:rPr>
          <w:lang w:val="en-US"/>
        </w:rPr>
        <w:t xml:space="preserve">marketing </w:t>
      </w:r>
      <w:r w:rsidRPr="003A6273">
        <w:rPr>
          <w:lang w:val="en-US"/>
        </w:rPr>
        <w:t>exclusivity provision (protecting</w:t>
      </w:r>
      <w:r>
        <w:rPr>
          <w:lang w:val="en-US"/>
        </w:rPr>
        <w:t xml:space="preserve"> </w:t>
      </w:r>
      <w:r w:rsidRPr="003A6273">
        <w:rPr>
          <w:lang w:val="en-US"/>
        </w:rPr>
        <w:t>against marketing of the generic). This effective 10-year exclusivity period can be extended</w:t>
      </w:r>
      <w:r>
        <w:rPr>
          <w:lang w:val="en-US"/>
        </w:rPr>
        <w:t xml:space="preserve"> </w:t>
      </w:r>
      <w:r w:rsidRPr="003A6273">
        <w:rPr>
          <w:lang w:val="en-US"/>
        </w:rPr>
        <w:t>by an additional one year if, during the first eight of those ten years, the marketing</w:t>
      </w:r>
      <w:r>
        <w:rPr>
          <w:lang w:val="en-US"/>
        </w:rPr>
        <w:t xml:space="preserve"> </w:t>
      </w:r>
      <w:r w:rsidRPr="003A6273">
        <w:rPr>
          <w:lang w:val="en-US"/>
        </w:rPr>
        <w:t>authori</w:t>
      </w:r>
      <w:r>
        <w:rPr>
          <w:lang w:val="en-US"/>
        </w:rPr>
        <w:t>s</w:t>
      </w:r>
      <w:r w:rsidRPr="003A6273">
        <w:rPr>
          <w:lang w:val="en-US"/>
        </w:rPr>
        <w:t>ation holder obtains an authori</w:t>
      </w:r>
      <w:r>
        <w:rPr>
          <w:lang w:val="en-US"/>
        </w:rPr>
        <w:t>s</w:t>
      </w:r>
      <w:r w:rsidRPr="003A6273">
        <w:rPr>
          <w:lang w:val="en-US"/>
        </w:rPr>
        <w:t>ation for one or more new therapeutic indications</w:t>
      </w:r>
      <w:r>
        <w:rPr>
          <w:lang w:val="en-US"/>
        </w:rPr>
        <w:t xml:space="preserve"> </w:t>
      </w:r>
      <w:r w:rsidRPr="003A6273">
        <w:rPr>
          <w:lang w:val="en-US"/>
        </w:rPr>
        <w:t>which are held to bring a significant clinical benefit in comparison with existing therapies.</w:t>
      </w:r>
      <w:r>
        <w:rPr>
          <w:lang w:val="en-US"/>
        </w:rPr>
        <w:t xml:space="preserve"> </w:t>
      </w:r>
      <w:r w:rsidRPr="003A6273">
        <w:rPr>
          <w:lang w:val="en-US"/>
        </w:rPr>
        <w:t>This is referred to as the 8+2+1 formula and is applicable in all EU and EEA Member States</w:t>
      </w:r>
      <w:r>
        <w:rPr>
          <w:lang w:val="en-US"/>
        </w:rPr>
        <w:t xml:space="preserve"> </w:t>
      </w:r>
      <w:r w:rsidRPr="003A6273">
        <w:rPr>
          <w:lang w:val="en-US"/>
        </w:rPr>
        <w:t>for innovative products for which application</w:t>
      </w:r>
      <w:r>
        <w:rPr>
          <w:lang w:val="en-US"/>
        </w:rPr>
        <w:t>s</w:t>
      </w:r>
      <w:r w:rsidRPr="003A6273">
        <w:rPr>
          <w:lang w:val="en-US"/>
        </w:rPr>
        <w:t xml:space="preserve"> for marketing authori</w:t>
      </w:r>
      <w:r>
        <w:rPr>
          <w:lang w:val="en-US"/>
        </w:rPr>
        <w:t>s</w:t>
      </w:r>
      <w:r w:rsidRPr="003A6273">
        <w:rPr>
          <w:lang w:val="en-US"/>
        </w:rPr>
        <w:t xml:space="preserve">ation </w:t>
      </w:r>
      <w:r>
        <w:rPr>
          <w:lang w:val="en-US"/>
        </w:rPr>
        <w:t xml:space="preserve">have been sought since </w:t>
      </w:r>
      <w:r w:rsidRPr="003A6273">
        <w:rPr>
          <w:lang w:val="en-US"/>
        </w:rPr>
        <w:t>October</w:t>
      </w:r>
      <w:r w:rsidR="006E37B2">
        <w:rPr>
          <w:lang w:val="en-US"/>
        </w:rPr>
        <w:t xml:space="preserve"> </w:t>
      </w:r>
      <w:r>
        <w:rPr>
          <w:lang w:val="en-US"/>
        </w:rPr>
        <w:t>/</w:t>
      </w:r>
      <w:r w:rsidR="006E37B2">
        <w:rPr>
          <w:lang w:val="en-US"/>
        </w:rPr>
        <w:t xml:space="preserve"> </w:t>
      </w:r>
      <w:r w:rsidRPr="003A6273">
        <w:rPr>
          <w:lang w:val="en-US"/>
        </w:rPr>
        <w:t>November 2005.</w:t>
      </w:r>
      <w:r>
        <w:rPr>
          <w:lang w:val="en-US"/>
        </w:rPr>
        <w:t xml:space="preserve"> </w:t>
      </w:r>
      <w:r w:rsidRPr="00294505">
        <w:rPr>
          <w:lang w:val="en-US"/>
        </w:rPr>
        <w:t>Article 14.11 of Regulation 726/2004</w:t>
      </w:r>
      <w:r>
        <w:rPr>
          <w:rStyle w:val="FootnoteReference"/>
          <w:lang w:val="en-US"/>
        </w:rPr>
        <w:footnoteReference w:id="50"/>
      </w:r>
      <w:r w:rsidRPr="00294505">
        <w:rPr>
          <w:lang w:val="en-US"/>
        </w:rPr>
        <w:t xml:space="preserve"> applies to products submitted</w:t>
      </w:r>
      <w:r>
        <w:rPr>
          <w:lang w:val="en-US"/>
        </w:rPr>
        <w:t xml:space="preserve"> </w:t>
      </w:r>
      <w:r w:rsidRPr="00294505">
        <w:rPr>
          <w:lang w:val="en-US"/>
        </w:rPr>
        <w:t>for approval via the Centrali</w:t>
      </w:r>
      <w:r>
        <w:rPr>
          <w:lang w:val="en-US"/>
        </w:rPr>
        <w:t>s</w:t>
      </w:r>
      <w:r w:rsidRPr="00294505">
        <w:rPr>
          <w:lang w:val="en-US"/>
        </w:rPr>
        <w:t>ed Authori</w:t>
      </w:r>
      <w:r>
        <w:rPr>
          <w:lang w:val="en-US"/>
        </w:rPr>
        <w:t>s</w:t>
      </w:r>
      <w:r w:rsidRPr="00294505">
        <w:rPr>
          <w:lang w:val="en-US"/>
        </w:rPr>
        <w:t>ation Procedure</w:t>
      </w:r>
      <w:r>
        <w:rPr>
          <w:lang w:val="en-US"/>
        </w:rPr>
        <w:t xml:space="preserve">. </w:t>
      </w:r>
      <w:r w:rsidRPr="00294505">
        <w:rPr>
          <w:lang w:val="en-US"/>
        </w:rPr>
        <w:t>Article 10.1 &amp; 10.5 of Directive 2001/83</w:t>
      </w:r>
      <w:r>
        <w:rPr>
          <w:rStyle w:val="FootnoteReference"/>
          <w:lang w:val="en-US"/>
        </w:rPr>
        <w:footnoteReference w:id="51"/>
      </w:r>
      <w:r w:rsidRPr="00294505">
        <w:rPr>
          <w:lang w:val="en-US"/>
        </w:rPr>
        <w:t xml:space="preserve"> applies to products submitted</w:t>
      </w:r>
      <w:r>
        <w:rPr>
          <w:lang w:val="en-US"/>
        </w:rPr>
        <w:t xml:space="preserve"> </w:t>
      </w:r>
      <w:r w:rsidRPr="00294505">
        <w:rPr>
          <w:lang w:val="en-US"/>
        </w:rPr>
        <w:t>for approval via the Mutual Recognition Procedure, National Approval</w:t>
      </w:r>
      <w:r>
        <w:rPr>
          <w:lang w:val="en-US"/>
        </w:rPr>
        <w:t xml:space="preserve"> </w:t>
      </w:r>
      <w:r w:rsidRPr="00294505">
        <w:rPr>
          <w:lang w:val="en-US"/>
        </w:rPr>
        <w:t>Procedure or Decentrali</w:t>
      </w:r>
      <w:r>
        <w:rPr>
          <w:lang w:val="en-US"/>
        </w:rPr>
        <w:t>s</w:t>
      </w:r>
      <w:r w:rsidRPr="00294505">
        <w:rPr>
          <w:lang w:val="en-US"/>
        </w:rPr>
        <w:t>ed Approval Procedure</w:t>
      </w:r>
      <w:r>
        <w:rPr>
          <w:lang w:val="en-US"/>
        </w:rPr>
        <w:t>.</w:t>
      </w:r>
    </w:p>
    <w:p w:rsidR="0062274E" w:rsidRDefault="0062274E" w:rsidP="0062274E">
      <w:pPr>
        <w:pStyle w:val="BodyText"/>
        <w:rPr>
          <w:lang w:val="en-US"/>
        </w:rPr>
      </w:pPr>
      <w:r w:rsidRPr="003A6273">
        <w:rPr>
          <w:lang w:val="en-US"/>
        </w:rPr>
        <w:t xml:space="preserve">For the protection of innovative products </w:t>
      </w:r>
      <w:r>
        <w:rPr>
          <w:lang w:val="en-US"/>
        </w:rPr>
        <w:t>for which the marketing authoris</w:t>
      </w:r>
      <w:r w:rsidRPr="003A6273">
        <w:rPr>
          <w:lang w:val="en-US"/>
        </w:rPr>
        <w:t>ation was</w:t>
      </w:r>
      <w:r>
        <w:rPr>
          <w:lang w:val="en-US"/>
        </w:rPr>
        <w:t xml:space="preserve"> </w:t>
      </w:r>
      <w:r w:rsidRPr="003A6273">
        <w:rPr>
          <w:lang w:val="en-US"/>
        </w:rPr>
        <w:t xml:space="preserve">submitted to national authorities before </w:t>
      </w:r>
      <w:r w:rsidR="00713C3C">
        <w:rPr>
          <w:lang w:val="en-US"/>
        </w:rPr>
        <w:t xml:space="preserve">30 </w:t>
      </w:r>
      <w:r w:rsidRPr="003A6273">
        <w:rPr>
          <w:lang w:val="en-US"/>
        </w:rPr>
        <w:t>October 2005, the Member States could</w:t>
      </w:r>
      <w:r>
        <w:rPr>
          <w:lang w:val="en-US"/>
        </w:rPr>
        <w:t xml:space="preserve"> </w:t>
      </w:r>
      <w:r w:rsidRPr="003A6273">
        <w:rPr>
          <w:lang w:val="en-US"/>
        </w:rPr>
        <w:t>choose between a period of data exclusivity (protecting against filing of a generic</w:t>
      </w:r>
      <w:r>
        <w:rPr>
          <w:lang w:val="en-US"/>
        </w:rPr>
        <w:t xml:space="preserve"> </w:t>
      </w:r>
      <w:r w:rsidRPr="003A6273">
        <w:rPr>
          <w:lang w:val="en-US"/>
        </w:rPr>
        <w:t>application) of ten years, six years, or six years but limited to the duration of the patent</w:t>
      </w:r>
      <w:r>
        <w:rPr>
          <w:lang w:val="en-US"/>
        </w:rPr>
        <w:t xml:space="preserve"> </w:t>
      </w:r>
      <w:r w:rsidRPr="003A6273">
        <w:rPr>
          <w:lang w:val="en-US"/>
        </w:rPr>
        <w:t>protecting the product.</w:t>
      </w:r>
      <w:r>
        <w:rPr>
          <w:rStyle w:val="FootnoteReference"/>
          <w:lang w:val="en-US"/>
        </w:rPr>
        <w:footnoteReference w:id="52"/>
      </w:r>
      <w:r w:rsidRPr="003A6273">
        <w:rPr>
          <w:lang w:val="en-US"/>
        </w:rPr>
        <w:t xml:space="preserve"> Products approved by the E</w:t>
      </w:r>
      <w:r>
        <w:rPr>
          <w:lang w:val="en-US"/>
        </w:rPr>
        <w:t>uropean Medicines Agency</w:t>
      </w:r>
      <w:r w:rsidRPr="003A6273">
        <w:rPr>
          <w:lang w:val="en-US"/>
        </w:rPr>
        <w:t xml:space="preserve"> and European Commission</w:t>
      </w:r>
      <w:r>
        <w:rPr>
          <w:lang w:val="en-US"/>
        </w:rPr>
        <w:t xml:space="preserve"> </w:t>
      </w:r>
      <w:r w:rsidRPr="003A6273">
        <w:rPr>
          <w:lang w:val="en-US"/>
        </w:rPr>
        <w:t>under the centrali</w:t>
      </w:r>
      <w:r>
        <w:rPr>
          <w:lang w:val="en-US"/>
        </w:rPr>
        <w:t>s</w:t>
      </w:r>
      <w:r w:rsidRPr="003A6273">
        <w:rPr>
          <w:lang w:val="en-US"/>
        </w:rPr>
        <w:t xml:space="preserve">ed procedure on the basis of an application for marketing </w:t>
      </w:r>
      <w:r w:rsidR="0064164D">
        <w:rPr>
          <w:lang w:val="en-US"/>
        </w:rPr>
        <w:t>authoris</w:t>
      </w:r>
      <w:r w:rsidRPr="003A6273">
        <w:rPr>
          <w:lang w:val="en-US"/>
        </w:rPr>
        <w:t>ation</w:t>
      </w:r>
      <w:r>
        <w:rPr>
          <w:lang w:val="en-US"/>
        </w:rPr>
        <w:t xml:space="preserve"> </w:t>
      </w:r>
      <w:r w:rsidRPr="003A6273">
        <w:rPr>
          <w:lang w:val="en-US"/>
        </w:rPr>
        <w:t xml:space="preserve">submitted before </w:t>
      </w:r>
      <w:r w:rsidR="00713C3C">
        <w:rPr>
          <w:lang w:val="en-US"/>
        </w:rPr>
        <w:t xml:space="preserve">20 </w:t>
      </w:r>
      <w:r w:rsidRPr="003A6273">
        <w:rPr>
          <w:lang w:val="en-US"/>
        </w:rPr>
        <w:t>November 2005 benefit from ten years of data exclusivity (protecting</w:t>
      </w:r>
      <w:r>
        <w:rPr>
          <w:lang w:val="en-US"/>
        </w:rPr>
        <w:t xml:space="preserve"> </w:t>
      </w:r>
      <w:r w:rsidRPr="003A6273">
        <w:rPr>
          <w:lang w:val="en-US"/>
        </w:rPr>
        <w:t>against filing of a generic application). Ten years of data exclusivity provides protection</w:t>
      </w:r>
      <w:r>
        <w:rPr>
          <w:lang w:val="en-US"/>
        </w:rPr>
        <w:t xml:space="preserve"> </w:t>
      </w:r>
      <w:r w:rsidRPr="003A6273">
        <w:rPr>
          <w:lang w:val="en-US"/>
        </w:rPr>
        <w:t>against generic competition for a period equal to ten years plus the review time needed to</w:t>
      </w:r>
      <w:r>
        <w:rPr>
          <w:lang w:val="en-US"/>
        </w:rPr>
        <w:t xml:space="preserve"> </w:t>
      </w:r>
      <w:r w:rsidRPr="003A6273">
        <w:rPr>
          <w:lang w:val="en-US"/>
        </w:rPr>
        <w:t>approve the generic product.</w:t>
      </w:r>
    </w:p>
    <w:p w:rsidR="0062274E" w:rsidRDefault="0080134D" w:rsidP="0062274E">
      <w:pPr>
        <w:pStyle w:val="Heading3"/>
        <w:rPr>
          <w:lang w:val="en-US"/>
        </w:rPr>
      </w:pPr>
      <w:r>
        <w:rPr>
          <w:lang w:val="en-US"/>
        </w:rPr>
        <w:t xml:space="preserve">The </w:t>
      </w:r>
      <w:r w:rsidR="0062274E">
        <w:rPr>
          <w:lang w:val="en-US"/>
        </w:rPr>
        <w:t>United State</w:t>
      </w:r>
      <w:r w:rsidR="000C7DA4">
        <w:rPr>
          <w:lang w:val="en-US"/>
        </w:rPr>
        <w:t>s</w:t>
      </w:r>
    </w:p>
    <w:p w:rsidR="0062274E" w:rsidRDefault="0062274E" w:rsidP="003C0F73">
      <w:pPr>
        <w:pStyle w:val="BodyText"/>
      </w:pPr>
      <w:r>
        <w:t xml:space="preserve">In the </w:t>
      </w:r>
      <w:r w:rsidR="002516F8">
        <w:t>USA</w:t>
      </w:r>
      <w:r>
        <w:t xml:space="preserve">, </w:t>
      </w:r>
      <w:r w:rsidR="0064164D">
        <w:t xml:space="preserve">under </w:t>
      </w:r>
      <w:r>
        <w:t>the Hatch-Waxman legislation, generic manufacturers were given the benefit of earlier market entry possibilities in exchange for pioneer companies able to retrieve some of the years of valuable patent life lost due to the regulatory approval process. Basically, data exclusivity is available for five or 12 years.</w:t>
      </w:r>
      <w:r w:rsidR="003C0F73">
        <w:t xml:space="preserve"> </w:t>
      </w:r>
      <w:r>
        <w:t xml:space="preserve">Data exclusivity is provided under the </w:t>
      </w:r>
      <w:r w:rsidRPr="00043662">
        <w:rPr>
          <w:i/>
        </w:rPr>
        <w:t>Federal Food, Drug, and Cosmetic Act</w:t>
      </w:r>
      <w:r>
        <w:t xml:space="preserve">, Section 505 [21 U.S.C. 355] (c) (3)(F) subject to numerous very complex conditions, and the </w:t>
      </w:r>
      <w:r w:rsidRPr="00043662">
        <w:rPr>
          <w:i/>
        </w:rPr>
        <w:t>Public Health Service Act</w:t>
      </w:r>
      <w:r>
        <w:t>, Section 351 (42 U.S.C. 262) (k)(7) which provides data exclusivity for reference products, again under a complex set of conditions. For more information see I</w:t>
      </w:r>
      <w:r w:rsidR="00043662">
        <w:t>nternational Federation of Pharmaceutical Manufacturers and Associations (FPMA)</w:t>
      </w:r>
      <w:r>
        <w:t>.</w:t>
      </w:r>
      <w:r>
        <w:rPr>
          <w:rStyle w:val="FootnoteReference"/>
        </w:rPr>
        <w:footnoteReference w:id="53"/>
      </w:r>
    </w:p>
    <w:p w:rsidR="0062274E" w:rsidRDefault="0062274E" w:rsidP="0062274E">
      <w:pPr>
        <w:pStyle w:val="Heading3"/>
      </w:pPr>
      <w:r>
        <w:t>Canada</w:t>
      </w:r>
    </w:p>
    <w:p w:rsidR="0062274E" w:rsidRDefault="0062274E" w:rsidP="0062274E">
      <w:pPr>
        <w:pStyle w:val="BodyText"/>
      </w:pPr>
      <w:r>
        <w:t xml:space="preserve">The amendments to Section C.08.004.1 of the Food and Drug Regulations ("Regulations") are intended to provide new drugs with an internationally competitive, guaranteed minimum period of market exclusivity of eight years. An additional six month period of data protection is available for innovative drugs that have been the subject of clinical trials designed and conducted for the purpose of increasing the knowledge of the behaviour of the drug in </w:t>
      </w:r>
      <w:r w:rsidR="00A60CF0">
        <w:t>paediatric</w:t>
      </w:r>
      <w:r>
        <w:t xml:space="preserve"> populations.</w:t>
      </w:r>
    </w:p>
    <w:p w:rsidR="0062274E" w:rsidRDefault="0062274E" w:rsidP="0062274E">
      <w:pPr>
        <w:pStyle w:val="BodyText"/>
      </w:pPr>
      <w:r>
        <w:t>The amendments were intended to clarify and effectively implement Canada's North American Free Trade Agreement (NAFTA) and the Trade-Related Aspects of Intellectual Property Rights (TRIPS) obligations with respect to the protection of undisclosed test or other data necessary to determine the safety and effectiveness of a pharmaceutical or agricultural product which utilises a new chemical entity.</w:t>
      </w:r>
      <w:r>
        <w:rPr>
          <w:rStyle w:val="FootnoteReference"/>
        </w:rPr>
        <w:footnoteReference w:id="54"/>
      </w:r>
    </w:p>
    <w:p w:rsidR="0062274E" w:rsidRDefault="0062274E" w:rsidP="0062274E">
      <w:pPr>
        <w:pStyle w:val="BodyText"/>
      </w:pPr>
      <w:r>
        <w:t>Th</w:t>
      </w:r>
      <w:r w:rsidR="0064164D">
        <w:t xml:space="preserve">is legislation </w:t>
      </w:r>
      <w:r>
        <w:t xml:space="preserve">places conditions on manufacturers who seeks a notice of compliance for a new drug on the basis of a direct or indirect comparison between the new drug and an innovative drug. They may not file a new drug submission, a supplement to a new drug submission, an abbreviated new drug submission or a supplement to an abbreviated new drug submission in respect of the new drug for six years after the first notice of compliance was issued. Further the </w:t>
      </w:r>
      <w:r w:rsidR="00B50A70">
        <w:t xml:space="preserve">relevant </w:t>
      </w:r>
      <w:r>
        <w:t xml:space="preserve">Minister </w:t>
      </w:r>
      <w:r w:rsidR="00B50A70">
        <w:t>cannot</w:t>
      </w:r>
      <w:r>
        <w:t xml:space="preserve"> approve that submission or supplement and </w:t>
      </w:r>
      <w:r w:rsidR="00B50A70">
        <w:t>cannot</w:t>
      </w:r>
      <w:r>
        <w:t xml:space="preserve"> issue a notice of compliance in respect of the new drug</w:t>
      </w:r>
      <w:r w:rsidR="00B50A70">
        <w:t xml:space="preserve"> within a period of</w:t>
      </w:r>
      <w:r>
        <w:t xml:space="preserve"> eight years after the first notice of compliance was issued. This period may be extended to eight years and six months if the product is for use in clinical trials relevant to </w:t>
      </w:r>
      <w:r w:rsidR="00A60CF0">
        <w:t>paediatric</w:t>
      </w:r>
      <w:r>
        <w:t xml:space="preserve"> conditions.</w:t>
      </w:r>
      <w:r w:rsidR="0025547A">
        <w:t xml:space="preserve"> </w:t>
      </w:r>
      <w:r>
        <w:t xml:space="preserve">These arrangements do not apply if the innovative drug is not being marketed in Canada. They also do not apply if the innovator consents to a subsequent manufacturer seeking approvals before the end of the six year period, and to some other arrangements with </w:t>
      </w:r>
      <w:r w:rsidR="0064164D">
        <w:t>the</w:t>
      </w:r>
      <w:r>
        <w:t xml:space="preserve"> subsequent manufacturer. </w:t>
      </w:r>
    </w:p>
    <w:p w:rsidR="001342A6" w:rsidRDefault="001342A6" w:rsidP="001342A6">
      <w:pPr>
        <w:pStyle w:val="BodyText"/>
      </w:pPr>
      <w:r w:rsidRPr="001342A6">
        <w:t xml:space="preserve">Under Canada’s </w:t>
      </w:r>
      <w:r w:rsidRPr="001342A6">
        <w:rPr>
          <w:i/>
        </w:rPr>
        <w:t>Pest Control Products Act</w:t>
      </w:r>
      <w:r>
        <w:t xml:space="preserve"> the Pest Management Regulatory Agency handles data protection in accordance with regulations which came into force in June 2010. Data submitted to support an application to register a pesticide or amend an existing registration are categorised as having either:</w:t>
      </w:r>
    </w:p>
    <w:p w:rsidR="001342A6" w:rsidRDefault="001342A6" w:rsidP="001342A6">
      <w:pPr>
        <w:pStyle w:val="ListBullet"/>
      </w:pPr>
      <w:r w:rsidRPr="001342A6">
        <w:rPr>
          <w:b/>
        </w:rPr>
        <w:t>Exclusive Protection Status</w:t>
      </w:r>
      <w:r>
        <w:t xml:space="preserve">: Data provided in support of the initial application to register a new active ingredient or to add minor uses to the </w:t>
      </w:r>
      <w:r w:rsidR="00C967A2">
        <w:t>registration are protected for ten</w:t>
      </w:r>
      <w:r>
        <w:t xml:space="preserve"> years from the date of initial registration</w:t>
      </w:r>
      <w:r w:rsidR="00F1587D">
        <w:t>, with u</w:t>
      </w:r>
      <w:r>
        <w:t>p to five years of additional protection for all registered uses if minor uses are added to the registration.</w:t>
      </w:r>
    </w:p>
    <w:p w:rsidR="001342A6" w:rsidRDefault="001342A6" w:rsidP="001342A6">
      <w:pPr>
        <w:pStyle w:val="ListBullet"/>
      </w:pPr>
      <w:r w:rsidRPr="001342A6">
        <w:rPr>
          <w:b/>
        </w:rPr>
        <w:t>Compensable Protection Status</w:t>
      </w:r>
      <w:r>
        <w:t>: Data that are used to support registration applications and amendments but not subject to exclusive use protection can be used by other applicants as long as those applicants compensate the initial registrant. Compensable protection requirements apply for twelve years.</w:t>
      </w:r>
    </w:p>
    <w:p w:rsidR="001342A6" w:rsidRPr="001342A6" w:rsidRDefault="001342A6" w:rsidP="001342A6">
      <w:pPr>
        <w:pStyle w:val="ListBullet"/>
      </w:pPr>
      <w:r w:rsidRPr="001342A6">
        <w:rPr>
          <w:b/>
        </w:rPr>
        <w:t>Generic Status</w:t>
      </w:r>
      <w:r>
        <w:t>: Once the period of exclusive use or the compensable period for protected data lapses, the data become generic and can be used or relied on by applicants without consent or payment of compensation.</w:t>
      </w:r>
    </w:p>
    <w:p w:rsidR="001342A6" w:rsidRDefault="00354DB6" w:rsidP="0062274E">
      <w:pPr>
        <w:pStyle w:val="BodyText"/>
      </w:pPr>
      <w:r w:rsidRPr="001342A6">
        <w:t xml:space="preserve">A 2014 </w:t>
      </w:r>
      <w:r w:rsidR="001342A6">
        <w:t>review</w:t>
      </w:r>
      <w:r w:rsidR="001342A6">
        <w:rPr>
          <w:rStyle w:val="FootnoteReference"/>
        </w:rPr>
        <w:footnoteReference w:id="55"/>
      </w:r>
      <w:r w:rsidR="001342A6">
        <w:t xml:space="preserve"> of these arrangements</w:t>
      </w:r>
      <w:r w:rsidR="00CA6848">
        <w:t xml:space="preserve"> found that </w:t>
      </w:r>
      <w:r w:rsidR="00CA6848" w:rsidRPr="00CA6848">
        <w:t>most stakeholder representatives from grower groups, innovative companies and generics companies supported the overall approach and design of the data protection program, and saw no need for a fundamental re-design. At the same time, many stakeholders noted that the current design and delivery of a number of key process elements was limiting the timeliness and predictability of the data protection program, and inhibiting the rate at which companies were seeking to register generic products.</w:t>
      </w:r>
      <w:r w:rsidR="001342A6">
        <w:t xml:space="preserve"> </w:t>
      </w:r>
      <w:r w:rsidR="00CA6848">
        <w:t xml:space="preserve">The report had a particular focus on compensation arrangements, some of which are not of particular relevance to Australia. </w:t>
      </w:r>
      <w:r w:rsidR="001342A6">
        <w:t>The response to this report</w:t>
      </w:r>
      <w:r w:rsidR="001342A6">
        <w:rPr>
          <w:rStyle w:val="FootnoteReference"/>
        </w:rPr>
        <w:footnoteReference w:id="56"/>
      </w:r>
      <w:r w:rsidR="00CA6848">
        <w:t xml:space="preserve"> by Health Canada accepted most of the review recommendations.  </w:t>
      </w:r>
    </w:p>
    <w:p w:rsidR="0062274E" w:rsidRDefault="0062274E" w:rsidP="0062274E">
      <w:pPr>
        <w:pStyle w:val="Heading3"/>
      </w:pPr>
      <w:r>
        <w:t>New Zealand</w:t>
      </w:r>
    </w:p>
    <w:p w:rsidR="0062274E" w:rsidRDefault="0062274E" w:rsidP="0062274E">
      <w:pPr>
        <w:pStyle w:val="BodyText"/>
      </w:pPr>
      <w:r>
        <w:t xml:space="preserve">Under the </w:t>
      </w:r>
      <w:r w:rsidRPr="009C535C">
        <w:rPr>
          <w:i/>
        </w:rPr>
        <w:t>New Zealand Medicines Act 1981</w:t>
      </w:r>
      <w:r>
        <w:t>, data exclusivity is provide</w:t>
      </w:r>
      <w:r w:rsidR="003905B5">
        <w:t>d</w:t>
      </w:r>
      <w:r>
        <w:t xml:space="preserve"> for five years.</w:t>
      </w:r>
    </w:p>
    <w:p w:rsidR="00861C56" w:rsidRDefault="0077654F" w:rsidP="00861C56">
      <w:pPr>
        <w:pStyle w:val="Heading2"/>
      </w:pPr>
      <w:bookmarkStart w:id="86" w:name="_Toc497300829"/>
      <w:r>
        <w:t>Confidential c</w:t>
      </w:r>
      <w:r w:rsidR="00861C56">
        <w:t>ommercial information</w:t>
      </w:r>
      <w:r w:rsidR="002D0047">
        <w:t xml:space="preserve"> </w:t>
      </w:r>
      <w:r w:rsidR="00861C56">
        <w:t>in selected countries</w:t>
      </w:r>
      <w:bookmarkEnd w:id="86"/>
    </w:p>
    <w:p w:rsidR="00FA2792" w:rsidRDefault="00FA2792" w:rsidP="00FA2792">
      <w:pPr>
        <w:pStyle w:val="BodyText"/>
      </w:pPr>
      <w:r>
        <w:t>The terms “confidential information”, “commercial confidentiality” and similar terms are little used in regulation of agvet chemicals in other countries:</w:t>
      </w:r>
    </w:p>
    <w:p w:rsidR="00FA2792" w:rsidRDefault="00FA2792" w:rsidP="00FA2792">
      <w:pPr>
        <w:pStyle w:val="Heading3"/>
      </w:pPr>
      <w:r>
        <w:t>Australia</w:t>
      </w:r>
    </w:p>
    <w:p w:rsidR="002E7472" w:rsidRDefault="00F1587D" w:rsidP="00E83228">
      <w:pPr>
        <w:pStyle w:val="BodyText"/>
      </w:pPr>
      <w:r>
        <w:rPr>
          <w:shd w:val="clear" w:color="auto" w:fill="FFFFFF"/>
        </w:rPr>
        <w:t>D</w:t>
      </w:r>
      <w:r w:rsidR="00FA2792">
        <w:rPr>
          <w:shd w:val="clear" w:color="auto" w:fill="FFFFFF"/>
        </w:rPr>
        <w:t>etails on</w:t>
      </w:r>
      <w:r w:rsidR="004F0AB0">
        <w:rPr>
          <w:shd w:val="clear" w:color="auto" w:fill="FFFFFF"/>
        </w:rPr>
        <w:t xml:space="preserve"> confidential commercial information</w:t>
      </w:r>
      <w:r w:rsidR="00FA2792">
        <w:rPr>
          <w:shd w:val="clear" w:color="auto" w:fill="FFFFFF"/>
        </w:rPr>
        <w:t xml:space="preserve"> </w:t>
      </w:r>
      <w:r w:rsidR="004F0AB0">
        <w:rPr>
          <w:shd w:val="clear" w:color="auto" w:fill="FFFFFF"/>
        </w:rPr>
        <w:t>(</w:t>
      </w:r>
      <w:r w:rsidR="00FA2792">
        <w:rPr>
          <w:shd w:val="clear" w:color="auto" w:fill="FFFFFF"/>
        </w:rPr>
        <w:t>CCI</w:t>
      </w:r>
      <w:r w:rsidR="004F0AB0">
        <w:rPr>
          <w:shd w:val="clear" w:color="auto" w:fill="FFFFFF"/>
        </w:rPr>
        <w:t>)</w:t>
      </w:r>
      <w:r w:rsidR="00FA2792">
        <w:rPr>
          <w:shd w:val="clear" w:color="auto" w:fill="FFFFFF"/>
        </w:rPr>
        <w:t xml:space="preserve"> </w:t>
      </w:r>
      <w:r w:rsidR="00306E5A">
        <w:rPr>
          <w:shd w:val="clear" w:color="auto" w:fill="FFFFFF"/>
        </w:rPr>
        <w:t xml:space="preserve">in Australia </w:t>
      </w:r>
      <w:r>
        <w:rPr>
          <w:shd w:val="clear" w:color="auto" w:fill="FFFFFF"/>
        </w:rPr>
        <w:t>are</w:t>
      </w:r>
      <w:r w:rsidR="00FA2792">
        <w:rPr>
          <w:shd w:val="clear" w:color="auto" w:fill="FFFFFF"/>
        </w:rPr>
        <w:t xml:space="preserve"> provided in </w:t>
      </w:r>
      <w:r w:rsidR="00FA2792">
        <w:rPr>
          <w:shd w:val="clear" w:color="auto" w:fill="FFFFFF"/>
        </w:rPr>
        <w:fldChar w:fldCharType="begin"/>
      </w:r>
      <w:r w:rsidR="00FA2792">
        <w:rPr>
          <w:shd w:val="clear" w:color="auto" w:fill="FFFFFF"/>
        </w:rPr>
        <w:instrText xml:space="preserve"> REF _Ref484779045 \h </w:instrText>
      </w:r>
      <w:r w:rsidR="00FA2792">
        <w:rPr>
          <w:shd w:val="clear" w:color="auto" w:fill="FFFFFF"/>
        </w:rPr>
      </w:r>
      <w:r w:rsidR="00FA2792">
        <w:rPr>
          <w:shd w:val="clear" w:color="auto" w:fill="FFFFFF"/>
        </w:rPr>
        <w:fldChar w:fldCharType="separate"/>
      </w:r>
      <w:r w:rsidR="0087688C" w:rsidRPr="00AF3F55">
        <w:rPr>
          <w:rStyle w:val="CaptionLabel"/>
        </w:rPr>
        <w:t>Box</w:t>
      </w:r>
      <w:r w:rsidR="0087688C">
        <w:rPr>
          <w:rStyle w:val="CaptionLabel"/>
        </w:rPr>
        <w:t> </w:t>
      </w:r>
      <w:r w:rsidR="0087688C">
        <w:rPr>
          <w:rStyle w:val="CaptionLabel"/>
          <w:noProof/>
        </w:rPr>
        <w:t>3</w:t>
      </w:r>
      <w:r w:rsidR="0087688C" w:rsidRPr="00AF3F55">
        <w:rPr>
          <w:rStyle w:val="CaptionLabel"/>
        </w:rPr>
        <w:t>.</w:t>
      </w:r>
      <w:r w:rsidR="0087688C">
        <w:rPr>
          <w:rStyle w:val="CaptionLabel"/>
          <w:noProof/>
        </w:rPr>
        <w:t>2</w:t>
      </w:r>
      <w:r w:rsidR="00FA2792">
        <w:rPr>
          <w:shd w:val="clear" w:color="auto" w:fill="FFFFFF"/>
        </w:rPr>
        <w:fldChar w:fldCharType="end"/>
      </w:r>
      <w:r w:rsidR="00FA2792">
        <w:rPr>
          <w:shd w:val="clear" w:color="auto" w:fill="FFFFFF"/>
        </w:rPr>
        <w:t>.</w:t>
      </w:r>
      <w:r>
        <w:rPr>
          <w:shd w:val="clear" w:color="auto" w:fill="FFFFFF"/>
        </w:rPr>
        <w:t xml:space="preserve"> </w:t>
      </w:r>
      <w:r w:rsidR="002E7472">
        <w:t>Consultation</w:t>
      </w:r>
      <w:r w:rsidR="00453C26">
        <w:t>s</w:t>
      </w:r>
      <w:r w:rsidR="002E7472">
        <w:t xml:space="preserve"> undertaken for this report suggest that there is confusion about what data and information is to be treated as CCI in Australia and how this classification relates to other </w:t>
      </w:r>
      <w:r w:rsidR="0064164D">
        <w:t xml:space="preserve">APVMA </w:t>
      </w:r>
      <w:r w:rsidR="002E7472">
        <w:t>data protection provisions.</w:t>
      </w:r>
    </w:p>
    <w:p w:rsidR="00DE2044" w:rsidRDefault="00DE2044" w:rsidP="00DE2044">
      <w:pPr>
        <w:pStyle w:val="Heading3"/>
      </w:pPr>
      <w:r>
        <w:t>The European Union</w:t>
      </w:r>
    </w:p>
    <w:p w:rsidR="00DE2044" w:rsidRDefault="00DE2044" w:rsidP="00DE2044">
      <w:pPr>
        <w:pStyle w:val="BodyText"/>
      </w:pPr>
      <w:r w:rsidRPr="00B75855">
        <w:t>The</w:t>
      </w:r>
      <w:r>
        <w:rPr>
          <w:b/>
        </w:rPr>
        <w:t xml:space="preserve"> </w:t>
      </w:r>
      <w:r>
        <w:t>EMA is required</w:t>
      </w:r>
      <w:r>
        <w:rPr>
          <w:rStyle w:val="FootnoteReference"/>
        </w:rPr>
        <w:footnoteReference w:id="57"/>
      </w:r>
      <w:r>
        <w:t xml:space="preserve"> to:</w:t>
      </w:r>
    </w:p>
    <w:p w:rsidR="00DE2044" w:rsidRDefault="00DE2044" w:rsidP="00DE2044">
      <w:pPr>
        <w:pStyle w:val="Quote"/>
      </w:pPr>
      <w:r>
        <w:t xml:space="preserve">“give the widest possible access to the documents carefully balancing the right for information with existing data protection requirements. Certain public and private interests, such as regarding the protection of personal data, or the protection of commercially confidential information, should be protected by way of exceptions in accordance with Regulation (EC) No 1049/2001”. </w:t>
      </w:r>
    </w:p>
    <w:p w:rsidR="00DE2044" w:rsidRDefault="00DE2044" w:rsidP="00DE2044">
      <w:pPr>
        <w:pStyle w:val="BodyText"/>
      </w:pPr>
      <w:r>
        <w:t>The 2001 Regulation referred to in the quot</w:t>
      </w:r>
      <w:r w:rsidR="00E469DE">
        <w:t>ation above</w:t>
      </w:r>
      <w:r>
        <w:t xml:space="preserve"> relates to</w:t>
      </w:r>
      <w:r w:rsidRPr="00C24D3F">
        <w:t xml:space="preserve"> public access to European Parliament, Council and Commission documents</w:t>
      </w:r>
      <w:r>
        <w:t>.</w:t>
      </w:r>
      <w:r w:rsidRPr="00B8563D">
        <w:rPr>
          <w:rStyle w:val="FootnoteReference"/>
        </w:rPr>
        <w:t xml:space="preserve"> </w:t>
      </w:r>
      <w:r>
        <w:rPr>
          <w:rStyle w:val="FootnoteReference"/>
        </w:rPr>
        <w:footnoteReference w:id="58"/>
      </w:r>
      <w:r>
        <w:t xml:space="preserve"> While test data submitted to the EMA is protected, such data will not normally be considered to be commercially confidential. </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FA2792" w:rsidRPr="00AF3F55" w:rsidRDefault="00FA2792" w:rsidP="009D3C34">
            <w:pPr>
              <w:pStyle w:val="Caption"/>
            </w:pPr>
            <w:bookmarkStart w:id="87" w:name="_Ref484779045"/>
            <w:bookmarkStart w:id="88" w:name="_Toc497132832"/>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3</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2</w:t>
            </w:r>
            <w:r w:rsidRPr="00AF3F55">
              <w:rPr>
                <w:rStyle w:val="CaptionLabel"/>
              </w:rPr>
              <w:fldChar w:fldCharType="end"/>
            </w:r>
            <w:bookmarkEnd w:id="87"/>
            <w:r>
              <w:tab/>
              <w:t>Confidential commercial information</w:t>
            </w:r>
            <w:r w:rsidR="00007605">
              <w:t xml:space="preserve"> in Australia</w:t>
            </w:r>
            <w:bookmarkEnd w:id="88"/>
          </w:p>
        </w:tc>
      </w:tr>
      <w:tr w:rsidR="00FA2792" w:rsidRPr="00B07121" w:rsidTr="00580CF7">
        <w:trPr>
          <w:cantSplit/>
          <w:trHeight w:hRule="exact" w:val="380"/>
        </w:trPr>
        <w:tc>
          <w:tcPr>
            <w:tcW w:w="8614" w:type="dxa"/>
            <w:shd w:val="clear" w:color="auto" w:fill="E4E0DD"/>
          </w:tcPr>
          <w:p w:rsidR="00FA2792" w:rsidRPr="00B07121" w:rsidRDefault="00E94791" w:rsidP="009D3C34">
            <w:pPr>
              <w:pStyle w:val="spacer"/>
            </w:pPr>
            <w:r>
              <w:rPr>
                <w:noProof/>
                <w:lang w:eastAsia="en-AU"/>
              </w:rPr>
              <mc:AlternateContent>
                <mc:Choice Requires="wps">
                  <w:drawing>
                    <wp:anchor distT="0" distB="0" distL="114300" distR="114300" simplePos="0" relativeHeight="252012544" behindDoc="0" locked="1" layoutInCell="1" allowOverlap="1" wp14:anchorId="1C5AB625" wp14:editId="5F0A7019">
                      <wp:simplePos x="0" y="0"/>
                      <wp:positionH relativeFrom="page">
                        <wp:posOffset>4853305</wp:posOffset>
                      </wp:positionH>
                      <wp:positionV relativeFrom="paragraph">
                        <wp:posOffset>25400</wp:posOffset>
                      </wp:positionV>
                      <wp:extent cx="435600" cy="212400"/>
                      <wp:effectExtent l="0" t="0" r="3175" b="0"/>
                      <wp:wrapNone/>
                      <wp:docPr id="9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73DDD8" id="Freeform 5" o:spid="_x0000_s1026" style="position:absolute;margin-left:382.15pt;margin-top:2pt;width:34.3pt;height:16.7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r w:rsidR="00546375">
              <w:rPr>
                <w:noProof/>
                <w:lang w:eastAsia="en-AU"/>
              </w:rPr>
              <mc:AlternateContent>
                <mc:Choice Requires="wps">
                  <w:drawing>
                    <wp:anchor distT="0" distB="0" distL="114300" distR="114300" simplePos="0" relativeHeight="251893760" behindDoc="0" locked="1" layoutInCell="1" allowOverlap="1" wp14:anchorId="0ADCE3C9" wp14:editId="571B5568">
                      <wp:simplePos x="0" y="0"/>
                      <wp:positionH relativeFrom="page">
                        <wp:posOffset>6223635</wp:posOffset>
                      </wp:positionH>
                      <wp:positionV relativeFrom="page">
                        <wp:posOffset>945515</wp:posOffset>
                      </wp:positionV>
                      <wp:extent cx="436880" cy="213360"/>
                      <wp:effectExtent l="0" t="0" r="1270" b="0"/>
                      <wp:wrapNone/>
                      <wp:docPr id="5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9E78B5" id="Freeform 5" o:spid="_x0000_s1026" style="position:absolute;margin-left:490.05pt;margin-top:74.45pt;width:34.4pt;height:16.8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Zj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FA2792" w:rsidRDefault="00FA2792" w:rsidP="002E7472">
            <w:pPr>
              <w:pStyle w:val="BoxText"/>
            </w:pPr>
            <w:r w:rsidRPr="00677C64">
              <w:t>Section 162 of the Agvet Code prohibits the APVMA (or any member of its staff) from disclosing confidential commercial information. Confidential commercial information in relation to an active constituent or a chemical product is defined in section 3 of the Agvet Code to mean:</w:t>
            </w:r>
          </w:p>
          <w:p w:rsidR="00FA2792" w:rsidRDefault="00FA2792" w:rsidP="002E7472">
            <w:pPr>
              <w:pStyle w:val="BoxListBullet"/>
            </w:pPr>
            <w:r w:rsidRPr="00677C64">
              <w:t>a trade secret relating to the active constituent or chemical product or other information about them that has a commercial value that would be, or could reasonably be expected to be, destroyed or diminished if the information were disclosed; or</w:t>
            </w:r>
          </w:p>
          <w:p w:rsidR="00FA2792" w:rsidRPr="00677C64" w:rsidRDefault="00FA2792" w:rsidP="002E7472">
            <w:pPr>
              <w:pStyle w:val="BoxListBullet"/>
            </w:pPr>
            <w:r w:rsidRPr="00677C64">
              <w:t>information that concerns the lawful commercial or financial affairs of a person, organisation or undertaking and relates to the manufacture, distribution or supply of the active constituent or chemical product that if disclosed could unreasonably affect the owner of the information in an adverse manner.</w:t>
            </w:r>
          </w:p>
          <w:p w:rsidR="00FA2792" w:rsidRPr="00677C64" w:rsidRDefault="00FA2792" w:rsidP="002E7472">
            <w:pPr>
              <w:pStyle w:val="BoxText"/>
            </w:pPr>
            <w:r w:rsidRPr="00677C64">
              <w:t>The definition of confidential commercial information under the Agvet Code does not include information associated with making a permit application, if the use proposed in the application is for minor or emergency use and includes the information prescribed by regulation 3C of the Agvet Code Regulations.</w:t>
            </w:r>
          </w:p>
          <w:p w:rsidR="00FA2792" w:rsidRPr="00677C64" w:rsidRDefault="00FA2792" w:rsidP="002E7472">
            <w:pPr>
              <w:pStyle w:val="BoxText"/>
            </w:pPr>
            <w:r w:rsidRPr="00677C64">
              <w:t>The APVMA takes reasonable precautions to ensure that its staff does not release or enable access to classified information by unauthorised people.</w:t>
            </w:r>
          </w:p>
          <w:p w:rsidR="00FA2792" w:rsidRPr="00677C64" w:rsidRDefault="00FA2792" w:rsidP="002E7472">
            <w:pPr>
              <w:pStyle w:val="BoxText"/>
            </w:pPr>
            <w:r w:rsidRPr="00677C64">
              <w:t>Separate to the concept of information being confidential commercial information</w:t>
            </w:r>
            <w:r w:rsidR="0064164D">
              <w:t>,</w:t>
            </w:r>
            <w:r w:rsidRPr="00677C64">
              <w:t xml:space="preserve"> some information associated with applications to the APVMA attracts protection under the Agvet Code</w:t>
            </w:r>
            <w:r w:rsidR="00F1587D">
              <w:t>:</w:t>
            </w:r>
          </w:p>
          <w:p w:rsidR="00FA2792" w:rsidRPr="00677C64" w:rsidRDefault="00FA2792" w:rsidP="009D3C34">
            <w:pPr>
              <w:pStyle w:val="BoxListBullet"/>
              <w:spacing w:before="0" w:after="0"/>
            </w:pPr>
            <w:r w:rsidRPr="00677C64">
              <w:t>Information where use is restricted under limits on use of the information under Division 4A of Part 2 of the Agvet Code (‘limits on use of the information’)</w:t>
            </w:r>
          </w:p>
          <w:p w:rsidR="00FA2792" w:rsidRPr="00677C64" w:rsidRDefault="00FA2792" w:rsidP="009D3C34">
            <w:pPr>
              <w:pStyle w:val="BoxListBullet"/>
              <w:spacing w:before="0" w:after="0"/>
            </w:pPr>
            <w:r w:rsidRPr="00677C64">
              <w:t>Information where use is restricted under Part 3 of the Agvet Code (‘protected information’)</w:t>
            </w:r>
          </w:p>
          <w:p w:rsidR="00FA2792" w:rsidRPr="00677C64" w:rsidRDefault="00FA2792" w:rsidP="009D3C34">
            <w:pPr>
              <w:pStyle w:val="BoxListBullet"/>
              <w:spacing w:before="0" w:after="0"/>
            </w:pPr>
            <w:r w:rsidRPr="00677C64">
              <w:t xml:space="preserve">Information where use is restricted under Part 7B of the </w:t>
            </w:r>
            <w:r w:rsidRPr="009C535C">
              <w:rPr>
                <w:i/>
              </w:rPr>
              <w:t>Agricultural and Veterinary Chemicals (Administration) Act 1992</w:t>
            </w:r>
          </w:p>
          <w:p w:rsidR="00FA2792" w:rsidRPr="00677C64" w:rsidRDefault="00FA2792" w:rsidP="009D3C34">
            <w:pPr>
              <w:pStyle w:val="BoxListBullet"/>
              <w:spacing w:before="0" w:after="0"/>
            </w:pPr>
            <w:r w:rsidRPr="00677C64">
              <w:t>Information protected by section 14B.</w:t>
            </w:r>
          </w:p>
          <w:p w:rsidR="00FA2792" w:rsidRDefault="00FA2792" w:rsidP="002E7472">
            <w:pPr>
              <w:pStyle w:val="BoxText"/>
            </w:pPr>
            <w:r>
              <w:t>A</w:t>
            </w:r>
            <w:r w:rsidRPr="00677C64">
              <w:t>ny one piece of information can be covered by mo</w:t>
            </w:r>
            <w:r>
              <w:t>re than one set of restrictions</w:t>
            </w:r>
            <w:r w:rsidRPr="00677C64">
              <w:t>.</w:t>
            </w:r>
            <w:r>
              <w:t xml:space="preserve"> </w:t>
            </w:r>
            <w:r w:rsidRPr="00677C64">
              <w:t xml:space="preserve">The documents or samples provided to the APVMA for any purpose under the Agvet Code do, by section 169 of the Agvet Code, become the property of the APVMA including information </w:t>
            </w:r>
            <w:r>
              <w:t>from</w:t>
            </w:r>
            <w:r w:rsidRPr="00677C64">
              <w:t xml:space="preserve"> any application that has been refused or withdrawn. Despite this, the information may remain confidential commercial information indefinitely.</w:t>
            </w:r>
          </w:p>
        </w:tc>
      </w:tr>
      <w:tr w:rsidR="00E86A68" w:rsidTr="00401D90">
        <w:trPr>
          <w:cantSplit/>
        </w:trPr>
        <w:tc>
          <w:tcPr>
            <w:tcW w:w="8614" w:type="dxa"/>
            <w:shd w:val="clear" w:color="auto" w:fill="auto"/>
            <w:tcMar>
              <w:top w:w="12" w:type="dxa"/>
              <w:left w:w="446" w:type="dxa"/>
              <w:bottom w:w="113" w:type="dxa"/>
            </w:tcMar>
          </w:tcPr>
          <w:p w:rsidR="00FA2792" w:rsidRDefault="00FA2792" w:rsidP="009D3C34">
            <w:pPr>
              <w:pStyle w:val="Source"/>
            </w:pPr>
            <w:r>
              <w:t xml:space="preserve">Source: APVMA, </w:t>
            </w:r>
            <w:hyperlink r:id="rId57" w:history="1">
              <w:r w:rsidRPr="00CC6375">
                <w:rPr>
                  <w:rStyle w:val="Hyperlink"/>
                </w:rPr>
                <w:t>https://apvma.gov.au/node/581</w:t>
              </w:r>
            </w:hyperlink>
            <w:r>
              <w:t xml:space="preserve"> accessed on 16 June 2017</w:t>
            </w:r>
          </w:p>
        </w:tc>
      </w:tr>
    </w:tbl>
    <w:p w:rsidR="00861C56" w:rsidRDefault="00861C56" w:rsidP="00861C56">
      <w:pPr>
        <w:pStyle w:val="BodyText"/>
      </w:pPr>
      <w:r>
        <w:t>The EMA in association with the Heads of Medicines Agencies (in the EU) has provided guidance on the identification of CCI.</w:t>
      </w:r>
      <w:r>
        <w:rPr>
          <w:rStyle w:val="FootnoteReference"/>
        </w:rPr>
        <w:footnoteReference w:id="59"/>
      </w:r>
      <w:r>
        <w:t xml:space="preserve"> This guidance </w:t>
      </w:r>
      <w:r w:rsidR="002156ED">
        <w:t>is that</w:t>
      </w:r>
      <w:r>
        <w:t>:</w:t>
      </w:r>
    </w:p>
    <w:p w:rsidR="0064164D" w:rsidRDefault="00861C56" w:rsidP="00861C56">
      <w:pPr>
        <w:pStyle w:val="Quote"/>
      </w:pPr>
      <w:r>
        <w:t>CCI means that the section contains commercially confidential information and therefore, as a main rule, cannot be released (the corresponding section of the CTD has to be redacted). For the purpose of this guidance document, ‘commercial confidential information’ shall mean any information which is not in the public domain or publicly available and where disclosure may undermine the economic interest or competitive position of the owner of the information (HMA/EMA recommendations on transparency approved in November 2010</w:t>
      </w:r>
      <w:r w:rsidR="002156ED">
        <w:t>).</w:t>
      </w:r>
    </w:p>
    <w:p w:rsidR="00861C56" w:rsidRDefault="00861C56" w:rsidP="001B13B0">
      <w:pPr>
        <w:pStyle w:val="Quote"/>
      </w:pPr>
      <w:r>
        <w:t>Recommendations on release of information with regard to new applications for medicinal products before and after opinion or decision on granting of a marketing authorisation (EMA/484118/2010)).</w:t>
      </w:r>
    </w:p>
    <w:p w:rsidR="00861C56" w:rsidRDefault="00861C56" w:rsidP="00861C56">
      <w:pPr>
        <w:pStyle w:val="BodyText"/>
      </w:pPr>
      <w:r>
        <w:t>The document also sets out additional principles to be applied for the redaction of CCI after approval of a marketing authorisation application. The general principle regarding quality and manufacturing information is that detailed information is commercially confidential but general information should be disclosed.</w:t>
      </w:r>
    </w:p>
    <w:p w:rsidR="00861C56" w:rsidRDefault="00861C56" w:rsidP="00861C56">
      <w:pPr>
        <w:pStyle w:val="BodyText"/>
      </w:pPr>
      <w:r>
        <w:t>The final qualitative formulation (composition) of the authorised product is not commercially confidential. Information on the structure of the active substance is not commercially confidential. However</w:t>
      </w:r>
      <w:r w:rsidR="002156ED">
        <w:t>,</w:t>
      </w:r>
      <w:r>
        <w:t xml:space="preserve"> detailed information concerning the particulars of studies regarding polymorphism and particle size are treated as confidential. </w:t>
      </w:r>
      <w:r w:rsidR="00E62A0A">
        <w:t>In regard to</w:t>
      </w:r>
      <w:r>
        <w:t xml:space="preserve"> impurities and degradation products, qualitative and quantitative information is regarded as confidential unless disclosure is necessary for public health reasons. A general description of the types of test methods used and the appropriateness of the specification is not commercially confidential. </w:t>
      </w:r>
    </w:p>
    <w:p w:rsidR="00861C56" w:rsidRDefault="00861C56" w:rsidP="00861C56">
      <w:pPr>
        <w:pStyle w:val="BodyText"/>
      </w:pPr>
      <w:r>
        <w:t xml:space="preserve">For more detailed information, see the </w:t>
      </w:r>
      <w:r w:rsidR="00046BCE">
        <w:t xml:space="preserve">EMA / HMA </w:t>
      </w:r>
      <w:r>
        <w:t>reference cited above. This is a forty page document with tables indicating what can be released at the time of marketing approval and what should be treated at CCI.</w:t>
      </w:r>
    </w:p>
    <w:p w:rsidR="00FA2792" w:rsidRDefault="00FA2792" w:rsidP="00FA2792">
      <w:pPr>
        <w:pStyle w:val="Heading3"/>
      </w:pPr>
      <w:r>
        <w:t>The United States</w:t>
      </w:r>
    </w:p>
    <w:p w:rsidR="00861C56" w:rsidRDefault="00861C56" w:rsidP="00861C56">
      <w:pPr>
        <w:pStyle w:val="BodyText"/>
      </w:pPr>
      <w:r>
        <w:t>CCI in relation to USFDA regulation is governed by a number of Federal Regulations. For example, the regulations relating to c</w:t>
      </w:r>
      <w:r w:rsidRPr="00FF4EE1">
        <w:t xml:space="preserve">onfidentiality of data and information in an </w:t>
      </w:r>
      <w:r w:rsidR="00A44FBF">
        <w:t>“I</w:t>
      </w:r>
      <w:r w:rsidRPr="00FF4EE1">
        <w:t xml:space="preserve">ndex </w:t>
      </w:r>
      <w:r w:rsidR="00A44FBF">
        <w:t>F</w:t>
      </w:r>
      <w:r w:rsidRPr="00FF4EE1">
        <w:t>ile</w:t>
      </w:r>
      <w:r w:rsidR="00A44FBF">
        <w:t>”</w:t>
      </w:r>
      <w:r>
        <w:t xml:space="preserve"> for </w:t>
      </w:r>
      <w:r w:rsidRPr="00FF4EE1">
        <w:t>new animal drugs for minor use and minor species</w:t>
      </w:r>
      <w:r>
        <w:t xml:space="preserve"> are summarised in</w:t>
      </w:r>
      <w:r w:rsidR="00046BCE">
        <w:t xml:space="preserve"> </w:t>
      </w:r>
      <w:r w:rsidR="00046BCE" w:rsidRPr="00046BCE">
        <w:rPr>
          <w:b/>
        </w:rPr>
        <w:t>Box 3.3</w:t>
      </w:r>
      <w:r>
        <w:t xml:space="preserve">. Similar rules apply to other veterinary products. Information </w:t>
      </w:r>
      <w:r w:rsidRPr="00FF4EE1">
        <w:rPr>
          <w:i/>
        </w:rPr>
        <w:t>not</w:t>
      </w:r>
      <w:r>
        <w:t xml:space="preserve"> normally available to the public includes:</w:t>
      </w:r>
    </w:p>
    <w:p w:rsidR="00861C56" w:rsidRDefault="00861C56" w:rsidP="00861C56">
      <w:pPr>
        <w:pStyle w:val="ListBullet"/>
      </w:pPr>
      <w:r>
        <w:t>Manufacturing methods or processes, including quality control procedures</w:t>
      </w:r>
    </w:p>
    <w:p w:rsidR="00861C56" w:rsidRDefault="00861C56" w:rsidP="00861C56">
      <w:pPr>
        <w:pStyle w:val="ListBullet"/>
      </w:pPr>
      <w:r>
        <w:t>Production, sales, distribution, and similar data and information</w:t>
      </w:r>
      <w:r w:rsidR="00C967A2">
        <w:t>, and</w:t>
      </w:r>
    </w:p>
    <w:p w:rsidR="00861C56" w:rsidRDefault="00861C56" w:rsidP="00861C56">
      <w:pPr>
        <w:pStyle w:val="ListBullet"/>
      </w:pPr>
      <w:r>
        <w:t>Quantitative or semi-quantitative formulas.</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861C56" w:rsidRPr="00AF3F55" w:rsidRDefault="00007605" w:rsidP="00A95734">
            <w:pPr>
              <w:pStyle w:val="Caption"/>
            </w:pPr>
            <w:bookmarkStart w:id="89" w:name="_Ref489913801"/>
            <w:bookmarkStart w:id="90" w:name="_Ref489913794"/>
            <w:bookmarkStart w:id="91" w:name="_Toc497132833"/>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3</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3</w:t>
            </w:r>
            <w:r w:rsidRPr="00AF3F55">
              <w:rPr>
                <w:rStyle w:val="CaptionLabel"/>
              </w:rPr>
              <w:fldChar w:fldCharType="end"/>
            </w:r>
            <w:bookmarkEnd w:id="89"/>
            <w:r>
              <w:tab/>
              <w:t xml:space="preserve">Confidential commercial information in </w:t>
            </w:r>
            <w:bookmarkEnd w:id="90"/>
            <w:r w:rsidR="00A95734">
              <w:t>the USA</w:t>
            </w:r>
            <w:bookmarkEnd w:id="91"/>
          </w:p>
        </w:tc>
      </w:tr>
      <w:tr w:rsidR="00861C56" w:rsidRPr="00B07121" w:rsidTr="00580CF7">
        <w:trPr>
          <w:cantSplit/>
          <w:trHeight w:hRule="exact" w:val="380"/>
        </w:trPr>
        <w:tc>
          <w:tcPr>
            <w:tcW w:w="8614" w:type="dxa"/>
            <w:shd w:val="clear" w:color="auto" w:fill="E4E0DD"/>
          </w:tcPr>
          <w:p w:rsidR="00861C56" w:rsidRPr="00B07121" w:rsidRDefault="00E94791" w:rsidP="009D3C34">
            <w:pPr>
              <w:pStyle w:val="spacer"/>
            </w:pPr>
            <w:r>
              <w:rPr>
                <w:noProof/>
                <w:lang w:eastAsia="en-AU"/>
              </w:rPr>
              <mc:AlternateContent>
                <mc:Choice Requires="wps">
                  <w:drawing>
                    <wp:anchor distT="0" distB="0" distL="114300" distR="114300" simplePos="0" relativeHeight="252014592" behindDoc="0" locked="1" layoutInCell="1" allowOverlap="1" wp14:anchorId="1C5AB625" wp14:editId="5F0A7019">
                      <wp:simplePos x="0" y="0"/>
                      <wp:positionH relativeFrom="page">
                        <wp:posOffset>4845685</wp:posOffset>
                      </wp:positionH>
                      <wp:positionV relativeFrom="paragraph">
                        <wp:posOffset>28575</wp:posOffset>
                      </wp:positionV>
                      <wp:extent cx="435600" cy="212400"/>
                      <wp:effectExtent l="0" t="0" r="3175" b="0"/>
                      <wp:wrapNone/>
                      <wp:docPr id="9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ECFF38" id="Freeform 5" o:spid="_x0000_s1026" style="position:absolute;margin-left:381.55pt;margin-top:2.25pt;width:34.3pt;height:16.7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r w:rsidR="00546375">
              <w:rPr>
                <w:noProof/>
                <w:lang w:eastAsia="en-AU"/>
              </w:rPr>
              <mc:AlternateContent>
                <mc:Choice Requires="wps">
                  <w:drawing>
                    <wp:anchor distT="0" distB="0" distL="114300" distR="114300" simplePos="0" relativeHeight="251895808" behindDoc="0" locked="1" layoutInCell="1" allowOverlap="1" wp14:anchorId="2E00C935" wp14:editId="6F33B351">
                      <wp:simplePos x="0" y="0"/>
                      <wp:positionH relativeFrom="page">
                        <wp:posOffset>6223635</wp:posOffset>
                      </wp:positionH>
                      <wp:positionV relativeFrom="page">
                        <wp:posOffset>3496945</wp:posOffset>
                      </wp:positionV>
                      <wp:extent cx="436880" cy="213360"/>
                      <wp:effectExtent l="0" t="0" r="1270" b="0"/>
                      <wp:wrapNone/>
                      <wp:docPr id="52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D57B6A" id="Freeform 5" o:spid="_x0000_s1026" style="position:absolute;margin-left:490.05pt;margin-top:275.35pt;width:34.4pt;height:16.8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861C56" w:rsidRPr="00401D90" w:rsidRDefault="00861C56" w:rsidP="009D3C34">
            <w:pPr>
              <w:pStyle w:val="BodyText"/>
              <w:rPr>
                <w:sz w:val="20"/>
              </w:rPr>
            </w:pPr>
            <w:r w:rsidRPr="008A6B3B">
              <w:rPr>
                <w:sz w:val="20"/>
              </w:rPr>
              <w:t>The following data and information in the index file are normally available for public disclosure:</w:t>
            </w:r>
            <w:r w:rsidRPr="008A6B3B">
              <w:rPr>
                <w:rStyle w:val="FootnoteReference"/>
                <w:sz w:val="20"/>
              </w:rPr>
              <w:footnoteReference w:id="60"/>
            </w:r>
          </w:p>
          <w:p w:rsidR="00861C56" w:rsidRDefault="00861C56" w:rsidP="00046BCE">
            <w:pPr>
              <w:pStyle w:val="BoxListBullet"/>
            </w:pPr>
            <w:r>
              <w:t>All safety and effectiveness data and information previously disclosed to the public.</w:t>
            </w:r>
          </w:p>
          <w:p w:rsidR="00861C56" w:rsidRDefault="00861C56" w:rsidP="00046BCE">
            <w:pPr>
              <w:pStyle w:val="BoxListBullet"/>
            </w:pPr>
            <w:r>
              <w:t xml:space="preserve">A summary or summaries of the safety and effectiveness data and information submitted with or incorporated by reference in the index file. </w:t>
            </w:r>
          </w:p>
          <w:p w:rsidR="00861C56" w:rsidRDefault="00861C56" w:rsidP="00046BCE">
            <w:pPr>
              <w:pStyle w:val="BoxListBullet"/>
            </w:pPr>
            <w:r>
              <w:t>A protocol for a test or study, unless it is shown to fall within the exemption established for trade secrets and confidential commercial information (defined in section 20.61).</w:t>
            </w:r>
          </w:p>
          <w:p w:rsidR="00861C56" w:rsidRDefault="00861C56" w:rsidP="00046BCE">
            <w:pPr>
              <w:pStyle w:val="BoxListBullet"/>
            </w:pPr>
            <w:r>
              <w:t xml:space="preserve"> Adverse reaction reports, product experience reports, consumer complaints, and other similar data and information, after deletion of the following:</w:t>
            </w:r>
          </w:p>
          <w:p w:rsidR="00861C56" w:rsidRDefault="00861C56" w:rsidP="00046BCE">
            <w:pPr>
              <w:pStyle w:val="BoxListBullet2"/>
            </w:pPr>
            <w:r>
              <w:t>Names and any information that would identify the person using the product.</w:t>
            </w:r>
          </w:p>
          <w:p w:rsidR="00861C56" w:rsidRDefault="00861C56" w:rsidP="00046BCE">
            <w:pPr>
              <w:pStyle w:val="BoxListBullet2"/>
            </w:pPr>
            <w:r>
              <w:t>Names and any information that would identify any third party involved with the report, such as a veterinarian.</w:t>
            </w:r>
          </w:p>
          <w:p w:rsidR="00861C56" w:rsidRDefault="00861C56" w:rsidP="00046BCE">
            <w:pPr>
              <w:pStyle w:val="BoxListBullet"/>
            </w:pPr>
            <w:r>
              <w:t>A list of all active ingredients and any inactive ingredients previously disclosed to the public (as defined in section 20.81).</w:t>
            </w:r>
          </w:p>
          <w:p w:rsidR="00861C56" w:rsidRDefault="00861C56" w:rsidP="00046BCE">
            <w:pPr>
              <w:pStyle w:val="BoxListBullet"/>
            </w:pPr>
            <w:r>
              <w:t>An assay method or other analytical method, unless it serves no regulatory or compliance purpose and is shown to fall within the exemption established in section 20.61.</w:t>
            </w:r>
          </w:p>
          <w:p w:rsidR="00861C56" w:rsidRDefault="00861C56" w:rsidP="00046BCE">
            <w:pPr>
              <w:pStyle w:val="BoxListBullet"/>
            </w:pPr>
            <w:r>
              <w:t xml:space="preserve">All correspondence and written summaries of oral discussions relating to the index file, in accordance with the provisions of </w:t>
            </w:r>
            <w:r w:rsidR="00046BCE">
              <w:t>P</w:t>
            </w:r>
            <w:r>
              <w:t>art 20.</w:t>
            </w:r>
          </w:p>
        </w:tc>
      </w:tr>
      <w:tr w:rsidR="00E86A68" w:rsidTr="00401D90">
        <w:trPr>
          <w:cantSplit/>
        </w:trPr>
        <w:tc>
          <w:tcPr>
            <w:tcW w:w="8614" w:type="dxa"/>
            <w:shd w:val="clear" w:color="auto" w:fill="auto"/>
            <w:tcMar>
              <w:top w:w="12" w:type="dxa"/>
              <w:left w:w="446" w:type="dxa"/>
              <w:bottom w:w="113" w:type="dxa"/>
            </w:tcMar>
          </w:tcPr>
          <w:p w:rsidR="00861C56" w:rsidRDefault="00861C56" w:rsidP="00007605">
            <w:pPr>
              <w:pStyle w:val="Source"/>
            </w:pPr>
            <w:r>
              <w:t xml:space="preserve">Source: </w:t>
            </w:r>
            <w:r w:rsidR="00007605">
              <w:t>USFDA</w:t>
            </w:r>
          </w:p>
        </w:tc>
      </w:tr>
    </w:tbl>
    <w:p w:rsidR="00A44FBF" w:rsidRDefault="00A44FBF" w:rsidP="00A44FBF">
      <w:pPr>
        <w:pStyle w:val="BodyText"/>
      </w:pPr>
      <w:r>
        <w:t>The USFDA defines trade secrets and commercial information which is privileged or confidential</w:t>
      </w:r>
      <w:r>
        <w:rPr>
          <w:rStyle w:val="FootnoteReference"/>
        </w:rPr>
        <w:footnoteReference w:id="61"/>
      </w:r>
      <w:r>
        <w:t xml:space="preserve"> in Section 20.61. </w:t>
      </w:r>
    </w:p>
    <w:p w:rsidR="00A44FBF" w:rsidRDefault="00A44FBF" w:rsidP="00A44FBF">
      <w:pPr>
        <w:pStyle w:val="ListBullet"/>
      </w:pPr>
      <w:r>
        <w:t>A trade secret may consist of any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p>
    <w:p w:rsidR="00A44FBF" w:rsidRDefault="00A44FBF" w:rsidP="00A44FBF">
      <w:pPr>
        <w:pStyle w:val="ListBullet"/>
      </w:pPr>
      <w:r>
        <w:t>Commercial or financial information that is privileged or confidential means valuable data or information which is used in one's business and is of a type customarily held in strict confidence or regarded as privileged and not disclosed to any member of the public by the person to whom it belongs.</w:t>
      </w:r>
    </w:p>
    <w:p w:rsidR="00A44FBF" w:rsidRDefault="00A44FBF" w:rsidP="00A44FBF">
      <w:pPr>
        <w:pStyle w:val="BodyText"/>
      </w:pPr>
      <w:r>
        <w:t>Data and information submitted or divulged to the Food and Drug Administration which fall within the definitions of a trade secret or confidential commercial or financial information are not available for public disclosure.</w:t>
      </w:r>
    </w:p>
    <w:p w:rsidR="00861C56" w:rsidRDefault="00861C56" w:rsidP="00861C56">
      <w:pPr>
        <w:pStyle w:val="BodyText"/>
      </w:pPr>
      <w:r>
        <w:t xml:space="preserve">A person who submits records to the Government may designate part or all of the information in such records as exempt from disclosure under exemption 4 of the US Freedom of Information Act. </w:t>
      </w:r>
      <w:r w:rsidRPr="0071034B">
        <w:t>Any such designation will expire 10 years after the records were submitted to the Government.</w:t>
      </w:r>
    </w:p>
    <w:p w:rsidR="00861C56" w:rsidRDefault="00861C56" w:rsidP="00007605">
      <w:pPr>
        <w:pStyle w:val="Heading3"/>
      </w:pPr>
      <w:r>
        <w:t>Canada</w:t>
      </w:r>
    </w:p>
    <w:p w:rsidR="00861C56" w:rsidRDefault="00861C56" w:rsidP="00861C56">
      <w:pPr>
        <w:pStyle w:val="BodyText"/>
      </w:pPr>
      <w:r>
        <w:t>Health Canada’s guidance document</w:t>
      </w:r>
      <w:r>
        <w:rPr>
          <w:rStyle w:val="FootnoteReference"/>
        </w:rPr>
        <w:footnoteReference w:id="62"/>
      </w:r>
      <w:r>
        <w:t xml:space="preserve"> on Master Files (information relating to proposals) uses the term Confidential Business Information, defined as business information:</w:t>
      </w:r>
    </w:p>
    <w:p w:rsidR="00861C56" w:rsidRDefault="00861C56" w:rsidP="00046BCE">
      <w:pPr>
        <w:pStyle w:val="ListBullet"/>
      </w:pPr>
      <w:r>
        <w:t>that is not publicly available</w:t>
      </w:r>
    </w:p>
    <w:p w:rsidR="00861C56" w:rsidRDefault="00861C56" w:rsidP="00046BCE">
      <w:pPr>
        <w:pStyle w:val="ListBullet"/>
      </w:pPr>
      <w:r>
        <w:t>in respect of which the person has taken measures that are reasonable in the circumstances to ensure that it remains not publicly available</w:t>
      </w:r>
      <w:r w:rsidR="00046BCE">
        <w:t>,</w:t>
      </w:r>
      <w:r>
        <w:t xml:space="preserve"> and</w:t>
      </w:r>
    </w:p>
    <w:p w:rsidR="00861C56" w:rsidRDefault="00861C56" w:rsidP="00046BCE">
      <w:pPr>
        <w:pStyle w:val="ListBullet"/>
      </w:pPr>
      <w:r>
        <w:t>that has actual or potential economic value to the person or their competitors because it is not publicly available and its disclosure would result in a material financial loss to the person or a material financial gain to their competitors.</w:t>
      </w:r>
    </w:p>
    <w:p w:rsidR="00861C56" w:rsidRDefault="00861C56" w:rsidP="00861C56">
      <w:pPr>
        <w:pStyle w:val="BodyText"/>
      </w:pPr>
      <w:r>
        <w:t>Master Files are divided in the “Applicant’s Part” and the “Restricted Part”. The Restricted Part contains the information that the Master File Holder regards as confidential. There are various circumstances in which Confidential Business Information may be disclosed. These are set out in another guidance document.</w:t>
      </w:r>
      <w:r>
        <w:rPr>
          <w:rStyle w:val="FootnoteReference"/>
        </w:rPr>
        <w:footnoteReference w:id="63"/>
      </w:r>
    </w:p>
    <w:p w:rsidR="00861C56" w:rsidRDefault="00861C56" w:rsidP="00007605">
      <w:pPr>
        <w:pStyle w:val="Heading3"/>
      </w:pPr>
      <w:r>
        <w:t>New Zealand</w:t>
      </w:r>
    </w:p>
    <w:p w:rsidR="00861C56" w:rsidRDefault="00861C56" w:rsidP="00861C56">
      <w:pPr>
        <w:pStyle w:val="BodyText"/>
      </w:pPr>
      <w:r>
        <w:t>Section 23B of the Medicines Act</w:t>
      </w:r>
      <w:r>
        <w:rPr>
          <w:rStyle w:val="FootnoteReference"/>
        </w:rPr>
        <w:footnoteReference w:id="64"/>
      </w:r>
      <w:r>
        <w:t xml:space="preserve"> addresses p</w:t>
      </w:r>
      <w:r w:rsidRPr="00A975FE">
        <w:t xml:space="preserve">rotection of confidential supporting information </w:t>
      </w:r>
      <w:r>
        <w:t xml:space="preserve">(CSI) </w:t>
      </w:r>
      <w:r w:rsidRPr="00A975FE">
        <w:t>about innovative medicines</w:t>
      </w:r>
      <w:r>
        <w:t xml:space="preserve">. In summary, where the Minister receives an innovative medicine application and confidential supporting information, the Minister, </w:t>
      </w:r>
      <w:r w:rsidRPr="00AF4275">
        <w:rPr>
          <w:i/>
        </w:rPr>
        <w:t>during the protected period</w:t>
      </w:r>
      <w:r>
        <w:t xml:space="preserve"> (emphasis added) in relation to that confidential supporting information:</w:t>
      </w:r>
    </w:p>
    <w:p w:rsidR="001F1CDB" w:rsidRDefault="00A44FBF" w:rsidP="001F1CDB">
      <w:pPr>
        <w:pStyle w:val="ListBullet"/>
      </w:pPr>
      <w:r>
        <w:t>h</w:t>
      </w:r>
      <w:r w:rsidR="001F1CDB">
        <w:t>as to take reasonable steps to ensure that that confidential supporting information is kept confidential</w:t>
      </w:r>
      <w:r w:rsidR="00B94822">
        <w:t>,</w:t>
      </w:r>
      <w:r w:rsidR="001F1CDB">
        <w:t xml:space="preserve"> and </w:t>
      </w:r>
    </w:p>
    <w:p w:rsidR="001F1CDB" w:rsidRDefault="00A44FBF" w:rsidP="001F1CDB">
      <w:pPr>
        <w:pStyle w:val="ListBullet"/>
      </w:pPr>
      <w:r>
        <w:t>c</w:t>
      </w:r>
      <w:r w:rsidR="001F1CDB">
        <w:t>annot use that confidential supporting information for the purposes of determining whether to grant any other application.</w:t>
      </w:r>
    </w:p>
    <w:p w:rsidR="001F1CDB" w:rsidRDefault="001F1CDB" w:rsidP="001F1CDB">
      <w:pPr>
        <w:pStyle w:val="BodyText"/>
      </w:pPr>
      <w:r>
        <w:t>Protection under section 23B does not apply to certain disclosures of the information for administrative purposes, disclosure with the consent of the applicant, or disclosure considered necessary to protect the health or safety of members of the public</w:t>
      </w:r>
    </w:p>
    <w:p w:rsidR="001F6AF3" w:rsidRDefault="001F6AF3" w:rsidP="001F6AF3">
      <w:pPr>
        <w:pStyle w:val="Heading2"/>
      </w:pPr>
      <w:bookmarkStart w:id="92" w:name="_Toc497300830"/>
      <w:r>
        <w:t>Conclusions</w:t>
      </w:r>
      <w:bookmarkEnd w:id="92"/>
    </w:p>
    <w:p w:rsidR="001F6AF3" w:rsidRDefault="001F6AF3" w:rsidP="001F6AF3">
      <w:pPr>
        <w:pStyle w:val="BodyText"/>
      </w:pPr>
      <w:r w:rsidRPr="00B75AB9">
        <w:t xml:space="preserve">A summary of the approach of different jurisdictions to regulatory data protection are provided in </w:t>
      </w:r>
      <w:r>
        <w:fldChar w:fldCharType="begin"/>
      </w:r>
      <w:r>
        <w:instrText xml:space="preserve"> REF _Ref487648698 \h </w:instrText>
      </w:r>
      <w:r>
        <w:fldChar w:fldCharType="separate"/>
      </w:r>
      <w:r w:rsidR="0087688C" w:rsidRPr="00FC29C8">
        <w:rPr>
          <w:rStyle w:val="CaptionLabel"/>
        </w:rPr>
        <w:t>Table</w:t>
      </w:r>
      <w:r w:rsidR="0087688C">
        <w:rPr>
          <w:rStyle w:val="CaptionLabel"/>
        </w:rPr>
        <w:t> </w:t>
      </w:r>
      <w:r w:rsidR="0087688C">
        <w:rPr>
          <w:rStyle w:val="CaptionLabel"/>
          <w:noProof/>
        </w:rPr>
        <w:t>3</w:t>
      </w:r>
      <w:r w:rsidR="0087688C" w:rsidRPr="00FC29C8">
        <w:rPr>
          <w:rStyle w:val="CaptionLabel"/>
        </w:rPr>
        <w:t>.</w:t>
      </w:r>
      <w:r w:rsidR="0087688C">
        <w:rPr>
          <w:rStyle w:val="CaptionLabel"/>
          <w:noProof/>
        </w:rPr>
        <w:t>1</w:t>
      </w:r>
      <w:r>
        <w:fldChar w:fldCharType="end"/>
      </w:r>
      <w:r>
        <w:t xml:space="preserve"> and </w:t>
      </w:r>
      <w:r>
        <w:fldChar w:fldCharType="begin"/>
      </w:r>
      <w:r>
        <w:instrText xml:space="preserve"> REF _Ref487648711 \h </w:instrText>
      </w:r>
      <w:r>
        <w:fldChar w:fldCharType="separate"/>
      </w:r>
      <w:r w:rsidR="0087688C" w:rsidRPr="00FC29C8">
        <w:rPr>
          <w:rStyle w:val="CaptionLabel"/>
        </w:rPr>
        <w:t>Table</w:t>
      </w:r>
      <w:r w:rsidR="0087688C">
        <w:rPr>
          <w:rStyle w:val="CaptionLabel"/>
        </w:rPr>
        <w:t> </w:t>
      </w:r>
      <w:r w:rsidR="0087688C">
        <w:rPr>
          <w:rStyle w:val="CaptionLabel"/>
          <w:noProof/>
        </w:rPr>
        <w:t>3</w:t>
      </w:r>
      <w:r w:rsidR="0087688C" w:rsidRPr="00FC29C8">
        <w:rPr>
          <w:rStyle w:val="CaptionLabel"/>
        </w:rPr>
        <w:t>.</w:t>
      </w:r>
      <w:r w:rsidR="0087688C">
        <w:rPr>
          <w:rStyle w:val="CaptionLabel"/>
          <w:noProof/>
        </w:rPr>
        <w:t>2</w:t>
      </w:r>
      <w:r>
        <w:fldChar w:fldCharType="end"/>
      </w:r>
      <w:r w:rsidRPr="00B75AB9">
        <w:t>.</w:t>
      </w:r>
    </w:p>
    <w:p w:rsidR="00BA789D" w:rsidRDefault="00BA789D" w:rsidP="00BA789D">
      <w:pPr>
        <w:pStyle w:val="BodyText"/>
      </w:pPr>
      <w:r>
        <w:t>The countries examined in this report all provide standard twenty-year patents for agvet chemicals. Where they differ is in the provision of extensions to compensate for market time lost to regulatory procedures. In Europe, these extensions do not formally exten</w:t>
      </w:r>
      <w:r w:rsidR="00D61CB6">
        <w:t>d</w:t>
      </w:r>
      <w:r>
        <w:t xml:space="preserve"> a patent term, but are provided through supplementary protection certificates (SPCs). SPCs are the subject of an EU Directive, and are implemented in individual countries. Their duration can be fifteen years from the date of the first authorisation in the EU or five years from the day that the SPC is to take effect, whichever is the lesser. There is an application process to obtain an SPC. </w:t>
      </w:r>
    </w:p>
    <w:p w:rsidR="00BA789D" w:rsidRDefault="00BA789D" w:rsidP="00BA789D">
      <w:pPr>
        <w:pStyle w:val="BodyText"/>
      </w:pPr>
      <w:r>
        <w:t xml:space="preserve">In the USA, extensions of patent term are available for delays in the USPTO. Broadly, further extensions can be added under the </w:t>
      </w:r>
      <w:r w:rsidRPr="00C967A2">
        <w:rPr>
          <w:i/>
        </w:rPr>
        <w:t>Hatch</w:t>
      </w:r>
      <w:r w:rsidR="00C967A2">
        <w:rPr>
          <w:i/>
        </w:rPr>
        <w:t>-</w:t>
      </w:r>
      <w:r w:rsidRPr="00C967A2">
        <w:rPr>
          <w:i/>
        </w:rPr>
        <w:t>Waxman Act</w:t>
      </w:r>
      <w:r>
        <w:t xml:space="preserve">. Veterinary products have an entitlement to an extension for delays by a regulatory agency. Generics are provided with an extension because they are not able to prepare to enter the market prior to the expiry of a patent. Up until now, Canada has not provided patent extensions for pharmaceutical or agvet products but will shortly provide extension of two to five years for qualifying pharmaceutical (but not agvet) products. New Zealand is moving to provide extensions for pharmaceutical (but not agvet) products. Australia does not provide extensions for agvet products. </w:t>
      </w:r>
    </w:p>
    <w:p w:rsidR="001F6AF3" w:rsidRPr="00B75AB9" w:rsidRDefault="001F6AF3" w:rsidP="00A81AF2">
      <w:pPr>
        <w:pStyle w:val="Caption"/>
        <w:spacing w:before="160"/>
        <w:ind w:left="-2410" w:firstLine="0"/>
      </w:pPr>
      <w:bookmarkStart w:id="93" w:name="_Ref487648698"/>
      <w:bookmarkStart w:id="94" w:name="_Toc497132808"/>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1</w:t>
      </w:r>
      <w:r w:rsidRPr="00FC29C8">
        <w:rPr>
          <w:rStyle w:val="CaptionLabel"/>
        </w:rPr>
        <w:fldChar w:fldCharType="end"/>
      </w:r>
      <w:bookmarkEnd w:id="93"/>
      <w:r w:rsidRPr="00B75AB9">
        <w:tab/>
        <w:t>Regulatory data protection comparison</w:t>
      </w:r>
      <w:r>
        <w:t xml:space="preserve"> for crop protection products</w:t>
      </w:r>
      <w:bookmarkEnd w:id="94"/>
    </w:p>
    <w:tbl>
      <w:tblPr>
        <w:tblW w:w="10862"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284"/>
        <w:gridCol w:w="2518"/>
        <w:gridCol w:w="33"/>
        <w:gridCol w:w="1844"/>
        <w:gridCol w:w="1134"/>
        <w:gridCol w:w="2694"/>
        <w:gridCol w:w="1245"/>
        <w:gridCol w:w="1110"/>
      </w:tblGrid>
      <w:tr w:rsidR="00E86A68" w:rsidRPr="00B75AB9" w:rsidTr="006310D1">
        <w:trPr>
          <w:cantSplit/>
          <w:tblHeader/>
        </w:trPr>
        <w:tc>
          <w:tcPr>
            <w:tcW w:w="1305" w:type="pct"/>
            <w:gridSpan w:val="3"/>
            <w:shd w:val="clear" w:color="auto" w:fill="9D57A6"/>
            <w:tcMar>
              <w:left w:w="454" w:type="dxa"/>
              <w:bottom w:w="0" w:type="dxa"/>
            </w:tcMar>
          </w:tcPr>
          <w:p w:rsidR="001F6AF3" w:rsidRPr="00B75AB9" w:rsidRDefault="001F6AF3" w:rsidP="00051735">
            <w:pPr>
              <w:pStyle w:val="Tablecolumnheadings"/>
            </w:pPr>
            <w:r w:rsidRPr="00B75AB9">
              <w:t>Key components</w:t>
            </w:r>
          </w:p>
        </w:tc>
        <w:tc>
          <w:tcPr>
            <w:tcW w:w="849" w:type="pct"/>
            <w:shd w:val="clear" w:color="auto" w:fill="9D57A6"/>
            <w:tcMar>
              <w:bottom w:w="0" w:type="dxa"/>
            </w:tcMar>
          </w:tcPr>
          <w:p w:rsidR="001F6AF3" w:rsidRPr="00B75AB9" w:rsidRDefault="001F6AF3" w:rsidP="00051735">
            <w:pPr>
              <w:pStyle w:val="Tablecolumnheadings"/>
            </w:pPr>
            <w:r w:rsidRPr="00B75AB9">
              <w:t>Australia</w:t>
            </w:r>
          </w:p>
        </w:tc>
        <w:tc>
          <w:tcPr>
            <w:tcW w:w="522" w:type="pct"/>
            <w:shd w:val="clear" w:color="auto" w:fill="9D57A6"/>
          </w:tcPr>
          <w:p w:rsidR="001F6AF3" w:rsidRPr="00B75AB9" w:rsidRDefault="001F6AF3" w:rsidP="00051735">
            <w:pPr>
              <w:pStyle w:val="Tablecolumnheadings"/>
            </w:pPr>
            <w:r>
              <w:t>New Zealand</w:t>
            </w:r>
          </w:p>
        </w:tc>
        <w:tc>
          <w:tcPr>
            <w:tcW w:w="1240" w:type="pct"/>
            <w:shd w:val="clear" w:color="auto" w:fill="9D57A6"/>
            <w:tcMar>
              <w:bottom w:w="0" w:type="dxa"/>
            </w:tcMar>
          </w:tcPr>
          <w:p w:rsidR="001F6AF3" w:rsidRPr="00B75AB9" w:rsidRDefault="001F6AF3" w:rsidP="00051735">
            <w:pPr>
              <w:pStyle w:val="Tablecolumnheadings"/>
            </w:pPr>
            <w:r w:rsidRPr="00B75AB9">
              <w:t>EU</w:t>
            </w:r>
          </w:p>
        </w:tc>
        <w:tc>
          <w:tcPr>
            <w:tcW w:w="573" w:type="pct"/>
            <w:shd w:val="clear" w:color="auto" w:fill="9D57A6"/>
            <w:tcMar>
              <w:bottom w:w="0" w:type="dxa"/>
            </w:tcMar>
          </w:tcPr>
          <w:p w:rsidR="001F6AF3" w:rsidRPr="00B75AB9" w:rsidRDefault="001F6AF3" w:rsidP="00051735">
            <w:pPr>
              <w:pStyle w:val="Tablecolumnheadings"/>
            </w:pPr>
            <w:r>
              <w:t>USA</w:t>
            </w:r>
          </w:p>
        </w:tc>
        <w:tc>
          <w:tcPr>
            <w:tcW w:w="511" w:type="pct"/>
            <w:shd w:val="clear" w:color="auto" w:fill="9D57A6"/>
            <w:tcMar>
              <w:bottom w:w="0" w:type="dxa"/>
            </w:tcMar>
          </w:tcPr>
          <w:p w:rsidR="001F6AF3" w:rsidRPr="00B75AB9" w:rsidRDefault="001F6AF3" w:rsidP="00051735">
            <w:pPr>
              <w:pStyle w:val="Tablecolumnheadings"/>
            </w:pPr>
            <w:r w:rsidRPr="00B75AB9">
              <w:t>Canada</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tcBorders>
              <w:top w:val="nil"/>
            </w:tcBorders>
            <w:shd w:val="clear" w:color="auto" w:fill="auto"/>
          </w:tcPr>
          <w:p w:rsidR="001F6AF3" w:rsidRPr="00B75AB9" w:rsidRDefault="001F6AF3" w:rsidP="00051735">
            <w:pPr>
              <w:pStyle w:val="Tabletext"/>
            </w:pPr>
            <w:r w:rsidRPr="00B75AB9">
              <w:t>Protection period for a new active ingredient</w:t>
            </w:r>
            <w:r>
              <w:t xml:space="preserve"> / constituent</w:t>
            </w:r>
            <w:r w:rsidRPr="00B75AB9">
              <w:t xml:space="preserve"> and associated formulated products</w:t>
            </w:r>
            <w:r>
              <w:t xml:space="preserve"> not previously endorsed</w:t>
            </w:r>
          </w:p>
        </w:tc>
        <w:tc>
          <w:tcPr>
            <w:tcW w:w="849" w:type="pct"/>
            <w:tcBorders>
              <w:top w:val="nil"/>
            </w:tcBorders>
            <w:shd w:val="clear" w:color="auto" w:fill="auto"/>
          </w:tcPr>
          <w:p w:rsidR="001F6AF3" w:rsidRPr="00B75AB9" w:rsidRDefault="001F6AF3" w:rsidP="00051735">
            <w:pPr>
              <w:pStyle w:val="Tabletext"/>
            </w:pPr>
            <w:r w:rsidRPr="00B75AB9">
              <w:t>10 years as of July 2014</w:t>
            </w:r>
            <w:r>
              <w:t xml:space="preserve"> under </w:t>
            </w:r>
            <w:r w:rsidRPr="0083766E">
              <w:t>Section 34M of Agve</w:t>
            </w:r>
            <w:r>
              <w:t>t</w:t>
            </w:r>
            <w:r w:rsidRPr="0083766E">
              <w:t xml:space="preserve"> Code </w:t>
            </w:r>
          </w:p>
        </w:tc>
        <w:tc>
          <w:tcPr>
            <w:tcW w:w="522" w:type="pct"/>
            <w:tcBorders>
              <w:top w:val="nil"/>
            </w:tcBorders>
          </w:tcPr>
          <w:p w:rsidR="001F6AF3" w:rsidRPr="00B75AB9" w:rsidRDefault="001F6AF3" w:rsidP="00051735">
            <w:pPr>
              <w:pStyle w:val="Tabletext"/>
            </w:pPr>
            <w:r>
              <w:t>10 years</w:t>
            </w:r>
          </w:p>
        </w:tc>
        <w:tc>
          <w:tcPr>
            <w:tcW w:w="1240" w:type="pct"/>
            <w:tcBorders>
              <w:top w:val="nil"/>
            </w:tcBorders>
            <w:shd w:val="clear" w:color="auto" w:fill="auto"/>
          </w:tcPr>
          <w:p w:rsidR="001F6AF3" w:rsidRPr="00B75AB9" w:rsidRDefault="001F6AF3" w:rsidP="00051735">
            <w:pPr>
              <w:pStyle w:val="Tabletext"/>
            </w:pPr>
            <w:r w:rsidRPr="00B75AB9">
              <w:t>10 years – plant protection products</w:t>
            </w:r>
            <w:r w:rsidRPr="00B75AB9">
              <w:br/>
              <w:t>13 years – low risk products</w:t>
            </w:r>
            <w:r w:rsidRPr="00B75AB9">
              <w:br/>
              <w:t>15 years -biocides</w:t>
            </w:r>
          </w:p>
        </w:tc>
        <w:tc>
          <w:tcPr>
            <w:tcW w:w="573" w:type="pct"/>
            <w:tcBorders>
              <w:top w:val="nil"/>
            </w:tcBorders>
            <w:shd w:val="clear" w:color="auto" w:fill="auto"/>
          </w:tcPr>
          <w:p w:rsidR="001F6AF3" w:rsidRPr="00B75AB9" w:rsidRDefault="001F6AF3" w:rsidP="00051735">
            <w:pPr>
              <w:pStyle w:val="Tabletext"/>
            </w:pPr>
            <w:r w:rsidRPr="00B75AB9">
              <w:t>10 years exclusive use</w:t>
            </w:r>
          </w:p>
        </w:tc>
        <w:tc>
          <w:tcPr>
            <w:tcW w:w="511" w:type="pct"/>
            <w:tcBorders>
              <w:top w:val="nil"/>
            </w:tcBorders>
            <w:shd w:val="clear" w:color="auto" w:fill="auto"/>
          </w:tcPr>
          <w:p w:rsidR="001F6AF3" w:rsidRPr="00B75AB9" w:rsidRDefault="001F6AF3" w:rsidP="00051735">
            <w:pPr>
              <w:pStyle w:val="Tabletext"/>
            </w:pPr>
            <w:r w:rsidRPr="00B75AB9">
              <w:t>10 years</w:t>
            </w:r>
            <w:r>
              <w:t>, 12 years with change in formulation</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tcBorders>
              <w:top w:val="nil"/>
            </w:tcBorders>
            <w:shd w:val="clear" w:color="auto" w:fill="auto"/>
          </w:tcPr>
          <w:p w:rsidR="001F6AF3" w:rsidRPr="00B75AB9" w:rsidRDefault="001F6AF3" w:rsidP="00051735">
            <w:pPr>
              <w:pStyle w:val="Tabletext"/>
            </w:pPr>
            <w:r>
              <w:t>Protection period for previously endorsed or variations or new information</w:t>
            </w:r>
          </w:p>
        </w:tc>
        <w:tc>
          <w:tcPr>
            <w:tcW w:w="849" w:type="pct"/>
            <w:tcBorders>
              <w:top w:val="nil"/>
            </w:tcBorders>
            <w:shd w:val="clear" w:color="auto" w:fill="auto"/>
          </w:tcPr>
          <w:p w:rsidR="001F6AF3" w:rsidRPr="00B75AB9" w:rsidRDefault="001F6AF3" w:rsidP="00051735">
            <w:pPr>
              <w:pStyle w:val="Tabletext"/>
            </w:pPr>
            <w:r>
              <w:t>5 years as of July 2014</w:t>
            </w:r>
          </w:p>
        </w:tc>
        <w:tc>
          <w:tcPr>
            <w:tcW w:w="522" w:type="pct"/>
            <w:tcBorders>
              <w:top w:val="nil"/>
            </w:tcBorders>
          </w:tcPr>
          <w:p w:rsidR="001F6AF3" w:rsidRPr="00B75AB9" w:rsidRDefault="001F6AF3" w:rsidP="00051735">
            <w:pPr>
              <w:pStyle w:val="Tabletext"/>
            </w:pPr>
            <w:r>
              <w:t>5 years</w:t>
            </w:r>
          </w:p>
        </w:tc>
        <w:tc>
          <w:tcPr>
            <w:tcW w:w="1240" w:type="pct"/>
            <w:tcBorders>
              <w:top w:val="nil"/>
            </w:tcBorders>
            <w:shd w:val="clear" w:color="auto" w:fill="auto"/>
          </w:tcPr>
          <w:p w:rsidR="001F6AF3" w:rsidRPr="00B75AB9" w:rsidRDefault="001F6AF3" w:rsidP="00051735">
            <w:pPr>
              <w:pStyle w:val="Tabletext"/>
            </w:pPr>
            <w:r>
              <w:t>na</w:t>
            </w:r>
          </w:p>
        </w:tc>
        <w:tc>
          <w:tcPr>
            <w:tcW w:w="573" w:type="pct"/>
            <w:tcBorders>
              <w:top w:val="nil"/>
            </w:tcBorders>
            <w:shd w:val="clear" w:color="auto" w:fill="auto"/>
          </w:tcPr>
          <w:p w:rsidR="001F6AF3" w:rsidRPr="00B75AB9" w:rsidRDefault="001F6AF3" w:rsidP="00051735">
            <w:pPr>
              <w:pStyle w:val="Tabletext"/>
            </w:pPr>
            <w:r>
              <w:t>na</w:t>
            </w:r>
          </w:p>
        </w:tc>
        <w:tc>
          <w:tcPr>
            <w:tcW w:w="511" w:type="pct"/>
            <w:tcBorders>
              <w:top w:val="nil"/>
            </w:tcBorders>
            <w:shd w:val="clear" w:color="auto" w:fill="auto"/>
          </w:tcPr>
          <w:p w:rsidR="001F6AF3" w:rsidRPr="00B75AB9" w:rsidRDefault="001F6AF3" w:rsidP="00051735">
            <w:pPr>
              <w:pStyle w:val="Tabletext"/>
            </w:pPr>
            <w:r>
              <w:t>na</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shd w:val="clear" w:color="auto" w:fill="auto"/>
          </w:tcPr>
          <w:p w:rsidR="001F6AF3" w:rsidRPr="00B75AB9" w:rsidRDefault="001F6AF3" w:rsidP="00051735">
            <w:pPr>
              <w:pStyle w:val="Tabletext"/>
            </w:pPr>
            <w:r w:rsidRPr="00B75AB9">
              <w:t>Extensions linked to minor use registrations</w:t>
            </w:r>
          </w:p>
        </w:tc>
        <w:tc>
          <w:tcPr>
            <w:tcW w:w="849" w:type="pct"/>
            <w:shd w:val="clear" w:color="auto" w:fill="auto"/>
          </w:tcPr>
          <w:p w:rsidR="001F6AF3" w:rsidRPr="00B75AB9" w:rsidRDefault="001F6AF3" w:rsidP="00051735">
            <w:pPr>
              <w:pStyle w:val="Tabletext"/>
            </w:pPr>
            <w:r>
              <w:t>None</w:t>
            </w:r>
          </w:p>
        </w:tc>
        <w:tc>
          <w:tcPr>
            <w:tcW w:w="522" w:type="pct"/>
          </w:tcPr>
          <w:p w:rsidR="001F6AF3" w:rsidRPr="00B75AB9" w:rsidRDefault="001F6AF3" w:rsidP="00051735">
            <w:pPr>
              <w:pStyle w:val="Tabletext"/>
            </w:pPr>
            <w:r>
              <w:t>None</w:t>
            </w:r>
          </w:p>
        </w:tc>
        <w:tc>
          <w:tcPr>
            <w:tcW w:w="1240" w:type="pct"/>
            <w:shd w:val="clear" w:color="auto" w:fill="auto"/>
          </w:tcPr>
          <w:p w:rsidR="001F6AF3" w:rsidRPr="00B75AB9" w:rsidRDefault="001F6AF3" w:rsidP="00051735">
            <w:pPr>
              <w:pStyle w:val="Tabletext"/>
            </w:pPr>
            <w:r w:rsidRPr="00476A2F">
              <w:t>Additional 3 months for each minor use, up to 3 additional years (plant protection products). Up to 2 years (low risk products)</w:t>
            </w:r>
          </w:p>
        </w:tc>
        <w:tc>
          <w:tcPr>
            <w:tcW w:w="573" w:type="pct"/>
            <w:shd w:val="clear" w:color="auto" w:fill="auto"/>
          </w:tcPr>
          <w:p w:rsidR="001F6AF3" w:rsidRPr="00B75AB9" w:rsidRDefault="001F6AF3" w:rsidP="00051735">
            <w:pPr>
              <w:pStyle w:val="Tabletext"/>
            </w:pPr>
            <w:r w:rsidRPr="00B75AB9">
              <w:t>Up to 3 additional years</w:t>
            </w:r>
            <w:r w:rsidRPr="00B75AB9">
              <w:br/>
              <w:t>(1 year for each three minor uses)</w:t>
            </w:r>
          </w:p>
        </w:tc>
        <w:tc>
          <w:tcPr>
            <w:tcW w:w="511" w:type="pct"/>
            <w:shd w:val="clear" w:color="auto" w:fill="auto"/>
          </w:tcPr>
          <w:p w:rsidR="001F6AF3" w:rsidRPr="00B75AB9" w:rsidRDefault="001F6AF3" w:rsidP="00051735">
            <w:pPr>
              <w:pStyle w:val="Tabletext"/>
            </w:pPr>
            <w:r w:rsidRPr="00B75AB9">
              <w:t>Up to 5 additional years</w:t>
            </w:r>
            <w:r>
              <w:t>. (1 </w:t>
            </w:r>
            <w:r w:rsidRPr="00B75AB9">
              <w:t>year for each three minor uses)</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shd w:val="clear" w:color="auto" w:fill="auto"/>
          </w:tcPr>
          <w:p w:rsidR="001F6AF3" w:rsidRPr="00B75AB9" w:rsidRDefault="001F6AF3" w:rsidP="00051735">
            <w:pPr>
              <w:pStyle w:val="Tabletext"/>
            </w:pPr>
            <w:r w:rsidRPr="00B75AB9">
              <w:t>Total potential protection period</w:t>
            </w:r>
          </w:p>
        </w:tc>
        <w:tc>
          <w:tcPr>
            <w:tcW w:w="849" w:type="pct"/>
            <w:shd w:val="clear" w:color="auto" w:fill="auto"/>
          </w:tcPr>
          <w:p w:rsidR="001F6AF3" w:rsidRPr="00B75AB9" w:rsidRDefault="001F6AF3">
            <w:pPr>
              <w:pStyle w:val="Tabletext"/>
            </w:pPr>
            <w:r>
              <w:t>10 years as of July 2014</w:t>
            </w:r>
          </w:p>
        </w:tc>
        <w:tc>
          <w:tcPr>
            <w:tcW w:w="522" w:type="pct"/>
          </w:tcPr>
          <w:p w:rsidR="001F6AF3" w:rsidRPr="00B75AB9" w:rsidRDefault="001F6AF3" w:rsidP="00051735">
            <w:pPr>
              <w:pStyle w:val="Tabletext"/>
            </w:pPr>
            <w:r>
              <w:t>10 years</w:t>
            </w:r>
          </w:p>
        </w:tc>
        <w:tc>
          <w:tcPr>
            <w:tcW w:w="1240" w:type="pct"/>
            <w:shd w:val="clear" w:color="auto" w:fill="auto"/>
          </w:tcPr>
          <w:p w:rsidR="001F6AF3" w:rsidRPr="00B75AB9" w:rsidRDefault="001F6AF3" w:rsidP="00051735">
            <w:pPr>
              <w:pStyle w:val="Tabletext"/>
            </w:pPr>
            <w:r w:rsidRPr="00B75AB9">
              <w:t>10–13 years (plant protection products)</w:t>
            </w:r>
            <w:r w:rsidRPr="00B75AB9">
              <w:br/>
              <w:t>13–15 years (low risk protection products)</w:t>
            </w:r>
            <w:r w:rsidRPr="00B75AB9">
              <w:br/>
              <w:t>15 years (biocides)</w:t>
            </w:r>
          </w:p>
        </w:tc>
        <w:tc>
          <w:tcPr>
            <w:tcW w:w="573" w:type="pct"/>
            <w:shd w:val="clear" w:color="auto" w:fill="auto"/>
          </w:tcPr>
          <w:p w:rsidR="001F6AF3" w:rsidRPr="00B75AB9" w:rsidRDefault="001F6AF3" w:rsidP="00051735">
            <w:pPr>
              <w:pStyle w:val="Tabletext"/>
            </w:pPr>
            <w:r w:rsidRPr="00B75AB9">
              <w:t>10–13 years</w:t>
            </w:r>
          </w:p>
        </w:tc>
        <w:tc>
          <w:tcPr>
            <w:tcW w:w="511" w:type="pct"/>
            <w:shd w:val="clear" w:color="auto" w:fill="auto"/>
          </w:tcPr>
          <w:p w:rsidR="001F6AF3" w:rsidRPr="00B75AB9" w:rsidRDefault="001F6AF3" w:rsidP="00051735">
            <w:pPr>
              <w:pStyle w:val="Tabletext"/>
            </w:pPr>
            <w:r w:rsidRPr="00B75AB9">
              <w:t>10-15 years</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shd w:val="clear" w:color="auto" w:fill="auto"/>
          </w:tcPr>
          <w:p w:rsidR="001F6AF3" w:rsidRPr="00B75AB9" w:rsidRDefault="001F6AF3" w:rsidP="00051735">
            <w:pPr>
              <w:pStyle w:val="Tabletext"/>
            </w:pPr>
            <w:r w:rsidRPr="00B75AB9">
              <w:t>Data compensation period – subsequent data to support</w:t>
            </w:r>
            <w:r>
              <w:t xml:space="preserve"> </w:t>
            </w:r>
            <w:r w:rsidRPr="00B75AB9">
              <w:t>/</w:t>
            </w:r>
            <w:r>
              <w:t xml:space="preserve"> </w:t>
            </w:r>
            <w:r w:rsidRPr="00B75AB9">
              <w:t xml:space="preserve">maintain registration of a new active ingredient to support re-evaluation </w:t>
            </w:r>
          </w:p>
        </w:tc>
        <w:tc>
          <w:tcPr>
            <w:tcW w:w="849" w:type="pct"/>
            <w:shd w:val="clear" w:color="auto" w:fill="auto"/>
          </w:tcPr>
          <w:p w:rsidR="001F6AF3" w:rsidRPr="00B75AB9" w:rsidRDefault="001F6AF3" w:rsidP="00051735">
            <w:pPr>
              <w:pStyle w:val="Tabletext"/>
            </w:pPr>
          </w:p>
        </w:tc>
        <w:tc>
          <w:tcPr>
            <w:tcW w:w="522" w:type="pct"/>
          </w:tcPr>
          <w:p w:rsidR="001F6AF3" w:rsidRPr="00B75AB9" w:rsidRDefault="001F6AF3" w:rsidP="00051735">
            <w:pPr>
              <w:pStyle w:val="Tabletext"/>
            </w:pPr>
          </w:p>
        </w:tc>
        <w:tc>
          <w:tcPr>
            <w:tcW w:w="1240" w:type="pct"/>
            <w:shd w:val="clear" w:color="auto" w:fill="auto"/>
          </w:tcPr>
          <w:p w:rsidR="001F6AF3" w:rsidRPr="00B75AB9" w:rsidRDefault="001F6AF3" w:rsidP="00051735">
            <w:pPr>
              <w:pStyle w:val="Tabletext"/>
            </w:pPr>
            <w:r w:rsidRPr="00B75AB9">
              <w:t>30 months (plant protection products)</w:t>
            </w:r>
            <w:r w:rsidRPr="00B75AB9">
              <w:br/>
              <w:t>5 years (review or renewal of biocides)</w:t>
            </w:r>
          </w:p>
        </w:tc>
        <w:tc>
          <w:tcPr>
            <w:tcW w:w="573" w:type="pct"/>
            <w:shd w:val="clear" w:color="auto" w:fill="auto"/>
          </w:tcPr>
          <w:p w:rsidR="001F6AF3" w:rsidRPr="00B75AB9" w:rsidRDefault="001F6AF3">
            <w:pPr>
              <w:pStyle w:val="Tabletext"/>
            </w:pPr>
            <w:r w:rsidRPr="00B75AB9">
              <w:t>15 years compensable. Data with exclusive use protection are compensable for 5 years after exclusivity expires</w:t>
            </w:r>
          </w:p>
        </w:tc>
        <w:tc>
          <w:tcPr>
            <w:tcW w:w="511" w:type="pct"/>
            <w:shd w:val="clear" w:color="auto" w:fill="auto"/>
          </w:tcPr>
          <w:p w:rsidR="001F6AF3" w:rsidRPr="00B75AB9" w:rsidRDefault="001F6AF3" w:rsidP="00051735">
            <w:pPr>
              <w:pStyle w:val="Tabletext"/>
            </w:pPr>
            <w:r w:rsidRPr="00B75AB9">
              <w:t>12 years compensable</w:t>
            </w:r>
          </w:p>
        </w:tc>
      </w:tr>
      <w:tr w:rsidR="00E86A68" w:rsidRPr="00B75AB9" w:rsidTr="006310D1">
        <w:tblPrEx>
          <w:tblBorders>
            <w:bottom w:val="single" w:sz="4" w:space="0" w:color="646464"/>
            <w:insideH w:val="single" w:sz="4" w:space="0" w:color="646464"/>
          </w:tblBorders>
        </w:tblPrEx>
        <w:trPr>
          <w:gridBefore w:val="1"/>
          <w:wBefore w:w="131" w:type="pct"/>
          <w:cantSplit/>
        </w:trPr>
        <w:tc>
          <w:tcPr>
            <w:tcW w:w="1174" w:type="pct"/>
            <w:gridSpan w:val="2"/>
            <w:shd w:val="clear" w:color="auto" w:fill="auto"/>
          </w:tcPr>
          <w:p w:rsidR="001F6AF3" w:rsidRPr="00B75AB9" w:rsidRDefault="001F6AF3" w:rsidP="00051735">
            <w:pPr>
              <w:pStyle w:val="Tabletext"/>
            </w:pPr>
            <w:r w:rsidRPr="00B75AB9">
              <w:t>New legislation</w:t>
            </w:r>
          </w:p>
        </w:tc>
        <w:tc>
          <w:tcPr>
            <w:tcW w:w="849" w:type="pct"/>
            <w:shd w:val="clear" w:color="auto" w:fill="auto"/>
          </w:tcPr>
          <w:p w:rsidR="001F6AF3" w:rsidRPr="00B75AB9" w:rsidRDefault="001F6AF3" w:rsidP="006310D1">
            <w:pPr>
              <w:pStyle w:val="Tabletext"/>
            </w:pPr>
            <w:r w:rsidRPr="00B75AB9">
              <w:t xml:space="preserve">New legislation took </w:t>
            </w:r>
            <w:r w:rsidR="002A53CB">
              <w:t>e</w:t>
            </w:r>
            <w:r w:rsidRPr="00B75AB9">
              <w:t>ffect from July 2014.</w:t>
            </w:r>
            <w:r>
              <w:t xml:space="preserve"> The interactions of various elements of the Agvet Code are complex relative to other countries</w:t>
            </w:r>
          </w:p>
        </w:tc>
        <w:tc>
          <w:tcPr>
            <w:tcW w:w="522" w:type="pct"/>
          </w:tcPr>
          <w:p w:rsidR="001F6AF3" w:rsidRPr="00B75AB9" w:rsidRDefault="001F6AF3" w:rsidP="00051735">
            <w:pPr>
              <w:pStyle w:val="Tabletext"/>
            </w:pPr>
            <w:r>
              <w:t>Legislation was amended in late 2016</w:t>
            </w:r>
          </w:p>
        </w:tc>
        <w:tc>
          <w:tcPr>
            <w:tcW w:w="1240" w:type="pct"/>
            <w:shd w:val="clear" w:color="auto" w:fill="auto"/>
          </w:tcPr>
          <w:p w:rsidR="001F6AF3" w:rsidRPr="00B75AB9" w:rsidRDefault="001F6AF3" w:rsidP="00BA789D">
            <w:pPr>
              <w:pStyle w:val="Tabletext"/>
            </w:pPr>
            <w:r w:rsidRPr="00B75AB9">
              <w:t>EC1107/2009 and 528/2012 te</w:t>
            </w:r>
            <w:r w:rsidR="00BA789D">
              <w:t>s</w:t>
            </w:r>
            <w:r w:rsidRPr="00B75AB9">
              <w:t>t data are subject to compulsory sharing for both plant protection products and biocides. Agreement on costs may be reached through negotiation, arbitration or legal proceedings</w:t>
            </w:r>
          </w:p>
        </w:tc>
        <w:tc>
          <w:tcPr>
            <w:tcW w:w="573" w:type="pct"/>
            <w:shd w:val="clear" w:color="auto" w:fill="auto"/>
          </w:tcPr>
          <w:p w:rsidR="001F6AF3" w:rsidRPr="00B75AB9" w:rsidRDefault="001F6AF3" w:rsidP="00051735">
            <w:pPr>
              <w:pStyle w:val="Tabletext"/>
            </w:pPr>
            <w:r>
              <w:t>na</w:t>
            </w:r>
          </w:p>
        </w:tc>
        <w:tc>
          <w:tcPr>
            <w:tcW w:w="511" w:type="pct"/>
            <w:shd w:val="clear" w:color="auto" w:fill="auto"/>
          </w:tcPr>
          <w:p w:rsidR="001F6AF3" w:rsidRPr="00B75AB9" w:rsidRDefault="001F6AF3" w:rsidP="00051735">
            <w:pPr>
              <w:pStyle w:val="Tabletext"/>
            </w:pPr>
            <w:r>
              <w:t>na</w:t>
            </w:r>
          </w:p>
        </w:tc>
      </w:tr>
      <w:tr w:rsidR="00E86A68" w:rsidRPr="00B75AB9" w:rsidTr="00DC0060">
        <w:tblPrEx>
          <w:tblBorders>
            <w:bottom w:val="single" w:sz="4" w:space="0" w:color="646464"/>
            <w:insideH w:val="single" w:sz="4" w:space="0" w:color="646464"/>
          </w:tblBorders>
        </w:tblPrEx>
        <w:trPr>
          <w:gridBefore w:val="1"/>
          <w:wBefore w:w="131" w:type="pct"/>
          <w:cantSplit/>
        </w:trPr>
        <w:tc>
          <w:tcPr>
            <w:tcW w:w="4869" w:type="pct"/>
            <w:gridSpan w:val="7"/>
            <w:tcBorders>
              <w:bottom w:val="single" w:sz="4" w:space="0" w:color="646464"/>
            </w:tcBorders>
          </w:tcPr>
          <w:p w:rsidR="001F6AF3" w:rsidRPr="00B75AB9" w:rsidRDefault="001F6AF3" w:rsidP="00B94822">
            <w:pPr>
              <w:pStyle w:val="Source"/>
            </w:pPr>
            <w:r>
              <w:t>Note: na = not applica</w:t>
            </w:r>
            <w:r w:rsidR="00B94822">
              <w:t>b</w:t>
            </w:r>
            <w:r>
              <w:t>le</w:t>
            </w:r>
            <w:r>
              <w:br/>
            </w:r>
            <w:r w:rsidRPr="00B75AB9">
              <w:t xml:space="preserve">Source: </w:t>
            </w:r>
            <w:r>
              <w:t xml:space="preserve">Based on AGVET Code (2016), NZ Ministry of Primary Industries, </w:t>
            </w:r>
            <w:r w:rsidRPr="00B75AB9">
              <w:t>Carroll M J (2016), The importance of regulatory data protection or exclusive use and other forms of IP rights in the crop protection industry, page 1637.</w:t>
            </w:r>
          </w:p>
        </w:tc>
      </w:tr>
      <w:tr w:rsidR="00E86A68" w:rsidRPr="00B75AB9" w:rsidTr="00A44FBF">
        <w:tblPrEx>
          <w:tblBorders>
            <w:bottom w:val="single" w:sz="4" w:space="0" w:color="646464"/>
            <w:insideH w:val="single" w:sz="4" w:space="0" w:color="646464"/>
          </w:tblBorders>
        </w:tblPrEx>
        <w:trPr>
          <w:gridBefore w:val="1"/>
          <w:wBefore w:w="131" w:type="pct"/>
          <w:cantSplit/>
          <w:trHeight w:hRule="exact" w:val="120"/>
        </w:trPr>
        <w:tc>
          <w:tcPr>
            <w:tcW w:w="1159" w:type="pct"/>
            <w:tcBorders>
              <w:top w:val="single" w:sz="4" w:space="0" w:color="646464"/>
              <w:bottom w:val="nil"/>
            </w:tcBorders>
          </w:tcPr>
          <w:p w:rsidR="001F6AF3" w:rsidRPr="00B75AB9" w:rsidRDefault="001F6AF3" w:rsidP="00051735">
            <w:pPr>
              <w:pStyle w:val="spacertbl"/>
            </w:pPr>
          </w:p>
        </w:tc>
        <w:tc>
          <w:tcPr>
            <w:tcW w:w="3710" w:type="pct"/>
            <w:gridSpan w:val="6"/>
            <w:tcBorders>
              <w:top w:val="single" w:sz="4" w:space="0" w:color="646464"/>
              <w:bottom w:val="nil"/>
            </w:tcBorders>
            <w:shd w:val="clear" w:color="auto" w:fill="auto"/>
          </w:tcPr>
          <w:p w:rsidR="001F6AF3" w:rsidRPr="00B75AB9" w:rsidRDefault="001F6AF3" w:rsidP="00051735">
            <w:pPr>
              <w:pStyle w:val="spacertbl"/>
            </w:pPr>
          </w:p>
        </w:tc>
      </w:tr>
    </w:tbl>
    <w:p w:rsidR="001F6AF3" w:rsidRPr="00B75AB9" w:rsidRDefault="001F6AF3" w:rsidP="00A81AF2">
      <w:pPr>
        <w:pStyle w:val="Caption"/>
        <w:spacing w:before="160"/>
        <w:ind w:left="-2410" w:firstLine="0"/>
      </w:pPr>
      <w:bookmarkStart w:id="95" w:name="_Ref487648711"/>
      <w:bookmarkStart w:id="96" w:name="_Toc497132809"/>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2</w:t>
      </w:r>
      <w:r w:rsidRPr="00FC29C8">
        <w:rPr>
          <w:rStyle w:val="CaptionLabel"/>
        </w:rPr>
        <w:fldChar w:fldCharType="end"/>
      </w:r>
      <w:bookmarkEnd w:id="95"/>
      <w:r>
        <w:tab/>
      </w:r>
      <w:r w:rsidRPr="00B75AB9">
        <w:t>Regulatory data protection comparison</w:t>
      </w:r>
      <w:r>
        <w:t xml:space="preserve"> for veterinary chemical products</w:t>
      </w:r>
      <w:bookmarkEnd w:id="96"/>
    </w:p>
    <w:tbl>
      <w:tblPr>
        <w:tblW w:w="10862"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285"/>
        <w:gridCol w:w="2411"/>
        <w:gridCol w:w="232"/>
        <w:gridCol w:w="2036"/>
        <w:gridCol w:w="1141"/>
        <w:gridCol w:w="1551"/>
        <w:gridCol w:w="2268"/>
        <w:gridCol w:w="938"/>
      </w:tblGrid>
      <w:tr w:rsidR="00E86A68" w:rsidRPr="00B75AB9" w:rsidTr="00A44FBF">
        <w:trPr>
          <w:cantSplit/>
          <w:tblHeader/>
        </w:trPr>
        <w:tc>
          <w:tcPr>
            <w:tcW w:w="1241" w:type="pct"/>
            <w:gridSpan w:val="2"/>
            <w:shd w:val="clear" w:color="auto" w:fill="9D57A6"/>
            <w:tcMar>
              <w:left w:w="454" w:type="dxa"/>
              <w:bottom w:w="0" w:type="dxa"/>
            </w:tcMar>
          </w:tcPr>
          <w:p w:rsidR="001F6AF3" w:rsidRPr="00B75AB9" w:rsidRDefault="001F6AF3" w:rsidP="00051735">
            <w:pPr>
              <w:pStyle w:val="Tablecolumnheadings"/>
            </w:pPr>
            <w:r w:rsidRPr="00B75AB9">
              <w:t>Key components</w:t>
            </w:r>
          </w:p>
        </w:tc>
        <w:tc>
          <w:tcPr>
            <w:tcW w:w="1044" w:type="pct"/>
            <w:gridSpan w:val="2"/>
            <w:shd w:val="clear" w:color="auto" w:fill="9D57A6"/>
            <w:tcMar>
              <w:bottom w:w="0" w:type="dxa"/>
            </w:tcMar>
          </w:tcPr>
          <w:p w:rsidR="001F6AF3" w:rsidRPr="00B75AB9" w:rsidRDefault="001F6AF3" w:rsidP="00051735">
            <w:pPr>
              <w:pStyle w:val="Tablecolumnheadings"/>
            </w:pPr>
            <w:r w:rsidRPr="00B75AB9">
              <w:t>Australia</w:t>
            </w:r>
          </w:p>
        </w:tc>
        <w:tc>
          <w:tcPr>
            <w:tcW w:w="525" w:type="pct"/>
            <w:shd w:val="clear" w:color="auto" w:fill="9D57A6"/>
          </w:tcPr>
          <w:p w:rsidR="001F6AF3" w:rsidRPr="00B75AB9" w:rsidRDefault="001F6AF3" w:rsidP="00051735">
            <w:pPr>
              <w:pStyle w:val="Tablecolumnheadings"/>
            </w:pPr>
            <w:r>
              <w:t>New Zealand</w:t>
            </w:r>
          </w:p>
        </w:tc>
        <w:tc>
          <w:tcPr>
            <w:tcW w:w="714" w:type="pct"/>
            <w:shd w:val="clear" w:color="auto" w:fill="9D57A6"/>
            <w:tcMar>
              <w:bottom w:w="0" w:type="dxa"/>
            </w:tcMar>
          </w:tcPr>
          <w:p w:rsidR="001F6AF3" w:rsidRPr="00B75AB9" w:rsidRDefault="001F6AF3" w:rsidP="00051735">
            <w:pPr>
              <w:pStyle w:val="Tablecolumnheadings"/>
            </w:pPr>
            <w:r w:rsidRPr="00B75AB9">
              <w:t>EU</w:t>
            </w:r>
          </w:p>
        </w:tc>
        <w:tc>
          <w:tcPr>
            <w:tcW w:w="1044" w:type="pct"/>
            <w:shd w:val="clear" w:color="auto" w:fill="9D57A6"/>
            <w:tcMar>
              <w:bottom w:w="0" w:type="dxa"/>
            </w:tcMar>
          </w:tcPr>
          <w:p w:rsidR="001F6AF3" w:rsidRPr="00B75AB9" w:rsidRDefault="001F6AF3" w:rsidP="00051735">
            <w:pPr>
              <w:pStyle w:val="Tablecolumnheadings"/>
            </w:pPr>
            <w:r>
              <w:t>USA</w:t>
            </w:r>
          </w:p>
        </w:tc>
        <w:tc>
          <w:tcPr>
            <w:tcW w:w="432" w:type="pct"/>
            <w:shd w:val="clear" w:color="auto" w:fill="9D57A6"/>
            <w:tcMar>
              <w:bottom w:w="0" w:type="dxa"/>
            </w:tcMar>
          </w:tcPr>
          <w:p w:rsidR="001F6AF3" w:rsidRPr="00B75AB9" w:rsidRDefault="001F6AF3" w:rsidP="00051735">
            <w:pPr>
              <w:pStyle w:val="Tablecolumnheadings"/>
            </w:pPr>
            <w:r w:rsidRPr="00B75AB9">
              <w:t>Canada</w:t>
            </w: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1110" w:type="pct"/>
            <w:tcBorders>
              <w:top w:val="nil"/>
            </w:tcBorders>
            <w:shd w:val="clear" w:color="auto" w:fill="auto"/>
          </w:tcPr>
          <w:p w:rsidR="001F6AF3" w:rsidRPr="00B75AB9" w:rsidRDefault="001F6AF3" w:rsidP="00051735">
            <w:pPr>
              <w:pStyle w:val="Tabletext"/>
            </w:pPr>
            <w:r w:rsidRPr="00B75AB9">
              <w:t>Protection period for a new active ingredient</w:t>
            </w:r>
            <w:r>
              <w:t xml:space="preserve"> / constituent</w:t>
            </w:r>
            <w:r w:rsidRPr="00B75AB9">
              <w:t xml:space="preserve"> and associated formulated products</w:t>
            </w:r>
            <w:r>
              <w:t xml:space="preserve"> not previously endorsed</w:t>
            </w:r>
          </w:p>
        </w:tc>
        <w:tc>
          <w:tcPr>
            <w:tcW w:w="1044" w:type="pct"/>
            <w:gridSpan w:val="2"/>
            <w:tcBorders>
              <w:top w:val="nil"/>
            </w:tcBorders>
            <w:shd w:val="clear" w:color="auto" w:fill="auto"/>
          </w:tcPr>
          <w:p w:rsidR="001F6AF3" w:rsidRPr="00B75AB9" w:rsidRDefault="001F6AF3" w:rsidP="00051735">
            <w:pPr>
              <w:pStyle w:val="Tabletext"/>
            </w:pPr>
            <w:r w:rsidRPr="00B75AB9">
              <w:t>10 years as of July 2014</w:t>
            </w:r>
            <w:r>
              <w:t xml:space="preserve"> under Section 34M of Agvet Code</w:t>
            </w:r>
            <w:r w:rsidRPr="00B75AB9">
              <w:br/>
            </w:r>
          </w:p>
        </w:tc>
        <w:tc>
          <w:tcPr>
            <w:tcW w:w="525" w:type="pct"/>
            <w:tcBorders>
              <w:top w:val="nil"/>
            </w:tcBorders>
          </w:tcPr>
          <w:p w:rsidR="001F6AF3" w:rsidRPr="002A4E68" w:rsidRDefault="001F6AF3" w:rsidP="00051735">
            <w:pPr>
              <w:pStyle w:val="Tabletext"/>
            </w:pPr>
            <w:r w:rsidRPr="002A4E68">
              <w:t>10 years</w:t>
            </w:r>
          </w:p>
        </w:tc>
        <w:tc>
          <w:tcPr>
            <w:tcW w:w="714" w:type="pct"/>
            <w:tcBorders>
              <w:top w:val="nil"/>
            </w:tcBorders>
            <w:shd w:val="clear" w:color="auto" w:fill="auto"/>
          </w:tcPr>
          <w:p w:rsidR="001F6AF3" w:rsidRPr="00CA1C51" w:rsidRDefault="001F6AF3" w:rsidP="00051735">
            <w:pPr>
              <w:pStyle w:val="Tabletext"/>
            </w:pPr>
            <w:r>
              <w:t xml:space="preserve">10 years. </w:t>
            </w:r>
            <w:r w:rsidRPr="00CA1C51">
              <w:t>1 additional year (for already authorised product to other species, up to maximum of 18 years)</w:t>
            </w:r>
          </w:p>
          <w:p w:rsidR="001F6AF3" w:rsidRPr="00E17B14" w:rsidRDefault="001F6AF3" w:rsidP="00051735">
            <w:pPr>
              <w:pStyle w:val="Tabletext"/>
              <w:rPr>
                <w:highlight w:val="yellow"/>
              </w:rPr>
            </w:pPr>
          </w:p>
        </w:tc>
        <w:tc>
          <w:tcPr>
            <w:tcW w:w="1044" w:type="pct"/>
            <w:tcBorders>
              <w:top w:val="nil"/>
            </w:tcBorders>
            <w:shd w:val="clear" w:color="auto" w:fill="auto"/>
          </w:tcPr>
          <w:p w:rsidR="001F6AF3" w:rsidRPr="00E17B14" w:rsidRDefault="001F6AF3">
            <w:pPr>
              <w:pStyle w:val="Tabletext"/>
              <w:rPr>
                <w:highlight w:val="yellow"/>
              </w:rPr>
            </w:pPr>
            <w:r w:rsidRPr="00003311">
              <w:t>Depends on what type of exclusivity at issue. Orphan drug exclusivity for 7 years, new chemical entity exclusivity for 5 years, general antibiotic incentives now exclusivity</w:t>
            </w:r>
            <w:r>
              <w:t xml:space="preserve"> for</w:t>
            </w:r>
            <w:r w:rsidRPr="00003311">
              <w:t xml:space="preserve"> 5 years</w:t>
            </w:r>
            <w:r>
              <w:t>, new clinical investigation exclusivity for 3 years</w:t>
            </w:r>
          </w:p>
        </w:tc>
        <w:tc>
          <w:tcPr>
            <w:tcW w:w="432" w:type="pct"/>
            <w:tcBorders>
              <w:top w:val="nil"/>
            </w:tcBorders>
            <w:shd w:val="clear" w:color="auto" w:fill="auto"/>
          </w:tcPr>
          <w:p w:rsidR="001F6AF3" w:rsidRPr="00E17B14" w:rsidRDefault="001F6AF3" w:rsidP="00051735">
            <w:pPr>
              <w:pStyle w:val="Tabletext"/>
              <w:rPr>
                <w:highlight w:val="yellow"/>
              </w:rPr>
            </w:pPr>
            <w:r>
              <w:t xml:space="preserve">8 </w:t>
            </w:r>
            <w:r w:rsidRPr="00A7719C">
              <w:t xml:space="preserve">years </w:t>
            </w:r>
            <w:r>
              <w:t>for innovative animal drugs</w:t>
            </w: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1110" w:type="pct"/>
            <w:tcBorders>
              <w:top w:val="nil"/>
            </w:tcBorders>
            <w:shd w:val="clear" w:color="auto" w:fill="auto"/>
          </w:tcPr>
          <w:p w:rsidR="001F6AF3" w:rsidRPr="00B75AB9" w:rsidRDefault="001F6AF3" w:rsidP="00051735">
            <w:pPr>
              <w:pStyle w:val="Tabletext"/>
            </w:pPr>
            <w:r>
              <w:t>Protection period for previously endorsed or variations or new information</w:t>
            </w:r>
          </w:p>
        </w:tc>
        <w:tc>
          <w:tcPr>
            <w:tcW w:w="1044" w:type="pct"/>
            <w:gridSpan w:val="2"/>
            <w:tcBorders>
              <w:top w:val="nil"/>
            </w:tcBorders>
            <w:shd w:val="clear" w:color="auto" w:fill="auto"/>
          </w:tcPr>
          <w:p w:rsidR="001F6AF3" w:rsidRPr="00B75AB9" w:rsidRDefault="001F6AF3" w:rsidP="00051735">
            <w:pPr>
              <w:pStyle w:val="Tabletext"/>
            </w:pPr>
            <w:r>
              <w:t xml:space="preserve">3 </w:t>
            </w:r>
            <w:r w:rsidRPr="00B75AB9">
              <w:t>years as of July 2014</w:t>
            </w:r>
          </w:p>
        </w:tc>
        <w:tc>
          <w:tcPr>
            <w:tcW w:w="525" w:type="pct"/>
            <w:tcBorders>
              <w:top w:val="nil"/>
            </w:tcBorders>
          </w:tcPr>
          <w:p w:rsidR="001F6AF3" w:rsidRPr="002A4E68" w:rsidRDefault="001F6AF3" w:rsidP="00051735">
            <w:pPr>
              <w:pStyle w:val="Tabletext"/>
            </w:pPr>
            <w:r w:rsidRPr="002A4E68">
              <w:t>5 years</w:t>
            </w:r>
          </w:p>
        </w:tc>
        <w:tc>
          <w:tcPr>
            <w:tcW w:w="714" w:type="pct"/>
            <w:tcBorders>
              <w:top w:val="nil"/>
            </w:tcBorders>
            <w:shd w:val="clear" w:color="auto" w:fill="auto"/>
          </w:tcPr>
          <w:p w:rsidR="001F6AF3" w:rsidRPr="0083766E" w:rsidRDefault="001F6AF3" w:rsidP="00051735">
            <w:pPr>
              <w:pStyle w:val="Tabletext"/>
            </w:pPr>
            <w:r w:rsidRPr="0083766E">
              <w:t>na</w:t>
            </w:r>
          </w:p>
        </w:tc>
        <w:tc>
          <w:tcPr>
            <w:tcW w:w="1044" w:type="pct"/>
            <w:tcBorders>
              <w:top w:val="nil"/>
            </w:tcBorders>
            <w:shd w:val="clear" w:color="auto" w:fill="auto"/>
          </w:tcPr>
          <w:p w:rsidR="001F6AF3" w:rsidRPr="0083766E" w:rsidRDefault="001F6AF3" w:rsidP="00051735">
            <w:pPr>
              <w:pStyle w:val="Tabletext"/>
            </w:pPr>
            <w:r w:rsidRPr="0083766E">
              <w:t>na</w:t>
            </w:r>
          </w:p>
        </w:tc>
        <w:tc>
          <w:tcPr>
            <w:tcW w:w="432" w:type="pct"/>
            <w:tcBorders>
              <w:top w:val="nil"/>
            </w:tcBorders>
            <w:shd w:val="clear" w:color="auto" w:fill="auto"/>
          </w:tcPr>
          <w:p w:rsidR="001F6AF3" w:rsidRPr="0083766E" w:rsidRDefault="001F6AF3" w:rsidP="00051735">
            <w:pPr>
              <w:pStyle w:val="Tabletext"/>
            </w:pPr>
            <w:r w:rsidRPr="0083766E">
              <w:t>na</w:t>
            </w: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1110" w:type="pct"/>
            <w:shd w:val="clear" w:color="auto" w:fill="auto"/>
          </w:tcPr>
          <w:p w:rsidR="001F6AF3" w:rsidRPr="00B75AB9" w:rsidRDefault="001F6AF3" w:rsidP="00051735">
            <w:pPr>
              <w:pStyle w:val="Tabletext"/>
            </w:pPr>
            <w:r w:rsidRPr="00B75AB9">
              <w:t>Extensions linked to minor use registrations</w:t>
            </w:r>
          </w:p>
        </w:tc>
        <w:tc>
          <w:tcPr>
            <w:tcW w:w="1044" w:type="pct"/>
            <w:gridSpan w:val="2"/>
            <w:shd w:val="clear" w:color="auto" w:fill="auto"/>
          </w:tcPr>
          <w:p w:rsidR="001F6AF3" w:rsidRPr="00B75AB9" w:rsidRDefault="001F6AF3" w:rsidP="00051735">
            <w:pPr>
              <w:pStyle w:val="Tabletext"/>
            </w:pPr>
            <w:r>
              <w:t>None</w:t>
            </w:r>
          </w:p>
        </w:tc>
        <w:tc>
          <w:tcPr>
            <w:tcW w:w="525" w:type="pct"/>
          </w:tcPr>
          <w:p w:rsidR="001F6AF3" w:rsidRPr="00B75AB9" w:rsidRDefault="001F6AF3" w:rsidP="00051735">
            <w:pPr>
              <w:pStyle w:val="Tabletext"/>
            </w:pPr>
            <w:r>
              <w:t>None</w:t>
            </w:r>
          </w:p>
        </w:tc>
        <w:tc>
          <w:tcPr>
            <w:tcW w:w="714" w:type="pct"/>
            <w:shd w:val="clear" w:color="auto" w:fill="auto"/>
          </w:tcPr>
          <w:p w:rsidR="001F6AF3" w:rsidRPr="00E17B14" w:rsidRDefault="001F6AF3" w:rsidP="00051735">
            <w:pPr>
              <w:pStyle w:val="Tabletext"/>
              <w:rPr>
                <w:highlight w:val="yellow"/>
              </w:rPr>
            </w:pPr>
            <w:r w:rsidRPr="00CA1C51">
              <w:t>14 years for minor use species and 4 additional years for an extension to a minor species</w:t>
            </w:r>
          </w:p>
        </w:tc>
        <w:tc>
          <w:tcPr>
            <w:tcW w:w="1044" w:type="pct"/>
            <w:shd w:val="clear" w:color="auto" w:fill="auto"/>
          </w:tcPr>
          <w:p w:rsidR="001F6AF3" w:rsidRPr="00E17B14" w:rsidRDefault="001F6AF3" w:rsidP="00051735">
            <w:pPr>
              <w:pStyle w:val="Tabletext"/>
              <w:rPr>
                <w:highlight w:val="yellow"/>
              </w:rPr>
            </w:pPr>
            <w:r>
              <w:t>Minor species or minor uses in a major species (MUMS) gets 7 years</w:t>
            </w:r>
          </w:p>
        </w:tc>
        <w:tc>
          <w:tcPr>
            <w:tcW w:w="432" w:type="pct"/>
            <w:shd w:val="clear" w:color="auto" w:fill="auto"/>
          </w:tcPr>
          <w:p w:rsidR="001F6AF3" w:rsidRPr="00E17B14" w:rsidRDefault="001F6AF3" w:rsidP="00051735">
            <w:pPr>
              <w:pStyle w:val="Tabletext"/>
              <w:rPr>
                <w:highlight w:val="yellow"/>
              </w:rPr>
            </w:pP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1110" w:type="pct"/>
            <w:shd w:val="clear" w:color="auto" w:fill="auto"/>
          </w:tcPr>
          <w:p w:rsidR="001F6AF3" w:rsidRPr="00B75AB9" w:rsidRDefault="001F6AF3" w:rsidP="00051735">
            <w:pPr>
              <w:pStyle w:val="Tabletext"/>
            </w:pPr>
            <w:r w:rsidRPr="00B75AB9">
              <w:t>Total potential protection period</w:t>
            </w:r>
          </w:p>
        </w:tc>
        <w:tc>
          <w:tcPr>
            <w:tcW w:w="1044" w:type="pct"/>
            <w:gridSpan w:val="2"/>
            <w:shd w:val="clear" w:color="auto" w:fill="auto"/>
          </w:tcPr>
          <w:p w:rsidR="001F6AF3" w:rsidRPr="00B75AB9" w:rsidRDefault="001F6AF3">
            <w:pPr>
              <w:pStyle w:val="Tabletext"/>
            </w:pPr>
            <w:r>
              <w:t>10 years as of July 2014</w:t>
            </w:r>
          </w:p>
        </w:tc>
        <w:tc>
          <w:tcPr>
            <w:tcW w:w="525" w:type="pct"/>
          </w:tcPr>
          <w:p w:rsidR="001F6AF3" w:rsidRPr="00B75AB9" w:rsidRDefault="001F6AF3" w:rsidP="00051735">
            <w:pPr>
              <w:pStyle w:val="Tabletext"/>
            </w:pPr>
            <w:r>
              <w:t>10 years</w:t>
            </w:r>
          </w:p>
        </w:tc>
        <w:tc>
          <w:tcPr>
            <w:tcW w:w="714" w:type="pct"/>
            <w:shd w:val="clear" w:color="auto" w:fill="auto"/>
          </w:tcPr>
          <w:p w:rsidR="001F6AF3" w:rsidRPr="00003311" w:rsidRDefault="001F6AF3" w:rsidP="00051735">
            <w:pPr>
              <w:pStyle w:val="Tabletext"/>
            </w:pPr>
            <w:r w:rsidRPr="00003311">
              <w:t>Maximum of 18 years for major and minor species</w:t>
            </w:r>
          </w:p>
        </w:tc>
        <w:tc>
          <w:tcPr>
            <w:tcW w:w="1044" w:type="pct"/>
            <w:shd w:val="clear" w:color="auto" w:fill="auto"/>
          </w:tcPr>
          <w:p w:rsidR="001F6AF3" w:rsidRPr="00EC4969" w:rsidRDefault="001F6AF3">
            <w:pPr>
              <w:pStyle w:val="Tabletext"/>
            </w:pPr>
            <w:r w:rsidRPr="00EC4969">
              <w:t xml:space="preserve">Depends on what type of exclusivity </w:t>
            </w:r>
          </w:p>
        </w:tc>
        <w:tc>
          <w:tcPr>
            <w:tcW w:w="432" w:type="pct"/>
            <w:shd w:val="clear" w:color="auto" w:fill="auto"/>
          </w:tcPr>
          <w:p w:rsidR="001F6AF3" w:rsidRPr="00EC4969" w:rsidRDefault="001F6AF3" w:rsidP="00051735">
            <w:pPr>
              <w:pStyle w:val="Tabletext"/>
            </w:pPr>
            <w:r w:rsidRPr="00EC4969">
              <w:t>8 years</w:t>
            </w: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1110" w:type="pct"/>
            <w:shd w:val="clear" w:color="auto" w:fill="auto"/>
          </w:tcPr>
          <w:p w:rsidR="001F6AF3" w:rsidRPr="00B75AB9" w:rsidRDefault="001F6AF3" w:rsidP="00051735">
            <w:pPr>
              <w:pStyle w:val="Tabletext"/>
            </w:pPr>
            <w:r w:rsidRPr="00B75AB9">
              <w:t>Data compensation period – subsequent data to support</w:t>
            </w:r>
            <w:r>
              <w:t xml:space="preserve"> </w:t>
            </w:r>
            <w:r w:rsidRPr="00B75AB9">
              <w:t>/</w:t>
            </w:r>
            <w:r>
              <w:t xml:space="preserve"> </w:t>
            </w:r>
            <w:r w:rsidRPr="00B75AB9">
              <w:t xml:space="preserve">maintain registration of a new active ingredient to support re-evaluation </w:t>
            </w:r>
          </w:p>
        </w:tc>
        <w:tc>
          <w:tcPr>
            <w:tcW w:w="1044" w:type="pct"/>
            <w:gridSpan w:val="2"/>
            <w:shd w:val="clear" w:color="auto" w:fill="auto"/>
          </w:tcPr>
          <w:p w:rsidR="001F6AF3" w:rsidRPr="00B75AB9" w:rsidRDefault="001F6AF3" w:rsidP="00051735">
            <w:pPr>
              <w:pStyle w:val="Tabletext"/>
            </w:pPr>
            <w:r w:rsidRPr="00B75AB9">
              <w:t>5 years exclusive use</w:t>
            </w:r>
            <w:r w:rsidRPr="00B75AB9">
              <w:br/>
              <w:t>8 years – data for a reconsideration of a registration (as of July 2014)</w:t>
            </w:r>
          </w:p>
          <w:p w:rsidR="001F6AF3" w:rsidRPr="00B75AB9" w:rsidRDefault="001F6AF3" w:rsidP="00051735">
            <w:pPr>
              <w:pStyle w:val="Tabletext"/>
            </w:pPr>
          </w:p>
        </w:tc>
        <w:tc>
          <w:tcPr>
            <w:tcW w:w="525" w:type="pct"/>
          </w:tcPr>
          <w:p w:rsidR="001F6AF3" w:rsidRPr="00E17B14" w:rsidRDefault="001F6AF3" w:rsidP="00051735">
            <w:pPr>
              <w:pStyle w:val="Tabletext"/>
              <w:rPr>
                <w:highlight w:val="yellow"/>
              </w:rPr>
            </w:pPr>
          </w:p>
        </w:tc>
        <w:tc>
          <w:tcPr>
            <w:tcW w:w="714" w:type="pct"/>
            <w:shd w:val="clear" w:color="auto" w:fill="auto"/>
          </w:tcPr>
          <w:p w:rsidR="001F6AF3" w:rsidRPr="00A7719C" w:rsidRDefault="001F6AF3" w:rsidP="00051735">
            <w:pPr>
              <w:pStyle w:val="Tabletext"/>
            </w:pPr>
            <w:r>
              <w:t>None</w:t>
            </w:r>
          </w:p>
        </w:tc>
        <w:tc>
          <w:tcPr>
            <w:tcW w:w="1044" w:type="pct"/>
            <w:shd w:val="clear" w:color="auto" w:fill="auto"/>
          </w:tcPr>
          <w:p w:rsidR="001F6AF3" w:rsidRPr="00A7719C" w:rsidRDefault="001F6AF3" w:rsidP="00051735">
            <w:pPr>
              <w:pStyle w:val="Tabletext"/>
            </w:pPr>
            <w:r>
              <w:t>None</w:t>
            </w:r>
          </w:p>
        </w:tc>
        <w:tc>
          <w:tcPr>
            <w:tcW w:w="432" w:type="pct"/>
            <w:shd w:val="clear" w:color="auto" w:fill="auto"/>
          </w:tcPr>
          <w:p w:rsidR="001F6AF3" w:rsidRPr="00E17B14" w:rsidRDefault="001F6AF3" w:rsidP="00051735">
            <w:pPr>
              <w:pStyle w:val="Tabletext"/>
              <w:rPr>
                <w:highlight w:val="yellow"/>
              </w:rPr>
            </w:pPr>
            <w:r>
              <w:t>None</w:t>
            </w:r>
          </w:p>
        </w:tc>
      </w:tr>
      <w:tr w:rsidR="00E86A68" w:rsidRPr="00B75AB9" w:rsidTr="00A44FBF">
        <w:tblPrEx>
          <w:tblBorders>
            <w:bottom w:val="single" w:sz="4" w:space="0" w:color="646464"/>
            <w:insideH w:val="single" w:sz="4" w:space="0" w:color="646464"/>
          </w:tblBorders>
        </w:tblPrEx>
        <w:trPr>
          <w:gridBefore w:val="1"/>
          <w:wBefore w:w="131" w:type="pct"/>
          <w:cantSplit/>
        </w:trPr>
        <w:tc>
          <w:tcPr>
            <w:tcW w:w="4869" w:type="pct"/>
            <w:gridSpan w:val="7"/>
            <w:tcBorders>
              <w:bottom w:val="single" w:sz="4" w:space="0" w:color="646464"/>
            </w:tcBorders>
          </w:tcPr>
          <w:p w:rsidR="001F6AF3" w:rsidRDefault="001F6AF3" w:rsidP="00051735">
            <w:pPr>
              <w:pStyle w:val="Source"/>
            </w:pPr>
            <w:r>
              <w:t>Note: na = not applicable</w:t>
            </w:r>
          </w:p>
          <w:p w:rsidR="001F6AF3" w:rsidRPr="00B75AB9" w:rsidRDefault="001F6AF3" w:rsidP="00E469DE">
            <w:pPr>
              <w:pStyle w:val="Source"/>
            </w:pPr>
            <w:r w:rsidRPr="00B75AB9">
              <w:t xml:space="preserve">Source: </w:t>
            </w:r>
            <w:r>
              <w:t>Based on AGVET Code (2016), NZ Min</w:t>
            </w:r>
            <w:r w:rsidR="00E469DE">
              <w:t>I</w:t>
            </w:r>
            <w:r>
              <w:t>stry of primary industries, European Commission (2014), Regulation of the European parli</w:t>
            </w:r>
            <w:r w:rsidR="00E469DE">
              <w:t>A</w:t>
            </w:r>
            <w:r>
              <w:t>mentary and of the council on veterinary medicinal products (2014/0257 (COD), FDA 2017, Canadian Min</w:t>
            </w:r>
            <w:r w:rsidR="00E469DE">
              <w:t>I</w:t>
            </w:r>
            <w:r>
              <w:t>stry of Health (2017), Fudenace document, data protection under C.08.004.1 of the Food and Drug Regulations.</w:t>
            </w:r>
          </w:p>
        </w:tc>
      </w:tr>
      <w:tr w:rsidR="00E86A68" w:rsidRPr="00B75AB9" w:rsidTr="00A44FBF">
        <w:tblPrEx>
          <w:tblBorders>
            <w:bottom w:val="single" w:sz="4" w:space="0" w:color="646464"/>
            <w:insideH w:val="single" w:sz="4" w:space="0" w:color="646464"/>
          </w:tblBorders>
        </w:tblPrEx>
        <w:trPr>
          <w:gridBefore w:val="1"/>
          <w:wBefore w:w="131" w:type="pct"/>
          <w:cantSplit/>
          <w:trHeight w:hRule="exact" w:val="120"/>
        </w:trPr>
        <w:tc>
          <w:tcPr>
            <w:tcW w:w="1217" w:type="pct"/>
            <w:gridSpan w:val="2"/>
            <w:tcBorders>
              <w:top w:val="single" w:sz="4" w:space="0" w:color="646464"/>
              <w:bottom w:val="nil"/>
            </w:tcBorders>
          </w:tcPr>
          <w:p w:rsidR="001F6AF3" w:rsidRPr="00B75AB9" w:rsidRDefault="001F6AF3" w:rsidP="00051735">
            <w:pPr>
              <w:pStyle w:val="spacertbl"/>
            </w:pPr>
          </w:p>
        </w:tc>
        <w:tc>
          <w:tcPr>
            <w:tcW w:w="3652" w:type="pct"/>
            <w:gridSpan w:val="5"/>
            <w:tcBorders>
              <w:top w:val="single" w:sz="4" w:space="0" w:color="646464"/>
              <w:bottom w:val="nil"/>
            </w:tcBorders>
            <w:shd w:val="clear" w:color="auto" w:fill="auto"/>
          </w:tcPr>
          <w:p w:rsidR="001F6AF3" w:rsidRPr="00B75AB9" w:rsidRDefault="001F6AF3" w:rsidP="00051735">
            <w:pPr>
              <w:pStyle w:val="spacertbl"/>
            </w:pPr>
          </w:p>
        </w:tc>
      </w:tr>
    </w:tbl>
    <w:p w:rsidR="00DC0060" w:rsidRDefault="00DC0060" w:rsidP="00DC0060">
      <w:pPr>
        <w:pStyle w:val="BodyText"/>
      </w:pPr>
      <w:r>
        <w:t>Given that IP Australia is efficient in processing patent applications, the only grounds for an extension for agvet chemicals in Australia would arise from regulatory delays</w:t>
      </w:r>
      <w:r w:rsidR="00CC7D9D">
        <w:t xml:space="preserve"> by other agencies</w:t>
      </w:r>
      <w:r>
        <w:t>. However as the Productivity Commission has noted, patent extensions (whether formal or in the form of SPCs), do not appear to be an appropriate way to address slow regulatory processes. They create distortions and are costly to consumers.</w:t>
      </w:r>
      <w:r>
        <w:rPr>
          <w:rStyle w:val="FootnoteReference"/>
        </w:rPr>
        <w:footnoteReference w:id="65"/>
      </w:r>
      <w:r>
        <w:t xml:space="preserve"> </w:t>
      </w:r>
    </w:p>
    <w:p w:rsidR="00DF707A" w:rsidRDefault="00DF707A" w:rsidP="00DC0060">
      <w:pPr>
        <w:pStyle w:val="BodyText"/>
      </w:pPr>
      <w:r>
        <w:t>With respect to CCI, there is merit in clarifying what data and information is to be treated as CCI</w:t>
      </w:r>
      <w:r w:rsidR="00AC7AB2">
        <w:t xml:space="preserve"> in the Australian context</w:t>
      </w:r>
      <w:r>
        <w:t xml:space="preserve">. Overseas models </w:t>
      </w:r>
      <w:r w:rsidR="00F63815">
        <w:t>can</w:t>
      </w:r>
      <w:r>
        <w:t xml:space="preserve"> assist with this. </w:t>
      </w:r>
    </w:p>
    <w:p w:rsidR="00DC0060" w:rsidRDefault="00DC0060" w:rsidP="00DC0060">
      <w:pPr>
        <w:pStyle w:val="BodyText"/>
      </w:pPr>
      <w:r>
        <w:t xml:space="preserve">Differences in IP related provisions between the human and veterinary pharmaceuticals are discussed in Chapter 7. </w:t>
      </w:r>
    </w:p>
    <w:p w:rsidR="001F6AF3" w:rsidRDefault="001F6AF3" w:rsidP="001F6AF3">
      <w:pPr>
        <w:pStyle w:val="BodyText"/>
      </w:pPr>
    </w:p>
    <w:p w:rsidR="003905B5" w:rsidRDefault="003905B5" w:rsidP="0062274E">
      <w:pPr>
        <w:pStyle w:val="BodyText"/>
      </w:pPr>
    </w:p>
    <w:p w:rsidR="007524C1" w:rsidRDefault="007524C1" w:rsidP="004F73D0">
      <w:pPr>
        <w:pStyle w:val="BodyText"/>
      </w:pPr>
    </w:p>
    <w:p w:rsidR="003D260A" w:rsidRDefault="003D260A" w:rsidP="004F73D0">
      <w:pPr>
        <w:pStyle w:val="BodyText"/>
        <w:sectPr w:rsidR="003D260A" w:rsidSect="003D260A">
          <w:headerReference w:type="even" r:id="rId58"/>
          <w:headerReference w:type="default" r:id="rId59"/>
          <w:footerReference w:type="even" r:id="rId60"/>
          <w:footerReference w:type="default" r:id="rId61"/>
          <w:headerReference w:type="first" r:id="rId62"/>
          <w:footerReference w:type="first" r:id="rId63"/>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3D260A" w:rsidTr="00580CF7">
        <w:trPr>
          <w:trHeight w:hRule="exact" w:val="382"/>
        </w:trPr>
        <w:tc>
          <w:tcPr>
            <w:tcW w:w="4738" w:type="dxa"/>
            <w:shd w:val="clear" w:color="auto" w:fill="9D57A6"/>
          </w:tcPr>
          <w:p w:rsidR="003D260A" w:rsidRDefault="00546375" w:rsidP="003D260A">
            <w:pPr>
              <w:pStyle w:val="tagchapterBanner"/>
            </w:pPr>
            <w:r>
              <w:rPr>
                <w:noProof/>
                <w:lang w:eastAsia="en-AU"/>
              </w:rPr>
              <mc:AlternateContent>
                <mc:Choice Requires="wps">
                  <w:drawing>
                    <wp:anchor distT="0" distB="0" distL="114300" distR="114300" simplePos="0" relativeHeight="251897856" behindDoc="0" locked="1" layoutInCell="1" allowOverlap="1" wp14:anchorId="2E187DF3" wp14:editId="7CA4A060">
                      <wp:simplePos x="0" y="0"/>
                      <wp:positionH relativeFrom="page">
                        <wp:posOffset>158750</wp:posOffset>
                      </wp:positionH>
                      <wp:positionV relativeFrom="page">
                        <wp:posOffset>6350</wp:posOffset>
                      </wp:positionV>
                      <wp:extent cx="439420" cy="215265"/>
                      <wp:effectExtent l="0" t="0" r="0" b="0"/>
                      <wp:wrapNone/>
                      <wp:docPr id="5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62BEAA" id="Freeform 5" o:spid="_x0000_s1026" style="position:absolute;margin-left:12.5pt;margin-top:.5pt;width:34.6pt;height:16.9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AJn9kR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3D260A" w:rsidRDefault="003D260A" w:rsidP="004F73D0">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3D260A" w:rsidRPr="0014019A" w:rsidRDefault="003D260A" w:rsidP="008A6B3B">
            <w:pPr>
              <w:pStyle w:val="Heading1"/>
              <w:spacing w:line="240" w:lineRule="auto"/>
            </w:pPr>
            <w:r>
              <w:t xml:space="preserve">Agvet </w:t>
            </w:r>
            <w:r w:rsidR="00166815">
              <w:t xml:space="preserve">chemical </w:t>
            </w:r>
            <w:r w:rsidR="00312E4D">
              <w:t>product</w:t>
            </w:r>
            <w:r>
              <w:t xml:space="preserve"> registration process</w:t>
            </w:r>
            <w:r w:rsidR="00166815">
              <w:t>es</w:t>
            </w:r>
          </w:p>
        </w:tc>
        <w:tc>
          <w:tcPr>
            <w:tcW w:w="3430" w:type="dxa"/>
            <w:shd w:val="clear" w:color="auto" w:fill="9D57A6"/>
            <w:tcMar>
              <w:right w:w="344" w:type="dxa"/>
            </w:tcMar>
          </w:tcPr>
          <w:p w:rsidR="003D260A" w:rsidRPr="00F5723F" w:rsidRDefault="00221158" w:rsidP="004F73D0">
            <w:pPr>
              <w:pStyle w:val="HeadingChapter"/>
              <w:keepNext/>
            </w:pPr>
            <w:r>
              <w:fldChar w:fldCharType="begin"/>
            </w:r>
            <w:r>
              <w:instrText xml:space="preserve"> SEQ ChptNum\* Arabic \* MERGEFORMAT </w:instrText>
            </w:r>
            <w:r>
              <w:fldChar w:fldCharType="separate"/>
            </w:r>
            <w:bookmarkStart w:id="97" w:name="_Toc497300831"/>
            <w:r w:rsidR="001977DE">
              <w:t>4</w:t>
            </w:r>
            <w:bookmarkEnd w:id="97"/>
            <w:r>
              <w:fldChar w:fldCharType="end"/>
            </w:r>
          </w:p>
        </w:tc>
      </w:tr>
      <w:tr w:rsidR="00E86A68" w:rsidTr="00401D90">
        <w:trPr>
          <w:trHeight w:hRule="exact" w:val="232"/>
        </w:trPr>
        <w:tc>
          <w:tcPr>
            <w:tcW w:w="4738" w:type="dxa"/>
            <w:shd w:val="clear" w:color="auto" w:fill="9D57A6"/>
          </w:tcPr>
          <w:p w:rsidR="003D260A" w:rsidRDefault="003D260A" w:rsidP="004F73D0">
            <w:pPr>
              <w:pStyle w:val="Chpt-Context"/>
            </w:pPr>
          </w:p>
        </w:tc>
        <w:tc>
          <w:tcPr>
            <w:tcW w:w="3430" w:type="dxa"/>
            <w:shd w:val="clear" w:color="auto" w:fill="9D57A6"/>
          </w:tcPr>
          <w:p w:rsidR="003D260A" w:rsidRPr="008A4E3C" w:rsidRDefault="00221158" w:rsidP="004F73D0">
            <w:pPr>
              <w:pStyle w:val="Chpt-Context"/>
            </w:pPr>
            <w:r>
              <w:fldChar w:fldCharType="begin"/>
            </w:r>
            <w:r>
              <w:instrText xml:space="preserve"> STYLEREF  "Heading 1" \l  \* MERGEFORMAT </w:instrText>
            </w:r>
            <w:r>
              <w:fldChar w:fldCharType="separate"/>
            </w:r>
            <w:bookmarkStart w:id="98" w:name="_Toc497300832"/>
            <w:r w:rsidR="0087688C">
              <w:rPr>
                <w:noProof/>
              </w:rPr>
              <w:t>Agvet chemical product registration processes</w:t>
            </w:r>
            <w:bookmarkEnd w:id="98"/>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3D260A" w:rsidRDefault="003D260A" w:rsidP="004F73D0">
            <w:pPr>
              <w:pStyle w:val="spacer"/>
            </w:pPr>
          </w:p>
        </w:tc>
        <w:tc>
          <w:tcPr>
            <w:tcW w:w="3430" w:type="dxa"/>
            <w:tcBorders>
              <w:top w:val="single" w:sz="4" w:space="0" w:color="9D57A6"/>
            </w:tcBorders>
            <w:shd w:val="clear" w:color="auto" w:fill="auto"/>
          </w:tcPr>
          <w:p w:rsidR="003D260A" w:rsidRDefault="003D260A" w:rsidP="004F73D0">
            <w:pPr>
              <w:pStyle w:val="spacer"/>
            </w:pPr>
          </w:p>
        </w:tc>
      </w:tr>
    </w:tbl>
    <w:p w:rsidR="001E4A42" w:rsidRDefault="00FF238C" w:rsidP="0097252E">
      <w:pPr>
        <w:pStyle w:val="BodyText"/>
      </w:pPr>
      <w:r>
        <w:t xml:space="preserve">This chapter documents the processes required by regulators in Australia, </w:t>
      </w:r>
      <w:r w:rsidR="008637CA">
        <w:t xml:space="preserve">the </w:t>
      </w:r>
      <w:r>
        <w:t xml:space="preserve">EU, </w:t>
      </w:r>
      <w:r w:rsidR="008637CA">
        <w:t xml:space="preserve">the </w:t>
      </w:r>
      <w:r>
        <w:t>UK, US</w:t>
      </w:r>
      <w:r w:rsidR="00ED540B">
        <w:t>A</w:t>
      </w:r>
      <w:r>
        <w:t>, Canada and New Zealand for agvet chemical product registrations.</w:t>
      </w:r>
      <w:r w:rsidR="00FC3E44">
        <w:t xml:space="preserve"> </w:t>
      </w:r>
    </w:p>
    <w:p w:rsidR="00983654" w:rsidRDefault="00983654" w:rsidP="00983654">
      <w:pPr>
        <w:pStyle w:val="BodyText"/>
      </w:pPr>
      <w:r>
        <w:t>Governments in Australia and around the world intervene in the workings of their economies for a variety of reasons including to address market failures. As the P</w:t>
      </w:r>
      <w:r w:rsidR="00A44FBF">
        <w:t xml:space="preserve">roductivity Commission </w:t>
      </w:r>
      <w:r>
        <w:t>has noted,</w:t>
      </w:r>
      <w:r>
        <w:rPr>
          <w:rStyle w:val="FootnoteReference"/>
        </w:rPr>
        <w:footnoteReference w:id="66"/>
      </w:r>
      <w:r>
        <w:t xml:space="preserve"> there are potentially several sources of chemical-related market failures. Market failures essentially arise because a</w:t>
      </w:r>
      <w:r w:rsidRPr="00D24916">
        <w:t>llowing parties to act solely in their own private interest may not lead to the best</w:t>
      </w:r>
      <w:r>
        <w:t xml:space="preserve"> possible outcome. Some general sources of chemical-related market failure are:</w:t>
      </w:r>
    </w:p>
    <w:p w:rsidR="00983654" w:rsidRDefault="00F61A6E" w:rsidP="00983654">
      <w:pPr>
        <w:pStyle w:val="ListBullet"/>
      </w:pPr>
      <w:r>
        <w:t>e</w:t>
      </w:r>
      <w:r w:rsidR="00983654">
        <w:t>xternalities</w:t>
      </w:r>
      <w:r>
        <w:t xml:space="preserve"> </w:t>
      </w:r>
      <w:r w:rsidR="00983654">
        <w:t>—</w:t>
      </w:r>
      <w:r>
        <w:t xml:space="preserve"> </w:t>
      </w:r>
      <w:r w:rsidR="00983654">
        <w:t>for example, when chemicals discharged from a farm cause pollution and</w:t>
      </w:r>
      <w:r w:rsidR="006E37B2">
        <w:t xml:space="preserve"> </w:t>
      </w:r>
      <w:r w:rsidR="00983654">
        <w:t>/</w:t>
      </w:r>
      <w:r w:rsidR="006E37B2">
        <w:t xml:space="preserve"> </w:t>
      </w:r>
      <w:r w:rsidR="00983654">
        <w:t>or health problems for farm workers or downstream</w:t>
      </w:r>
    </w:p>
    <w:p w:rsidR="00983654" w:rsidRDefault="00983654" w:rsidP="00983654">
      <w:pPr>
        <w:pStyle w:val="ListBullet"/>
      </w:pPr>
      <w:r>
        <w:t>information failures</w:t>
      </w:r>
      <w:r w:rsidR="00F61A6E">
        <w:t xml:space="preserve"> </w:t>
      </w:r>
      <w:r>
        <w:t>—</w:t>
      </w:r>
      <w:r w:rsidR="00F61A6E">
        <w:t xml:space="preserve"> </w:t>
      </w:r>
      <w:r>
        <w:t>individuals may lack the expertise and or information to make fully informed decisions about the use of</w:t>
      </w:r>
      <w:r w:rsidR="00E434D7">
        <w:t>,</w:t>
      </w:r>
      <w:r>
        <w:t xml:space="preserve"> or disposal of chemicals </w:t>
      </w:r>
    </w:p>
    <w:p w:rsidR="00983654" w:rsidRDefault="00983654" w:rsidP="00983654">
      <w:pPr>
        <w:pStyle w:val="ListBullet"/>
      </w:pPr>
      <w:r>
        <w:t>public good</w:t>
      </w:r>
      <w:r w:rsidR="00F61A6E">
        <w:t xml:space="preserve"> </w:t>
      </w:r>
      <w:r>
        <w:t>—</w:t>
      </w:r>
      <w:r w:rsidR="00F61A6E">
        <w:t xml:space="preserve"> </w:t>
      </w:r>
      <w:r>
        <w:t xml:space="preserve">measures that protect human health and the environment can be underprovided by the private sector because ‘free riders’ cannot be excluded from enjoying the benefits, and therefore sufficient returns cannot be captured by those providing them to justify their investment. </w:t>
      </w:r>
    </w:p>
    <w:p w:rsidR="00983654" w:rsidRDefault="00983654" w:rsidP="00983654">
      <w:pPr>
        <w:pStyle w:val="BodyText"/>
      </w:pPr>
      <w:r>
        <w:t xml:space="preserve">The presence of one or more of these market failures may suggest that there is a case for government intervention in the form of chemical market regulation. However, the presence of a market failure alone does not necessarily provide all the grounds for government intervention; as intervention in the agvet chemical market must be more cost effective and ultimately improve community wellbeing to a level that exceeds a government’s decision not to regulate the market. These are the basic economic principles that all effective government agencies involved in the regulation of agvet chemicals should adhere to. </w:t>
      </w:r>
    </w:p>
    <w:p w:rsidR="00983654" w:rsidRDefault="00983654" w:rsidP="00983654">
      <w:pPr>
        <w:pStyle w:val="BodyText"/>
      </w:pPr>
      <w:r>
        <w:fldChar w:fldCharType="begin"/>
      </w:r>
      <w:r>
        <w:instrText xml:space="preserve"> REF _Ref485061127 \h </w:instrText>
      </w:r>
      <w:r>
        <w:fldChar w:fldCharType="separate"/>
      </w:r>
      <w:r w:rsidR="0087688C" w:rsidRPr="00FC29C8">
        <w:rPr>
          <w:rStyle w:val="CaptionLabel"/>
        </w:rPr>
        <w:t>Table</w:t>
      </w:r>
      <w:r w:rsidR="0087688C">
        <w:rPr>
          <w:rStyle w:val="CaptionLabel"/>
        </w:rPr>
        <w:t> </w:t>
      </w:r>
      <w:r w:rsidR="0087688C">
        <w:rPr>
          <w:rStyle w:val="CaptionLabel"/>
          <w:noProof/>
        </w:rPr>
        <w:t>4</w:t>
      </w:r>
      <w:r w:rsidR="0087688C">
        <w:rPr>
          <w:rStyle w:val="CaptionLabel"/>
        </w:rPr>
        <w:t>.</w:t>
      </w:r>
      <w:r w:rsidR="0087688C">
        <w:rPr>
          <w:rStyle w:val="CaptionLabel"/>
          <w:noProof/>
        </w:rPr>
        <w:t>1</w:t>
      </w:r>
      <w:r>
        <w:fldChar w:fldCharType="end"/>
      </w:r>
      <w:r>
        <w:t xml:space="preserve"> lists the government regulatory authorities that oversee the registration of agvet chemicals and the scope of regulatory activities they are afforded. The table shows that some countries have separate regulatory bodies for crop protection and animal medicines, while in others including Australia, agvet chemical registrations are performed by</w:t>
      </w:r>
      <w:r w:rsidR="009D3C34">
        <w:t xml:space="preserve"> a</w:t>
      </w:r>
      <w:r>
        <w:t xml:space="preserve"> single agency.</w:t>
      </w:r>
    </w:p>
    <w:p w:rsidR="006965DE" w:rsidRDefault="006965DE" w:rsidP="00983654">
      <w:pPr>
        <w:pStyle w:val="BodyText"/>
      </w:pPr>
    </w:p>
    <w:p w:rsidR="00874AE0" w:rsidRDefault="00874AE0" w:rsidP="00A81AF2">
      <w:pPr>
        <w:pStyle w:val="Caption"/>
        <w:spacing w:before="160"/>
        <w:ind w:left="-1753" w:firstLine="0"/>
      </w:pPr>
      <w:bookmarkStart w:id="99" w:name="_Ref485061127"/>
      <w:bookmarkStart w:id="100" w:name="_Toc497132810"/>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4</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1</w:t>
      </w:r>
      <w:r w:rsidR="004B55F4">
        <w:rPr>
          <w:rStyle w:val="CaptionLabel"/>
        </w:rPr>
        <w:fldChar w:fldCharType="end"/>
      </w:r>
      <w:bookmarkEnd w:id="99"/>
      <w:r>
        <w:tab/>
        <w:t xml:space="preserve">Government </w:t>
      </w:r>
      <w:r w:rsidR="001030D3">
        <w:t xml:space="preserve">agvet </w:t>
      </w:r>
      <w:r w:rsidR="00AB7D7B">
        <w:t xml:space="preserve">chemical </w:t>
      </w:r>
      <w:r w:rsidR="001030D3">
        <w:t>regulation</w:t>
      </w:r>
      <w:bookmarkEnd w:id="100"/>
    </w:p>
    <w:tbl>
      <w:tblPr>
        <w:tblW w:w="10375"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54"/>
        <w:gridCol w:w="1187"/>
        <w:gridCol w:w="2409"/>
        <w:gridCol w:w="6325"/>
      </w:tblGrid>
      <w:tr w:rsidR="00E86A68" w:rsidTr="00BB2F3C">
        <w:trPr>
          <w:cantSplit/>
          <w:tblHeader/>
        </w:trPr>
        <w:tc>
          <w:tcPr>
            <w:tcW w:w="791" w:type="pct"/>
            <w:gridSpan w:val="2"/>
            <w:shd w:val="clear" w:color="auto" w:fill="9D57A6"/>
            <w:tcMar>
              <w:left w:w="454" w:type="dxa"/>
              <w:bottom w:w="0" w:type="dxa"/>
            </w:tcMar>
          </w:tcPr>
          <w:p w:rsidR="00874AE0" w:rsidRDefault="00874AE0" w:rsidP="00A81AF2">
            <w:pPr>
              <w:pStyle w:val="Tablecolumnheadings"/>
              <w:keepLines/>
            </w:pPr>
            <w:r>
              <w:t>Country</w:t>
            </w:r>
          </w:p>
        </w:tc>
        <w:tc>
          <w:tcPr>
            <w:tcW w:w="1161" w:type="pct"/>
            <w:shd w:val="clear" w:color="auto" w:fill="9D57A6"/>
            <w:tcMar>
              <w:bottom w:w="0" w:type="dxa"/>
            </w:tcMar>
          </w:tcPr>
          <w:p w:rsidR="00874AE0" w:rsidRDefault="00874AE0" w:rsidP="00A81AF2">
            <w:pPr>
              <w:pStyle w:val="Tablecolumnheadings"/>
              <w:keepLines/>
            </w:pPr>
            <w:r>
              <w:t>Authority name</w:t>
            </w:r>
          </w:p>
        </w:tc>
        <w:tc>
          <w:tcPr>
            <w:tcW w:w="3048" w:type="pct"/>
            <w:shd w:val="clear" w:color="auto" w:fill="9D57A6"/>
            <w:tcMar>
              <w:bottom w:w="0" w:type="dxa"/>
            </w:tcMar>
          </w:tcPr>
          <w:p w:rsidR="00874AE0" w:rsidRDefault="00874AE0" w:rsidP="00A81AF2">
            <w:pPr>
              <w:pStyle w:val="Tablecolumnheadings"/>
              <w:keepLines/>
            </w:pPr>
            <w:r>
              <w:t>Scope and recent changes in legislations</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tcBorders>
              <w:top w:val="nil"/>
            </w:tcBorders>
            <w:shd w:val="clear" w:color="auto" w:fill="auto"/>
          </w:tcPr>
          <w:p w:rsidR="00874AE0" w:rsidRPr="00A81AF2" w:rsidRDefault="00874AE0" w:rsidP="00A81AF2">
            <w:pPr>
              <w:pStyle w:val="Tabletext"/>
              <w:keepNext/>
              <w:keepLines/>
              <w:rPr>
                <w:b/>
              </w:rPr>
            </w:pPr>
            <w:r w:rsidRPr="00A81AF2">
              <w:rPr>
                <w:b/>
              </w:rPr>
              <w:t>Australia</w:t>
            </w:r>
          </w:p>
        </w:tc>
        <w:tc>
          <w:tcPr>
            <w:tcW w:w="1161" w:type="pct"/>
            <w:tcBorders>
              <w:top w:val="nil"/>
            </w:tcBorders>
            <w:shd w:val="clear" w:color="auto" w:fill="auto"/>
          </w:tcPr>
          <w:p w:rsidR="00874AE0" w:rsidRDefault="00874AE0" w:rsidP="00A81AF2">
            <w:pPr>
              <w:pStyle w:val="Tabletext"/>
              <w:keepNext/>
              <w:keepLines/>
            </w:pPr>
            <w:r>
              <w:t>Australian Pesticides and Veterinary Medicines Authority (APVMA)</w:t>
            </w:r>
          </w:p>
        </w:tc>
        <w:tc>
          <w:tcPr>
            <w:tcW w:w="3048" w:type="pct"/>
            <w:tcBorders>
              <w:top w:val="nil"/>
            </w:tcBorders>
            <w:shd w:val="clear" w:color="auto" w:fill="auto"/>
          </w:tcPr>
          <w:p w:rsidR="00874AE0" w:rsidRDefault="006F3D21" w:rsidP="00A81AF2">
            <w:pPr>
              <w:pStyle w:val="Tabletext"/>
              <w:keepNext/>
              <w:keepLines/>
            </w:pPr>
            <w:r>
              <w:t>Both crop protection pro</w:t>
            </w:r>
            <w:r w:rsidR="001D33EF">
              <w:t>ducts and veterinary</w:t>
            </w:r>
            <w:r w:rsidR="005B226F">
              <w:t xml:space="preserve"> chemicals the</w:t>
            </w:r>
            <w:r w:rsidR="001D33EF">
              <w:t xml:space="preserve"> APVMA is responsible for up to the point of sale. It is an independent statutory regulator, established in 1993 under the </w:t>
            </w:r>
            <w:r w:rsidR="001D33EF" w:rsidRPr="00AC7A4F">
              <w:rPr>
                <w:i/>
              </w:rPr>
              <w:t>Agricultural and Veterinary Chemicals (Administration) Act 1992</w:t>
            </w:r>
            <w:r w:rsidR="001D33EF">
              <w:t xml:space="preserve"> (Cwlth).</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shd w:val="clear" w:color="auto" w:fill="auto"/>
          </w:tcPr>
          <w:p w:rsidR="00572990" w:rsidRPr="00A81AF2" w:rsidRDefault="00572990" w:rsidP="00D340F3">
            <w:pPr>
              <w:pStyle w:val="Tabletext"/>
              <w:rPr>
                <w:b/>
              </w:rPr>
            </w:pPr>
            <w:r w:rsidRPr="00A81AF2">
              <w:rPr>
                <w:b/>
              </w:rPr>
              <w:t>EU</w:t>
            </w:r>
          </w:p>
        </w:tc>
        <w:tc>
          <w:tcPr>
            <w:tcW w:w="1161" w:type="pct"/>
            <w:shd w:val="clear" w:color="auto" w:fill="auto"/>
          </w:tcPr>
          <w:p w:rsidR="00572990" w:rsidRDefault="00572990" w:rsidP="00D340F3">
            <w:pPr>
              <w:pStyle w:val="Tabletext"/>
              <w:rPr>
                <w:shd w:val="clear" w:color="auto" w:fill="FFFFFF"/>
              </w:rPr>
            </w:pPr>
            <w:r>
              <w:rPr>
                <w:shd w:val="clear" w:color="auto" w:fill="FFFFFF"/>
              </w:rPr>
              <w:t>Standing Committee for Food Chain and Animal Health</w:t>
            </w:r>
          </w:p>
          <w:p w:rsidR="00E3231A" w:rsidRDefault="00572990" w:rsidP="00D340F3">
            <w:pPr>
              <w:pStyle w:val="Tabletext"/>
              <w:rPr>
                <w:shd w:val="clear" w:color="auto" w:fill="FFFFFF"/>
              </w:rPr>
            </w:pPr>
            <w:r>
              <w:rPr>
                <w:shd w:val="clear" w:color="auto" w:fill="FFFFFF"/>
              </w:rPr>
              <w:t>European Food Safety Authority (EFSA)</w:t>
            </w:r>
          </w:p>
          <w:p w:rsidR="00D340F3" w:rsidRDefault="00595F52" w:rsidP="00595F52">
            <w:pPr>
              <w:pStyle w:val="Tabletext"/>
            </w:pPr>
            <w:r>
              <w:rPr>
                <w:shd w:val="clear" w:color="auto" w:fill="FFFFFF"/>
              </w:rPr>
              <w:br/>
            </w:r>
            <w:r w:rsidR="00D340F3">
              <w:rPr>
                <w:shd w:val="clear" w:color="auto" w:fill="FFFFFF"/>
              </w:rPr>
              <w:t>European Medicines Agency</w:t>
            </w:r>
            <w:r w:rsidR="00E3231A">
              <w:rPr>
                <w:shd w:val="clear" w:color="auto" w:fill="FFFFFF"/>
              </w:rPr>
              <w:t xml:space="preserve"> (EMA)</w:t>
            </w:r>
          </w:p>
        </w:tc>
        <w:tc>
          <w:tcPr>
            <w:tcW w:w="3048" w:type="pct"/>
            <w:shd w:val="clear" w:color="auto" w:fill="auto"/>
          </w:tcPr>
          <w:p w:rsidR="00595F52" w:rsidRDefault="00572990" w:rsidP="000F7962">
            <w:pPr>
              <w:pStyle w:val="Tabletext"/>
            </w:pPr>
            <w:r w:rsidRPr="00FD7E21">
              <w:t>A large body of</w:t>
            </w:r>
            <w:r>
              <w:t xml:space="preserve"> </w:t>
            </w:r>
            <w:r w:rsidRPr="00FD7E21">
              <w:t>EU legislation</w:t>
            </w:r>
            <w:r>
              <w:t xml:space="preserve"> </w:t>
            </w:r>
            <w:r w:rsidRPr="00FD7E21">
              <w:t>regulates the marketing and use of plant protection products and their residues in food.</w:t>
            </w:r>
            <w:r w:rsidR="00D340F3">
              <w:t xml:space="preserve"> </w:t>
            </w:r>
            <w:r w:rsidRPr="00FD7E21">
              <w:t xml:space="preserve">A dual system is in place, under which EFSA evaluates active substances used in plant protection products </w:t>
            </w:r>
            <w:r w:rsidR="003A1623">
              <w:t>while</w:t>
            </w:r>
            <w:r w:rsidRPr="00FD7E21">
              <w:t xml:space="preserve"> Member States evaluate and authorise the products at national level. Plant protection products are principally regulated by framework</w:t>
            </w:r>
            <w:r>
              <w:t xml:space="preserve"> </w:t>
            </w:r>
            <w:r w:rsidRPr="00FD7E21">
              <w:t>Regulation (EC) No 1107/2009.</w:t>
            </w:r>
            <w:r>
              <w:t xml:space="preserve"> </w:t>
            </w:r>
          </w:p>
          <w:p w:rsidR="00D340F3" w:rsidRDefault="000F7962" w:rsidP="00F27970">
            <w:pPr>
              <w:pStyle w:val="Tabletext"/>
            </w:pPr>
            <w:r w:rsidRPr="000F7962">
              <w:t xml:space="preserve">The EMA is responsible for the scientific evaluation of </w:t>
            </w:r>
            <w:r w:rsidRPr="000F7962">
              <w:rPr>
                <w:i/>
              </w:rPr>
              <w:t>centralised marketing authorisation applications</w:t>
            </w:r>
            <w:r w:rsidRPr="000F7962">
              <w:t>. Once granted by the E</w:t>
            </w:r>
            <w:r>
              <w:t>C</w:t>
            </w:r>
            <w:r w:rsidRPr="000F7962">
              <w:t>, the centralised marketing authorisation is valid in all EU Member States, Iceland, Norway and Liechtenstein.</w:t>
            </w:r>
            <w:r>
              <w:t xml:space="preserve"> Regulation of veterinary products is subject to D</w:t>
            </w:r>
            <w:r w:rsidRPr="000F7962">
              <w:t>irective 2001/82/</w:t>
            </w:r>
            <w:r>
              <w:t>EC.</w:t>
            </w:r>
            <w:r w:rsidRPr="000F7962">
              <w:t xml:space="preserve"> </w:t>
            </w:r>
            <w:r w:rsidR="00F27970">
              <w:t>C</w:t>
            </w:r>
            <w:r>
              <w:t xml:space="preserve">hanges occurred on 10 September 2014 when the EC adopted proposals on veterinary medicinal products and medicated feed. These aim to </w:t>
            </w:r>
            <w:r w:rsidR="003A1623">
              <w:t>i</w:t>
            </w:r>
            <w:r>
              <w:t>ncrease the availability of veterinary medicinal products; reduce administrative burden; stimulate competitiveness and innovation; Improve the functioning of the internal market; and address the public health risk of antimicrobial resistance.</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tcBorders>
              <w:top w:val="nil"/>
            </w:tcBorders>
            <w:shd w:val="clear" w:color="auto" w:fill="auto"/>
          </w:tcPr>
          <w:p w:rsidR="00572990" w:rsidRPr="00A81AF2" w:rsidRDefault="00572990" w:rsidP="00572990">
            <w:pPr>
              <w:pStyle w:val="Tabletext"/>
              <w:rPr>
                <w:b/>
              </w:rPr>
            </w:pPr>
            <w:r w:rsidRPr="00A81AF2">
              <w:rPr>
                <w:b/>
              </w:rPr>
              <w:t>UK</w:t>
            </w:r>
          </w:p>
        </w:tc>
        <w:tc>
          <w:tcPr>
            <w:tcW w:w="1161" w:type="pct"/>
            <w:tcBorders>
              <w:top w:val="nil"/>
            </w:tcBorders>
            <w:shd w:val="clear" w:color="auto" w:fill="auto"/>
          </w:tcPr>
          <w:p w:rsidR="00572990" w:rsidRDefault="00572990" w:rsidP="00572990">
            <w:pPr>
              <w:pStyle w:val="Tabletext"/>
            </w:pPr>
            <w:r>
              <w:t>The Chemicals Regulation Division (CRD) in the Health and Safety Executive</w:t>
            </w:r>
            <w:r w:rsidR="00F8033A">
              <w:t xml:space="preserve"> (HSE)</w:t>
            </w:r>
          </w:p>
          <w:p w:rsidR="00572990" w:rsidRDefault="00572990" w:rsidP="00572990">
            <w:pPr>
              <w:pStyle w:val="Tabletext"/>
            </w:pPr>
            <w:r>
              <w:t>Veterinary Medicines Directorate (VMD)</w:t>
            </w:r>
          </w:p>
        </w:tc>
        <w:tc>
          <w:tcPr>
            <w:tcW w:w="3048" w:type="pct"/>
            <w:tcBorders>
              <w:top w:val="nil"/>
            </w:tcBorders>
            <w:shd w:val="clear" w:color="auto" w:fill="auto"/>
          </w:tcPr>
          <w:p w:rsidR="00572990" w:rsidRDefault="00572990" w:rsidP="00572990">
            <w:pPr>
              <w:pStyle w:val="Tabletext"/>
            </w:pPr>
            <w:r>
              <w:t xml:space="preserve">The CRD is responsible for the regulation of biocides, pesticides, detergents, chemicals covered by REACH and </w:t>
            </w:r>
            <w:r w:rsidRPr="00DB5BC8">
              <w:t>for compliance with the Classification, Labelling and Packaging (CLP) Regulation</w:t>
            </w:r>
            <w:r>
              <w:t>.</w:t>
            </w:r>
          </w:p>
          <w:p w:rsidR="00572990" w:rsidRDefault="00572990" w:rsidP="003A1623">
            <w:pPr>
              <w:pStyle w:val="Tabletext"/>
            </w:pPr>
            <w:r w:rsidRPr="0069445C">
              <w:t xml:space="preserve">Veterinary </w:t>
            </w:r>
            <w:r w:rsidR="00F61A6E">
              <w:t>m</w:t>
            </w:r>
            <w:r w:rsidRPr="0069445C">
              <w:t xml:space="preserve">edicines </w:t>
            </w:r>
            <w:r w:rsidR="00F61A6E">
              <w:t>r</w:t>
            </w:r>
            <w:r w:rsidRPr="0069445C">
              <w:t>egulation provides legislative requirements concerning the manufacture, classification, supply, marketing and use of veterinary medicines. Additionally, there are a range of EU regulatory controls that also apply to veterinary medicinal products including controls on safety, licensing and monitoring</w:t>
            </w:r>
            <w:r w:rsidR="00F27970">
              <w:t>.</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tcBorders>
              <w:top w:val="nil"/>
            </w:tcBorders>
            <w:shd w:val="clear" w:color="auto" w:fill="auto"/>
          </w:tcPr>
          <w:p w:rsidR="00572990" w:rsidRPr="00A81AF2" w:rsidRDefault="00572990" w:rsidP="00572990">
            <w:pPr>
              <w:pStyle w:val="Tabletext"/>
              <w:rPr>
                <w:b/>
              </w:rPr>
            </w:pPr>
            <w:r w:rsidRPr="00A81AF2">
              <w:rPr>
                <w:b/>
              </w:rPr>
              <w:t>Germany</w:t>
            </w:r>
          </w:p>
        </w:tc>
        <w:tc>
          <w:tcPr>
            <w:tcW w:w="1161" w:type="pct"/>
            <w:tcBorders>
              <w:top w:val="nil"/>
            </w:tcBorders>
            <w:shd w:val="clear" w:color="auto" w:fill="auto"/>
          </w:tcPr>
          <w:p w:rsidR="00572990" w:rsidRDefault="00572990" w:rsidP="00572990">
            <w:pPr>
              <w:pStyle w:val="Tabletext"/>
            </w:pPr>
            <w:r>
              <w:t>Federal Office of Consumer Protection and Food Safety (BVL)</w:t>
            </w:r>
          </w:p>
        </w:tc>
        <w:tc>
          <w:tcPr>
            <w:tcW w:w="3048" w:type="pct"/>
            <w:tcBorders>
              <w:top w:val="nil"/>
            </w:tcBorders>
            <w:shd w:val="clear" w:color="auto" w:fill="auto"/>
          </w:tcPr>
          <w:p w:rsidR="00344C1F" w:rsidRDefault="001030D3" w:rsidP="00BB2F3C">
            <w:pPr>
              <w:pStyle w:val="Tabletext"/>
            </w:pPr>
            <w:r>
              <w:t>The BVL manages German legislation that implements to EU agvet Directives</w:t>
            </w:r>
            <w:r w:rsidR="00344C1F">
              <w:t xml:space="preserve">. BVL is responsible for both agricultural and veterinary chemicals. </w:t>
            </w:r>
            <w:r w:rsidR="00595F52">
              <w:t xml:space="preserve">These chemicals are regulated in accordance with EU Directives. </w:t>
            </w:r>
            <w:r w:rsidR="00595F52" w:rsidRPr="00595F52">
              <w:t>Producers and distributors of plant protection products are legally obliged to report sales and exports to the BVL.</w:t>
            </w:r>
            <w:r w:rsidR="00BB2F3C">
              <w:t xml:space="preserve"> </w:t>
            </w:r>
            <w:r w:rsidR="00595F52">
              <w:t>BVL also regulates veterinary products under the</w:t>
            </w:r>
            <w:r w:rsidR="00344C1F">
              <w:t xml:space="preserve"> </w:t>
            </w:r>
            <w:r w:rsidR="00344C1F" w:rsidRPr="00344C1F">
              <w:t>Medicines Act (</w:t>
            </w:r>
            <w:r w:rsidR="00344C1F" w:rsidRPr="009C535C">
              <w:rPr>
                <w:i/>
              </w:rPr>
              <w:t>Arzneimittelgesetz</w:t>
            </w:r>
            <w:r w:rsidR="00344C1F" w:rsidRPr="00344C1F">
              <w:t>)</w:t>
            </w:r>
            <w:r w:rsidR="00595F52">
              <w:t xml:space="preserve">, which applies to </w:t>
            </w:r>
            <w:r w:rsidR="00344C1F" w:rsidRPr="00344C1F">
              <w:t>medicinal products for humans and animals</w:t>
            </w:r>
            <w:r w:rsidR="00BB2F3C">
              <w:t>.</w:t>
            </w:r>
            <w:r w:rsidR="00BB2F3C">
              <w:rPr>
                <w:rStyle w:val="FootnoteReference"/>
              </w:rPr>
              <w:footnoteReference w:id="67"/>
            </w:r>
            <w:r w:rsidR="00344C1F">
              <w:t xml:space="preserve"> </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tcBorders>
              <w:top w:val="nil"/>
            </w:tcBorders>
            <w:shd w:val="clear" w:color="auto" w:fill="auto"/>
          </w:tcPr>
          <w:p w:rsidR="00572990" w:rsidRPr="00A81AF2" w:rsidRDefault="00572990" w:rsidP="00AE644A">
            <w:pPr>
              <w:pStyle w:val="Tabletext"/>
              <w:rPr>
                <w:b/>
              </w:rPr>
            </w:pPr>
            <w:r w:rsidRPr="00A81AF2">
              <w:rPr>
                <w:b/>
              </w:rPr>
              <w:t>US</w:t>
            </w:r>
            <w:r w:rsidR="00072E36" w:rsidRPr="00A81AF2">
              <w:rPr>
                <w:b/>
              </w:rPr>
              <w:t>A</w:t>
            </w:r>
          </w:p>
        </w:tc>
        <w:tc>
          <w:tcPr>
            <w:tcW w:w="1161" w:type="pct"/>
            <w:tcBorders>
              <w:top w:val="nil"/>
            </w:tcBorders>
            <w:shd w:val="clear" w:color="auto" w:fill="auto"/>
          </w:tcPr>
          <w:p w:rsidR="00572990" w:rsidRDefault="00572990" w:rsidP="00572990">
            <w:pPr>
              <w:pStyle w:val="Tabletext"/>
              <w:rPr>
                <w:shd w:val="clear" w:color="auto" w:fill="FFFFFF"/>
              </w:rPr>
            </w:pPr>
            <w:r>
              <w:rPr>
                <w:shd w:val="clear" w:color="auto" w:fill="FFFFFF"/>
              </w:rPr>
              <w:t>US Environmental Protection Agency (</w:t>
            </w:r>
            <w:r w:rsidR="00E3231A">
              <w:rPr>
                <w:shd w:val="clear" w:color="auto" w:fill="FFFFFF"/>
              </w:rPr>
              <w:t>US</w:t>
            </w:r>
            <w:r>
              <w:rPr>
                <w:shd w:val="clear" w:color="auto" w:fill="FFFFFF"/>
              </w:rPr>
              <w:t>EPA)</w:t>
            </w:r>
          </w:p>
          <w:p w:rsidR="00F61A6E" w:rsidRDefault="00F61A6E" w:rsidP="00572990">
            <w:pPr>
              <w:pStyle w:val="Tabletext"/>
              <w:rPr>
                <w:shd w:val="clear" w:color="auto" w:fill="FFFFFF"/>
              </w:rPr>
            </w:pPr>
          </w:p>
          <w:p w:rsidR="00F61A6E" w:rsidRDefault="00F61A6E" w:rsidP="00572990">
            <w:pPr>
              <w:pStyle w:val="Tabletext"/>
              <w:rPr>
                <w:shd w:val="clear" w:color="auto" w:fill="FFFFFF"/>
              </w:rPr>
            </w:pPr>
          </w:p>
          <w:p w:rsidR="00F61A6E" w:rsidRDefault="00F61A6E" w:rsidP="00572990">
            <w:pPr>
              <w:pStyle w:val="Tabletext"/>
              <w:rPr>
                <w:shd w:val="clear" w:color="auto" w:fill="FFFFFF"/>
              </w:rPr>
            </w:pPr>
          </w:p>
          <w:p w:rsidR="00F61A6E" w:rsidRDefault="00F61A6E" w:rsidP="00572990">
            <w:pPr>
              <w:pStyle w:val="Tabletext"/>
              <w:rPr>
                <w:shd w:val="clear" w:color="auto" w:fill="FFFFFF"/>
              </w:rPr>
            </w:pPr>
          </w:p>
          <w:p w:rsidR="00F61A6E" w:rsidRDefault="00F61A6E" w:rsidP="00572990">
            <w:pPr>
              <w:pStyle w:val="Tabletext"/>
              <w:rPr>
                <w:shd w:val="clear" w:color="auto" w:fill="FFFFFF"/>
              </w:rPr>
            </w:pPr>
          </w:p>
          <w:p w:rsidR="00572990" w:rsidRDefault="00595F52" w:rsidP="00572990">
            <w:pPr>
              <w:pStyle w:val="Tabletext"/>
            </w:pPr>
            <w:r>
              <w:rPr>
                <w:shd w:val="clear" w:color="auto" w:fill="FFFFFF"/>
              </w:rPr>
              <w:br/>
            </w:r>
            <w:r>
              <w:rPr>
                <w:shd w:val="clear" w:color="auto" w:fill="FFFFFF"/>
              </w:rPr>
              <w:br/>
            </w:r>
            <w:r w:rsidR="00572990">
              <w:rPr>
                <w:shd w:val="clear" w:color="auto" w:fill="FFFFFF"/>
              </w:rPr>
              <w:t>US Food and Drug Administration (</w:t>
            </w:r>
            <w:r w:rsidR="00E3231A">
              <w:rPr>
                <w:shd w:val="clear" w:color="auto" w:fill="FFFFFF"/>
              </w:rPr>
              <w:t>US</w:t>
            </w:r>
            <w:r w:rsidR="00572990">
              <w:rPr>
                <w:shd w:val="clear" w:color="auto" w:fill="FFFFFF"/>
              </w:rPr>
              <w:t>FDA)</w:t>
            </w:r>
          </w:p>
        </w:tc>
        <w:tc>
          <w:tcPr>
            <w:tcW w:w="3048" w:type="pct"/>
            <w:tcBorders>
              <w:top w:val="nil"/>
            </w:tcBorders>
            <w:shd w:val="clear" w:color="auto" w:fill="auto"/>
          </w:tcPr>
          <w:p w:rsidR="00004477" w:rsidRDefault="001030D3" w:rsidP="00072E36">
            <w:pPr>
              <w:pStyle w:val="Tabletext"/>
            </w:pPr>
            <w:r>
              <w:t>The US</w:t>
            </w:r>
            <w:r w:rsidR="00572990" w:rsidRPr="003B1676">
              <w:t>EPA register</w:t>
            </w:r>
            <w:r w:rsidR="003A1623">
              <w:t>s</w:t>
            </w:r>
            <w:r w:rsidR="00572990" w:rsidRPr="003B1676">
              <w:t xml:space="preserve"> pesticides under the </w:t>
            </w:r>
            <w:r w:rsidR="00572990" w:rsidRPr="009C535C">
              <w:rPr>
                <w:i/>
              </w:rPr>
              <w:t>Federal Insecticide, Fungicide and Rodenticide Act</w:t>
            </w:r>
            <w:r w:rsidR="00572990" w:rsidRPr="003B1676">
              <w:t xml:space="preserve"> (FIFRA).</w:t>
            </w:r>
            <w:r w:rsidR="003A1623">
              <w:t xml:space="preserve"> </w:t>
            </w:r>
            <w:r>
              <w:t>T</w:t>
            </w:r>
            <w:r w:rsidR="00572990" w:rsidRPr="003B1676">
              <w:t xml:space="preserve">he </w:t>
            </w:r>
            <w:r w:rsidR="00572990" w:rsidRPr="009C535C">
              <w:rPr>
                <w:i/>
              </w:rPr>
              <w:t>Federal Food, Drug and Cosmetic Act</w:t>
            </w:r>
            <w:r w:rsidR="00572990" w:rsidRPr="003B1676">
              <w:t xml:space="preserve"> (FFDCA)</w:t>
            </w:r>
            <w:r w:rsidR="00F467A9">
              <w:t xml:space="preserve"> </w:t>
            </w:r>
            <w:r w:rsidR="00572990" w:rsidRPr="003B1676">
              <w:t>establishes tolerances (maximum legally permissible levels) for pesticide residues in food.</w:t>
            </w:r>
            <w:r w:rsidR="00F467A9">
              <w:t xml:space="preserve"> </w:t>
            </w:r>
            <w:r>
              <w:t>T</w:t>
            </w:r>
            <w:r w:rsidR="00F467A9">
              <w:t xml:space="preserve">he </w:t>
            </w:r>
            <w:r w:rsidR="00F467A9" w:rsidRPr="009C535C">
              <w:rPr>
                <w:i/>
              </w:rPr>
              <w:t>Food Quality Protection Act</w:t>
            </w:r>
            <w:r w:rsidR="00F467A9">
              <w:t xml:space="preserve"> (FQPA) of 1996</w:t>
            </w:r>
            <w:r>
              <w:t xml:space="preserve"> requires </w:t>
            </w:r>
            <w:r w:rsidR="00F467A9">
              <w:t xml:space="preserve">that a pesticide possess a reasonably certainty of </w:t>
            </w:r>
            <w:r>
              <w:t xml:space="preserve">creating </w:t>
            </w:r>
            <w:r w:rsidR="00F467A9">
              <w:t xml:space="preserve">no harm. The </w:t>
            </w:r>
            <w:r w:rsidR="00F467A9" w:rsidRPr="009C535C">
              <w:rPr>
                <w:i/>
              </w:rPr>
              <w:t>Pesticide Registration Improvement Act</w:t>
            </w:r>
            <w:r w:rsidR="00F467A9">
              <w:t xml:space="preserve"> of 2003, 2007 and </w:t>
            </w:r>
            <w:r w:rsidR="00F467A9" w:rsidRPr="009C535C">
              <w:rPr>
                <w:i/>
              </w:rPr>
              <w:t>Extensions Act</w:t>
            </w:r>
            <w:r w:rsidR="00F467A9">
              <w:t xml:space="preserve"> of 2012 (PRIA) amended FIFRA and FFDCA. These Acts provide shorter decision review periods for reduced risk applications. The </w:t>
            </w:r>
            <w:r w:rsidR="00F467A9" w:rsidRPr="009C535C">
              <w:rPr>
                <w:i/>
              </w:rPr>
              <w:t>Endangered Species Act</w:t>
            </w:r>
            <w:r w:rsidR="00F467A9">
              <w:t xml:space="preserve"> (ESA) requires the chemicals will not jeopardize the continued existence of any listed species.</w:t>
            </w:r>
          </w:p>
          <w:p w:rsidR="00572990" w:rsidRDefault="000F7962" w:rsidP="00BB2F3C">
            <w:pPr>
              <w:pStyle w:val="Tabletext"/>
            </w:pPr>
            <w:r w:rsidRPr="000F7962">
              <w:t xml:space="preserve">The </w:t>
            </w:r>
            <w:r w:rsidR="003A1623">
              <w:t>US</w:t>
            </w:r>
            <w:r>
              <w:t xml:space="preserve">FDA’s </w:t>
            </w:r>
            <w:r w:rsidRPr="000F7962">
              <w:t xml:space="preserve">Center for Veterinary Medicine (CVM) is responsible for </w:t>
            </w:r>
            <w:r>
              <w:t xml:space="preserve">regulation of </w:t>
            </w:r>
            <w:r w:rsidRPr="000F7962">
              <w:t>veterinary pro</w:t>
            </w:r>
            <w:r>
              <w:t>ducts.</w:t>
            </w:r>
            <w:r w:rsidR="00072E36">
              <w:t xml:space="preserve"> It does not regulate animal vaccines—these are the responsibility of the US Department of Agriculture. It also does not cover </w:t>
            </w:r>
            <w:r w:rsidR="00072E36" w:rsidRPr="00072E36">
              <w:t>some flea and tick products for animals</w:t>
            </w:r>
            <w:r w:rsidR="003A1623">
              <w:t>,</w:t>
            </w:r>
            <w:r w:rsidR="00072E36" w:rsidRPr="00072E36">
              <w:t xml:space="preserve"> </w:t>
            </w:r>
            <w:r w:rsidR="00072E36">
              <w:t>which are the responsibility of the US</w:t>
            </w:r>
            <w:r w:rsidR="00072E36" w:rsidRPr="00072E36">
              <w:t>EPA</w:t>
            </w:r>
            <w:r w:rsidR="00072E36">
              <w:t xml:space="preserve">. </w:t>
            </w:r>
            <w:r w:rsidR="00072E36" w:rsidRPr="00072E36">
              <w:t xml:space="preserve">CVM issues guidance documents in accordance with </w:t>
            </w:r>
            <w:r w:rsidR="00072E36">
              <w:t>the US</w:t>
            </w:r>
            <w:r w:rsidR="00072E36" w:rsidRPr="00072E36">
              <w:t xml:space="preserve">FDA's good guidance practices regulations (21 CFR 10.115) published in the Federal Register on </w:t>
            </w:r>
            <w:r w:rsidR="00344C1F">
              <w:t>19 </w:t>
            </w:r>
            <w:r w:rsidR="00072E36" w:rsidRPr="00072E36">
              <w:t>September 2000 (65 FR 5646).</w:t>
            </w:r>
            <w:r w:rsidR="00072E36">
              <w:t xml:space="preserve"> New guidance currently under development can be found on the CVM website</w:t>
            </w:r>
            <w:r w:rsidR="00BB2F3C">
              <w:t>.</w:t>
            </w:r>
            <w:r w:rsidR="00BB2F3C">
              <w:rPr>
                <w:rStyle w:val="FootnoteReference"/>
              </w:rPr>
              <w:footnoteReference w:id="68"/>
            </w:r>
            <w:r w:rsidR="00072E36">
              <w:t xml:space="preserve">  </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shd w:val="clear" w:color="auto" w:fill="auto"/>
          </w:tcPr>
          <w:p w:rsidR="00874AE0" w:rsidRPr="00A81AF2" w:rsidRDefault="004C6ED9" w:rsidP="004F73D0">
            <w:pPr>
              <w:pStyle w:val="Tabletext"/>
              <w:rPr>
                <w:b/>
              </w:rPr>
            </w:pPr>
            <w:r w:rsidRPr="00A81AF2">
              <w:rPr>
                <w:b/>
              </w:rPr>
              <w:t>Canada</w:t>
            </w:r>
          </w:p>
        </w:tc>
        <w:tc>
          <w:tcPr>
            <w:tcW w:w="1161" w:type="pct"/>
            <w:shd w:val="clear" w:color="auto" w:fill="auto"/>
          </w:tcPr>
          <w:p w:rsidR="00874AE0" w:rsidRDefault="004C6ED9" w:rsidP="004F73D0">
            <w:pPr>
              <w:pStyle w:val="Tabletext"/>
            </w:pPr>
            <w:r>
              <w:t>Pest Management and Regulatory Agency (PMRA)</w:t>
            </w:r>
          </w:p>
          <w:p w:rsidR="00F61A6E" w:rsidRDefault="00F61A6E" w:rsidP="004F73D0">
            <w:pPr>
              <w:pStyle w:val="Tabletext"/>
            </w:pPr>
          </w:p>
          <w:p w:rsidR="00F61A6E" w:rsidRDefault="00F61A6E" w:rsidP="004F73D0">
            <w:pPr>
              <w:pStyle w:val="Tabletext"/>
            </w:pPr>
          </w:p>
          <w:p w:rsidR="00F61A6E" w:rsidRDefault="00F61A6E" w:rsidP="004F73D0">
            <w:pPr>
              <w:pStyle w:val="Tabletext"/>
            </w:pPr>
          </w:p>
          <w:p w:rsidR="00F61A6E" w:rsidRDefault="00F61A6E" w:rsidP="004F73D0">
            <w:pPr>
              <w:pStyle w:val="Tabletext"/>
            </w:pPr>
          </w:p>
          <w:p w:rsidR="00F61A6E" w:rsidRDefault="00F61A6E" w:rsidP="004F73D0">
            <w:pPr>
              <w:pStyle w:val="Tabletext"/>
            </w:pPr>
          </w:p>
          <w:p w:rsidR="004C6ED9" w:rsidRDefault="004C6ED9" w:rsidP="004F73D0">
            <w:pPr>
              <w:pStyle w:val="Tabletext"/>
            </w:pPr>
            <w:r>
              <w:t>Veterinary Drug Directorate</w:t>
            </w:r>
            <w:r w:rsidR="00AB0299">
              <w:t xml:space="preserve"> (VDD)</w:t>
            </w:r>
          </w:p>
          <w:p w:rsidR="004C6ED9" w:rsidRDefault="004C6ED9" w:rsidP="004F73D0">
            <w:pPr>
              <w:pStyle w:val="Tabletext"/>
            </w:pPr>
          </w:p>
        </w:tc>
        <w:tc>
          <w:tcPr>
            <w:tcW w:w="3048" w:type="pct"/>
            <w:shd w:val="clear" w:color="auto" w:fill="auto"/>
          </w:tcPr>
          <w:p w:rsidR="00874AE0" w:rsidRDefault="004C6ED9" w:rsidP="00F61A6E">
            <w:pPr>
              <w:pStyle w:val="Tabletext"/>
            </w:pPr>
            <w:r>
              <w:t xml:space="preserve">Separate agencies </w:t>
            </w:r>
            <w:r w:rsidR="001030D3">
              <w:t xml:space="preserve">are responsible for the regulation of </w:t>
            </w:r>
            <w:r>
              <w:t xml:space="preserve">crop protection </w:t>
            </w:r>
            <w:r w:rsidR="001030D3">
              <w:t xml:space="preserve">products </w:t>
            </w:r>
            <w:r>
              <w:t>and animal medicine</w:t>
            </w:r>
            <w:r w:rsidR="001030D3">
              <w:t>s</w:t>
            </w:r>
            <w:r>
              <w:t xml:space="preserve">. </w:t>
            </w:r>
            <w:r w:rsidR="00364194" w:rsidRPr="00301569">
              <w:t xml:space="preserve">PMRA is responsible for administering </w:t>
            </w:r>
            <w:r w:rsidR="00364194" w:rsidRPr="009C535C">
              <w:rPr>
                <w:i/>
              </w:rPr>
              <w:t>The Pest Control Products Act</w:t>
            </w:r>
            <w:r w:rsidR="00364194" w:rsidRPr="00301569">
              <w:t xml:space="preserve"> (PCPA) on behalf of the Minister of Health. The PCPA regulates the products used for the control of pests. The PCPA came into force on </w:t>
            </w:r>
            <w:r w:rsidR="001030D3">
              <w:t xml:space="preserve">28 </w:t>
            </w:r>
            <w:r w:rsidR="00364194" w:rsidRPr="00301569">
              <w:t xml:space="preserve">June 2006. The PMRA must also </w:t>
            </w:r>
            <w:r w:rsidR="001030D3">
              <w:t>take into account</w:t>
            </w:r>
            <w:r w:rsidR="00364194" w:rsidRPr="00301569">
              <w:t xml:space="preserve"> other Acts, such as the </w:t>
            </w:r>
            <w:r w:rsidR="00364194" w:rsidRPr="009C535C">
              <w:rPr>
                <w:i/>
              </w:rPr>
              <w:t>Pesticide Residue Compensation Act</w:t>
            </w:r>
            <w:r w:rsidR="00364194" w:rsidRPr="00301569">
              <w:t xml:space="preserve"> (PRCA) and the </w:t>
            </w:r>
            <w:r w:rsidR="00364194" w:rsidRPr="003A1623">
              <w:rPr>
                <w:i/>
              </w:rPr>
              <w:t>Food and Drugs Act</w:t>
            </w:r>
            <w:r w:rsidR="00364194" w:rsidRPr="00301569">
              <w:t>, which have an impact on pest management. In addition, the PMRA</w:t>
            </w:r>
            <w:r w:rsidR="00364194" w:rsidRPr="00301569">
              <w:rPr>
                <w:rStyle w:val="apple-converted-space"/>
                <w:color w:val="000000"/>
                <w:sz w:val="22"/>
              </w:rPr>
              <w:t xml:space="preserve"> </w:t>
            </w:r>
            <w:r w:rsidR="001030D3">
              <w:t>relies on</w:t>
            </w:r>
            <w:r w:rsidR="00364194" w:rsidRPr="00301569">
              <w:t xml:space="preserve"> the </w:t>
            </w:r>
            <w:r w:rsidR="00364194" w:rsidRPr="009C535C">
              <w:rPr>
                <w:i/>
              </w:rPr>
              <w:t>Agriculture and Agri-Food Administrative Monetary Penalties Act</w:t>
            </w:r>
            <w:r w:rsidR="00364194" w:rsidRPr="00301569">
              <w:t xml:space="preserve"> as an enforcement tool for the</w:t>
            </w:r>
            <w:r w:rsidR="00364194" w:rsidRPr="00301569">
              <w:rPr>
                <w:rStyle w:val="apple-converted-space"/>
                <w:color w:val="000000"/>
                <w:sz w:val="22"/>
              </w:rPr>
              <w:t xml:space="preserve"> </w:t>
            </w:r>
            <w:r w:rsidR="00364194" w:rsidRPr="00301569">
              <w:t>PCPA</w:t>
            </w:r>
            <w:r w:rsidR="00364194">
              <w:t>.</w:t>
            </w:r>
          </w:p>
          <w:p w:rsidR="00F61A6E" w:rsidRDefault="00433A1F" w:rsidP="00BB2F3C">
            <w:pPr>
              <w:pStyle w:val="Tabletext"/>
            </w:pPr>
            <w:r>
              <w:t>T</w:t>
            </w:r>
            <w:r w:rsidRPr="00433A1F">
              <w:t>he VDD evaluates and monitors the safety, quality and effectiveness, sets standards and promotes the prudent use of veterinary drugs administered to food-producing and companion animals.</w:t>
            </w:r>
            <w:r>
              <w:t xml:space="preserve"> </w:t>
            </w:r>
            <w:r w:rsidRPr="00433A1F">
              <w:t xml:space="preserve">VDD applies the </w:t>
            </w:r>
            <w:r>
              <w:t xml:space="preserve">Canadian </w:t>
            </w:r>
            <w:r w:rsidRPr="00433A1F">
              <w:t xml:space="preserve">Food and Drug Regulations under the authority of the </w:t>
            </w:r>
            <w:r w:rsidRPr="009C535C">
              <w:rPr>
                <w:i/>
              </w:rPr>
              <w:t>Food and Drugs Act</w:t>
            </w:r>
            <w:r>
              <w:t>.</w:t>
            </w:r>
            <w:r w:rsidR="00002520">
              <w:t xml:space="preserve"> Canada currently has an Interim Notification Program (INP) for low risk veterinary health products. This is a temporary measure pending the new veterinary drug framework to improve (simplify) the regulation of these products. It provides a Notification Number if certain conditions have been met. The Notification is valid for one year and can be renewed using a simplified procedure</w:t>
            </w:r>
            <w:r w:rsidR="00BB2F3C">
              <w:t>.</w:t>
            </w:r>
            <w:r w:rsidR="00BB2F3C">
              <w:rPr>
                <w:rStyle w:val="FootnoteReference"/>
              </w:rPr>
              <w:footnoteReference w:id="69"/>
            </w:r>
            <w:r w:rsidR="00BB2F3C">
              <w:t xml:space="preserve"> </w:t>
            </w:r>
          </w:p>
        </w:tc>
      </w:tr>
      <w:tr w:rsidR="00E86A68" w:rsidTr="00BB2F3C">
        <w:tblPrEx>
          <w:tblBorders>
            <w:bottom w:val="single" w:sz="4" w:space="0" w:color="646464"/>
            <w:insideH w:val="single" w:sz="4" w:space="0" w:color="646464"/>
          </w:tblBorders>
        </w:tblPrEx>
        <w:trPr>
          <w:gridBefore w:val="1"/>
          <w:wBefore w:w="219" w:type="pct"/>
          <w:cantSplit/>
        </w:trPr>
        <w:tc>
          <w:tcPr>
            <w:tcW w:w="572" w:type="pct"/>
            <w:shd w:val="clear" w:color="auto" w:fill="auto"/>
          </w:tcPr>
          <w:p w:rsidR="00874AE0" w:rsidRPr="00A81AF2" w:rsidRDefault="00F47907" w:rsidP="004F73D0">
            <w:pPr>
              <w:pStyle w:val="Tabletext"/>
              <w:rPr>
                <w:b/>
              </w:rPr>
            </w:pPr>
            <w:r w:rsidRPr="00A81AF2">
              <w:rPr>
                <w:b/>
              </w:rPr>
              <w:t>New Zealand</w:t>
            </w:r>
          </w:p>
        </w:tc>
        <w:tc>
          <w:tcPr>
            <w:tcW w:w="1161" w:type="pct"/>
            <w:shd w:val="clear" w:color="auto" w:fill="auto"/>
          </w:tcPr>
          <w:p w:rsidR="00572990" w:rsidRDefault="00572990" w:rsidP="004F73D0">
            <w:pPr>
              <w:pStyle w:val="Tabletext"/>
            </w:pPr>
            <w:r>
              <w:t>Ministry for Primary Industries</w:t>
            </w:r>
            <w:r w:rsidR="00C0739B">
              <w:t xml:space="preserve"> (MPI)</w:t>
            </w:r>
          </w:p>
          <w:p w:rsidR="00874AE0" w:rsidRDefault="00572990" w:rsidP="004F73D0">
            <w:pPr>
              <w:pStyle w:val="Tabletext"/>
            </w:pPr>
            <w:r>
              <w:t xml:space="preserve">NZ </w:t>
            </w:r>
            <w:r w:rsidR="00F47907">
              <w:t>Environmental Protection Authority (</w:t>
            </w:r>
            <w:r w:rsidR="00E3231A">
              <w:t>NZ</w:t>
            </w:r>
            <w:r w:rsidR="00F47907">
              <w:t>EPA)</w:t>
            </w:r>
          </w:p>
        </w:tc>
        <w:tc>
          <w:tcPr>
            <w:tcW w:w="3048" w:type="pct"/>
            <w:shd w:val="clear" w:color="auto" w:fill="auto"/>
          </w:tcPr>
          <w:p w:rsidR="00874AE0" w:rsidRDefault="00C0739B" w:rsidP="00F27970">
            <w:pPr>
              <w:pStyle w:val="Tabletext"/>
            </w:pPr>
            <w:r>
              <w:rPr>
                <w:shd w:val="clear" w:color="auto" w:fill="FFFFFF"/>
              </w:rPr>
              <w:t xml:space="preserve">MPI administers the </w:t>
            </w:r>
            <w:r w:rsidR="00F47907" w:rsidRPr="009C535C">
              <w:rPr>
                <w:i/>
                <w:shd w:val="clear" w:color="auto" w:fill="FFFFFF"/>
              </w:rPr>
              <w:t>Agricultural Compounds and Veterinary Medicines Act</w:t>
            </w:r>
            <w:r w:rsidR="00F47907">
              <w:rPr>
                <w:shd w:val="clear" w:color="auto" w:fill="FFFFFF"/>
              </w:rPr>
              <w:t xml:space="preserve"> 1997</w:t>
            </w:r>
            <w:r w:rsidR="009C535C">
              <w:rPr>
                <w:shd w:val="clear" w:color="auto" w:fill="FFFFFF"/>
              </w:rPr>
              <w:t xml:space="preserve"> (ACVM Act)</w:t>
            </w:r>
            <w:r w:rsidR="00F47907">
              <w:rPr>
                <w:shd w:val="clear" w:color="auto" w:fill="FFFFFF"/>
              </w:rPr>
              <w:t xml:space="preserve">, </w:t>
            </w:r>
            <w:r w:rsidR="005B3D67">
              <w:rPr>
                <w:shd w:val="clear" w:color="auto" w:fill="FFFFFF"/>
              </w:rPr>
              <w:t>while the NZEPA administers the Hazardous Substances and New Organisms Act 1996 (HSNO Act). The ACVM Act focuses on agricultural compounds, while the HSNO Act covers agricultural compounds it covers a wider range of other compounds such as industrial chemicals. The ACVM Act covers risks to agricultural security, trade, animal welfare and public health, while the HSNO Act covers risks to health and safety and the environment. Registration of an agricultural compound trade name product under the ACVM Act is subject to it having an approval under the HSNO Act.</w:t>
            </w:r>
            <w:r w:rsidR="00310FE2">
              <w:rPr>
                <w:shd w:val="clear" w:color="auto" w:fill="FFFFFF"/>
              </w:rPr>
              <w:t xml:space="preserve"> </w:t>
            </w:r>
            <w:r w:rsidR="00310FE2">
              <w:t xml:space="preserve">Both </w:t>
            </w:r>
            <w:r w:rsidR="00310FE2" w:rsidRPr="007F1A08">
              <w:t xml:space="preserve">Veterinary medicines </w:t>
            </w:r>
            <w:r w:rsidR="00310FE2">
              <w:t xml:space="preserve">and agricultural chemicals </w:t>
            </w:r>
            <w:r w:rsidR="00310FE2" w:rsidRPr="007F1A08">
              <w:t xml:space="preserve">require approval under </w:t>
            </w:r>
            <w:r w:rsidR="003A1623">
              <w:t xml:space="preserve">the ACVM Act. </w:t>
            </w:r>
            <w:r w:rsidR="00310FE2">
              <w:t>The NZEPA introduced some new requirements for labels, safety data sheets and packaging of pesticides from 2015.</w:t>
            </w:r>
            <w:r w:rsidR="00310FE2">
              <w:rPr>
                <w:rStyle w:val="FootnoteReference"/>
              </w:rPr>
              <w:footnoteReference w:id="70"/>
            </w:r>
            <w:r w:rsidR="00310FE2">
              <w:t xml:space="preserve"> New requirements for anti</w:t>
            </w:r>
            <w:r w:rsidR="00C223E2">
              <w:t>-</w:t>
            </w:r>
            <w:r w:rsidR="00310FE2">
              <w:t xml:space="preserve">fouling paints </w:t>
            </w:r>
            <w:r w:rsidR="00F27970">
              <w:t>have been</w:t>
            </w:r>
            <w:r w:rsidR="00310FE2">
              <w:t xml:space="preserve"> introduced in 2017.</w:t>
            </w:r>
            <w:r w:rsidR="00310FE2">
              <w:rPr>
                <w:rStyle w:val="FootnoteReference"/>
              </w:rPr>
              <w:footnoteReference w:id="71"/>
            </w:r>
          </w:p>
        </w:tc>
      </w:tr>
      <w:tr w:rsidR="00E86A68" w:rsidTr="00874AE0">
        <w:tblPrEx>
          <w:tblBorders>
            <w:bottom w:val="single" w:sz="4" w:space="0" w:color="646464"/>
            <w:insideH w:val="single" w:sz="4" w:space="0" w:color="646464"/>
          </w:tblBorders>
        </w:tblPrEx>
        <w:trPr>
          <w:gridBefore w:val="1"/>
          <w:wBefore w:w="219" w:type="pct"/>
          <w:cantSplit/>
        </w:trPr>
        <w:tc>
          <w:tcPr>
            <w:tcW w:w="4781" w:type="pct"/>
            <w:gridSpan w:val="3"/>
            <w:tcBorders>
              <w:bottom w:val="single" w:sz="4" w:space="0" w:color="646464"/>
            </w:tcBorders>
            <w:shd w:val="clear" w:color="auto" w:fill="auto"/>
          </w:tcPr>
          <w:p w:rsidR="00874AE0" w:rsidRDefault="00874AE0" w:rsidP="00874AE0">
            <w:pPr>
              <w:pStyle w:val="Source"/>
            </w:pPr>
            <w:r>
              <w:t xml:space="preserve">Source: </w:t>
            </w:r>
            <w:r w:rsidR="00572990">
              <w:t>Various sources</w:t>
            </w:r>
          </w:p>
        </w:tc>
      </w:tr>
      <w:tr w:rsidR="00E86A68" w:rsidTr="00A81AF2">
        <w:tblPrEx>
          <w:tblBorders>
            <w:bottom w:val="single" w:sz="4" w:space="0" w:color="646464"/>
            <w:insideH w:val="single" w:sz="4" w:space="0" w:color="646464"/>
          </w:tblBorders>
        </w:tblPrEx>
        <w:trPr>
          <w:gridBefore w:val="1"/>
          <w:wBefore w:w="219" w:type="pct"/>
          <w:cantSplit/>
          <w:trHeight w:hRule="exact" w:val="409"/>
        </w:trPr>
        <w:tc>
          <w:tcPr>
            <w:tcW w:w="4781" w:type="pct"/>
            <w:gridSpan w:val="3"/>
            <w:tcBorders>
              <w:top w:val="single" w:sz="4" w:space="0" w:color="646464"/>
              <w:bottom w:val="nil"/>
            </w:tcBorders>
            <w:shd w:val="clear" w:color="auto" w:fill="auto"/>
          </w:tcPr>
          <w:p w:rsidR="00874AE0" w:rsidRDefault="00874AE0" w:rsidP="00874AE0">
            <w:pPr>
              <w:pStyle w:val="spacertbl"/>
            </w:pPr>
          </w:p>
        </w:tc>
      </w:tr>
    </w:tbl>
    <w:p w:rsidR="006965DE" w:rsidRDefault="006965DE" w:rsidP="006965DE">
      <w:pPr>
        <w:pStyle w:val="Heading2"/>
      </w:pPr>
      <w:bookmarkStart w:id="101" w:name="_Toc497300833"/>
      <w:r>
        <w:t>Australian registration processes</w:t>
      </w:r>
      <w:bookmarkEnd w:id="101"/>
      <w:r>
        <w:t xml:space="preserve"> </w:t>
      </w:r>
    </w:p>
    <w:p w:rsidR="006965DE" w:rsidRDefault="006965DE" w:rsidP="006965DE">
      <w:pPr>
        <w:pStyle w:val="BodyText"/>
      </w:pPr>
      <w:r>
        <w:t>Agvet chemical products are regulated under the National Registration Scheme (NRS)—a partnership between the Commonwealth</w:t>
      </w:r>
      <w:r w:rsidR="007D1415">
        <w:t>,</w:t>
      </w:r>
      <w:r>
        <w:t xml:space="preserve"> state and territory governments in Australia. Under the NRS, the Australian Pesticides and Veterinary Medicines Authority (APVMA) undertakes the assessment, registration and regulation of agvet chemical products up to the point of supply, while states and territories are responsible for regulating agvet chemical use after supply.</w:t>
      </w:r>
    </w:p>
    <w:p w:rsidR="00417D1D" w:rsidRDefault="00417D1D" w:rsidP="00417D1D">
      <w:pPr>
        <w:pStyle w:val="Heading3"/>
        <w:rPr>
          <w:rFonts w:ascii="Arial" w:hAnsi="Arial"/>
        </w:rPr>
      </w:pPr>
      <w:r>
        <w:t>Institutional arrangements</w:t>
      </w:r>
    </w:p>
    <w:p w:rsidR="00417D1D" w:rsidRDefault="00417D1D" w:rsidP="00417D1D">
      <w:pPr>
        <w:pStyle w:val="BodyText"/>
      </w:pPr>
      <w:r>
        <w:t xml:space="preserve">The NRS is a partnership between the Commonwealth, state and territory governments underpinned by an intergovernmental agreement (IGA). Under the agreement, state and territory governments conferred their power to regulate the supply of agvet chemicals to the Commonwealth, and adopted a template Agricultural and Veterinary Chemicals Code (Agvet Code). The responsibility for regulating the use of agvet chemicals after </w:t>
      </w:r>
      <w:r w:rsidR="00F61A6E">
        <w:t>supply</w:t>
      </w:r>
      <w:r>
        <w:t xml:space="preserve"> </w:t>
      </w:r>
      <w:r w:rsidR="00966B6B">
        <w:t>remains</w:t>
      </w:r>
      <w:r>
        <w:t xml:space="preserve"> with the state and territory governments.</w:t>
      </w:r>
    </w:p>
    <w:p w:rsidR="00417D1D" w:rsidRDefault="00417D1D" w:rsidP="00A81AF2">
      <w:pPr>
        <w:pStyle w:val="BodyText"/>
        <w:keepNext/>
        <w:keepLines/>
      </w:pPr>
      <w:r>
        <w:t>The APVMA</w:t>
      </w:r>
      <w:r w:rsidR="002109B9">
        <w:t xml:space="preserve"> is </w:t>
      </w:r>
      <w:r>
        <w:t xml:space="preserve">a statutory authority within the portfolio of the </w:t>
      </w:r>
      <w:r w:rsidR="009F036F">
        <w:t>Commonwealth</w:t>
      </w:r>
      <w:r>
        <w:t xml:space="preserve"> Minister for Agriculture</w:t>
      </w:r>
      <w:r w:rsidR="002109B9">
        <w:t xml:space="preserve"> and Water Resources. It d</w:t>
      </w:r>
      <w:r>
        <w:t xml:space="preserve">erives its powers from the </w:t>
      </w:r>
      <w:r>
        <w:rPr>
          <w:i/>
        </w:rPr>
        <w:t xml:space="preserve">Agricultural </w:t>
      </w:r>
      <w:r w:rsidR="009A5854">
        <w:rPr>
          <w:i/>
        </w:rPr>
        <w:t>a</w:t>
      </w:r>
      <w:r>
        <w:rPr>
          <w:i/>
        </w:rPr>
        <w:t>nd Veterinary Chem</w:t>
      </w:r>
      <w:r w:rsidR="002109B9">
        <w:rPr>
          <w:i/>
        </w:rPr>
        <w:t>icals (Administration) Act 1992</w:t>
      </w:r>
      <w:r w:rsidR="00B50A70">
        <w:rPr>
          <w:i/>
        </w:rPr>
        <w:t xml:space="preserve"> </w:t>
      </w:r>
      <w:r w:rsidR="00B50A70" w:rsidRPr="00B50A70">
        <w:t>and related legislation</w:t>
      </w:r>
      <w:r>
        <w:t>. Its functions include (among others)</w:t>
      </w:r>
      <w:r w:rsidR="002109B9">
        <w:t xml:space="preserve"> to</w:t>
      </w:r>
      <w:r>
        <w:t>:</w:t>
      </w:r>
    </w:p>
    <w:p w:rsidR="00417D1D" w:rsidRDefault="00417D1D" w:rsidP="00A81AF2">
      <w:pPr>
        <w:pStyle w:val="ListBullet"/>
        <w:keepNext/>
        <w:keepLines/>
        <w:widowControl w:val="0"/>
      </w:pPr>
      <w:r>
        <w:t xml:space="preserve">assess the suitability for </w:t>
      </w:r>
      <w:r w:rsidR="009C5786">
        <w:t>supply</w:t>
      </w:r>
      <w:r>
        <w:t xml:space="preserve"> in Australia of chemical products, active constituents for proposed or existing chemical products, and labels for containers for chemical products</w:t>
      </w:r>
    </w:p>
    <w:p w:rsidR="00417D1D" w:rsidRDefault="00417D1D" w:rsidP="00A81AF2">
      <w:pPr>
        <w:pStyle w:val="ListBullet"/>
        <w:keepNext/>
        <w:keepLines/>
        <w:widowControl w:val="0"/>
      </w:pPr>
      <w:r>
        <w:t xml:space="preserve">provide information to governments about approved active constituents, registered products, and approved labels </w:t>
      </w:r>
    </w:p>
    <w:p w:rsidR="00417D1D" w:rsidRDefault="00417D1D" w:rsidP="00417D1D">
      <w:pPr>
        <w:pStyle w:val="ListBullet"/>
        <w:widowControl w:val="0"/>
      </w:pPr>
      <w:r>
        <w:t>fund a program to ensure compliance</w:t>
      </w:r>
    </w:p>
    <w:p w:rsidR="00417D1D" w:rsidRDefault="00417D1D" w:rsidP="00417D1D">
      <w:pPr>
        <w:pStyle w:val="ListBullet"/>
        <w:widowControl w:val="0"/>
      </w:pPr>
      <w:r>
        <w:t>evaluate the effects of the use of chemicals in states and territories</w:t>
      </w:r>
      <w:r w:rsidR="002109B9">
        <w:t>, and</w:t>
      </w:r>
    </w:p>
    <w:p w:rsidR="00417D1D" w:rsidRDefault="00417D1D" w:rsidP="00417D1D">
      <w:pPr>
        <w:pStyle w:val="ListBullet"/>
        <w:widowControl w:val="0"/>
      </w:pPr>
      <w:r>
        <w:t xml:space="preserve">facilitate the introduction of uniform national standards on controlling the use of chemicals. </w:t>
      </w:r>
    </w:p>
    <w:p w:rsidR="00417D1D" w:rsidRDefault="00417D1D" w:rsidP="00417D1D">
      <w:pPr>
        <w:pStyle w:val="Heading3"/>
      </w:pPr>
      <w:r>
        <w:t xml:space="preserve">Funding </w:t>
      </w:r>
    </w:p>
    <w:p w:rsidR="00417D1D" w:rsidRDefault="00417D1D" w:rsidP="00417D1D">
      <w:pPr>
        <w:pStyle w:val="BodyText"/>
      </w:pPr>
      <w:r>
        <w:t xml:space="preserve">APVMA operates on </w:t>
      </w:r>
      <w:r w:rsidR="0095646E">
        <w:t xml:space="preserve">a </w:t>
      </w:r>
      <w:r>
        <w:t xml:space="preserve">cost-recovery </w:t>
      </w:r>
      <w:r w:rsidR="00983654">
        <w:t>basis</w:t>
      </w:r>
      <w:r>
        <w:t xml:space="preserve"> and is principally funded via a levy imposed on sales of registered agvet products</w:t>
      </w:r>
      <w:r>
        <w:rPr>
          <w:rStyle w:val="FootnoteReference"/>
        </w:rPr>
        <w:footnoteReference w:id="72"/>
      </w:r>
      <w:r>
        <w:t xml:space="preserve"> a</w:t>
      </w:r>
      <w:r w:rsidR="002109B9">
        <w:t xml:space="preserve">s well as </w:t>
      </w:r>
      <w:r>
        <w:t xml:space="preserve">application and annual registration fees. APVMA also collects licensing fees from manufacturers of veterinary medicines. </w:t>
      </w:r>
    </w:p>
    <w:p w:rsidR="00417D1D" w:rsidRDefault="00983654" w:rsidP="00417D1D">
      <w:pPr>
        <w:pStyle w:val="BodyText"/>
      </w:pPr>
      <w:r>
        <w:rPr>
          <w:rStyle w:val="BodyTextChar"/>
        </w:rPr>
        <w:t>In 2015-16, total APVMA revenue amounted to $30.6 million, of which $16.7 million, or approximately 55 per cent, came through the sales levy.</w:t>
      </w:r>
      <w:r>
        <w:rPr>
          <w:rStyle w:val="FootnoteReference"/>
        </w:rPr>
        <w:footnoteReference w:id="73"/>
      </w:r>
      <w:r w:rsidR="005B226F">
        <w:rPr>
          <w:rStyle w:val="BodyTextChar"/>
        </w:rPr>
        <w:t xml:space="preserve"> APVMA expenditure in 2015-16 was $33.9 million.</w:t>
      </w:r>
    </w:p>
    <w:p w:rsidR="00DD3120" w:rsidRDefault="00DD3120" w:rsidP="00DD3120">
      <w:pPr>
        <w:pStyle w:val="Heading3"/>
        <w:rPr>
          <w:rFonts w:ascii="Arial" w:hAnsi="Arial"/>
        </w:rPr>
      </w:pPr>
      <w:r>
        <w:t>Assessment and registration of new products</w:t>
      </w:r>
    </w:p>
    <w:p w:rsidR="00966B6B" w:rsidRDefault="00966B6B" w:rsidP="00966B6B">
      <w:pPr>
        <w:pStyle w:val="BodyText"/>
        <w:rPr>
          <w:rFonts w:ascii="Times New Roman" w:hAnsi="Times New Roman"/>
        </w:rPr>
      </w:pPr>
      <w:r>
        <w:t>The APVMA assesses a chemical or product on its potential impact on human and animal health, the environment, and trade as well as on its efficacy. Some assessments are performed within APVMA and may include consultation with other agencies. This can include Food Standards Australia New Zealand (FSANZ) in relation to dietary exposure and the Office of Gene Technology Regulator (OGTR) where a product contains a genetically modified organism. Some assessments are undertaken by external private sector scientific reviewers contracted by the APVMA. Some environmental assessments are also undertaken by the Department of the Environment and Energy (D</w:t>
      </w:r>
      <w:r w:rsidR="006C7546">
        <w:t>o</w:t>
      </w:r>
      <w:r>
        <w:t>EE), including advice on risk-management strategies to mitigate environmental risks.</w:t>
      </w:r>
    </w:p>
    <w:p w:rsidR="004B13FD" w:rsidRDefault="00966B6B" w:rsidP="00966B6B">
      <w:pPr>
        <w:pStyle w:val="BodyText"/>
      </w:pPr>
      <w:r>
        <w:rPr>
          <w:rStyle w:val="HTMLAcronym"/>
        </w:rPr>
        <w:t xml:space="preserve">On completion of the evaluation, if </w:t>
      </w:r>
      <w:r w:rsidR="004B13FD">
        <w:rPr>
          <w:rStyle w:val="HTMLAcronym"/>
        </w:rPr>
        <w:t xml:space="preserve">the </w:t>
      </w:r>
      <w:r>
        <w:rPr>
          <w:rStyle w:val="HTMLAcronym"/>
        </w:rPr>
        <w:t>APVMA</w:t>
      </w:r>
      <w:r>
        <w:t xml:space="preserve"> is satisfied that the product is safe, effective, will not adversely impact on trade and that the label contains adequate instructions, </w:t>
      </w:r>
      <w:r>
        <w:rPr>
          <w:rStyle w:val="HTMLAcronym"/>
        </w:rPr>
        <w:t>it</w:t>
      </w:r>
      <w:r>
        <w:t xml:space="preserve"> will approve the application. </w:t>
      </w:r>
    </w:p>
    <w:p w:rsidR="00966B6B" w:rsidRDefault="00966B6B" w:rsidP="00966B6B">
      <w:pPr>
        <w:pStyle w:val="BodyText"/>
      </w:pPr>
      <w:r>
        <w:t xml:space="preserve">The APVMA may put conditions on the manufacture and supply of the product. For example, it can require the product to be supplied in a container of a particular kind. </w:t>
      </w:r>
      <w:r w:rsidR="009D3C34">
        <w:t>Elements of t</w:t>
      </w:r>
      <w:r>
        <w:t>he product label also ha</w:t>
      </w:r>
      <w:r w:rsidR="009D3C34">
        <w:t>ve</w:t>
      </w:r>
      <w:r>
        <w:t xml:space="preserve"> to be approved by the APVMA. Product labels are predominantly based on managing the </w:t>
      </w:r>
      <w:r>
        <w:rPr>
          <w:i/>
        </w:rPr>
        <w:t>risks</w:t>
      </w:r>
      <w:r>
        <w:t xml:space="preserve"> of the product, although some </w:t>
      </w:r>
      <w:r>
        <w:rPr>
          <w:i/>
        </w:rPr>
        <w:t>hazard</w:t>
      </w:r>
      <w:r>
        <w:t xml:space="preserve"> information may also be included. Matters that </w:t>
      </w:r>
      <w:r w:rsidR="009D3C34">
        <w:t xml:space="preserve">are </w:t>
      </w:r>
      <w:r>
        <w:t xml:space="preserve">approved by the APVMA and are required to be included on labels include: </w:t>
      </w:r>
    </w:p>
    <w:p w:rsidR="00BD52DE" w:rsidRDefault="00BD52DE" w:rsidP="00BD52DE">
      <w:pPr>
        <w:pStyle w:val="ListBullet"/>
        <w:widowControl w:val="0"/>
      </w:pPr>
      <w:r>
        <w:t>circumstances in which the product should be used and how it should be used</w:t>
      </w:r>
    </w:p>
    <w:p w:rsidR="00BD52DE" w:rsidRDefault="00BD52DE" w:rsidP="00BD52DE">
      <w:pPr>
        <w:pStyle w:val="ListBullet"/>
        <w:widowControl w:val="0"/>
      </w:pPr>
      <w:r>
        <w:t>approved times and frequency of product use</w:t>
      </w:r>
    </w:p>
    <w:p w:rsidR="00BD52DE" w:rsidRDefault="00BD52DE" w:rsidP="00BD52DE">
      <w:pPr>
        <w:pStyle w:val="ListBullet"/>
        <w:widowControl w:val="0"/>
      </w:pPr>
      <w:r>
        <w:t xml:space="preserve">withholding period after use of the product </w:t>
      </w:r>
    </w:p>
    <w:p w:rsidR="00BD52DE" w:rsidRDefault="00BD52DE" w:rsidP="00BD52DE">
      <w:pPr>
        <w:pStyle w:val="ListBullet"/>
        <w:widowControl w:val="0"/>
      </w:pPr>
      <w:r>
        <w:t xml:space="preserve">re-entry period after use of the product </w:t>
      </w:r>
    </w:p>
    <w:p w:rsidR="00BD52DE" w:rsidRDefault="00BD52DE" w:rsidP="00BD52DE">
      <w:pPr>
        <w:pStyle w:val="ListBullet"/>
        <w:widowControl w:val="0"/>
      </w:pPr>
      <w:r>
        <w:t>disposal of the product and its container w</w:t>
      </w:r>
      <w:r w:rsidR="002109B9">
        <w:t>hen they are no longer required, and</w:t>
      </w:r>
    </w:p>
    <w:p w:rsidR="00BD52DE" w:rsidRDefault="00BD52DE" w:rsidP="00BD52DE">
      <w:pPr>
        <w:pStyle w:val="ListBullet"/>
        <w:widowControl w:val="0"/>
      </w:pPr>
      <w:r>
        <w:t xml:space="preserve">safe handling of the product and first aid in the event of an accident caused by the handling of the product. </w:t>
      </w:r>
    </w:p>
    <w:p w:rsidR="00BD52DE" w:rsidRDefault="00BD52DE" w:rsidP="00BD52DE">
      <w:pPr>
        <w:pStyle w:val="Heading3"/>
        <w:rPr>
          <w:rFonts w:ascii="Arial" w:hAnsi="Arial"/>
        </w:rPr>
      </w:pPr>
      <w:r>
        <w:t>Permits</w:t>
      </w:r>
    </w:p>
    <w:p w:rsidR="00E6279E" w:rsidRDefault="00BD52DE" w:rsidP="00BD52DE">
      <w:pPr>
        <w:pStyle w:val="BodyText"/>
      </w:pPr>
      <w:r>
        <w:t xml:space="preserve">In addition to registering agvet products, </w:t>
      </w:r>
      <w:r w:rsidR="00966B6B">
        <w:t xml:space="preserve">the </w:t>
      </w:r>
      <w:r>
        <w:t xml:space="preserve">APVMA can, in some circumstances, issue permits for using an unregistered agvet product, or </w:t>
      </w:r>
      <w:r w:rsidR="002109B9">
        <w:t xml:space="preserve">authorising the use of </w:t>
      </w:r>
      <w:r>
        <w:t xml:space="preserve">a registered product in a manner that </w:t>
      </w:r>
      <w:r w:rsidR="002109B9">
        <w:t>i</w:t>
      </w:r>
      <w:r w:rsidR="00C043AD">
        <w:t>s</w:t>
      </w:r>
      <w:r w:rsidR="002109B9">
        <w:t xml:space="preserve"> contrary to </w:t>
      </w:r>
      <w:r>
        <w:t xml:space="preserve">the registration conditions. </w:t>
      </w:r>
    </w:p>
    <w:p w:rsidR="00C6459A" w:rsidRDefault="00C6459A" w:rsidP="00BD52DE">
      <w:pPr>
        <w:pStyle w:val="BodyText"/>
      </w:pPr>
      <w:r>
        <w:t>Various types of permits are approved by the APVMA. They are:</w:t>
      </w:r>
      <w:r>
        <w:rPr>
          <w:rStyle w:val="FootnoteReference"/>
        </w:rPr>
        <w:footnoteReference w:id="74"/>
      </w:r>
    </w:p>
    <w:p w:rsidR="00C6459A" w:rsidRDefault="00C6459A" w:rsidP="00C6459A">
      <w:pPr>
        <w:pStyle w:val="ListBullet"/>
        <w:rPr>
          <w:lang w:val="en-US"/>
        </w:rPr>
      </w:pPr>
      <w:r w:rsidRPr="00F37AE8">
        <w:rPr>
          <w:b/>
        </w:rPr>
        <w:t>Minor use permit</w:t>
      </w:r>
      <w:r>
        <w:t xml:space="preserve"> — for uses where no relevant registered products or use patterns exist because registering the use pattern would not produce an economic return (issues related to minor use are discussed in Chapter 6).</w:t>
      </w:r>
    </w:p>
    <w:p w:rsidR="00C6459A" w:rsidRDefault="00C6459A" w:rsidP="00C6459A">
      <w:pPr>
        <w:pStyle w:val="ListBullet"/>
      </w:pPr>
      <w:r w:rsidRPr="00F37AE8">
        <w:rPr>
          <w:b/>
        </w:rPr>
        <w:t>Emergency use permit</w:t>
      </w:r>
      <w:r>
        <w:t xml:space="preserve"> — supports primary producers during emergencies or impending emergencies, such as outbreaks of pests and diseases, by allowing the use of a chemical product or an active constituent if there is a genuine belief that the use is required because of the emergency.</w:t>
      </w:r>
    </w:p>
    <w:p w:rsidR="00C6459A" w:rsidRDefault="00C6459A" w:rsidP="00C6459A">
      <w:pPr>
        <w:pStyle w:val="ListBullet"/>
      </w:pPr>
      <w:r w:rsidRPr="00F37AE8">
        <w:rPr>
          <w:b/>
        </w:rPr>
        <w:t xml:space="preserve">Research permit </w:t>
      </w:r>
      <w:r>
        <w:t>— assists in the development, through experiments, of new uses for products. Note that the APVMA does not issue permits to enable market research.</w:t>
      </w:r>
    </w:p>
    <w:p w:rsidR="00C6459A" w:rsidRDefault="00C6459A" w:rsidP="00C6459A">
      <w:pPr>
        <w:pStyle w:val="ListBullet"/>
      </w:pPr>
      <w:r w:rsidRPr="00F37AE8">
        <w:rPr>
          <w:b/>
        </w:rPr>
        <w:t>Veterinary manufacturing permit</w:t>
      </w:r>
      <w:r>
        <w:t xml:space="preserve"> — may be issued to authorise the carrying out of a step (or steps) of manufacture of veterinary product/s, that would otherwise be an offence or a contravention of a civil penalty provision set out in the Agvet Code, in relation to manufacture and licensing. This type of permit may only be issued for exceptional circumstances, where compliance with the APVMA’s Manufacturing Principles can be demonstrated, and is restricted to a maximum period of 90 days.</w:t>
      </w:r>
    </w:p>
    <w:p w:rsidR="00C6459A" w:rsidRDefault="00C6459A" w:rsidP="00C6459A">
      <w:pPr>
        <w:pStyle w:val="ListBullet"/>
      </w:pPr>
      <w:r w:rsidRPr="00F37AE8">
        <w:rPr>
          <w:b/>
        </w:rPr>
        <w:t>Miscellaneous permit</w:t>
      </w:r>
      <w:r>
        <w:t xml:space="preserve"> — may be issued for a circumstance not covered by the other permits (for example, a permit to possess or supply an unregistered chemical product for export; to oversticker an approved label; to supply specific batches of a registered product that do not comply with the product specifications; to supply a registered product with an unapproved label; or to extend the shelf life of a batch</w:t>
      </w:r>
      <w:r w:rsidR="00DE02F0">
        <w:t>.</w:t>
      </w:r>
    </w:p>
    <w:p w:rsidR="00BD52DE" w:rsidRDefault="00BD52DE" w:rsidP="00BD52DE">
      <w:pPr>
        <w:pStyle w:val="Heading3"/>
      </w:pPr>
      <w:r>
        <w:t>Assessment of existing chemicals and products</w:t>
      </w:r>
    </w:p>
    <w:p w:rsidR="00BD52DE" w:rsidRDefault="00BD52DE" w:rsidP="00BD52DE">
      <w:pPr>
        <w:pStyle w:val="BodyText"/>
      </w:pPr>
      <w:r>
        <w:t xml:space="preserve">When the NRS was introduced in 1995, </w:t>
      </w:r>
      <w:r w:rsidR="00966B6B">
        <w:t xml:space="preserve">the </w:t>
      </w:r>
      <w:r>
        <w:t>APVMA assumed responsibility for over 5</w:t>
      </w:r>
      <w:r w:rsidR="0055687B">
        <w:t>,</w:t>
      </w:r>
      <w:r>
        <w:t xml:space="preserve">000 agvet products that were registered under prior state and territory arrangements. </w:t>
      </w:r>
      <w:r w:rsidR="00966B6B">
        <w:t xml:space="preserve">The </w:t>
      </w:r>
      <w:r>
        <w:t>APVMA</w:t>
      </w:r>
      <w:r w:rsidR="002109B9">
        <w:t xml:space="preserve"> is also responsible </w:t>
      </w:r>
      <w:r>
        <w:t xml:space="preserve">for </w:t>
      </w:r>
      <w:r w:rsidR="002109B9">
        <w:t>re-</w:t>
      </w:r>
      <w:r>
        <w:t>assessing previously approved chemicals and products</w:t>
      </w:r>
      <w:r w:rsidR="005B226F">
        <w:t xml:space="preserve"> as necessary</w:t>
      </w:r>
      <w:r>
        <w:t>.</w:t>
      </w:r>
      <w:r w:rsidR="00966B6B">
        <w:t xml:space="preserve"> </w:t>
      </w:r>
      <w:r w:rsidR="00E6279E">
        <w:t>Chemical r</w:t>
      </w:r>
      <w:r w:rsidR="00966B6B">
        <w:t>eviews occur on triggers other than age of registration.</w:t>
      </w:r>
      <w:r>
        <w:t xml:space="preserve"> Reviews decide whether the product is safe, requires reformulating, requires restrictions on conditions of use, or whether it should be suspended, cancelled or withdrawn from the market.</w:t>
      </w:r>
      <w:r w:rsidR="00C01CB8">
        <w:rPr>
          <w:rStyle w:val="FootnoteReference"/>
        </w:rPr>
        <w:footnoteReference w:id="75"/>
      </w:r>
    </w:p>
    <w:p w:rsidR="00BD52DE" w:rsidRDefault="00BD52DE" w:rsidP="00BD52DE">
      <w:pPr>
        <w:pStyle w:val="Heading3"/>
      </w:pPr>
      <w:r>
        <w:t>Interface with other national schemes</w:t>
      </w:r>
    </w:p>
    <w:p w:rsidR="00BD52DE" w:rsidRDefault="00983654" w:rsidP="00BD52DE">
      <w:pPr>
        <w:pStyle w:val="BodyText"/>
      </w:pPr>
      <w:r>
        <w:t xml:space="preserve">Selected outcomes arising from APVMA assessments serve as inputs into other national schemes: </w:t>
      </w:r>
    </w:p>
    <w:p w:rsidR="00BD52DE" w:rsidRDefault="00BD52DE" w:rsidP="00BD52DE">
      <w:pPr>
        <w:pStyle w:val="ListBullet"/>
        <w:widowControl w:val="0"/>
      </w:pPr>
      <w:r>
        <w:t xml:space="preserve">When </w:t>
      </w:r>
      <w:r w:rsidR="000B2860">
        <w:t>the</w:t>
      </w:r>
      <w:r>
        <w:t xml:space="preserve"> APVMA sets a maximum residue limit in food, it also </w:t>
      </w:r>
      <w:r w:rsidR="00D11383">
        <w:t>incorporates this limit into the Food Standards Code which is administered by</w:t>
      </w:r>
      <w:r>
        <w:t xml:space="preserve"> Food Standards Australia New Zealand (FSANZ).</w:t>
      </w:r>
    </w:p>
    <w:p w:rsidR="006C7546" w:rsidRDefault="00BD52DE" w:rsidP="00E83228">
      <w:pPr>
        <w:pStyle w:val="ListBullet"/>
        <w:widowControl w:val="0"/>
      </w:pPr>
      <w:r>
        <w:t xml:space="preserve">As part of the APVMA assessment, </w:t>
      </w:r>
      <w:r w:rsidR="003A1623">
        <w:t>a</w:t>
      </w:r>
      <w:r>
        <w:t xml:space="preserve"> product may als</w:t>
      </w:r>
      <w:r w:rsidR="002109B9">
        <w:t xml:space="preserve">o be </w:t>
      </w:r>
      <w:r w:rsidR="00E6279E">
        <w:t>scheduled</w:t>
      </w:r>
      <w:r w:rsidR="002109B9">
        <w:t xml:space="preserve"> as a poison. This involves reference to </w:t>
      </w:r>
      <w:r>
        <w:t xml:space="preserve">the National Drugs and Poisons Schedule Committee. </w:t>
      </w:r>
      <w:r w:rsidR="006C7546">
        <w:t>It is understood that, while pharmaceutical companies can submit papers directly to this Committee, agvet companies can only do this through the APVMA. Th</w:t>
      </w:r>
      <w:r w:rsidR="00D11383">
        <w:t>e scheduling process</w:t>
      </w:r>
      <w:r w:rsidR="00FF78FA">
        <w:t xml:space="preserve"> is</w:t>
      </w:r>
      <w:r w:rsidR="00D11383">
        <w:t xml:space="preserve"> </w:t>
      </w:r>
      <w:r w:rsidR="006C7546">
        <w:t>a potential source of delay.</w:t>
      </w:r>
    </w:p>
    <w:p w:rsidR="00BD52DE" w:rsidRDefault="00BD52DE" w:rsidP="00BD52DE">
      <w:pPr>
        <w:pStyle w:val="Heading3"/>
      </w:pPr>
      <w:r>
        <w:t>Interface with state regulators</w:t>
      </w:r>
    </w:p>
    <w:p w:rsidR="00BD52DE" w:rsidRDefault="00BD04A8" w:rsidP="00BD52DE">
      <w:pPr>
        <w:pStyle w:val="BodyText"/>
      </w:pPr>
      <w:r>
        <w:t xml:space="preserve">The </w:t>
      </w:r>
      <w:r w:rsidR="00BD52DE">
        <w:t xml:space="preserve">APVMA cooperates with state and territory governments in monitoring and enforcing compliance with the Agvet Code provisions. </w:t>
      </w:r>
      <w:r w:rsidR="002109B9">
        <w:t>W</w:t>
      </w:r>
      <w:r w:rsidR="00BD52DE">
        <w:t xml:space="preserve">hile the scope of the </w:t>
      </w:r>
      <w:r w:rsidR="00966B6B">
        <w:t xml:space="preserve">APVMA’s role under the </w:t>
      </w:r>
      <w:r w:rsidR="00BD52DE">
        <w:t xml:space="preserve">NRS does not extend to controlling product use, </w:t>
      </w:r>
      <w:r w:rsidR="00966B6B">
        <w:t>controlling product use is part of state and territory responsibility under the NRS. T</w:t>
      </w:r>
      <w:r w:rsidR="00BD52DE">
        <w:t xml:space="preserve">he conditions of use specified by </w:t>
      </w:r>
      <w:r w:rsidR="008637CA">
        <w:t xml:space="preserve">the </w:t>
      </w:r>
      <w:r w:rsidR="00BD52DE">
        <w:t>APVMA during product registration form part of the state and territory control-of-use regimes.</w:t>
      </w:r>
    </w:p>
    <w:p w:rsidR="00DD3120" w:rsidRDefault="00ED7823" w:rsidP="00ED7823">
      <w:pPr>
        <w:pStyle w:val="Heading3"/>
      </w:pPr>
      <w:r>
        <w:t>The agvet chemical registration process</w:t>
      </w:r>
    </w:p>
    <w:p w:rsidR="00DD3120" w:rsidRDefault="00D57689" w:rsidP="00E25B48">
      <w:pPr>
        <w:pStyle w:val="BodyText"/>
      </w:pPr>
      <w:r>
        <w:t xml:space="preserve">Anyone who wishes to supply agvet chemicals </w:t>
      </w:r>
      <w:r w:rsidR="009F036F">
        <w:t xml:space="preserve">for the </w:t>
      </w:r>
      <w:r w:rsidR="00E6279E">
        <w:t xml:space="preserve">first time in Australia </w:t>
      </w:r>
      <w:r>
        <w:t>must apply to the APVMA to register the product</w:t>
      </w:r>
      <w:r w:rsidR="00E6279E">
        <w:t xml:space="preserve"> or seek a permit</w:t>
      </w:r>
      <w:r>
        <w:t xml:space="preserve"> and obtain approval for </w:t>
      </w:r>
      <w:r w:rsidR="00966B6B">
        <w:t xml:space="preserve">particular content for </w:t>
      </w:r>
      <w:r>
        <w:t xml:space="preserve">labels attached to product containers before the products can be supplied, sold, distributed and used in Australia. A diagram illustrating </w:t>
      </w:r>
      <w:r w:rsidR="00E6279E">
        <w:t xml:space="preserve">the </w:t>
      </w:r>
      <w:r>
        <w:t xml:space="preserve">product registration </w:t>
      </w:r>
      <w:r w:rsidR="001C00C6">
        <w:t>process</w:t>
      </w:r>
      <w:r w:rsidR="00C72FBF">
        <w:t xml:space="preserve"> is provided</w:t>
      </w:r>
      <w:r w:rsidR="001C00C6">
        <w:t xml:space="preserve"> in </w:t>
      </w:r>
      <w:r w:rsidR="005E7332">
        <w:fldChar w:fldCharType="begin"/>
      </w:r>
      <w:r w:rsidR="005E7332">
        <w:instrText xml:space="preserve"> REF _Ref485375700 \h </w:instrText>
      </w:r>
      <w:r w:rsidR="005E7332">
        <w:fldChar w:fldCharType="separate"/>
      </w:r>
      <w:r w:rsidR="0087688C" w:rsidRPr="00897E60">
        <w:rPr>
          <w:rStyle w:val="CaptionLabel"/>
        </w:rPr>
        <w:t>Figure</w:t>
      </w:r>
      <w:r w:rsidR="0087688C">
        <w:rPr>
          <w:rStyle w:val="CaptionLabel"/>
        </w:rPr>
        <w:t> </w:t>
      </w:r>
      <w:r w:rsidR="0087688C">
        <w:rPr>
          <w:rStyle w:val="CaptionLabel"/>
          <w:noProof/>
        </w:rPr>
        <w:t>4</w:t>
      </w:r>
      <w:r w:rsidR="0087688C" w:rsidRPr="00897E60">
        <w:rPr>
          <w:rStyle w:val="CaptionLabel"/>
        </w:rPr>
        <w:t>.</w:t>
      </w:r>
      <w:r w:rsidR="0087688C">
        <w:rPr>
          <w:rStyle w:val="CaptionLabel"/>
          <w:noProof/>
        </w:rPr>
        <w:t>1</w:t>
      </w:r>
      <w:r w:rsidR="005E7332">
        <w:fldChar w:fldCharType="end"/>
      </w:r>
      <w:r w:rsidR="00CB6C21">
        <w:t>.</w:t>
      </w:r>
    </w:p>
    <w:p w:rsidR="00050E90" w:rsidRDefault="00983654" w:rsidP="00050E90">
      <w:pPr>
        <w:pStyle w:val="BodyText"/>
      </w:pPr>
      <w:r>
        <w:t>The clarification of applicant’s registration requirement is the first step in the registration process. APVMA approvals are required from the applicants on:</w:t>
      </w:r>
    </w:p>
    <w:p w:rsidR="00050E90" w:rsidRDefault="00050E90" w:rsidP="00050E90">
      <w:pPr>
        <w:pStyle w:val="ListBullet"/>
      </w:pPr>
      <w:r>
        <w:t>A new active ingredient</w:t>
      </w:r>
    </w:p>
    <w:p w:rsidR="00050E90" w:rsidRDefault="00050E90" w:rsidP="00050E90">
      <w:pPr>
        <w:pStyle w:val="ListBullet"/>
      </w:pPr>
      <w:r>
        <w:t>A new chemical product that also contains an approved active constituent</w:t>
      </w:r>
    </w:p>
    <w:p w:rsidR="00050E90" w:rsidRDefault="00050E90" w:rsidP="00050E90">
      <w:pPr>
        <w:pStyle w:val="ListBullet"/>
      </w:pPr>
      <w:r>
        <w:t>A new product that also</w:t>
      </w:r>
      <w:r w:rsidRPr="0031055A">
        <w:t xml:space="preserve"> </w:t>
      </w:r>
      <w:r>
        <w:t>contains an approved active constituent</w:t>
      </w:r>
    </w:p>
    <w:p w:rsidR="00050E90" w:rsidRDefault="00050E90" w:rsidP="00050E90">
      <w:pPr>
        <w:pStyle w:val="ListBullet"/>
      </w:pPr>
      <w:r>
        <w:t>Variation to an existing product registration, label approval or active constituent approval</w:t>
      </w:r>
    </w:p>
    <w:p w:rsidR="00050E90" w:rsidRDefault="00050E90" w:rsidP="00050E90">
      <w:pPr>
        <w:pStyle w:val="ListBullet"/>
      </w:pPr>
      <w:r>
        <w:t>The addition of a name of chemical product that is to appear on an approved label</w:t>
      </w:r>
    </w:p>
    <w:p w:rsidR="00050E90" w:rsidRDefault="00050E90" w:rsidP="00050E90">
      <w:pPr>
        <w:pStyle w:val="ListBullet"/>
      </w:pPr>
      <w:r>
        <w:t>A listed product that complies with an APVMA standard</w:t>
      </w:r>
    </w:p>
    <w:p w:rsidR="0014324F" w:rsidRPr="008562F5" w:rsidRDefault="0014324F" w:rsidP="0014324F">
      <w:pPr>
        <w:pStyle w:val="ListBullet"/>
      </w:pPr>
      <w:r w:rsidRPr="008562F5">
        <w:t>Submission of timeshift application</w:t>
      </w:r>
      <w:r w:rsidRPr="008562F5">
        <w:rPr>
          <w:rStyle w:val="FootnoteReference"/>
        </w:rPr>
        <w:footnoteReference w:id="76"/>
      </w:r>
    </w:p>
    <w:p w:rsidR="0014324F" w:rsidRDefault="0014324F" w:rsidP="0014324F">
      <w:pPr>
        <w:pStyle w:val="ListBullet"/>
      </w:pPr>
      <w:r>
        <w:t>Application for a permit</w:t>
      </w:r>
    </w:p>
    <w:p w:rsidR="0014324F" w:rsidRDefault="0014324F" w:rsidP="0014324F">
      <w:pPr>
        <w:pStyle w:val="ListBullet"/>
      </w:pPr>
      <w:r>
        <w:t>Renewal of a registration</w:t>
      </w:r>
    </w:p>
    <w:p w:rsidR="0014324F" w:rsidRDefault="0014324F" w:rsidP="0014324F">
      <w:pPr>
        <w:pStyle w:val="ListBullet"/>
      </w:pPr>
      <w:r>
        <w:t>Application to change identifying information for the holder or nominated agent</w:t>
      </w:r>
    </w:p>
    <w:p w:rsidR="0014324F" w:rsidRDefault="0014324F" w:rsidP="0014324F">
      <w:pPr>
        <w:pStyle w:val="ListBullet"/>
      </w:pPr>
      <w:r>
        <w:t>Application for technical assessment</w:t>
      </w:r>
    </w:p>
    <w:p w:rsidR="0014324F" w:rsidRDefault="0014324F" w:rsidP="0014324F">
      <w:pPr>
        <w:pStyle w:val="ListBullet"/>
      </w:pPr>
      <w:r>
        <w:t>Application for manufacture assessment</w:t>
      </w:r>
    </w:p>
    <w:p w:rsidR="0014324F" w:rsidRDefault="0014324F" w:rsidP="0014324F">
      <w:pPr>
        <w:pStyle w:val="BodyText"/>
      </w:pPr>
      <w:r>
        <w:t xml:space="preserve">The steps outlined in </w:t>
      </w:r>
      <w:r>
        <w:fldChar w:fldCharType="begin"/>
      </w:r>
      <w:r>
        <w:instrText xml:space="preserve"> REF _Ref485375700 \h </w:instrText>
      </w:r>
      <w:r>
        <w:fldChar w:fldCharType="separate"/>
      </w:r>
      <w:r w:rsidR="0087688C" w:rsidRPr="00897E60">
        <w:rPr>
          <w:rStyle w:val="CaptionLabel"/>
        </w:rPr>
        <w:t>Figure</w:t>
      </w:r>
      <w:r w:rsidR="0087688C">
        <w:rPr>
          <w:rStyle w:val="CaptionLabel"/>
        </w:rPr>
        <w:t> </w:t>
      </w:r>
      <w:r w:rsidR="0087688C">
        <w:rPr>
          <w:rStyle w:val="CaptionLabel"/>
          <w:noProof/>
        </w:rPr>
        <w:t>4</w:t>
      </w:r>
      <w:r w:rsidR="0087688C" w:rsidRPr="00897E60">
        <w:rPr>
          <w:rStyle w:val="CaptionLabel"/>
        </w:rPr>
        <w:t>.</w:t>
      </w:r>
      <w:r w:rsidR="0087688C">
        <w:rPr>
          <w:rStyle w:val="CaptionLabel"/>
          <w:noProof/>
        </w:rPr>
        <w:t>1</w:t>
      </w:r>
      <w:r>
        <w:fldChar w:fldCharType="end"/>
      </w:r>
      <w:r>
        <w:t xml:space="preserve"> vary depending on the type of registration requirements. While the figure suggests that some of the assessment steps take place in parallel it appears from feedback gained during consultations that this is not always the case.</w:t>
      </w:r>
    </w:p>
    <w:p w:rsidR="006C7546" w:rsidRDefault="006C7546" w:rsidP="006C7546">
      <w:pPr>
        <w:pStyle w:val="Heading4"/>
      </w:pPr>
      <w:r>
        <w:t>Data generation for new active ingredients / products</w:t>
      </w:r>
    </w:p>
    <w:p w:rsidR="006C7546" w:rsidRDefault="006C7546" w:rsidP="006C7546">
      <w:pPr>
        <w:pStyle w:val="BodyText"/>
      </w:pPr>
      <w:r>
        <w:t xml:space="preserve">Registration of a new agvet chemical product requires submission of a comprehensive dossier by the applicant. The dossier includes data on the product that is potentially valuable to the applicant’s competitors. Legal protection is afforded on this data, preventing a potential competitor from using the information to register a generic version of the agvet chemical for a period of 10 years for new active ingredient. </w:t>
      </w:r>
    </w:p>
    <w:p w:rsidR="006C7546" w:rsidRDefault="002E7472" w:rsidP="006C7546">
      <w:pPr>
        <w:pStyle w:val="BodyText"/>
      </w:pPr>
      <w:r>
        <w:t>Australia’s agvet legislation</w:t>
      </w:r>
      <w:r w:rsidR="006C7546">
        <w:t xml:space="preserve"> allows</w:t>
      </w:r>
      <w:r w:rsidR="006C7546" w:rsidRPr="005F0926">
        <w:t xml:space="preserve"> the APVMA </w:t>
      </w:r>
      <w:r w:rsidR="006C7546">
        <w:t>to</w:t>
      </w:r>
      <w:r w:rsidR="006C7546" w:rsidRPr="005F0926">
        <w:t xml:space="preserve"> consider data on the new product that has been generated overseas provided the proposed use patterns </w:t>
      </w:r>
      <w:r w:rsidR="006C7546" w:rsidRPr="00B46F64">
        <w:t xml:space="preserve">for the </w:t>
      </w:r>
      <w:r w:rsidR="006C7546" w:rsidRPr="00FD3ECC">
        <w:t>agvet chemical are comparable</w:t>
      </w:r>
      <w:r w:rsidR="006C7546" w:rsidRPr="004B435D">
        <w:t xml:space="preserve"> to those proposed for Australia</w:t>
      </w:r>
      <w:r w:rsidR="006C7546" w:rsidRPr="00570FD6">
        <w:t xml:space="preserve">. At </w:t>
      </w:r>
      <w:r w:rsidR="006C7546" w:rsidRPr="00585584">
        <w:t xml:space="preserve">the same time </w:t>
      </w:r>
      <w:r w:rsidR="006C7546" w:rsidRPr="0000677C">
        <w:t>as the APVMA considers overseas generated data</w:t>
      </w:r>
      <w:r>
        <w:t>,</w:t>
      </w:r>
      <w:r w:rsidR="006C7546" w:rsidRPr="0000677C">
        <w:t xml:space="preserve"> it may also require </w:t>
      </w:r>
      <w:r w:rsidR="006C7546" w:rsidRPr="002D0990">
        <w:t>locally generated</w:t>
      </w:r>
      <w:r w:rsidR="006C7546" w:rsidRPr="002C7D56">
        <w:t xml:space="preserve"> confirmatory data</w:t>
      </w:r>
      <w:r w:rsidR="006C7546" w:rsidRPr="00E84D0F">
        <w:t xml:space="preserve">. </w:t>
      </w:r>
      <w:r w:rsidR="006C7546">
        <w:t xml:space="preserve">Most of the </w:t>
      </w:r>
      <w:r w:rsidR="006C7546" w:rsidRPr="005F0926">
        <w:t>Australian data is related to residues</w:t>
      </w:r>
      <w:r w:rsidR="006C7546">
        <w:t>, environmental impact</w:t>
      </w:r>
      <w:r w:rsidR="006C7546" w:rsidRPr="005F0926">
        <w:t xml:space="preserve"> and efficacy</w:t>
      </w:r>
      <w:r w:rsidR="006C7546">
        <w:t xml:space="preserve">. </w:t>
      </w:r>
      <w:r w:rsidR="006C7546" w:rsidRPr="005F0926">
        <w:t xml:space="preserve">Registrants and the APVMA </w:t>
      </w:r>
      <w:r w:rsidR="006C7546">
        <w:t xml:space="preserve">make </w:t>
      </w:r>
      <w:r w:rsidR="006C7546" w:rsidRPr="005F0926">
        <w:t>additional use of overseas generated data</w:t>
      </w:r>
      <w:r w:rsidR="006C7546" w:rsidRPr="00B46F64">
        <w:t xml:space="preserve"> </w:t>
      </w:r>
      <w:r w:rsidR="006C7546" w:rsidRPr="00FD3ECC">
        <w:t xml:space="preserve">for agvet </w:t>
      </w:r>
      <w:r w:rsidR="006C7546" w:rsidRPr="004B435D">
        <w:t xml:space="preserve">chemical registration through the </w:t>
      </w:r>
      <w:r w:rsidR="006C7546" w:rsidRPr="00C26CC2">
        <w:t>Global Joint Review (GJR)</w:t>
      </w:r>
      <w:r w:rsidR="006C7546">
        <w:t xml:space="preserve"> process</w:t>
      </w:r>
      <w:r w:rsidR="006C7546" w:rsidRPr="00C26CC2">
        <w:t>.</w:t>
      </w:r>
      <w:r w:rsidR="006C7546" w:rsidRPr="00C26CC2">
        <w:rPr>
          <w:rStyle w:val="FootnoteReference"/>
        </w:rPr>
        <w:footnoteReference w:id="77"/>
      </w:r>
      <w:r>
        <w:t xml:space="preserve"> </w:t>
      </w:r>
      <w:r w:rsidR="006C7546">
        <w:t>Data provided by the registrant must be sufficient for the APVMA to assess:</w:t>
      </w:r>
    </w:p>
    <w:p w:rsidR="006C7546" w:rsidRDefault="006C7546" w:rsidP="006C7546">
      <w:pPr>
        <w:pStyle w:val="ListBullet"/>
      </w:pPr>
      <w:r>
        <w:t>Chemistry and manufacture</w:t>
      </w:r>
    </w:p>
    <w:p w:rsidR="006C7546" w:rsidRDefault="006C7546" w:rsidP="006C7546">
      <w:pPr>
        <w:pStyle w:val="ListBullet"/>
      </w:pPr>
      <w:r>
        <w:t>Toxicology</w:t>
      </w:r>
    </w:p>
    <w:p w:rsidR="006C7546" w:rsidRDefault="006C7546" w:rsidP="006C7546">
      <w:pPr>
        <w:pStyle w:val="ListBullet"/>
      </w:pPr>
      <w:r>
        <w:t>Metabolism and kinetics</w:t>
      </w:r>
    </w:p>
    <w:p w:rsidR="006C7546" w:rsidRDefault="006C7546" w:rsidP="006C7546">
      <w:pPr>
        <w:pStyle w:val="ListBullet"/>
      </w:pPr>
      <w:r>
        <w:t>Residues</w:t>
      </w:r>
    </w:p>
    <w:p w:rsidR="006C7546" w:rsidRDefault="006C7546" w:rsidP="006C7546">
      <w:pPr>
        <w:pStyle w:val="ListBullet"/>
      </w:pPr>
      <w:r>
        <w:t>Trade aspects (i.e. product residues will not breach requirements set by recipients of Australia’s agricultural exports)</w:t>
      </w:r>
    </w:p>
    <w:p w:rsidR="006C7546" w:rsidRDefault="006C7546" w:rsidP="006C7546">
      <w:pPr>
        <w:pStyle w:val="ListBullet"/>
      </w:pPr>
      <w:r>
        <w:t>Occupational Health and Safety (OH&amp;S)</w:t>
      </w:r>
    </w:p>
    <w:p w:rsidR="006C7546" w:rsidRDefault="006C7546" w:rsidP="006C7546">
      <w:pPr>
        <w:pStyle w:val="BodyText"/>
      </w:pP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0E6AA9" w:rsidRPr="00AA4DEE" w:rsidRDefault="000E6AA9" w:rsidP="009D6713">
            <w:pPr>
              <w:pStyle w:val="spacer"/>
            </w:pPr>
          </w:p>
        </w:tc>
      </w:tr>
      <w:tr w:rsidR="00E86A68" w:rsidRPr="00897E60" w:rsidTr="00401D90">
        <w:trPr>
          <w:cantSplit/>
        </w:trPr>
        <w:tc>
          <w:tcPr>
            <w:tcW w:w="10994" w:type="dxa"/>
            <w:tcBorders>
              <w:top w:val="single" w:sz="4" w:space="0" w:color="auto"/>
            </w:tcBorders>
            <w:shd w:val="clear" w:color="auto" w:fill="auto"/>
            <w:tcMar>
              <w:left w:w="0" w:type="dxa"/>
            </w:tcMar>
          </w:tcPr>
          <w:p w:rsidR="000E6AA9" w:rsidRPr="00897E60" w:rsidRDefault="000E6AA9" w:rsidP="009D6713">
            <w:pPr>
              <w:pStyle w:val="Caption"/>
            </w:pPr>
            <w:bookmarkStart w:id="102" w:name="_Ref485375700"/>
            <w:bookmarkStart w:id="103" w:name="_Toc49729809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1977DE">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7688C">
              <w:rPr>
                <w:rStyle w:val="CaptionLabel"/>
                <w:noProof/>
              </w:rPr>
              <w:t>1</w:t>
            </w:r>
            <w:r w:rsidRPr="00897E60">
              <w:rPr>
                <w:rStyle w:val="CaptionLabel"/>
              </w:rPr>
              <w:fldChar w:fldCharType="end"/>
            </w:r>
            <w:bookmarkEnd w:id="102"/>
            <w:r>
              <w:tab/>
            </w:r>
            <w:r w:rsidRPr="0014324F">
              <w:t>APVMA registration process in Australia</w:t>
            </w:r>
            <w:bookmarkEnd w:id="103"/>
          </w:p>
        </w:tc>
      </w:tr>
      <w:tr w:rsidR="000E6AA9" w:rsidRPr="00AA4DEE" w:rsidTr="00580CF7">
        <w:trPr>
          <w:cantSplit/>
          <w:trHeight w:hRule="exact" w:val="380"/>
        </w:trPr>
        <w:tc>
          <w:tcPr>
            <w:tcW w:w="10994" w:type="dxa"/>
            <w:tcBorders>
              <w:bottom w:val="single" w:sz="4" w:space="0" w:color="auto"/>
            </w:tcBorders>
            <w:shd w:val="clear" w:color="auto" w:fill="auto"/>
          </w:tcPr>
          <w:p w:rsidR="000E6AA9" w:rsidRPr="00AA4DEE" w:rsidRDefault="00A81AF2" w:rsidP="009D6713">
            <w:pPr>
              <w:pStyle w:val="spacer"/>
            </w:pPr>
            <w:r>
              <w:rPr>
                <w:noProof/>
                <w:lang w:eastAsia="en-AU"/>
              </w:rPr>
              <mc:AlternateContent>
                <mc:Choice Requires="wps">
                  <w:drawing>
                    <wp:anchor distT="0" distB="0" distL="114300" distR="114300" simplePos="0" relativeHeight="252004352" behindDoc="0" locked="1" layoutInCell="1" allowOverlap="1" wp14:anchorId="45BE8ECF" wp14:editId="3A796B73">
                      <wp:simplePos x="0" y="0"/>
                      <wp:positionH relativeFrom="page">
                        <wp:posOffset>6396990</wp:posOffset>
                      </wp:positionH>
                      <wp:positionV relativeFrom="paragraph">
                        <wp:posOffset>-12065</wp:posOffset>
                      </wp:positionV>
                      <wp:extent cx="435600" cy="212400"/>
                      <wp:effectExtent l="0" t="0" r="3175" b="0"/>
                      <wp:wrapNone/>
                      <wp:docPr id="52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ED6AAD" id="Freeform 5" o:spid="_x0000_s1026" style="position:absolute;margin-left:503.7pt;margin-top:-.95pt;width:34.3pt;height:16.7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p>
        </w:tc>
      </w:tr>
      <w:tr w:rsidR="000E6AA9" w:rsidRPr="00AA4DEE" w:rsidTr="00580CF7">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0E6AA9" w:rsidRPr="00AA4DEE" w:rsidRDefault="00546375" w:rsidP="00A81AF2">
            <w:pPr>
              <w:pStyle w:val="Figure"/>
              <w:spacing w:before="120"/>
            </w:pPr>
            <w:r w:rsidRPr="006E33DA">
              <w:rPr>
                <w:noProof/>
                <w:lang w:eastAsia="en-AU"/>
              </w:rPr>
              <w:drawing>
                <wp:inline distT="0" distB="0" distL="0" distR="0" wp14:anchorId="676A5AA9" wp14:editId="7624E380">
                  <wp:extent cx="6686093" cy="6302818"/>
                  <wp:effectExtent l="0" t="0" r="635" b="3175"/>
                  <wp:docPr id="533"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92689" cy="6309035"/>
                          </a:xfrm>
                          <a:prstGeom prst="rect">
                            <a:avLst/>
                          </a:prstGeom>
                          <a:noFill/>
                          <a:ln>
                            <a:noFill/>
                          </a:ln>
                        </pic:spPr>
                      </pic:pic>
                    </a:graphicData>
                  </a:graphic>
                </wp:inline>
              </w:drawing>
            </w:r>
          </w:p>
        </w:tc>
      </w:tr>
      <w:tr w:rsidR="00E86A68" w:rsidRPr="00AA4DEE" w:rsidTr="00401D9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0E6AA9" w:rsidRPr="00AA4DEE" w:rsidRDefault="000E6AA9" w:rsidP="00927CD6">
            <w:pPr>
              <w:pStyle w:val="Source"/>
            </w:pPr>
            <w:r w:rsidRPr="00AA4DEE">
              <w:t xml:space="preserve">Source: </w:t>
            </w:r>
            <w:r>
              <w:t xml:space="preserve">APVMA </w:t>
            </w:r>
          </w:p>
        </w:tc>
      </w:tr>
      <w:tr w:rsidR="00E86A68" w:rsidTr="00401D90">
        <w:trPr>
          <w:trHeight w:hRule="exact" w:val="160"/>
        </w:trPr>
        <w:tc>
          <w:tcPr>
            <w:tcW w:w="10994" w:type="dxa"/>
            <w:tcBorders>
              <w:top w:val="single" w:sz="4" w:space="0" w:color="auto"/>
            </w:tcBorders>
            <w:shd w:val="clear" w:color="auto" w:fill="auto"/>
          </w:tcPr>
          <w:p w:rsidR="000E6AA9" w:rsidRDefault="000E6AA9" w:rsidP="009D6713">
            <w:pPr>
              <w:pStyle w:val="spacertbl"/>
            </w:pPr>
          </w:p>
        </w:tc>
      </w:tr>
    </w:tbl>
    <w:p w:rsidR="005C06EB" w:rsidRDefault="005C06EB" w:rsidP="005C06EB">
      <w:pPr>
        <w:pStyle w:val="ListBullet"/>
      </w:pPr>
      <w:r>
        <w:t>Product quality, which covers the ability of products to consistently meet assessed specifications; the design and management of the production plant and its quality control procedures; and the products storage stability so that its quality is maintained throughout its life span</w:t>
      </w:r>
    </w:p>
    <w:p w:rsidR="005C06EB" w:rsidRDefault="005C06EB" w:rsidP="005C06EB">
      <w:pPr>
        <w:pStyle w:val="ListBullet"/>
      </w:pPr>
      <w:r>
        <w:t>Efficacy and safety (i.e. scientific evidence exists for the activity claimed by the agricultural chemical or veterinary medicine)</w:t>
      </w:r>
    </w:p>
    <w:p w:rsidR="005C06EB" w:rsidRDefault="005C06EB" w:rsidP="005C06EB">
      <w:pPr>
        <w:pStyle w:val="ListBullet"/>
      </w:pPr>
      <w:r>
        <w:t>Human and animal health and safety, including OH&amp;S for those working with the product (such as farmers, contract sprayers, and veterinarians), the welfare of the animals that receive it (in the case of veterinary medicines) and the consumers of the resultant food or fibre, and</w:t>
      </w:r>
    </w:p>
    <w:p w:rsidR="005C06EB" w:rsidRDefault="005C06EB" w:rsidP="005C06EB">
      <w:pPr>
        <w:pStyle w:val="ListBullet"/>
      </w:pPr>
      <w:r>
        <w:t>Environmental safety, that there will be no adverse impacts on the natural environment from either direct use or product residues.</w:t>
      </w:r>
    </w:p>
    <w:p w:rsidR="005C06EB" w:rsidRDefault="005C06EB" w:rsidP="005C06EB">
      <w:pPr>
        <w:pStyle w:val="BodyText"/>
      </w:pPr>
      <w:r>
        <w:t>T</w:t>
      </w:r>
      <w:r w:rsidRPr="009B7547">
        <w:t xml:space="preserve">he </w:t>
      </w:r>
      <w:r w:rsidRPr="00E46EEE">
        <w:rPr>
          <w:i/>
        </w:rPr>
        <w:t>Agricultural and Veterinary Chemicals Legislation Amendment</w:t>
      </w:r>
      <w:r w:rsidR="00583FB5">
        <w:rPr>
          <w:i/>
        </w:rPr>
        <w:t xml:space="preserve"> Act</w:t>
      </w:r>
      <w:r w:rsidRPr="00E46EEE">
        <w:rPr>
          <w:i/>
        </w:rPr>
        <w:t xml:space="preserve"> 201</w:t>
      </w:r>
      <w:r>
        <w:rPr>
          <w:i/>
        </w:rPr>
        <w:t>3</w:t>
      </w:r>
      <w:r>
        <w:t xml:space="preserve"> included a number of reforms aimed at improving this process, including that efficacy and trade aspects do not need to be considered if they are not relevant.</w:t>
      </w:r>
    </w:p>
    <w:p w:rsidR="006C7546" w:rsidRDefault="006C7546" w:rsidP="006C7546">
      <w:pPr>
        <w:pStyle w:val="Heading4"/>
      </w:pPr>
      <w:r>
        <w:t>Preliminary assessment</w:t>
      </w:r>
    </w:p>
    <w:p w:rsidR="006C7546" w:rsidRDefault="006C7546" w:rsidP="006C7546">
      <w:pPr>
        <w:pStyle w:val="BodyText"/>
      </w:pPr>
      <w:r>
        <w:t xml:space="preserve">All applications are assessed by the APVMA to ensure that they appear to contain the required supporting data and information. Registrants or applicants are advised of any data deficiencies after the initial, administrative, technical and preliminary assessment. </w:t>
      </w:r>
    </w:p>
    <w:p w:rsidR="00983654" w:rsidRDefault="00983654" w:rsidP="00983654">
      <w:pPr>
        <w:pStyle w:val="Heading4"/>
      </w:pPr>
      <w:r>
        <w:t>Evaluation</w:t>
      </w:r>
    </w:p>
    <w:p w:rsidR="00983654" w:rsidRDefault="00983654" w:rsidP="00983654">
      <w:pPr>
        <w:pStyle w:val="BodyText"/>
      </w:pPr>
      <w:r>
        <w:t xml:space="preserve">Evaluation is completed by </w:t>
      </w:r>
      <w:r w:rsidR="00385900">
        <w:t xml:space="preserve">the </w:t>
      </w:r>
      <w:r>
        <w:t>APVMA’s scientific staff with advice from other organisations including the D</w:t>
      </w:r>
      <w:r w:rsidR="006C7546">
        <w:t>o</w:t>
      </w:r>
      <w:r>
        <w:t>E</w:t>
      </w:r>
      <w:r w:rsidR="00FA3A3D">
        <w:t>E</w:t>
      </w:r>
      <w:r>
        <w:t>; FSANZ; the Office of the Gene Technology Regulator (OGTR); the National Health and Medical Research Council (NHMRC) and the Department of Agriculture</w:t>
      </w:r>
      <w:r w:rsidR="00FA3A3D">
        <w:t xml:space="preserve"> and Water Resources</w:t>
      </w:r>
      <w:r>
        <w:t xml:space="preserve"> Biosecurity Services as appropriate.</w:t>
      </w:r>
    </w:p>
    <w:p w:rsidR="00983654" w:rsidRDefault="00983654" w:rsidP="00983654">
      <w:pPr>
        <w:pStyle w:val="Heading4"/>
      </w:pPr>
      <w:r>
        <w:t>Public consultations</w:t>
      </w:r>
    </w:p>
    <w:p w:rsidR="00983654" w:rsidRDefault="00983654" w:rsidP="00983654">
      <w:pPr>
        <w:pStyle w:val="BodyText"/>
      </w:pPr>
      <w:r>
        <w:t xml:space="preserve">To ensure that new </w:t>
      </w:r>
      <w:r w:rsidR="00FA3A3D">
        <w:t xml:space="preserve">innovative </w:t>
      </w:r>
      <w:r>
        <w:t>product</w:t>
      </w:r>
      <w:r w:rsidR="00273598">
        <w:t>s</w:t>
      </w:r>
      <w:r>
        <w:t xml:space="preserve"> will not negatively impact on the export of Australian produce the APVMA also seeks advice from relevant industry bodies and the public. To inform the public that a new </w:t>
      </w:r>
      <w:r w:rsidR="00FA3A3D">
        <w:t xml:space="preserve">innovative </w:t>
      </w:r>
      <w:r>
        <w:t>product is being considered for registration, the APVMA posts notices in the relevant Commonwealth Government Gazette.</w:t>
      </w:r>
    </w:p>
    <w:p w:rsidR="00DD3120" w:rsidRPr="002276E1" w:rsidRDefault="00580D5C" w:rsidP="00580D5C">
      <w:pPr>
        <w:pStyle w:val="Heading4"/>
      </w:pPr>
      <w:r>
        <w:t>Finalisation and approval</w:t>
      </w:r>
    </w:p>
    <w:p w:rsidR="00D57689" w:rsidRDefault="00D57689" w:rsidP="00D57689">
      <w:pPr>
        <w:pStyle w:val="BodyText"/>
      </w:pPr>
      <w:r>
        <w:t xml:space="preserve">Registration is based on a rigorous and independent evaluation of scientific information related to the safety and efficacy of a </w:t>
      </w:r>
      <w:r w:rsidR="005D56E4">
        <w:t xml:space="preserve">new </w:t>
      </w:r>
      <w:r w:rsidRPr="00330970">
        <w:t>product</w:t>
      </w:r>
      <w:r w:rsidR="005D56E4">
        <w:t xml:space="preserve"> or active ingredient</w:t>
      </w:r>
      <w:r w:rsidRPr="00330970">
        <w:t xml:space="preserve">. </w:t>
      </w:r>
      <w:r w:rsidR="005D56E4">
        <w:t xml:space="preserve">As reported in Chapter 2, </w:t>
      </w:r>
      <w:r w:rsidR="003A1623">
        <w:t xml:space="preserve">a </w:t>
      </w:r>
      <w:r w:rsidR="005D56E4">
        <w:t xml:space="preserve">majority of APVMA </w:t>
      </w:r>
      <w:r w:rsidR="00DE02F0">
        <w:t xml:space="preserve">registrations </w:t>
      </w:r>
      <w:r w:rsidR="005D56E4">
        <w:t xml:space="preserve">are generic versions of previously assessed products. </w:t>
      </w:r>
      <w:r w:rsidRPr="00330970">
        <w:t xml:space="preserve">The APVMA grants registration if the evaluation of a product has shown that it is not likely to be harmful to target crops or animals, users, consumers and the environment. The evaluation also has to </w:t>
      </w:r>
      <w:r w:rsidR="005B00F6">
        <w:t xml:space="preserve">be satisfied </w:t>
      </w:r>
      <w:r w:rsidRPr="00330970">
        <w:t xml:space="preserve">that the product </w:t>
      </w:r>
      <w:r>
        <w:t xml:space="preserve">is </w:t>
      </w:r>
      <w:r w:rsidRPr="00330970">
        <w:t>suitably formulated, and that its label contains adequate instructions for safe and effective use. The APVMA also assess</w:t>
      </w:r>
      <w:r w:rsidR="003A1623">
        <w:t>es</w:t>
      </w:r>
      <w:r w:rsidRPr="00330970">
        <w:t xml:space="preserve"> whether using the product may unduly prejudice trade</w:t>
      </w:r>
      <w:r>
        <w:t>.</w:t>
      </w:r>
    </w:p>
    <w:p w:rsidR="00D57689" w:rsidRDefault="00D57689" w:rsidP="00D57689">
      <w:pPr>
        <w:pStyle w:val="BodyText"/>
      </w:pPr>
      <w:r>
        <w:t xml:space="preserve">The costs of registrations and approvals are generally recovered through a combination of application fees and </w:t>
      </w:r>
      <w:r w:rsidR="003A1623">
        <w:t>a</w:t>
      </w:r>
      <w:r>
        <w:t xml:space="preserve"> levy, with most of the costs recovered through the levy. </w:t>
      </w:r>
      <w:r w:rsidRPr="009312B8">
        <w:t xml:space="preserve">The </w:t>
      </w:r>
      <w:r>
        <w:t>Australian Government</w:t>
      </w:r>
      <w:r w:rsidRPr="009312B8">
        <w:t xml:space="preserve">, states and territories agreed when establishing the </w:t>
      </w:r>
      <w:r>
        <w:t>NRS</w:t>
      </w:r>
      <w:r w:rsidRPr="009312B8">
        <w:t xml:space="preserve"> that the costs of assessing applications should be collected in two parts: </w:t>
      </w:r>
      <w:r w:rsidR="00FA3A3D">
        <w:t xml:space="preserve">An average </w:t>
      </w:r>
      <w:r w:rsidRPr="009312B8">
        <w:t xml:space="preserve">40 per cent of the assessment costs </w:t>
      </w:r>
      <w:r w:rsidR="00FA3A3D">
        <w:t>is</w:t>
      </w:r>
      <w:r w:rsidRPr="009312B8">
        <w:t xml:space="preserve"> charged as an upfront application fee and the balance of revenue required to fund the APVMA’s costs </w:t>
      </w:r>
      <w:r w:rsidR="00701F68">
        <w:t xml:space="preserve">is </w:t>
      </w:r>
      <w:r w:rsidRPr="009312B8">
        <w:t>co</w:t>
      </w:r>
      <w:r>
        <w:t xml:space="preserve">vered by </w:t>
      </w:r>
      <w:r w:rsidR="00701F68">
        <w:t>a</w:t>
      </w:r>
      <w:r w:rsidRPr="009312B8">
        <w:t xml:space="preserve"> levy </w:t>
      </w:r>
      <w:r w:rsidR="00701F68">
        <w:t xml:space="preserve">based </w:t>
      </w:r>
      <w:r w:rsidRPr="009312B8">
        <w:t>on the annual value of sales. T</w:t>
      </w:r>
      <w:r>
        <w:t>he policy intent is to</w:t>
      </w:r>
      <w:r w:rsidRPr="009312B8">
        <w:t xml:space="preserve"> ensure that the application fee to assess and register new and innovative products is not a disincentive </w:t>
      </w:r>
      <w:r>
        <w:t>to</w:t>
      </w:r>
      <w:r w:rsidRPr="009312B8">
        <w:t xml:space="preserve"> bringing them </w:t>
      </w:r>
      <w:r w:rsidR="00983654">
        <w:t>to</w:t>
      </w:r>
      <w:r w:rsidRPr="009312B8">
        <w:t xml:space="preserve"> market, particularly for small businesses, niche products and chemical products that have a low value of sales.</w:t>
      </w:r>
      <w:r>
        <w:t xml:space="preserve"> </w:t>
      </w:r>
      <w:r w:rsidR="0055687B">
        <w:t>This approach</w:t>
      </w:r>
      <w:r>
        <w:t xml:space="preserve"> also acts as a balancing factor to buffer the APVMA budget against changes in application volumes and sales values.</w:t>
      </w:r>
    </w:p>
    <w:p w:rsidR="00405C28" w:rsidRPr="005D56E4" w:rsidRDefault="0066334B" w:rsidP="0066334B">
      <w:pPr>
        <w:pStyle w:val="Heading5"/>
        <w:rPr>
          <w:i w:val="0"/>
        </w:rPr>
      </w:pPr>
      <w:r w:rsidRPr="005D56E4">
        <w:rPr>
          <w:i w:val="0"/>
        </w:rPr>
        <w:t>Protected information</w:t>
      </w:r>
    </w:p>
    <w:p w:rsidR="0066334B" w:rsidRPr="009F28F1" w:rsidRDefault="0066334B" w:rsidP="0066334B">
      <w:pPr>
        <w:pStyle w:val="BodyText"/>
      </w:pPr>
      <w:r w:rsidRPr="0066334B">
        <w:t xml:space="preserve">Under </w:t>
      </w:r>
      <w:r>
        <w:t xml:space="preserve">the </w:t>
      </w:r>
      <w:r w:rsidRPr="00DA4B84">
        <w:t>Agvet Code</w:t>
      </w:r>
      <w:r w:rsidRPr="0066334B">
        <w:rPr>
          <w:i/>
        </w:rPr>
        <w:t xml:space="preserve"> </w:t>
      </w:r>
      <w:r w:rsidRPr="0066334B">
        <w:t xml:space="preserve">protected information </w:t>
      </w:r>
      <w:r>
        <w:t xml:space="preserve">is defined as </w:t>
      </w:r>
      <w:r w:rsidRPr="0066334B">
        <w:t xml:space="preserve">information or results given to the APVMA as required </w:t>
      </w:r>
      <w:r>
        <w:t>in relation to reconsideration. The protection period for this information b</w:t>
      </w:r>
      <w:r w:rsidRPr="0066334B">
        <w:t>egins when the information is first given to the APVMA in relation to a reconsideration and</w:t>
      </w:r>
      <w:r>
        <w:t xml:space="preserve"> </w:t>
      </w:r>
      <w:r w:rsidR="0055687B">
        <w:t>ends eight</w:t>
      </w:r>
      <w:r w:rsidRPr="0066334B">
        <w:t xml:space="preserve"> years after the APVMA makes its decision on the reconsideration.</w:t>
      </w:r>
    </w:p>
    <w:p w:rsidR="0066334B" w:rsidRDefault="0066334B" w:rsidP="0066334B">
      <w:pPr>
        <w:pStyle w:val="Heading3"/>
      </w:pPr>
      <w:r>
        <w:t>Limits on use</w:t>
      </w:r>
    </w:p>
    <w:p w:rsidR="005D56E4" w:rsidRDefault="00405C28" w:rsidP="00405C28">
      <w:pPr>
        <w:pStyle w:val="BodyText"/>
      </w:pPr>
      <w:r>
        <w:t>Limits on use</w:t>
      </w:r>
      <w:r w:rsidRPr="004D2678">
        <w:t xml:space="preserve"> </w:t>
      </w:r>
      <w:r w:rsidR="0066334B">
        <w:t xml:space="preserve">of information by the APVMA </w:t>
      </w:r>
      <w:r w:rsidRPr="004D2678">
        <w:t xml:space="preserve">is afforded to </w:t>
      </w:r>
      <w:r>
        <w:t>applicants</w:t>
      </w:r>
      <w:r w:rsidR="006E37B2">
        <w:t xml:space="preserve"> </w:t>
      </w:r>
      <w:r>
        <w:t>/</w:t>
      </w:r>
      <w:r w:rsidR="006E37B2">
        <w:t xml:space="preserve"> </w:t>
      </w:r>
      <w:r w:rsidRPr="004D2678">
        <w:t xml:space="preserve">registrants in recognition of the cost of agvet chemical development and the cost of generating data to facilitate chemical registration. </w:t>
      </w:r>
      <w:r w:rsidR="0066334B">
        <w:t>Other countries use different terminology for this, such as data protection.</w:t>
      </w:r>
      <w:r>
        <w:t xml:space="preserve"> </w:t>
      </w:r>
      <w:r w:rsidR="005D56E4">
        <w:t xml:space="preserve">Regulatory data protection </w:t>
      </w:r>
      <w:r w:rsidR="00701F68">
        <w:t>(</w:t>
      </w:r>
      <w:r w:rsidR="005D56E4">
        <w:t>or limits on use</w:t>
      </w:r>
      <w:r w:rsidR="00701F68">
        <w:t>)</w:t>
      </w:r>
      <w:r w:rsidR="005D56E4">
        <w:t xml:space="preserve"> is different from CCI. The CCI provisions limit the </w:t>
      </w:r>
      <w:r w:rsidR="005D56E4" w:rsidRPr="00F63F8A">
        <w:rPr>
          <w:i/>
        </w:rPr>
        <w:t>disclosure</w:t>
      </w:r>
      <w:r w:rsidR="005D56E4">
        <w:t xml:space="preserve"> of information and it is indefinite. </w:t>
      </w:r>
    </w:p>
    <w:p w:rsidR="007F35B4" w:rsidRDefault="0066334B" w:rsidP="002276E1">
      <w:pPr>
        <w:pStyle w:val="BodyText"/>
      </w:pPr>
      <w:r>
        <w:t>Under the</w:t>
      </w:r>
      <w:r w:rsidR="00C21B98">
        <w:t xml:space="preserve"> Agvet Code 34G, t</w:t>
      </w:r>
      <w:r w:rsidR="00C21B98" w:rsidRPr="009F28F1">
        <w:t>he APVMA must not use the following information to assess or make a decision on an application made under section</w:t>
      </w:r>
      <w:r w:rsidR="00C21B98">
        <w:t> </w:t>
      </w:r>
      <w:r w:rsidR="00C21B98" w:rsidRPr="009F28F1">
        <w:t>10 or 27:</w:t>
      </w:r>
    </w:p>
    <w:p w:rsidR="007F35B4" w:rsidRDefault="007F35B4" w:rsidP="007F35B4">
      <w:pPr>
        <w:pStyle w:val="ListBullet"/>
      </w:pPr>
      <w:r w:rsidRPr="009F28F1">
        <w:t>Information given to the APVMA in connection with another application made under section</w:t>
      </w:r>
      <w:r>
        <w:t> </w:t>
      </w:r>
      <w:r w:rsidRPr="009F28F1">
        <w:t>10 or 27 by the applicant for the other application;</w:t>
      </w:r>
      <w:r>
        <w:t xml:space="preserve"> and i</w:t>
      </w:r>
      <w:r w:rsidRPr="009F28F1">
        <w:t>nformation given under section</w:t>
      </w:r>
      <w:r>
        <w:t> </w:t>
      </w:r>
      <w:r w:rsidRPr="009F28F1">
        <w:t>161.</w:t>
      </w:r>
    </w:p>
    <w:p w:rsidR="007F35B4" w:rsidRPr="009F28F1" w:rsidRDefault="007F35B4" w:rsidP="007F35B4">
      <w:pPr>
        <w:pStyle w:val="BodyText"/>
      </w:pPr>
      <w:r>
        <w:t>T</w:t>
      </w:r>
      <w:r w:rsidRPr="009F28F1">
        <w:t>he APVMA must not use the following information to vary relevant particulars or conditions under section</w:t>
      </w:r>
      <w:r>
        <w:t> </w:t>
      </w:r>
      <w:r w:rsidRPr="009F28F1">
        <w:t>26C or 29A or reconsider an approval or registration under Division</w:t>
      </w:r>
      <w:r>
        <w:t> </w:t>
      </w:r>
      <w:r w:rsidRPr="009F28F1">
        <w:t>4 of Part</w:t>
      </w:r>
      <w:r>
        <w:t> </w:t>
      </w:r>
      <w:r w:rsidRPr="009F28F1">
        <w:t>2:</w:t>
      </w:r>
    </w:p>
    <w:p w:rsidR="007F35B4" w:rsidRPr="009F28F1" w:rsidRDefault="007F35B4" w:rsidP="007F35B4">
      <w:pPr>
        <w:pStyle w:val="ListBullet"/>
      </w:pPr>
      <w:r w:rsidRPr="009F28F1">
        <w:t>Information given to the APVMA in connection with an application made under section</w:t>
      </w:r>
      <w:r>
        <w:t> </w:t>
      </w:r>
      <w:r w:rsidRPr="009F28F1">
        <w:t>10 or 27 by the applicant for the application;</w:t>
      </w:r>
      <w:r>
        <w:t xml:space="preserve"> and </w:t>
      </w:r>
      <w:r w:rsidRPr="009F28F1">
        <w:t>information given under section</w:t>
      </w:r>
      <w:r>
        <w:t> </w:t>
      </w:r>
      <w:r w:rsidRPr="009F28F1">
        <w:t>161.</w:t>
      </w:r>
    </w:p>
    <w:p w:rsidR="007F35B4" w:rsidRDefault="007F35B4" w:rsidP="007F35B4">
      <w:pPr>
        <w:pStyle w:val="BodyText"/>
      </w:pPr>
      <w:r>
        <w:t>There are some exceptions to the general rules under the public interest considerations and consent to the use of information.</w:t>
      </w:r>
      <w:r w:rsidR="00A22510">
        <w:t xml:space="preserve"> </w:t>
      </w:r>
      <w:r w:rsidR="00B62B97">
        <w:t>Limitation periods</w:t>
      </w:r>
      <w:r w:rsidR="00B62B97" w:rsidRPr="009F28F1">
        <w:t xml:space="preserve"> for certain information given in connection with an application made under </w:t>
      </w:r>
      <w:r w:rsidR="005E15AC">
        <w:t>S</w:t>
      </w:r>
      <w:r w:rsidR="00B62B97" w:rsidRPr="009F28F1">
        <w:t>ection</w:t>
      </w:r>
      <w:r w:rsidR="00B62B97">
        <w:t> </w:t>
      </w:r>
      <w:r w:rsidR="00B62B97" w:rsidRPr="009F28F1">
        <w:t>10 or 27</w:t>
      </w:r>
      <w:r w:rsidR="00B62B97">
        <w:t xml:space="preserve"> and </w:t>
      </w:r>
      <w:r w:rsidR="005E15AC">
        <w:t>S</w:t>
      </w:r>
      <w:r w:rsidR="00B62B97">
        <w:t xml:space="preserve">ection 161 of the Agvet Code are provided in </w:t>
      </w:r>
      <w:r w:rsidR="000720C4">
        <w:fldChar w:fldCharType="begin"/>
      </w:r>
      <w:r w:rsidR="000720C4">
        <w:instrText xml:space="preserve"> REF _Ref487368216 \h </w:instrText>
      </w:r>
      <w:r w:rsidR="000720C4">
        <w:fldChar w:fldCharType="separate"/>
      </w:r>
      <w:r w:rsidR="0087688C" w:rsidRPr="00FC29C8">
        <w:rPr>
          <w:rStyle w:val="CaptionLabel"/>
        </w:rPr>
        <w:t>Table</w:t>
      </w:r>
      <w:r w:rsidR="0087688C">
        <w:rPr>
          <w:rStyle w:val="CaptionLabel"/>
        </w:rPr>
        <w:t> </w:t>
      </w:r>
      <w:r w:rsidR="0087688C">
        <w:rPr>
          <w:rStyle w:val="CaptionLabel"/>
          <w:noProof/>
        </w:rPr>
        <w:t>4</w:t>
      </w:r>
      <w:r w:rsidR="0087688C" w:rsidRPr="00FC29C8">
        <w:rPr>
          <w:rStyle w:val="CaptionLabel"/>
        </w:rPr>
        <w:t>.</w:t>
      </w:r>
      <w:r w:rsidR="0087688C">
        <w:rPr>
          <w:rStyle w:val="CaptionLabel"/>
          <w:noProof/>
        </w:rPr>
        <w:t>2</w:t>
      </w:r>
      <w:r w:rsidR="000720C4">
        <w:fldChar w:fldCharType="end"/>
      </w:r>
      <w:r w:rsidR="00B62B97">
        <w:t xml:space="preserve">. </w:t>
      </w:r>
    </w:p>
    <w:p w:rsidR="000720C4" w:rsidRDefault="000720C4" w:rsidP="00A81AF2">
      <w:pPr>
        <w:pStyle w:val="Caption"/>
        <w:spacing w:before="160"/>
        <w:ind w:left="-2552" w:firstLine="0"/>
      </w:pPr>
      <w:bookmarkStart w:id="104" w:name="_Ref487368216"/>
      <w:bookmarkStart w:id="105" w:name="_Toc497132811"/>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4</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2</w:t>
      </w:r>
      <w:r w:rsidRPr="00FC29C8">
        <w:rPr>
          <w:rStyle w:val="CaptionLabel"/>
        </w:rPr>
        <w:fldChar w:fldCharType="end"/>
      </w:r>
      <w:bookmarkEnd w:id="104"/>
      <w:r>
        <w:tab/>
        <w:t>Limitation periods</w:t>
      </w:r>
      <w:bookmarkEnd w:id="105"/>
    </w:p>
    <w:tbl>
      <w:tblPr>
        <w:tblW w:w="10916"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144"/>
        <w:gridCol w:w="331"/>
        <w:gridCol w:w="9"/>
        <w:gridCol w:w="7598"/>
        <w:gridCol w:w="1076"/>
        <w:gridCol w:w="7"/>
        <w:gridCol w:w="1751"/>
      </w:tblGrid>
      <w:tr w:rsidR="00E86A68" w:rsidTr="00A81AF2">
        <w:trPr>
          <w:cantSplit/>
          <w:tblHeader/>
        </w:trPr>
        <w:tc>
          <w:tcPr>
            <w:tcW w:w="218" w:type="pct"/>
            <w:gridSpan w:val="2"/>
            <w:shd w:val="clear" w:color="auto" w:fill="9D57A6"/>
            <w:tcMar>
              <w:left w:w="454" w:type="dxa"/>
              <w:bottom w:w="0" w:type="dxa"/>
            </w:tcMar>
          </w:tcPr>
          <w:p w:rsidR="000720C4" w:rsidRDefault="000720C4" w:rsidP="000720C4">
            <w:pPr>
              <w:pStyle w:val="Tablecolumnheadings"/>
            </w:pPr>
          </w:p>
        </w:tc>
        <w:tc>
          <w:tcPr>
            <w:tcW w:w="3484" w:type="pct"/>
            <w:gridSpan w:val="2"/>
            <w:shd w:val="clear" w:color="auto" w:fill="9D57A6"/>
            <w:tcMar>
              <w:bottom w:w="0" w:type="dxa"/>
            </w:tcMar>
          </w:tcPr>
          <w:p w:rsidR="000720C4" w:rsidRDefault="000720C4" w:rsidP="000720C4">
            <w:pPr>
              <w:pStyle w:val="Tablecolumnheadings"/>
            </w:pPr>
            <w:r>
              <w:t>The limitation period for:</w:t>
            </w:r>
          </w:p>
        </w:tc>
        <w:tc>
          <w:tcPr>
            <w:tcW w:w="496" w:type="pct"/>
            <w:gridSpan w:val="2"/>
            <w:shd w:val="clear" w:color="auto" w:fill="9D57A6"/>
            <w:tcMar>
              <w:bottom w:w="0" w:type="dxa"/>
            </w:tcMar>
          </w:tcPr>
          <w:p w:rsidR="000720C4" w:rsidRDefault="000720C4" w:rsidP="000720C4">
            <w:pPr>
              <w:pStyle w:val="Tablecolumnheadings"/>
            </w:pPr>
            <w:r>
              <w:t>ends</w:t>
            </w:r>
          </w:p>
        </w:tc>
        <w:tc>
          <w:tcPr>
            <w:tcW w:w="802" w:type="pct"/>
            <w:shd w:val="clear" w:color="auto" w:fill="9D57A6"/>
            <w:tcMar>
              <w:bottom w:w="0" w:type="dxa"/>
            </w:tcMar>
          </w:tcPr>
          <w:p w:rsidR="000720C4" w:rsidRDefault="000720C4" w:rsidP="000720C4">
            <w:pPr>
              <w:pStyle w:val="Tablecolumnheadings"/>
            </w:pPr>
            <w:r>
              <w:t>after</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tcBorders>
              <w:top w:val="nil"/>
            </w:tcBorders>
            <w:shd w:val="clear" w:color="auto" w:fill="auto"/>
          </w:tcPr>
          <w:p w:rsidR="000720C4" w:rsidRPr="00A81AF2" w:rsidRDefault="000720C4" w:rsidP="000720C4">
            <w:pPr>
              <w:pStyle w:val="Tabletext"/>
              <w:rPr>
                <w:b/>
              </w:rPr>
            </w:pPr>
            <w:r w:rsidRPr="00A81AF2">
              <w:rPr>
                <w:b/>
              </w:rPr>
              <w:t>1</w:t>
            </w:r>
          </w:p>
        </w:tc>
        <w:tc>
          <w:tcPr>
            <w:tcW w:w="3480" w:type="pct"/>
            <w:tcBorders>
              <w:top w:val="nil"/>
            </w:tcBorders>
            <w:shd w:val="clear" w:color="auto" w:fill="auto"/>
          </w:tcPr>
          <w:p w:rsidR="000720C4" w:rsidRPr="000720C4" w:rsidRDefault="000720C4" w:rsidP="007524C1">
            <w:pPr>
              <w:pStyle w:val="Tabletext"/>
            </w:pPr>
            <w:r w:rsidRPr="000720C4">
              <w:t>information:</w:t>
            </w:r>
            <w:r w:rsidR="007524C1">
              <w:t xml:space="preserve"> </w:t>
            </w:r>
            <w:r w:rsidRPr="000720C4">
              <w:t>(a) given in connection with</w:t>
            </w:r>
            <w:r w:rsidRPr="000720C4">
              <w:rPr>
                <w:b/>
              </w:rPr>
              <w:t xml:space="preserve"> </w:t>
            </w:r>
            <w:r w:rsidRPr="000720C4">
              <w:t>an application under section 10 for approval of an active constituent (for a proposed or existing chemical product) that was not a previously endorsed active constituent on the commencement of this Division; and</w:t>
            </w:r>
            <w:r w:rsidR="007524C1">
              <w:br/>
            </w:r>
            <w:r w:rsidRPr="000720C4">
              <w:t>(b) relied on to approve the active constituent</w:t>
            </w:r>
          </w:p>
        </w:tc>
        <w:tc>
          <w:tcPr>
            <w:tcW w:w="493" w:type="pct"/>
            <w:tcBorders>
              <w:top w:val="nil"/>
            </w:tcBorders>
            <w:shd w:val="clear" w:color="auto" w:fill="auto"/>
          </w:tcPr>
          <w:p w:rsidR="000720C4" w:rsidRPr="000720C4" w:rsidRDefault="000720C4" w:rsidP="000720C4">
            <w:pPr>
              <w:pStyle w:val="Tabletext"/>
            </w:pPr>
            <w:r w:rsidRPr="000720C4">
              <w:t>10 years</w:t>
            </w:r>
          </w:p>
        </w:tc>
        <w:tc>
          <w:tcPr>
            <w:tcW w:w="804" w:type="pct"/>
            <w:gridSpan w:val="2"/>
            <w:tcBorders>
              <w:top w:val="nil"/>
            </w:tcBorders>
            <w:shd w:val="clear" w:color="auto" w:fill="auto"/>
          </w:tcPr>
          <w:p w:rsidR="000720C4" w:rsidRPr="000720C4" w:rsidRDefault="000720C4" w:rsidP="000720C4">
            <w:pPr>
              <w:pStyle w:val="Tabletext"/>
            </w:pPr>
            <w:r w:rsidRPr="000720C4">
              <w:t>the constituent is approved.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0720C4" w:rsidP="000720C4">
            <w:pPr>
              <w:pStyle w:val="Tabletext"/>
              <w:rPr>
                <w:b/>
              </w:rPr>
            </w:pPr>
            <w:r w:rsidRPr="00A81AF2">
              <w:rPr>
                <w:b/>
              </w:rPr>
              <w:t>2</w:t>
            </w:r>
          </w:p>
        </w:tc>
        <w:tc>
          <w:tcPr>
            <w:tcW w:w="3480" w:type="pct"/>
            <w:shd w:val="clear" w:color="auto" w:fill="auto"/>
          </w:tcPr>
          <w:p w:rsidR="000720C4" w:rsidRPr="000720C4" w:rsidRDefault="000720C4" w:rsidP="007524C1">
            <w:pPr>
              <w:pStyle w:val="Tabletext"/>
            </w:pPr>
            <w:r w:rsidRPr="000720C4">
              <w:t>information:</w:t>
            </w:r>
            <w:r w:rsidR="007524C1">
              <w:t xml:space="preserve"> </w:t>
            </w:r>
            <w:r w:rsidRPr="000720C4">
              <w:t>(a) given in connection with</w:t>
            </w:r>
            <w:r w:rsidRPr="000720C4">
              <w:rPr>
                <w:b/>
              </w:rPr>
              <w:t xml:space="preserve"> </w:t>
            </w:r>
            <w:r w:rsidRPr="000720C4">
              <w:t>an application made under section 10 for:(i) registration of a chemical product at least one of whose active constituents was not a previously endorsed active constituent when the application passed preliminary assessment; or</w:t>
            </w:r>
            <w:r>
              <w:t xml:space="preserve"> </w:t>
            </w:r>
            <w:r w:rsidRPr="000720C4">
              <w:t>(ii) approval of a label for a container for a chemical product at least one of whose active constituents was not a previously endorsed active constituent when the application passed preliminary assessment; and</w:t>
            </w:r>
            <w:r w:rsidR="001B24FB">
              <w:br/>
            </w:r>
            <w:r w:rsidRPr="000720C4">
              <w:t>(b) relied on to register the product or approve the label</w:t>
            </w:r>
          </w:p>
        </w:tc>
        <w:tc>
          <w:tcPr>
            <w:tcW w:w="493" w:type="pct"/>
            <w:shd w:val="clear" w:color="auto" w:fill="auto"/>
          </w:tcPr>
          <w:p w:rsidR="000720C4" w:rsidRPr="000720C4" w:rsidRDefault="000720C4" w:rsidP="000720C4">
            <w:pPr>
              <w:pStyle w:val="Tabletext"/>
            </w:pPr>
            <w:r w:rsidRPr="000720C4">
              <w:t>10 years</w:t>
            </w:r>
          </w:p>
        </w:tc>
        <w:tc>
          <w:tcPr>
            <w:tcW w:w="804" w:type="pct"/>
            <w:gridSpan w:val="2"/>
            <w:shd w:val="clear" w:color="auto" w:fill="auto"/>
          </w:tcPr>
          <w:p w:rsidR="000720C4" w:rsidRPr="000720C4" w:rsidRDefault="000720C4" w:rsidP="000720C4">
            <w:pPr>
              <w:pStyle w:val="Tabletext"/>
            </w:pPr>
            <w:r w:rsidRPr="000720C4">
              <w:t>the product or label, as required, is registered or approved.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0720C4" w:rsidP="000720C4">
            <w:pPr>
              <w:pStyle w:val="Tabletext"/>
              <w:rPr>
                <w:b/>
              </w:rPr>
            </w:pPr>
            <w:r w:rsidRPr="00A81AF2">
              <w:rPr>
                <w:b/>
              </w:rPr>
              <w:t>3</w:t>
            </w:r>
          </w:p>
        </w:tc>
        <w:tc>
          <w:tcPr>
            <w:tcW w:w="3480" w:type="pct"/>
            <w:shd w:val="clear" w:color="auto" w:fill="auto"/>
          </w:tcPr>
          <w:p w:rsidR="000720C4" w:rsidRPr="000720C4" w:rsidRDefault="000720C4" w:rsidP="007524C1">
            <w:pPr>
              <w:pStyle w:val="Tabletext"/>
            </w:pPr>
            <w:r w:rsidRPr="000720C4">
              <w:t>information:</w:t>
            </w:r>
            <w:r w:rsidR="007524C1">
              <w:t xml:space="preserve"> </w:t>
            </w:r>
            <w:r w:rsidRPr="000720C4">
              <w:t>(a) given in connection with an application (except one covered by item 2</w:t>
            </w:r>
            <w:r w:rsidR="001B24FB">
              <w:t xml:space="preserve"> above</w:t>
            </w:r>
            <w:r w:rsidRPr="000720C4">
              <w:t>) made under section 10 for:</w:t>
            </w:r>
            <w:r w:rsidR="00C21B98">
              <w:t xml:space="preserve"> </w:t>
            </w:r>
            <w:r w:rsidRPr="000720C4">
              <w:t>(i) registration of an agricultural chemical product; or</w:t>
            </w:r>
            <w:r w:rsidR="001B24FB">
              <w:t xml:space="preserve"> </w:t>
            </w:r>
            <w:r w:rsidRPr="000720C4">
              <w:t>(ii) approval of a label for a container for an agricultural chemical product; and</w:t>
            </w:r>
            <w:r w:rsidR="001B24FB">
              <w:t xml:space="preserve"> </w:t>
            </w:r>
            <w:r w:rsidR="001B24FB">
              <w:br/>
            </w:r>
            <w:r w:rsidRPr="000720C4">
              <w:t>(b) relied on to register the product or approve the label</w:t>
            </w:r>
          </w:p>
        </w:tc>
        <w:tc>
          <w:tcPr>
            <w:tcW w:w="493" w:type="pct"/>
            <w:shd w:val="clear" w:color="auto" w:fill="auto"/>
          </w:tcPr>
          <w:p w:rsidR="000720C4" w:rsidRPr="000720C4" w:rsidRDefault="000720C4" w:rsidP="000720C4">
            <w:pPr>
              <w:pStyle w:val="Tabletext"/>
            </w:pPr>
            <w:r w:rsidRPr="000720C4">
              <w:t>5 years</w:t>
            </w:r>
          </w:p>
        </w:tc>
        <w:tc>
          <w:tcPr>
            <w:tcW w:w="804" w:type="pct"/>
            <w:gridSpan w:val="2"/>
            <w:shd w:val="clear" w:color="auto" w:fill="auto"/>
          </w:tcPr>
          <w:p w:rsidR="000720C4" w:rsidRPr="000720C4" w:rsidRDefault="000720C4" w:rsidP="000720C4">
            <w:pPr>
              <w:pStyle w:val="Tabletext"/>
            </w:pPr>
            <w:r w:rsidRPr="000720C4">
              <w:t>the product or label, as required, is registered or approved.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0720C4" w:rsidP="000720C4">
            <w:pPr>
              <w:pStyle w:val="Tabletext"/>
              <w:rPr>
                <w:b/>
              </w:rPr>
            </w:pPr>
            <w:r w:rsidRPr="00A81AF2">
              <w:rPr>
                <w:b/>
              </w:rPr>
              <w:t>4</w:t>
            </w:r>
          </w:p>
        </w:tc>
        <w:tc>
          <w:tcPr>
            <w:tcW w:w="3480" w:type="pct"/>
            <w:shd w:val="clear" w:color="auto" w:fill="auto"/>
          </w:tcPr>
          <w:p w:rsidR="000720C4" w:rsidRPr="000720C4" w:rsidRDefault="000720C4" w:rsidP="007524C1">
            <w:pPr>
              <w:pStyle w:val="Tabletext"/>
            </w:pPr>
            <w:r w:rsidRPr="000720C4">
              <w:t>information:</w:t>
            </w:r>
            <w:r w:rsidR="007524C1">
              <w:t xml:space="preserve"> </w:t>
            </w:r>
            <w:r w:rsidRPr="000720C4">
              <w:t>(a) given in connection with an application (except one covered by item 2</w:t>
            </w:r>
            <w:r w:rsidR="00C21B98">
              <w:t xml:space="preserve"> above</w:t>
            </w:r>
            <w:r w:rsidRPr="000720C4">
              <w:t>) made under section 10 for:</w:t>
            </w:r>
            <w:r w:rsidR="007524C1">
              <w:t xml:space="preserve"> </w:t>
            </w:r>
            <w:r w:rsidRPr="000720C4">
              <w:t>(i) registration of a veterinary chemical product; or</w:t>
            </w:r>
            <w:r w:rsidR="001B24FB">
              <w:t xml:space="preserve"> </w:t>
            </w:r>
            <w:r w:rsidRPr="000720C4">
              <w:t>(ii) approval of a label for a container for a veterinary chemical product; and</w:t>
            </w:r>
            <w:r w:rsidR="001B24FB">
              <w:br/>
            </w:r>
            <w:r w:rsidRPr="000720C4">
              <w:t>(b) relied on to register the product or approve the label</w:t>
            </w:r>
          </w:p>
        </w:tc>
        <w:tc>
          <w:tcPr>
            <w:tcW w:w="493" w:type="pct"/>
            <w:shd w:val="clear" w:color="auto" w:fill="auto"/>
          </w:tcPr>
          <w:p w:rsidR="000720C4" w:rsidRPr="000720C4" w:rsidRDefault="000720C4" w:rsidP="000720C4">
            <w:pPr>
              <w:pStyle w:val="Tabletext"/>
            </w:pPr>
            <w:r w:rsidRPr="000720C4">
              <w:t>3 years</w:t>
            </w:r>
          </w:p>
        </w:tc>
        <w:tc>
          <w:tcPr>
            <w:tcW w:w="804" w:type="pct"/>
            <w:gridSpan w:val="2"/>
            <w:shd w:val="clear" w:color="auto" w:fill="auto"/>
          </w:tcPr>
          <w:p w:rsidR="000720C4" w:rsidRPr="000720C4" w:rsidRDefault="000720C4" w:rsidP="000720C4">
            <w:pPr>
              <w:pStyle w:val="Tabletext"/>
            </w:pPr>
            <w:r w:rsidRPr="000720C4">
              <w:t>the product or label, as required, is registered or approved.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0720C4" w:rsidP="000720C4">
            <w:pPr>
              <w:pStyle w:val="Tabletext"/>
              <w:rPr>
                <w:b/>
              </w:rPr>
            </w:pPr>
            <w:r w:rsidRPr="00A81AF2">
              <w:rPr>
                <w:b/>
              </w:rPr>
              <w:t>5</w:t>
            </w:r>
          </w:p>
        </w:tc>
        <w:tc>
          <w:tcPr>
            <w:tcW w:w="3480" w:type="pct"/>
            <w:shd w:val="clear" w:color="auto" w:fill="auto"/>
          </w:tcPr>
          <w:p w:rsidR="000720C4" w:rsidRPr="000720C4" w:rsidRDefault="000720C4" w:rsidP="007524C1">
            <w:pPr>
              <w:pStyle w:val="Tabletext"/>
            </w:pPr>
            <w:r w:rsidRPr="000720C4">
              <w:t>information:</w:t>
            </w:r>
            <w:r w:rsidR="007524C1">
              <w:t xml:space="preserve"> </w:t>
            </w:r>
            <w:r w:rsidRPr="000720C4">
              <w:t>(a) given in connection with an application made under section 27 for variation of the relevant particulars or conditions of:</w:t>
            </w:r>
            <w:r w:rsidR="007524C1">
              <w:t xml:space="preserve"> </w:t>
            </w:r>
            <w:r w:rsidRPr="000720C4">
              <w:t>(i) the registration of an agricultural chemical product; or</w:t>
            </w:r>
            <w:r w:rsidR="001B24FB">
              <w:t xml:space="preserve"> </w:t>
            </w:r>
            <w:r w:rsidRPr="000720C4">
              <w:t>(ii) the approval of a label for a container for an agricultural chemical product; and</w:t>
            </w:r>
            <w:r w:rsidR="001B24FB">
              <w:t xml:space="preserve"> </w:t>
            </w:r>
            <w:r w:rsidR="001B24FB">
              <w:br/>
            </w:r>
            <w:r w:rsidRPr="000720C4">
              <w:t>(b) relied on to vary the relevant particulars or conditions</w:t>
            </w:r>
          </w:p>
        </w:tc>
        <w:tc>
          <w:tcPr>
            <w:tcW w:w="493" w:type="pct"/>
            <w:shd w:val="clear" w:color="auto" w:fill="auto"/>
          </w:tcPr>
          <w:p w:rsidR="000720C4" w:rsidRPr="000720C4" w:rsidRDefault="000720C4" w:rsidP="000720C4">
            <w:pPr>
              <w:pStyle w:val="Tabletext"/>
            </w:pPr>
            <w:r w:rsidRPr="000720C4">
              <w:t>5 years</w:t>
            </w:r>
          </w:p>
        </w:tc>
        <w:tc>
          <w:tcPr>
            <w:tcW w:w="804" w:type="pct"/>
            <w:gridSpan w:val="2"/>
            <w:shd w:val="clear" w:color="auto" w:fill="auto"/>
          </w:tcPr>
          <w:p w:rsidR="000720C4" w:rsidRPr="000720C4" w:rsidRDefault="000720C4" w:rsidP="000720C4">
            <w:pPr>
              <w:pStyle w:val="Tabletext"/>
            </w:pPr>
            <w:r w:rsidRPr="000720C4">
              <w:t>the relevant particulars or conditions are varied.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0720C4" w:rsidP="000720C4">
            <w:pPr>
              <w:pStyle w:val="Tabletext"/>
              <w:rPr>
                <w:b/>
              </w:rPr>
            </w:pPr>
            <w:r w:rsidRPr="00A81AF2">
              <w:rPr>
                <w:b/>
              </w:rPr>
              <w:t>6</w:t>
            </w:r>
          </w:p>
        </w:tc>
        <w:tc>
          <w:tcPr>
            <w:tcW w:w="3480" w:type="pct"/>
            <w:shd w:val="clear" w:color="auto" w:fill="auto"/>
          </w:tcPr>
          <w:p w:rsidR="000720C4" w:rsidRPr="000720C4" w:rsidRDefault="000720C4" w:rsidP="00A22510">
            <w:pPr>
              <w:pStyle w:val="Tabletext"/>
            </w:pPr>
            <w:r w:rsidRPr="000720C4">
              <w:t>information:</w:t>
            </w:r>
            <w:r w:rsidR="007524C1">
              <w:t xml:space="preserve"> </w:t>
            </w:r>
            <w:r w:rsidRPr="000720C4">
              <w:t>(a) given in connection with an application made under section 27 for variation of the relevant particulars or conditions of:</w:t>
            </w:r>
            <w:r w:rsidR="001B24FB">
              <w:t xml:space="preserve"> </w:t>
            </w:r>
            <w:r w:rsidRPr="000720C4">
              <w:t>(i) the registration of a veterinary chemical product; or</w:t>
            </w:r>
            <w:r w:rsidR="001B24FB">
              <w:t xml:space="preserve"> </w:t>
            </w:r>
            <w:r w:rsidRPr="000720C4">
              <w:t>(ii) the approval of a label for a container for a veterinary chemical product; and</w:t>
            </w:r>
            <w:r w:rsidR="001B24FB">
              <w:t xml:space="preserve"> </w:t>
            </w:r>
            <w:r w:rsidR="001B24FB">
              <w:br/>
            </w:r>
            <w:r w:rsidRPr="000720C4">
              <w:t>(b) relied on to vary the relevant particulars or conditions</w:t>
            </w:r>
          </w:p>
        </w:tc>
        <w:tc>
          <w:tcPr>
            <w:tcW w:w="493" w:type="pct"/>
            <w:shd w:val="clear" w:color="auto" w:fill="auto"/>
          </w:tcPr>
          <w:p w:rsidR="000720C4" w:rsidRPr="000720C4" w:rsidRDefault="000720C4" w:rsidP="000720C4">
            <w:pPr>
              <w:pStyle w:val="Tabletext"/>
            </w:pPr>
            <w:r w:rsidRPr="000720C4">
              <w:t>3 years</w:t>
            </w:r>
          </w:p>
        </w:tc>
        <w:tc>
          <w:tcPr>
            <w:tcW w:w="804" w:type="pct"/>
            <w:gridSpan w:val="2"/>
            <w:shd w:val="clear" w:color="auto" w:fill="auto"/>
          </w:tcPr>
          <w:p w:rsidR="000720C4" w:rsidRPr="000720C4" w:rsidRDefault="000720C4" w:rsidP="000720C4">
            <w:pPr>
              <w:pStyle w:val="Tabletext"/>
            </w:pPr>
            <w:r w:rsidRPr="000720C4">
              <w:t>the relevant particulars or conditions are varied.</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1B24FB" w:rsidP="000720C4">
            <w:pPr>
              <w:pStyle w:val="Tabletext"/>
              <w:rPr>
                <w:b/>
              </w:rPr>
            </w:pPr>
            <w:r w:rsidRPr="00A81AF2">
              <w:rPr>
                <w:b/>
              </w:rPr>
              <w:t>7</w:t>
            </w:r>
          </w:p>
        </w:tc>
        <w:tc>
          <w:tcPr>
            <w:tcW w:w="3480" w:type="pct"/>
            <w:shd w:val="clear" w:color="auto" w:fill="auto"/>
          </w:tcPr>
          <w:p w:rsidR="000720C4" w:rsidRPr="000720C4" w:rsidRDefault="000720C4" w:rsidP="000720C4">
            <w:pPr>
              <w:pStyle w:val="Tabletext"/>
            </w:pPr>
            <w:r w:rsidRPr="000720C4">
              <w:t>information given under section 161 in connection with an agricultural chemical product</w:t>
            </w:r>
          </w:p>
        </w:tc>
        <w:tc>
          <w:tcPr>
            <w:tcW w:w="493" w:type="pct"/>
            <w:shd w:val="clear" w:color="auto" w:fill="auto"/>
          </w:tcPr>
          <w:p w:rsidR="000720C4" w:rsidRPr="000720C4" w:rsidRDefault="000720C4" w:rsidP="000720C4">
            <w:pPr>
              <w:pStyle w:val="Tabletext"/>
            </w:pPr>
            <w:r w:rsidRPr="000720C4">
              <w:t>5 years</w:t>
            </w:r>
          </w:p>
        </w:tc>
        <w:tc>
          <w:tcPr>
            <w:tcW w:w="804" w:type="pct"/>
            <w:gridSpan w:val="2"/>
            <w:shd w:val="clear" w:color="auto" w:fill="auto"/>
          </w:tcPr>
          <w:p w:rsidR="000720C4" w:rsidRPr="000720C4" w:rsidRDefault="000720C4" w:rsidP="000720C4">
            <w:pPr>
              <w:pStyle w:val="Tabletext"/>
            </w:pPr>
            <w:r w:rsidRPr="000720C4">
              <w:t>the information is given.</w:t>
            </w:r>
          </w:p>
        </w:tc>
      </w:tr>
      <w:tr w:rsidR="00E86A68" w:rsidTr="00A81AF2">
        <w:tblPrEx>
          <w:tblBorders>
            <w:bottom w:val="single" w:sz="4" w:space="0" w:color="646464"/>
            <w:insideH w:val="single" w:sz="4" w:space="0" w:color="646464"/>
          </w:tblBorders>
        </w:tblPrEx>
        <w:trPr>
          <w:gridBefore w:val="1"/>
          <w:wBefore w:w="66" w:type="pct"/>
          <w:cantSplit/>
        </w:trPr>
        <w:tc>
          <w:tcPr>
            <w:tcW w:w="156" w:type="pct"/>
            <w:gridSpan w:val="2"/>
            <w:shd w:val="clear" w:color="auto" w:fill="auto"/>
          </w:tcPr>
          <w:p w:rsidR="000720C4" w:rsidRPr="00A81AF2" w:rsidRDefault="001B24FB" w:rsidP="000720C4">
            <w:pPr>
              <w:pStyle w:val="Tabletext"/>
              <w:rPr>
                <w:b/>
              </w:rPr>
            </w:pPr>
            <w:r w:rsidRPr="00A81AF2">
              <w:rPr>
                <w:b/>
              </w:rPr>
              <w:t>8</w:t>
            </w:r>
          </w:p>
        </w:tc>
        <w:tc>
          <w:tcPr>
            <w:tcW w:w="3480" w:type="pct"/>
            <w:shd w:val="clear" w:color="auto" w:fill="auto"/>
          </w:tcPr>
          <w:p w:rsidR="000720C4" w:rsidRPr="000720C4" w:rsidRDefault="000720C4" w:rsidP="000720C4">
            <w:pPr>
              <w:pStyle w:val="Tabletext"/>
            </w:pPr>
            <w:r w:rsidRPr="000720C4">
              <w:t>information given under section 161 in connection with a veterinary chemical product</w:t>
            </w:r>
          </w:p>
        </w:tc>
        <w:tc>
          <w:tcPr>
            <w:tcW w:w="493" w:type="pct"/>
            <w:shd w:val="clear" w:color="auto" w:fill="auto"/>
          </w:tcPr>
          <w:p w:rsidR="000720C4" w:rsidRPr="000720C4" w:rsidRDefault="000720C4" w:rsidP="000720C4">
            <w:pPr>
              <w:pStyle w:val="Tabletext"/>
            </w:pPr>
            <w:r w:rsidRPr="000720C4">
              <w:t>3 years</w:t>
            </w:r>
          </w:p>
        </w:tc>
        <w:tc>
          <w:tcPr>
            <w:tcW w:w="804" w:type="pct"/>
            <w:gridSpan w:val="2"/>
            <w:shd w:val="clear" w:color="auto" w:fill="auto"/>
          </w:tcPr>
          <w:p w:rsidR="000720C4" w:rsidRPr="000720C4" w:rsidRDefault="000720C4" w:rsidP="000720C4">
            <w:pPr>
              <w:pStyle w:val="Tabletext"/>
            </w:pPr>
            <w:r w:rsidRPr="000720C4">
              <w:t>the information is given.</w:t>
            </w:r>
          </w:p>
        </w:tc>
      </w:tr>
      <w:tr w:rsidR="00E86A68" w:rsidTr="00A81AF2">
        <w:tblPrEx>
          <w:tblBorders>
            <w:bottom w:val="single" w:sz="4" w:space="0" w:color="646464"/>
            <w:insideH w:val="single" w:sz="4" w:space="0" w:color="646464"/>
          </w:tblBorders>
        </w:tblPrEx>
        <w:trPr>
          <w:gridBefore w:val="1"/>
          <w:wBefore w:w="66" w:type="pct"/>
          <w:cantSplit/>
        </w:trPr>
        <w:tc>
          <w:tcPr>
            <w:tcW w:w="4934" w:type="pct"/>
            <w:gridSpan w:val="6"/>
            <w:tcBorders>
              <w:bottom w:val="single" w:sz="4" w:space="0" w:color="646464"/>
            </w:tcBorders>
            <w:shd w:val="clear" w:color="auto" w:fill="auto"/>
          </w:tcPr>
          <w:p w:rsidR="000720C4" w:rsidRDefault="000720C4" w:rsidP="000720C4">
            <w:pPr>
              <w:pStyle w:val="Source"/>
            </w:pPr>
            <w:r>
              <w:t>Source: Agricultural and Veterinary chemicals Code Act 1994, No 47, Compilation No. 29</w:t>
            </w:r>
            <w:r w:rsidR="001B24FB">
              <w:t>. COMPILATION</w:t>
            </w:r>
            <w:r>
              <w:t xml:space="preserve"> date 21 October 2016.</w:t>
            </w:r>
          </w:p>
        </w:tc>
      </w:tr>
      <w:tr w:rsidR="00E86A68" w:rsidTr="00A81AF2">
        <w:tblPrEx>
          <w:tblBorders>
            <w:bottom w:val="single" w:sz="4" w:space="0" w:color="646464"/>
            <w:insideH w:val="single" w:sz="4" w:space="0" w:color="646464"/>
          </w:tblBorders>
        </w:tblPrEx>
        <w:trPr>
          <w:gridBefore w:val="1"/>
          <w:wBefore w:w="66" w:type="pct"/>
          <w:cantSplit/>
          <w:trHeight w:hRule="exact" w:val="120"/>
        </w:trPr>
        <w:tc>
          <w:tcPr>
            <w:tcW w:w="4934" w:type="pct"/>
            <w:gridSpan w:val="6"/>
            <w:tcBorders>
              <w:top w:val="single" w:sz="4" w:space="0" w:color="646464"/>
              <w:bottom w:val="nil"/>
            </w:tcBorders>
            <w:shd w:val="clear" w:color="auto" w:fill="auto"/>
          </w:tcPr>
          <w:p w:rsidR="000720C4" w:rsidRDefault="000720C4" w:rsidP="000720C4">
            <w:pPr>
              <w:pStyle w:val="spacertbl"/>
            </w:pPr>
          </w:p>
        </w:tc>
      </w:tr>
    </w:tbl>
    <w:p w:rsidR="007524C1" w:rsidRPr="009F28F1" w:rsidRDefault="007524C1" w:rsidP="007524C1">
      <w:pPr>
        <w:pStyle w:val="BodyText"/>
      </w:pPr>
      <w:r>
        <w:t>Section 10 of the Agvet Code indicates a</w:t>
      </w:r>
      <w:r w:rsidRPr="009F28F1">
        <w:t xml:space="preserve"> person may apply to the APVMA</w:t>
      </w:r>
      <w:r>
        <w:t xml:space="preserve"> </w:t>
      </w:r>
      <w:r w:rsidRPr="009F28F1">
        <w:t xml:space="preserve">for </w:t>
      </w:r>
      <w:r w:rsidRPr="00B62B97">
        <w:rPr>
          <w:u w:val="single"/>
        </w:rPr>
        <w:t>approval</w:t>
      </w:r>
      <w:r w:rsidRPr="009F28F1">
        <w:t xml:space="preserve"> of an active constituent for a proposed or existing chemical product; or</w:t>
      </w:r>
      <w:r>
        <w:t xml:space="preserve"> </w:t>
      </w:r>
      <w:r w:rsidRPr="009F28F1">
        <w:t>for registration of a chemical product; or</w:t>
      </w:r>
      <w:r>
        <w:t xml:space="preserve"> </w:t>
      </w:r>
      <w:r w:rsidRPr="009F28F1">
        <w:tab/>
        <w:t>for approval of a label for containers for a chemical product.</w:t>
      </w:r>
      <w:r>
        <w:t xml:space="preserve"> </w:t>
      </w:r>
      <w:r w:rsidRPr="009F28F1">
        <w:t>The ap</w:t>
      </w:r>
      <w:r>
        <w:t>plication m</w:t>
      </w:r>
      <w:r w:rsidRPr="009F28F1">
        <w:t>ust meet the application requirements; and</w:t>
      </w:r>
      <w:r>
        <w:t xml:space="preserve"> </w:t>
      </w:r>
      <w:r w:rsidRPr="009F28F1">
        <w:t>for an active constituent or chemical product</w:t>
      </w:r>
      <w:r>
        <w:t xml:space="preserve"> </w:t>
      </w:r>
      <w:r w:rsidRPr="009F28F1">
        <w:t>—</w:t>
      </w:r>
      <w:r>
        <w:t xml:space="preserve"> </w:t>
      </w:r>
      <w:r w:rsidRPr="009F28F1">
        <w:t>must include proposed instructions for use of the constituent or product.</w:t>
      </w:r>
    </w:p>
    <w:p w:rsidR="007524C1" w:rsidRPr="009F28F1" w:rsidRDefault="007524C1" w:rsidP="007524C1">
      <w:pPr>
        <w:pStyle w:val="BodyText"/>
      </w:pPr>
      <w:r>
        <w:t>Section 27 of the Agvet Code indicates t</w:t>
      </w:r>
      <w:r w:rsidRPr="009F28F1">
        <w:t xml:space="preserve">he holder may apply to the APVMA for </w:t>
      </w:r>
      <w:r w:rsidRPr="00B62B97">
        <w:rPr>
          <w:u w:val="single"/>
        </w:rPr>
        <w:t>variation</w:t>
      </w:r>
      <w:r w:rsidRPr="009F28F1">
        <w:t xml:space="preserve"> of the releva</w:t>
      </w:r>
      <w:r>
        <w:t xml:space="preserve">nt particulars or conditions of </w:t>
      </w:r>
      <w:r w:rsidRPr="009F28F1">
        <w:t>the approval of an active constituent; or</w:t>
      </w:r>
      <w:r>
        <w:t xml:space="preserve"> t</w:t>
      </w:r>
      <w:r w:rsidRPr="009F28F1">
        <w:t>he registration of a chemical product; or</w:t>
      </w:r>
      <w:r>
        <w:t xml:space="preserve"> </w:t>
      </w:r>
      <w:r w:rsidRPr="009F28F1">
        <w:t>the approval of a label for containers for a chemical product.</w:t>
      </w:r>
      <w:r>
        <w:t xml:space="preserve"> </w:t>
      </w:r>
      <w:r w:rsidRPr="009F28F1">
        <w:t>A person may, with the consent of the holder, apply to the APVMA for variation of the relevant particulars or conditions of</w:t>
      </w:r>
      <w:r>
        <w:t xml:space="preserve"> </w:t>
      </w:r>
      <w:r w:rsidRPr="009F28F1">
        <w:t>the registration of a chemical product; or</w:t>
      </w:r>
      <w:r>
        <w:t xml:space="preserve"> </w:t>
      </w:r>
      <w:r w:rsidRPr="009F28F1">
        <w:t>the approval of a label for containers for a chemical product.</w:t>
      </w:r>
      <w:r>
        <w:t xml:space="preserve"> </w:t>
      </w:r>
    </w:p>
    <w:p w:rsidR="007524C1" w:rsidRPr="009F28F1" w:rsidRDefault="007524C1" w:rsidP="007524C1">
      <w:pPr>
        <w:pStyle w:val="BodyText"/>
      </w:pPr>
      <w:r>
        <w:t xml:space="preserve">Section 161 of the Agvet Code relates to notification of </w:t>
      </w:r>
      <w:r w:rsidRPr="005E15AC">
        <w:rPr>
          <w:u w:val="single"/>
        </w:rPr>
        <w:t>new information</w:t>
      </w:r>
      <w:r>
        <w:t xml:space="preserve"> to APVMA. If </w:t>
      </w:r>
      <w:r w:rsidRPr="009F28F1">
        <w:t>the holder of the approval of an active constituent for a proposed or existing chemical product or the registration of a chemical product; or</w:t>
      </w:r>
      <w:r>
        <w:t xml:space="preserve"> </w:t>
      </w:r>
      <w:r w:rsidRPr="009F28F1">
        <w:t>the holder of a permit in relation to an active constituent for a proposed or existing chemical product or in relation to a chemical product;</w:t>
      </w:r>
      <w:r>
        <w:t xml:space="preserve"> </w:t>
      </w:r>
      <w:r w:rsidRPr="009F28F1">
        <w:t>becomes aware of any relevant information in relation to the constituent or in relation to the product or of any of its constituents, the holder must, as soon as the holder becomes aware of the information, give that information to the APVMA.</w:t>
      </w:r>
    </w:p>
    <w:p w:rsidR="00A257D8" w:rsidRDefault="00CB7A59" w:rsidP="00B62B97">
      <w:pPr>
        <w:pStyle w:val="BodyText"/>
      </w:pPr>
      <w:r>
        <w:t>The l</w:t>
      </w:r>
      <w:r w:rsidR="001B24FB">
        <w:t>imitation periods</w:t>
      </w:r>
      <w:r w:rsidR="001B24FB" w:rsidRPr="009F28F1">
        <w:t xml:space="preserve"> for certain information given in connection with an application</w:t>
      </w:r>
      <w:r w:rsidR="001B24FB">
        <w:t xml:space="preserve"> </w:t>
      </w:r>
      <w:r w:rsidR="00C21B98">
        <w:t xml:space="preserve">for agricultural chemicals and veterinary chemicals </w:t>
      </w:r>
      <w:r w:rsidR="001B24FB">
        <w:t xml:space="preserve">vary in Australia as noted in </w:t>
      </w:r>
      <w:r w:rsidR="001B24FB">
        <w:fldChar w:fldCharType="begin"/>
      </w:r>
      <w:r w:rsidR="001B24FB">
        <w:instrText xml:space="preserve"> REF _Ref487368216 \h </w:instrText>
      </w:r>
      <w:r w:rsidR="001B24FB">
        <w:fldChar w:fldCharType="separate"/>
      </w:r>
      <w:r w:rsidR="0087688C" w:rsidRPr="00FC29C8">
        <w:rPr>
          <w:rStyle w:val="CaptionLabel"/>
        </w:rPr>
        <w:t>Table</w:t>
      </w:r>
      <w:r w:rsidR="0087688C">
        <w:rPr>
          <w:rStyle w:val="CaptionLabel"/>
        </w:rPr>
        <w:t> </w:t>
      </w:r>
      <w:r w:rsidR="0087688C">
        <w:rPr>
          <w:rStyle w:val="CaptionLabel"/>
          <w:noProof/>
        </w:rPr>
        <w:t>4</w:t>
      </w:r>
      <w:r w:rsidR="0087688C" w:rsidRPr="00FC29C8">
        <w:rPr>
          <w:rStyle w:val="CaptionLabel"/>
        </w:rPr>
        <w:t>.</w:t>
      </w:r>
      <w:r w:rsidR="0087688C">
        <w:rPr>
          <w:rStyle w:val="CaptionLabel"/>
          <w:noProof/>
        </w:rPr>
        <w:t>2</w:t>
      </w:r>
      <w:r w:rsidR="001B24FB">
        <w:fldChar w:fldCharType="end"/>
      </w:r>
      <w:r w:rsidR="001B24FB">
        <w:t>.</w:t>
      </w:r>
      <w:r w:rsidR="00C21B98">
        <w:t xml:space="preserve"> </w:t>
      </w:r>
      <w:r w:rsidR="00A22510">
        <w:t>The l</w:t>
      </w:r>
      <w:r w:rsidR="00C21B98">
        <w:t>imitation period for active constituent information</w:t>
      </w:r>
      <w:r>
        <w:t xml:space="preserve"> for both agricultural and veterinary chemical products</w:t>
      </w:r>
      <w:r w:rsidR="00C21B98">
        <w:t xml:space="preserve"> is 10 years after the constituent is approved</w:t>
      </w:r>
      <w:r>
        <w:t xml:space="preserve"> or </w:t>
      </w:r>
      <w:r w:rsidRPr="000720C4">
        <w:t xml:space="preserve">the product or label, as </w:t>
      </w:r>
      <w:r w:rsidR="00C00424">
        <w:t>appropriate</w:t>
      </w:r>
      <w:r w:rsidRPr="000720C4">
        <w:t>, is registered or approved</w:t>
      </w:r>
      <w:r w:rsidR="00C21B98">
        <w:t>.</w:t>
      </w:r>
      <w:r>
        <w:t xml:space="preserve"> For any variations or new information, the limitation periods for agricultural chemicals is 5 years and veterinary chemicals is 3 years.</w:t>
      </w:r>
    </w:p>
    <w:p w:rsidR="0016367D" w:rsidRDefault="0016367D" w:rsidP="00F9719E">
      <w:pPr>
        <w:pStyle w:val="BodyText"/>
      </w:pPr>
      <w:r>
        <w:fldChar w:fldCharType="begin"/>
      </w:r>
      <w:r>
        <w:instrText xml:space="preserve"> REF _Ref484786774 \h </w:instrText>
      </w:r>
      <w:r>
        <w:fldChar w:fldCharType="separate"/>
      </w:r>
      <w:r w:rsidR="0087688C" w:rsidRPr="00897E60">
        <w:rPr>
          <w:rStyle w:val="CaptionLabel"/>
        </w:rPr>
        <w:t>Figure</w:t>
      </w:r>
      <w:r w:rsidR="0087688C">
        <w:rPr>
          <w:rStyle w:val="CaptionLabel"/>
        </w:rPr>
        <w:t> </w:t>
      </w:r>
      <w:r w:rsidR="0087688C">
        <w:rPr>
          <w:rStyle w:val="CaptionLabel"/>
          <w:noProof/>
        </w:rPr>
        <w:t>4</w:t>
      </w:r>
      <w:r w:rsidR="0087688C">
        <w:rPr>
          <w:rStyle w:val="CaptionLabel"/>
        </w:rPr>
        <w:t>.</w:t>
      </w:r>
      <w:r w:rsidR="0087688C">
        <w:rPr>
          <w:rStyle w:val="CaptionLabel"/>
          <w:noProof/>
        </w:rPr>
        <w:t>2</w:t>
      </w:r>
      <w:r>
        <w:fldChar w:fldCharType="end"/>
      </w:r>
      <w:r>
        <w:t xml:space="preserve"> shows a schematic representation of the Australian registration process for agvet products with various IP related aspects.</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850DB8" w:rsidRPr="00AA4DEE" w:rsidRDefault="00850DB8" w:rsidP="002701A7">
            <w:pPr>
              <w:pStyle w:val="spacer"/>
            </w:pPr>
          </w:p>
        </w:tc>
      </w:tr>
      <w:tr w:rsidR="00850DB8" w:rsidRPr="00897E60" w:rsidTr="0060020D">
        <w:trPr>
          <w:cantSplit/>
        </w:trPr>
        <w:tc>
          <w:tcPr>
            <w:tcW w:w="10994" w:type="dxa"/>
            <w:tcBorders>
              <w:top w:val="single" w:sz="4" w:space="0" w:color="auto"/>
            </w:tcBorders>
            <w:shd w:val="clear" w:color="auto" w:fill="auto"/>
            <w:tcMar>
              <w:left w:w="0" w:type="dxa"/>
            </w:tcMar>
          </w:tcPr>
          <w:p w:rsidR="00850DB8" w:rsidRPr="00897E60" w:rsidRDefault="00850DB8" w:rsidP="00B51B70">
            <w:pPr>
              <w:pStyle w:val="Caption"/>
            </w:pPr>
            <w:bookmarkStart w:id="106" w:name="_Ref484786774"/>
            <w:bookmarkStart w:id="107" w:name="_Ref484786768"/>
            <w:bookmarkStart w:id="108" w:name="_Toc497298094"/>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4</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2</w:t>
            </w:r>
            <w:r w:rsidR="004B55F4">
              <w:rPr>
                <w:rStyle w:val="CaptionLabel"/>
              </w:rPr>
              <w:fldChar w:fldCharType="end"/>
            </w:r>
            <w:bookmarkEnd w:id="106"/>
            <w:r>
              <w:tab/>
            </w:r>
            <w:r w:rsidR="00B51B70">
              <w:t>Australian registration process</w:t>
            </w:r>
            <w:bookmarkEnd w:id="107"/>
            <w:r w:rsidR="000643F2">
              <w:t xml:space="preserve"> with IP related provisions</w:t>
            </w:r>
            <w:bookmarkEnd w:id="108"/>
          </w:p>
        </w:tc>
      </w:tr>
      <w:tr w:rsidR="00850DB8" w:rsidRPr="00AA4DEE" w:rsidTr="00580CF7">
        <w:trPr>
          <w:cantSplit/>
          <w:trHeight w:hRule="exact" w:val="380"/>
        </w:trPr>
        <w:tc>
          <w:tcPr>
            <w:tcW w:w="10994" w:type="dxa"/>
            <w:tcBorders>
              <w:bottom w:val="single" w:sz="4" w:space="0" w:color="auto"/>
            </w:tcBorders>
            <w:shd w:val="clear" w:color="auto" w:fill="auto"/>
          </w:tcPr>
          <w:p w:rsidR="00850DB8" w:rsidRPr="00AA4DEE" w:rsidRDefault="00A81AF2" w:rsidP="002701A7">
            <w:pPr>
              <w:pStyle w:val="spacer"/>
            </w:pPr>
            <w:r>
              <w:rPr>
                <w:noProof/>
                <w:lang w:eastAsia="en-AU"/>
              </w:rPr>
              <mc:AlternateContent>
                <mc:Choice Requires="wps">
                  <w:drawing>
                    <wp:anchor distT="0" distB="0" distL="114300" distR="114300" simplePos="0" relativeHeight="251998208" behindDoc="0" locked="1" layoutInCell="1" allowOverlap="1" wp14:anchorId="34A3A13F" wp14:editId="046DB6CC">
                      <wp:simplePos x="0" y="0"/>
                      <wp:positionH relativeFrom="page">
                        <wp:posOffset>6384290</wp:posOffset>
                      </wp:positionH>
                      <wp:positionV relativeFrom="page">
                        <wp:posOffset>-3175</wp:posOffset>
                      </wp:positionV>
                      <wp:extent cx="435600" cy="212400"/>
                      <wp:effectExtent l="0" t="0" r="3175" b="0"/>
                      <wp:wrapNone/>
                      <wp:docPr id="54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FB2D4B" id="Freeform 5" o:spid="_x0000_s1026" style="position:absolute;margin-left:502.7pt;margin-top:-.25pt;width:34.3pt;height:16.7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anchory="page"/>
                      <w10:anchorlock/>
                    </v:shape>
                  </w:pict>
                </mc:Fallback>
              </mc:AlternateContent>
            </w:r>
          </w:p>
        </w:tc>
      </w:tr>
      <w:tr w:rsidR="00850DB8" w:rsidRPr="00AA4DEE" w:rsidTr="00580CF7">
        <w:trPr>
          <w:cantSplit/>
        </w:trPr>
        <w:tc>
          <w:tcPr>
            <w:tcW w:w="10994" w:type="dxa"/>
            <w:tcBorders>
              <w:top w:val="single" w:sz="4" w:space="0" w:color="auto"/>
              <w:bottom w:val="single" w:sz="4" w:space="0" w:color="auto"/>
            </w:tcBorders>
            <w:shd w:val="clear" w:color="auto" w:fill="auto"/>
          </w:tcPr>
          <w:p w:rsidR="00850DB8" w:rsidRPr="00AA4DEE" w:rsidRDefault="00546375" w:rsidP="00A81AF2">
            <w:pPr>
              <w:pStyle w:val="Figure"/>
              <w:spacing w:before="120" w:after="120"/>
            </w:pPr>
            <w:r w:rsidRPr="006E33DA">
              <w:rPr>
                <w:noProof/>
                <w:lang w:eastAsia="en-AU"/>
              </w:rPr>
              <w:drawing>
                <wp:inline distT="0" distB="0" distL="0" distR="0" wp14:anchorId="6C6F14A4" wp14:editId="7C77BDDA">
                  <wp:extent cx="6878051" cy="3530600"/>
                  <wp:effectExtent l="0" t="0" r="0" b="0"/>
                  <wp:docPr id="6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81902" cy="3532577"/>
                          </a:xfrm>
                          <a:prstGeom prst="rect">
                            <a:avLst/>
                          </a:prstGeom>
                          <a:noFill/>
                          <a:ln>
                            <a:noFill/>
                          </a:ln>
                        </pic:spPr>
                      </pic:pic>
                    </a:graphicData>
                  </a:graphic>
                </wp:inline>
              </w:drawing>
            </w:r>
          </w:p>
        </w:tc>
      </w:tr>
      <w:tr w:rsidR="00850DB8" w:rsidRPr="00AA4DEE" w:rsidTr="00580CF7">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535C1C" w:rsidRDefault="00535C1C" w:rsidP="00663AC0">
            <w:pPr>
              <w:pStyle w:val="Source"/>
            </w:pPr>
            <w:r>
              <w:t xml:space="preserve">NOTE: APVMA </w:t>
            </w:r>
            <w:r>
              <w:rPr>
                <w:caps w:val="0"/>
              </w:rPr>
              <w:t xml:space="preserve">has advised that </w:t>
            </w:r>
            <w:r w:rsidRPr="00E730BC">
              <w:rPr>
                <w:caps w:val="0"/>
              </w:rPr>
              <w:t>t</w:t>
            </w:r>
            <w:r>
              <w:rPr>
                <w:caps w:val="0"/>
              </w:rPr>
              <w:t>he data call in and taskforce is hypothetical and not routine practice. Chemical review is a risk-based activity that only occurs as risks are identified that require regulatory intervention.</w:t>
            </w:r>
          </w:p>
          <w:p w:rsidR="00850DB8" w:rsidRPr="00AA4DEE" w:rsidRDefault="00850DB8" w:rsidP="00535C1C">
            <w:pPr>
              <w:pStyle w:val="Source"/>
            </w:pPr>
            <w:r w:rsidRPr="00AA4DEE">
              <w:t xml:space="preserve">Source: </w:t>
            </w:r>
            <w:r w:rsidR="00386636">
              <w:t>C</w:t>
            </w:r>
            <w:r w:rsidR="00386636">
              <w:rPr>
                <w:caps w:val="0"/>
              </w:rPr>
              <w:t>arroll</w:t>
            </w:r>
            <w:r w:rsidR="00EE7099">
              <w:t xml:space="preserve"> MJ 2016, </w:t>
            </w:r>
            <w:r w:rsidR="00386636">
              <w:t>T</w:t>
            </w:r>
            <w:r w:rsidR="00386636">
              <w:rPr>
                <w:caps w:val="0"/>
              </w:rPr>
              <w:t>he importance of regulatory data protection or ex</w:t>
            </w:r>
            <w:r w:rsidR="005E7332">
              <w:rPr>
                <w:caps w:val="0"/>
              </w:rPr>
              <w:t>clusive use and other forms of IP</w:t>
            </w:r>
            <w:r w:rsidR="00386636">
              <w:rPr>
                <w:caps w:val="0"/>
              </w:rPr>
              <w:t xml:space="preserve"> rights in the crop protection industry</w:t>
            </w:r>
            <w:r w:rsidR="00B51B70">
              <w:t xml:space="preserve">, </w:t>
            </w:r>
            <w:r w:rsidR="00386636">
              <w:rPr>
                <w:caps w:val="0"/>
              </w:rPr>
              <w:t>p</w:t>
            </w:r>
            <w:r w:rsidR="00535C1C">
              <w:t xml:space="preserve"> 1634</w:t>
            </w:r>
            <w:r w:rsidR="00E730BC">
              <w:rPr>
                <w:caps w:val="0"/>
              </w:rPr>
              <w:t>.</w:t>
            </w:r>
          </w:p>
        </w:tc>
      </w:tr>
      <w:tr w:rsidR="00E86A68" w:rsidTr="00401D90">
        <w:trPr>
          <w:trHeight w:hRule="exact" w:val="160"/>
        </w:trPr>
        <w:tc>
          <w:tcPr>
            <w:tcW w:w="10994" w:type="dxa"/>
            <w:tcBorders>
              <w:top w:val="single" w:sz="4" w:space="0" w:color="auto"/>
            </w:tcBorders>
            <w:shd w:val="clear" w:color="auto" w:fill="auto"/>
          </w:tcPr>
          <w:p w:rsidR="00850DB8" w:rsidRDefault="00850DB8" w:rsidP="002701A7">
            <w:pPr>
              <w:pStyle w:val="spacertbl"/>
            </w:pPr>
          </w:p>
        </w:tc>
      </w:tr>
    </w:tbl>
    <w:p w:rsidR="0016367D" w:rsidRDefault="0016367D" w:rsidP="0016367D">
      <w:pPr>
        <w:pStyle w:val="BodyText"/>
        <w:rPr>
          <w:rStyle w:val="CharPartText"/>
        </w:rPr>
      </w:pPr>
      <w:r>
        <w:rPr>
          <w:rStyle w:val="CharPartText"/>
        </w:rPr>
        <w:t xml:space="preserve">Agvet chemical manufacturers may seek, on commercial terms, to access information that is being submitted by other </w:t>
      </w:r>
      <w:r w:rsidR="00DA4B84">
        <w:rPr>
          <w:rStyle w:val="CharPartText"/>
        </w:rPr>
        <w:t>companies</w:t>
      </w:r>
      <w:r>
        <w:rPr>
          <w:rStyle w:val="CharPartText"/>
        </w:rPr>
        <w:t xml:space="preserve"> in respect of </w:t>
      </w:r>
      <w:r w:rsidR="000F4893">
        <w:rPr>
          <w:rStyle w:val="CharPartText"/>
        </w:rPr>
        <w:t xml:space="preserve">an </w:t>
      </w:r>
      <w:r>
        <w:rPr>
          <w:rStyle w:val="CharPartText"/>
        </w:rPr>
        <w:t xml:space="preserve">agvet chemical </w:t>
      </w:r>
      <w:r w:rsidR="000F4893">
        <w:rPr>
          <w:rStyle w:val="CharPartText"/>
        </w:rPr>
        <w:t>review by</w:t>
      </w:r>
      <w:r>
        <w:rPr>
          <w:rStyle w:val="CharPartText"/>
        </w:rPr>
        <w:t xml:space="preserve"> the APVMA. In other countries, the term used to describe this arrangement is ‘compensation’. The </w:t>
      </w:r>
      <w:r w:rsidR="00DA4B84">
        <w:rPr>
          <w:rStyle w:val="CharPartText"/>
        </w:rPr>
        <w:t>A</w:t>
      </w:r>
      <w:r>
        <w:rPr>
          <w:rStyle w:val="CharPartText"/>
        </w:rPr>
        <w:t xml:space="preserve">gvet </w:t>
      </w:r>
      <w:r w:rsidR="00DA4B84">
        <w:rPr>
          <w:rStyle w:val="CharPartText"/>
        </w:rPr>
        <w:t>C</w:t>
      </w:r>
      <w:r>
        <w:rPr>
          <w:rStyle w:val="CharPartText"/>
        </w:rPr>
        <w:t>ode includes provisions for APVMA involvement in this process.</w:t>
      </w:r>
    </w:p>
    <w:p w:rsidR="00D739A0" w:rsidRDefault="00D739A0" w:rsidP="00D739A0">
      <w:pPr>
        <w:pStyle w:val="Heading2"/>
      </w:pPr>
      <w:bookmarkStart w:id="109" w:name="_Toc497300834"/>
      <w:r>
        <w:t>E</w:t>
      </w:r>
      <w:r w:rsidR="00983654">
        <w:t>uropean Union</w:t>
      </w:r>
      <w:r>
        <w:t xml:space="preserve"> registration process</w:t>
      </w:r>
      <w:r w:rsidR="00176957">
        <w:t>es</w:t>
      </w:r>
      <w:bookmarkEnd w:id="109"/>
      <w:r>
        <w:t xml:space="preserve"> </w:t>
      </w:r>
    </w:p>
    <w:p w:rsidR="00A649B3" w:rsidRPr="009A5854" w:rsidRDefault="00A649B3" w:rsidP="00A649B3">
      <w:pPr>
        <w:pStyle w:val="Heading3"/>
        <w:rPr>
          <w:lang w:val="en-US"/>
        </w:rPr>
      </w:pPr>
      <w:r w:rsidRPr="009A5854">
        <w:rPr>
          <w:lang w:val="en-US"/>
        </w:rPr>
        <w:t>Plant protection products</w:t>
      </w:r>
    </w:p>
    <w:p w:rsidR="005C09F5" w:rsidRDefault="005C09F5" w:rsidP="005C09F5">
      <w:pPr>
        <w:pStyle w:val="BodyText"/>
        <w:rPr>
          <w:lang w:val="en-US"/>
        </w:rPr>
      </w:pPr>
      <w:r w:rsidRPr="005C09F5">
        <w:rPr>
          <w:lang w:val="en-US"/>
        </w:rPr>
        <w:t>Regulation (EC) No 1107/2009 is the legislation concerning the placing of plant protection products (PPPs) on the market in the European Union.</w:t>
      </w:r>
      <w:r>
        <w:rPr>
          <w:lang w:val="en-US"/>
        </w:rPr>
        <w:t xml:space="preserve"> </w:t>
      </w:r>
      <w:bookmarkStart w:id="110" w:name="maincontentSec1"/>
      <w:bookmarkEnd w:id="110"/>
      <w:r w:rsidRPr="005C09F5">
        <w:rPr>
          <w:lang w:val="en-US"/>
        </w:rPr>
        <w:t xml:space="preserve">PPPs (also referred to as 'pesticides') are products in the form in which they are supplied to the user, consisting of, or containing active substances, </w:t>
      </w:r>
      <w:r w:rsidRPr="002E133C">
        <w:rPr>
          <w:lang w:val="en-US"/>
        </w:rPr>
        <w:t>safeners</w:t>
      </w:r>
      <w:r w:rsidR="002E133C">
        <w:rPr>
          <w:rStyle w:val="FootnoteReference"/>
          <w:lang w:val="en-US"/>
        </w:rPr>
        <w:footnoteReference w:id="78"/>
      </w:r>
      <w:r w:rsidRPr="005C09F5">
        <w:rPr>
          <w:lang w:val="en-US"/>
        </w:rPr>
        <w:t xml:space="preserve"> or</w:t>
      </w:r>
      <w:r w:rsidR="009A5854">
        <w:rPr>
          <w:lang w:val="en-US"/>
        </w:rPr>
        <w:t xml:space="preserve"> synergists</w:t>
      </w:r>
      <w:r>
        <w:rPr>
          <w:lang w:val="en-US"/>
        </w:rPr>
        <w:t>.</w:t>
      </w:r>
      <w:r w:rsidR="009A5854">
        <w:rPr>
          <w:lang w:val="en-US"/>
        </w:rPr>
        <w:t xml:space="preserve"> This regulation applies to users other than in agvet.</w:t>
      </w:r>
    </w:p>
    <w:p w:rsidR="005C09F5" w:rsidRPr="005C09F5" w:rsidRDefault="005C09F5" w:rsidP="005C09F5">
      <w:pPr>
        <w:pStyle w:val="BodyText"/>
        <w:rPr>
          <w:lang w:val="en-US"/>
        </w:rPr>
      </w:pPr>
      <w:r w:rsidRPr="005C09F5">
        <w:rPr>
          <w:lang w:val="en-US"/>
        </w:rPr>
        <w:t>A zonal system of authorisation operates in the E</w:t>
      </w:r>
      <w:r w:rsidR="00983654">
        <w:rPr>
          <w:lang w:val="en-US"/>
        </w:rPr>
        <w:t>uropean Union</w:t>
      </w:r>
      <w:r w:rsidR="00F63F8A">
        <w:rPr>
          <w:lang w:val="en-US"/>
        </w:rPr>
        <w:t xml:space="preserve">, with member countries divided </w:t>
      </w:r>
      <w:r w:rsidRPr="005C09F5">
        <w:rPr>
          <w:lang w:val="en-US"/>
        </w:rPr>
        <w:t xml:space="preserve">into </w:t>
      </w:r>
      <w:r>
        <w:rPr>
          <w:lang w:val="en-US"/>
        </w:rPr>
        <w:t>three</w:t>
      </w:r>
      <w:r w:rsidRPr="005C09F5">
        <w:rPr>
          <w:lang w:val="en-US"/>
        </w:rPr>
        <w:t xml:space="preserve"> zones; North, Central </w:t>
      </w:r>
      <w:r w:rsidR="00F63F8A">
        <w:rPr>
          <w:lang w:val="en-US"/>
        </w:rPr>
        <w:t xml:space="preserve">and South. Member States may assess </w:t>
      </w:r>
      <w:r w:rsidRPr="005C09F5">
        <w:rPr>
          <w:lang w:val="en-US"/>
        </w:rPr>
        <w:t>applications on behalf of other countries in their zone and sometimes on behalf of all zones.</w:t>
      </w:r>
    </w:p>
    <w:p w:rsidR="005C09F5" w:rsidRDefault="005C09F5" w:rsidP="005C09F5">
      <w:pPr>
        <w:pStyle w:val="BodyText"/>
        <w:rPr>
          <w:lang w:val="en-US"/>
        </w:rPr>
      </w:pPr>
      <w:r w:rsidRPr="005C09F5">
        <w:rPr>
          <w:lang w:val="en-US"/>
        </w:rPr>
        <w:t>Applicants, Member States, the European Commission and the European Food Safety Authority (EFSA) can be involved in the process of authorisation.</w:t>
      </w:r>
      <w:r>
        <w:rPr>
          <w:lang w:val="en-US"/>
        </w:rPr>
        <w:t xml:space="preserve"> </w:t>
      </w:r>
      <w:r w:rsidRPr="005C09F5">
        <w:rPr>
          <w:lang w:val="en-US"/>
        </w:rPr>
        <w:t>There are different types of application that can be submitted depending on the intended use of the PPP, the Member State(s) for which the PPP is required and the regulatory status of any existing authorisations</w:t>
      </w:r>
      <w:r>
        <w:rPr>
          <w:lang w:val="en-US"/>
        </w:rPr>
        <w:t xml:space="preserve">. </w:t>
      </w:r>
    </w:p>
    <w:p w:rsidR="005C09F5" w:rsidRPr="005C09F5" w:rsidRDefault="00286A47" w:rsidP="005C09F5">
      <w:pPr>
        <w:pStyle w:val="BodyText"/>
        <w:rPr>
          <w:lang w:val="en-US"/>
        </w:rPr>
      </w:pPr>
      <w:r>
        <w:rPr>
          <w:lang w:val="en-US"/>
        </w:rPr>
        <w:t>The procedure for an approval of active ingredient is slightly different to renewal of approval. Approval generally involves following steps:</w:t>
      </w:r>
      <w:r>
        <w:rPr>
          <w:rStyle w:val="FootnoteReference"/>
          <w:lang w:val="en-US"/>
        </w:rPr>
        <w:footnoteReference w:id="79"/>
      </w:r>
    </w:p>
    <w:p w:rsidR="00286A47" w:rsidRDefault="00286A47" w:rsidP="00241730">
      <w:pPr>
        <w:pStyle w:val="ListBullet"/>
      </w:pPr>
      <w:r>
        <w:t xml:space="preserve">The applicant submits a dossier to a Member State of his choice (the </w:t>
      </w:r>
      <w:r w:rsidRPr="009A5854">
        <w:t>Rapporteur</w:t>
      </w:r>
      <w:r>
        <w:t xml:space="preserve"> Member State, RMS)</w:t>
      </w:r>
      <w:r w:rsidR="00344419">
        <w:t xml:space="preserve">. </w:t>
      </w:r>
      <w:r>
        <w:t xml:space="preserve">The format of the dossier </w:t>
      </w:r>
      <w:r w:rsidR="00C4180B">
        <w:t>is</w:t>
      </w:r>
      <w:r>
        <w:t xml:space="preserve"> established in accordance with the advisory com</w:t>
      </w:r>
      <w:r w:rsidR="00C4180B">
        <w:t>mittee</w:t>
      </w:r>
      <w:r>
        <w:t xml:space="preserve"> procedures</w:t>
      </w:r>
    </w:p>
    <w:p w:rsidR="00286A47" w:rsidRDefault="00286A47" w:rsidP="00286A47">
      <w:pPr>
        <w:pStyle w:val="ListBullet"/>
      </w:pPr>
      <w:r>
        <w:t>Within 45 days RMS acknowledge</w:t>
      </w:r>
      <w:r w:rsidR="00C4180B">
        <w:t>s</w:t>
      </w:r>
      <w:r>
        <w:t xml:space="preserve"> receipt of the dossier and check whether the dossier is complete </w:t>
      </w:r>
    </w:p>
    <w:p w:rsidR="00286A47" w:rsidRDefault="00286A47" w:rsidP="00286A47">
      <w:pPr>
        <w:pStyle w:val="ListBullet"/>
      </w:pPr>
      <w:r>
        <w:t>Where elements are missing in the dossier, the RMS requests the applicant to complete the dossier within 3 months</w:t>
      </w:r>
    </w:p>
    <w:p w:rsidR="00286A47" w:rsidRDefault="00286A47" w:rsidP="00286A47">
      <w:pPr>
        <w:pStyle w:val="ListBullet"/>
      </w:pPr>
      <w:r>
        <w:t>Where at the end of this period the missing elements are not submitted, the application is inadmissible</w:t>
      </w:r>
    </w:p>
    <w:p w:rsidR="00286A47" w:rsidRDefault="00286A47" w:rsidP="00286A47">
      <w:pPr>
        <w:pStyle w:val="ListBullet"/>
      </w:pPr>
      <w:r>
        <w:t>Where the dossier is considered admissible, the RMS notif</w:t>
      </w:r>
      <w:r w:rsidR="00C4180B">
        <w:t>ies</w:t>
      </w:r>
      <w:r>
        <w:t xml:space="preserve"> the applicant, the other M</w:t>
      </w:r>
      <w:r w:rsidR="00C4180B">
        <w:t>ember States</w:t>
      </w:r>
      <w:r>
        <w:t xml:space="preserve">, the Commission and EFSA on the admissibility of the application and start assessing the active ingredient or substance. </w:t>
      </w:r>
    </w:p>
    <w:p w:rsidR="00A448D2" w:rsidRDefault="00286A47" w:rsidP="00286A47">
      <w:pPr>
        <w:pStyle w:val="ListBullet"/>
      </w:pPr>
      <w:r>
        <w:t>The applicant immediately forward</w:t>
      </w:r>
      <w:r w:rsidR="00C4180B">
        <w:t>s</w:t>
      </w:r>
      <w:r>
        <w:t xml:space="preserve"> the dossier to the other M</w:t>
      </w:r>
      <w:r w:rsidR="00C4180B">
        <w:t>ember States</w:t>
      </w:r>
      <w:r>
        <w:t>, the Commission and EFSA</w:t>
      </w:r>
    </w:p>
    <w:p w:rsidR="00286A47" w:rsidRDefault="00286A47" w:rsidP="00286A47">
      <w:pPr>
        <w:pStyle w:val="ListBullet"/>
      </w:pPr>
      <w:r>
        <w:t>EFSA make</w:t>
      </w:r>
      <w:r w:rsidR="00C4180B">
        <w:t>s</w:t>
      </w:r>
      <w:r>
        <w:t xml:space="preserve"> the summary dossier available to the public</w:t>
      </w:r>
    </w:p>
    <w:p w:rsidR="00286A47" w:rsidRDefault="00286A47" w:rsidP="00286A47">
      <w:pPr>
        <w:pStyle w:val="ListBullet"/>
      </w:pPr>
      <w:r>
        <w:t>Within 12 months of the notification of admissibility, the RMS prepare</w:t>
      </w:r>
      <w:r w:rsidR="00C4180B">
        <w:t>s</w:t>
      </w:r>
      <w:r>
        <w:t xml:space="preserve"> a Draft Assessment Report (DAR), assessing whether the active ingredient or substance can be expected to meet the approval criteria </w:t>
      </w:r>
    </w:p>
    <w:p w:rsidR="00286A47" w:rsidRDefault="00286A47" w:rsidP="00286A47">
      <w:pPr>
        <w:pStyle w:val="ListBullet"/>
      </w:pPr>
      <w:r>
        <w:t xml:space="preserve">Where the criteria with regard to CMR classification are not satisfied, the DAR </w:t>
      </w:r>
      <w:r w:rsidR="00C4180B">
        <w:t xml:space="preserve">is </w:t>
      </w:r>
      <w:r>
        <w:t xml:space="preserve">limited to those parts of the assessment </w:t>
      </w:r>
    </w:p>
    <w:p w:rsidR="00286A47" w:rsidRDefault="00286A47" w:rsidP="00286A47">
      <w:pPr>
        <w:pStyle w:val="ListBullet"/>
      </w:pPr>
      <w:r>
        <w:t>The DAR is submitted to the Commission and EFSA</w:t>
      </w:r>
    </w:p>
    <w:p w:rsidR="00286A47" w:rsidRDefault="00286A47" w:rsidP="00286A47">
      <w:pPr>
        <w:pStyle w:val="ListBullet"/>
      </w:pPr>
      <w:r>
        <w:t xml:space="preserve">Where the RMS needs additional information, </w:t>
      </w:r>
      <w:r w:rsidR="00C4180B">
        <w:t xml:space="preserve">there is a maximum of six </w:t>
      </w:r>
      <w:r>
        <w:t xml:space="preserve">months in which the applicant must submit the additional information; the Commission and EFSA </w:t>
      </w:r>
      <w:r w:rsidR="00C4180B">
        <w:t>have to be informed of this</w:t>
      </w:r>
    </w:p>
    <w:p w:rsidR="00286A47" w:rsidRDefault="00286A47" w:rsidP="00286A47">
      <w:pPr>
        <w:pStyle w:val="ListBullet"/>
      </w:pPr>
      <w:r>
        <w:t xml:space="preserve">The format of the DAR </w:t>
      </w:r>
      <w:r w:rsidR="00C4180B">
        <w:t>is e</w:t>
      </w:r>
      <w:r>
        <w:t>stablished in accordance with the advisory comitology procedure</w:t>
      </w:r>
    </w:p>
    <w:p w:rsidR="00286A47" w:rsidRDefault="00286A47" w:rsidP="00286A47">
      <w:pPr>
        <w:pStyle w:val="ListBullet"/>
      </w:pPr>
      <w:r>
        <w:t xml:space="preserve">The EFSA peer review comprises the following steps: </w:t>
      </w:r>
    </w:p>
    <w:p w:rsidR="00286A47" w:rsidRDefault="00286A47" w:rsidP="00286A47">
      <w:pPr>
        <w:pStyle w:val="ListBullet2"/>
      </w:pPr>
      <w:r>
        <w:t xml:space="preserve">Commenting </w:t>
      </w:r>
    </w:p>
    <w:p w:rsidR="00286A47" w:rsidRDefault="00286A47" w:rsidP="00286A47">
      <w:pPr>
        <w:pStyle w:val="ListBullet2"/>
      </w:pPr>
      <w:r>
        <w:t xml:space="preserve">Consideration of the comments </w:t>
      </w:r>
    </w:p>
    <w:p w:rsidR="00286A47" w:rsidRDefault="00286A47" w:rsidP="00286A47">
      <w:pPr>
        <w:pStyle w:val="ListBullet2"/>
      </w:pPr>
      <w:r>
        <w:t xml:space="preserve">Expert meetings (optional) </w:t>
      </w:r>
    </w:p>
    <w:p w:rsidR="00286A47" w:rsidRDefault="00286A47" w:rsidP="00286A47">
      <w:pPr>
        <w:pStyle w:val="ListBullet2"/>
      </w:pPr>
      <w:r>
        <w:t>Drafting of the EFSA conclusion</w:t>
      </w:r>
    </w:p>
    <w:p w:rsidR="00A448D2" w:rsidRDefault="00286A47" w:rsidP="00A448D2">
      <w:pPr>
        <w:pStyle w:val="ListBullet"/>
      </w:pPr>
      <w:r>
        <w:t>EFSA circulate</w:t>
      </w:r>
      <w:r w:rsidR="00C4180B">
        <w:t>s</w:t>
      </w:r>
      <w:r>
        <w:t xml:space="preserve"> the DAR to the applicant and the other M</w:t>
      </w:r>
      <w:r w:rsidR="00C4180B">
        <w:t xml:space="preserve">ember States </w:t>
      </w:r>
      <w:r>
        <w:t>within 30 days</w:t>
      </w:r>
    </w:p>
    <w:p w:rsidR="00A448D2" w:rsidRDefault="00286A47" w:rsidP="00A448D2">
      <w:pPr>
        <w:pStyle w:val="ListBullet"/>
      </w:pPr>
      <w:r>
        <w:t>Where relevant EFSA ask</w:t>
      </w:r>
      <w:r w:rsidR="00C4180B">
        <w:t>s</w:t>
      </w:r>
      <w:r>
        <w:t xml:space="preserve"> the applicant to circulate an updated dossier to the M</w:t>
      </w:r>
      <w:r w:rsidR="00C4180B">
        <w:t>ember States</w:t>
      </w:r>
      <w:r>
        <w:t>, the Commission and EFSA</w:t>
      </w:r>
    </w:p>
    <w:p w:rsidR="00A448D2" w:rsidRDefault="00286A47" w:rsidP="00A448D2">
      <w:pPr>
        <w:pStyle w:val="ListBullet"/>
      </w:pPr>
      <w:r>
        <w:t>EFSA make</w:t>
      </w:r>
      <w:r w:rsidR="00C4180B">
        <w:t>s</w:t>
      </w:r>
      <w:r>
        <w:t xml:space="preserve"> the DAR available to the public</w:t>
      </w:r>
    </w:p>
    <w:p w:rsidR="00A448D2" w:rsidRDefault="00286A47" w:rsidP="00A448D2">
      <w:pPr>
        <w:pStyle w:val="ListBullet"/>
      </w:pPr>
      <w:r>
        <w:t xml:space="preserve">A period of 60 days </w:t>
      </w:r>
      <w:r w:rsidR="00C4180B">
        <w:t xml:space="preserve">is allowed </w:t>
      </w:r>
      <w:r>
        <w:t>for submission of comments (</w:t>
      </w:r>
      <w:r w:rsidR="00C4180B">
        <w:t xml:space="preserve">from the </w:t>
      </w:r>
      <w:r>
        <w:t>applicant, M</w:t>
      </w:r>
      <w:r w:rsidR="00C4180B">
        <w:t>ember States and the public)</w:t>
      </w:r>
    </w:p>
    <w:p w:rsidR="00286A47" w:rsidRDefault="00286A47" w:rsidP="00A448D2">
      <w:pPr>
        <w:pStyle w:val="ListBullet"/>
      </w:pPr>
      <w:r>
        <w:t>EFSA also comments on the DAR</w:t>
      </w:r>
    </w:p>
    <w:p w:rsidR="009E2AA2" w:rsidRDefault="009E2AA2" w:rsidP="00A448D2">
      <w:pPr>
        <w:pStyle w:val="ListBullet"/>
      </w:pPr>
      <w:r>
        <w:t>The comments are collated in a “reporting table”</w:t>
      </w:r>
    </w:p>
    <w:p w:rsidR="009E2AA2" w:rsidRDefault="009E2AA2" w:rsidP="00A448D2">
      <w:pPr>
        <w:pStyle w:val="ListBullet"/>
      </w:pPr>
      <w:r>
        <w:t xml:space="preserve">The applicant is given the </w:t>
      </w:r>
      <w:r w:rsidR="00C4180B">
        <w:t>opportunity</w:t>
      </w:r>
      <w:r>
        <w:t xml:space="preserve"> to react on the comments</w:t>
      </w:r>
    </w:p>
    <w:p w:rsidR="009E2AA2" w:rsidRDefault="009E2AA2" w:rsidP="00A448D2">
      <w:pPr>
        <w:pStyle w:val="ListBullet"/>
      </w:pPr>
      <w:r>
        <w:t>The RMS is invited to address all comments</w:t>
      </w:r>
    </w:p>
    <w:p w:rsidR="009E2AA2" w:rsidRDefault="009E2AA2" w:rsidP="00A448D2">
      <w:pPr>
        <w:pStyle w:val="ListBullet"/>
      </w:pPr>
      <w:r>
        <w:t xml:space="preserve">EFSA </w:t>
      </w:r>
      <w:r w:rsidR="00C4180B">
        <w:t>determines</w:t>
      </w:r>
      <w:r>
        <w:t xml:space="preserve"> the way forward </w:t>
      </w:r>
      <w:r w:rsidR="00C4180B">
        <w:t xml:space="preserve">in respect of </w:t>
      </w:r>
      <w:r>
        <w:t>each of the comments (point closed, point to be further considered by the RMS, point to be scheduled in an expert meeting, additional information requested)</w:t>
      </w:r>
    </w:p>
    <w:p w:rsidR="009E2AA2" w:rsidRDefault="009E2AA2" w:rsidP="00A448D2">
      <w:pPr>
        <w:pStyle w:val="ListBullet"/>
      </w:pPr>
      <w:r>
        <w:t>Where EFSA needs additional information it set</w:t>
      </w:r>
      <w:r w:rsidR="00C4180B">
        <w:t>s</w:t>
      </w:r>
      <w:r>
        <w:t xml:space="preserve"> a period of a maximum of 90 days for the applicant to submit it to the M</w:t>
      </w:r>
      <w:r w:rsidR="00C4180B">
        <w:t>ember States</w:t>
      </w:r>
      <w:r>
        <w:t>, the Commission and EFSA</w:t>
      </w:r>
    </w:p>
    <w:p w:rsidR="009E2AA2" w:rsidRDefault="009E2AA2" w:rsidP="00A448D2">
      <w:pPr>
        <w:pStyle w:val="ListBullet"/>
      </w:pPr>
      <w:r>
        <w:t>The need for additional information is discussed in a teleconference between EFSA</w:t>
      </w:r>
      <w:r w:rsidR="006E37B2">
        <w:t xml:space="preserve"> </w:t>
      </w:r>
      <w:r>
        <w:t>/</w:t>
      </w:r>
      <w:r w:rsidR="006E37B2">
        <w:t xml:space="preserve"> </w:t>
      </w:r>
      <w:r>
        <w:t>COM</w:t>
      </w:r>
      <w:r w:rsidR="006E37B2">
        <w:t xml:space="preserve"> </w:t>
      </w:r>
      <w:r>
        <w:t>/</w:t>
      </w:r>
      <w:r w:rsidR="006E37B2">
        <w:t xml:space="preserve"> </w:t>
      </w:r>
      <w:r>
        <w:t>RMS</w:t>
      </w:r>
    </w:p>
    <w:p w:rsidR="009E2AA2" w:rsidRDefault="009E2AA2" w:rsidP="00A448D2">
      <w:pPr>
        <w:pStyle w:val="ListBullet"/>
      </w:pPr>
      <w:r>
        <w:t>The RMS assess</w:t>
      </w:r>
      <w:r w:rsidR="00C4180B">
        <w:t>es</w:t>
      </w:r>
      <w:r>
        <w:t xml:space="preserve"> the additional information within 60 days</w:t>
      </w:r>
    </w:p>
    <w:p w:rsidR="009E2AA2" w:rsidRDefault="009E2AA2" w:rsidP="00A448D2">
      <w:pPr>
        <w:pStyle w:val="ListBullet"/>
      </w:pPr>
      <w:r>
        <w:t>The period for the adoption of t</w:t>
      </w:r>
      <w:r w:rsidR="00C4180B">
        <w:t xml:space="preserve">he EFSA conclusion is extended where </w:t>
      </w:r>
      <w:r>
        <w:t>the time needed to submit and assess the additional information</w:t>
      </w:r>
    </w:p>
    <w:p w:rsidR="009E2AA2" w:rsidRDefault="009E2AA2" w:rsidP="00A448D2">
      <w:pPr>
        <w:pStyle w:val="ListBullet"/>
      </w:pPr>
      <w:r>
        <w:t>Where appropriate, EFSA organise</w:t>
      </w:r>
      <w:r w:rsidR="00C4180B">
        <w:t>s</w:t>
      </w:r>
      <w:r>
        <w:t xml:space="preserve"> a consultation of experts, including experts from the RMS</w:t>
      </w:r>
    </w:p>
    <w:p w:rsidR="009E2AA2" w:rsidRDefault="009E2AA2" w:rsidP="00A448D2">
      <w:pPr>
        <w:pStyle w:val="ListBullet"/>
      </w:pPr>
      <w:r>
        <w:t>On the basis of the reporting table EFSA decides which points need to be discussed in an expert consultation</w:t>
      </w:r>
    </w:p>
    <w:p w:rsidR="009E2AA2" w:rsidRDefault="009E2AA2" w:rsidP="00A448D2">
      <w:pPr>
        <w:pStyle w:val="ListBullet"/>
      </w:pPr>
      <w:r>
        <w:t>These points are transferred to an evaluation table</w:t>
      </w:r>
    </w:p>
    <w:p w:rsidR="009E2AA2" w:rsidRDefault="009E2AA2" w:rsidP="00A448D2">
      <w:pPr>
        <w:pStyle w:val="ListBullet"/>
      </w:pPr>
      <w:r>
        <w:t>The evaluation table is further completed throughout the peer review process (further input from the RMS where relevant, outcome of the discussions during the expert consultation, final EFSA position on each issue)</w:t>
      </w:r>
    </w:p>
    <w:p w:rsidR="009E2AA2" w:rsidRDefault="009E2AA2" w:rsidP="00A448D2">
      <w:pPr>
        <w:pStyle w:val="ListBullet"/>
      </w:pPr>
      <w:r>
        <w:t>The discussions during the meeting are documented in detail in a discussion table</w:t>
      </w:r>
    </w:p>
    <w:p w:rsidR="009E2AA2" w:rsidRDefault="009E2AA2" w:rsidP="00A448D2">
      <w:pPr>
        <w:pStyle w:val="ListBullet"/>
      </w:pPr>
      <w:r>
        <w:t>EFSA adopt</w:t>
      </w:r>
      <w:r w:rsidR="00C4180B">
        <w:t>s a conclusion</w:t>
      </w:r>
      <w:r>
        <w:t xml:space="preserve"> within 120 days after the commenting period on whether the active ingredient. can be expected to meet the approval criteria</w:t>
      </w:r>
    </w:p>
    <w:p w:rsidR="009E2AA2" w:rsidRDefault="009E2AA2" w:rsidP="00A448D2">
      <w:pPr>
        <w:pStyle w:val="ListBullet"/>
      </w:pPr>
      <w:r>
        <w:t>This period is extended to 150 days in case an expert consultation takes place</w:t>
      </w:r>
    </w:p>
    <w:p w:rsidR="009E2AA2" w:rsidRDefault="009E2AA2" w:rsidP="00A448D2">
      <w:pPr>
        <w:pStyle w:val="ListBullet"/>
      </w:pPr>
      <w:r>
        <w:t>Before adopting the conclusion, EFSA circulates the draft to the M</w:t>
      </w:r>
      <w:r w:rsidR="00C4180B">
        <w:t xml:space="preserve">ember States </w:t>
      </w:r>
      <w:r>
        <w:t>for a written consultation</w:t>
      </w:r>
    </w:p>
    <w:p w:rsidR="009E2AA2" w:rsidRDefault="009E2AA2" w:rsidP="00A448D2">
      <w:pPr>
        <w:pStyle w:val="ListBullet"/>
      </w:pPr>
      <w:r>
        <w:t>The M</w:t>
      </w:r>
      <w:r w:rsidR="00C4180B">
        <w:t xml:space="preserve">ember States’ </w:t>
      </w:r>
      <w:r>
        <w:t>comments are collated in a table; for each comment, EFSA indicates in the table how the comment was addressed</w:t>
      </w:r>
    </w:p>
    <w:p w:rsidR="009E2AA2" w:rsidRDefault="009E2AA2" w:rsidP="00A448D2">
      <w:pPr>
        <w:pStyle w:val="ListBullet"/>
      </w:pPr>
      <w:r>
        <w:t xml:space="preserve">the EFSA conclusion refers to </w:t>
      </w:r>
      <w:r w:rsidR="00C4180B">
        <w:t>B</w:t>
      </w:r>
      <w:r>
        <w:t xml:space="preserve">ackground </w:t>
      </w:r>
      <w:r w:rsidR="00C4180B">
        <w:t>D</w:t>
      </w:r>
      <w:r>
        <w:t xml:space="preserve">ocuments A and B; </w:t>
      </w:r>
      <w:r w:rsidR="00C4180B">
        <w:t>B</w:t>
      </w:r>
      <w:r>
        <w:t xml:space="preserve">ackground </w:t>
      </w:r>
      <w:r w:rsidR="00C4180B">
        <w:t>D</w:t>
      </w:r>
      <w:r>
        <w:t xml:space="preserve">ocument A is the DAR and any addenda to it; </w:t>
      </w:r>
      <w:r w:rsidR="00C4180B">
        <w:t>B</w:t>
      </w:r>
      <w:r>
        <w:t xml:space="preserve">ackground </w:t>
      </w:r>
      <w:r w:rsidR="00C4180B">
        <w:t>D</w:t>
      </w:r>
      <w:r>
        <w:t>ocument B is the compilation of all documents generated during the peer review process (reporting, evaluation and discussion tables)</w:t>
      </w:r>
    </w:p>
    <w:p w:rsidR="009E2AA2" w:rsidRDefault="009E2AA2" w:rsidP="00A448D2">
      <w:pPr>
        <w:pStyle w:val="ListBullet"/>
      </w:pPr>
      <w:r>
        <w:t xml:space="preserve">EFSA </w:t>
      </w:r>
      <w:r w:rsidR="00C4180B">
        <w:t xml:space="preserve">reaches a </w:t>
      </w:r>
      <w:r>
        <w:t xml:space="preserve">conclusion and the </w:t>
      </w:r>
      <w:r w:rsidR="00C4180B">
        <w:t>B</w:t>
      </w:r>
      <w:r>
        <w:t xml:space="preserve">ackground </w:t>
      </w:r>
      <w:r w:rsidR="00C4180B">
        <w:t>D</w:t>
      </w:r>
      <w:r>
        <w:t xml:space="preserve">ocuments A and B </w:t>
      </w:r>
      <w:r w:rsidR="00C4180B">
        <w:t xml:space="preserve">are made </w:t>
      </w:r>
      <w:r>
        <w:t>available on its website</w:t>
      </w:r>
      <w:r w:rsidR="0055687B">
        <w:t>, and</w:t>
      </w:r>
    </w:p>
    <w:p w:rsidR="009E2AA2" w:rsidRDefault="009E2AA2" w:rsidP="00A448D2">
      <w:pPr>
        <w:pStyle w:val="ListBullet"/>
      </w:pPr>
      <w:r>
        <w:t xml:space="preserve">Within </w:t>
      </w:r>
      <w:r w:rsidR="00983654">
        <w:t>six</w:t>
      </w:r>
      <w:r>
        <w:t xml:space="preserve"> months of receiving the conclusion the Commission present</w:t>
      </w:r>
      <w:r w:rsidR="00C4180B">
        <w:t>s</w:t>
      </w:r>
      <w:r>
        <w:t xml:space="preserve"> a review report and a draft regulation on approval or non-approval of the active ingredient to the Standing Committee</w:t>
      </w:r>
      <w:r w:rsidR="0055687B">
        <w:t>.</w:t>
      </w:r>
    </w:p>
    <w:p w:rsidR="009F036F" w:rsidRDefault="009E2AA2" w:rsidP="00C701CC">
      <w:pPr>
        <w:pStyle w:val="ListBullet"/>
        <w:numPr>
          <w:ilvl w:val="0"/>
          <w:numId w:val="0"/>
        </w:numPr>
      </w:pPr>
      <w:r>
        <w:t>E</w:t>
      </w:r>
      <w:r w:rsidR="00983654">
        <w:t>uropean Union</w:t>
      </w:r>
      <w:r>
        <w:t xml:space="preserve"> new active substance approval timelines</w:t>
      </w:r>
      <w:r w:rsidR="00383D4F">
        <w:t xml:space="preserve"> (including additional information request and expert consultation)</w:t>
      </w:r>
      <w:r>
        <w:t xml:space="preserve"> are provided in </w:t>
      </w:r>
      <w:r w:rsidR="00356252">
        <w:fldChar w:fldCharType="begin"/>
      </w:r>
      <w:r w:rsidR="00356252">
        <w:instrText xml:space="preserve"> REF _Ref485122959 \h </w:instrText>
      </w:r>
      <w:r w:rsidR="00356252">
        <w:fldChar w:fldCharType="separate"/>
      </w:r>
      <w:r w:rsidR="0087688C" w:rsidRPr="00897E60">
        <w:rPr>
          <w:rStyle w:val="CaptionLabel"/>
        </w:rPr>
        <w:t>Figure</w:t>
      </w:r>
      <w:r w:rsidR="0087688C">
        <w:rPr>
          <w:rStyle w:val="CaptionLabel"/>
        </w:rPr>
        <w:t> </w:t>
      </w:r>
      <w:r w:rsidR="0087688C">
        <w:rPr>
          <w:rStyle w:val="CaptionLabel"/>
          <w:noProof/>
        </w:rPr>
        <w:t>4</w:t>
      </w:r>
      <w:r w:rsidR="0087688C">
        <w:rPr>
          <w:rStyle w:val="CaptionLabel"/>
        </w:rPr>
        <w:t>.</w:t>
      </w:r>
      <w:r w:rsidR="0087688C">
        <w:rPr>
          <w:rStyle w:val="CaptionLabel"/>
          <w:noProof/>
        </w:rPr>
        <w:t>3</w:t>
      </w:r>
      <w:r w:rsidR="00356252">
        <w:fldChar w:fldCharType="end"/>
      </w:r>
      <w:r>
        <w:t>.</w:t>
      </w:r>
      <w:r w:rsidR="00C701CC">
        <w:t xml:space="preserve"> </w:t>
      </w:r>
    </w:p>
    <w:p w:rsidR="0016367D" w:rsidRDefault="0016367D" w:rsidP="00C701CC">
      <w:pPr>
        <w:pStyle w:val="ListBullet"/>
        <w:numPr>
          <w:ilvl w:val="0"/>
          <w:numId w:val="0"/>
        </w:numPr>
      </w:pPr>
      <w:r>
        <w:fldChar w:fldCharType="begin"/>
      </w:r>
      <w:r>
        <w:instrText xml:space="preserve"> REF _Ref485122993 \h </w:instrText>
      </w:r>
      <w:r>
        <w:fldChar w:fldCharType="separate"/>
      </w:r>
      <w:r w:rsidR="0087688C" w:rsidRPr="00897E60">
        <w:rPr>
          <w:rStyle w:val="CaptionLabel"/>
        </w:rPr>
        <w:t>Figure</w:t>
      </w:r>
      <w:r w:rsidR="0087688C">
        <w:rPr>
          <w:rStyle w:val="CaptionLabel"/>
        </w:rPr>
        <w:t> </w:t>
      </w:r>
      <w:r w:rsidR="0087688C">
        <w:rPr>
          <w:rStyle w:val="CaptionLabel"/>
          <w:noProof/>
        </w:rPr>
        <w:t>4</w:t>
      </w:r>
      <w:r w:rsidR="0087688C">
        <w:rPr>
          <w:rStyle w:val="CaptionLabel"/>
        </w:rPr>
        <w:t>.</w:t>
      </w:r>
      <w:r w:rsidR="0087688C">
        <w:rPr>
          <w:rStyle w:val="CaptionLabel"/>
          <w:noProof/>
        </w:rPr>
        <w:t>4</w:t>
      </w:r>
      <w:r>
        <w:fldChar w:fldCharType="end"/>
      </w:r>
      <w:r>
        <w:t xml:space="preserve"> shows the schematic representation of the EU registration process for chemical plant protection products with IP related provisions.</w:t>
      </w:r>
    </w:p>
    <w:p w:rsidR="0016367D" w:rsidRDefault="0016367D" w:rsidP="0016367D">
      <w:pPr>
        <w:pStyle w:val="BodyText"/>
      </w:pPr>
      <w:r>
        <w:t>Key elements in the EU registration process in relation to patents</w:t>
      </w:r>
      <w:r w:rsidR="00C701CC">
        <w:t xml:space="preserve"> and </w:t>
      </w:r>
      <w:r>
        <w:t>data protection include:</w:t>
      </w:r>
    </w:p>
    <w:p w:rsidR="0016367D" w:rsidRDefault="0016367D" w:rsidP="00C701CC">
      <w:pPr>
        <w:pStyle w:val="ListBullet"/>
      </w:pPr>
      <w:r>
        <w:t xml:space="preserve">A </w:t>
      </w:r>
      <w:r w:rsidRPr="00631B70">
        <w:t>20 year patent protection</w:t>
      </w:r>
      <w:r>
        <w:t xml:space="preserve"> in EU can be supplemented by up to a further 5 years through </w:t>
      </w:r>
      <w:r w:rsidR="00701F68">
        <w:t xml:space="preserve">the </w:t>
      </w:r>
      <w:r>
        <w:t>use of supplementary protection certificates (SPCs) if market entry has been significantly delayed by the registration process.</w:t>
      </w:r>
      <w:r>
        <w:rPr>
          <w:rStyle w:val="FootnoteReference"/>
        </w:rPr>
        <w:footnoteReference w:id="80"/>
      </w:r>
    </w:p>
    <w:p w:rsidR="00C701CC" w:rsidRDefault="00C701CC" w:rsidP="00C701CC">
      <w:pPr>
        <w:pStyle w:val="ListBullet"/>
        <w:rPr>
          <w:lang w:val="en-US"/>
        </w:rPr>
      </w:pPr>
      <w:r w:rsidRPr="00631B70">
        <w:rPr>
          <w:lang w:val="en-US"/>
        </w:rPr>
        <w:t>Once the chemical plant protection product is authorised at Member State level, 10 years of regulatory data protecti</w:t>
      </w:r>
      <w:r w:rsidR="00701F68">
        <w:rPr>
          <w:lang w:val="en-US"/>
        </w:rPr>
        <w:t>on or exclusive use is granted in relation to</w:t>
      </w:r>
      <w:r w:rsidRPr="00631B70">
        <w:rPr>
          <w:lang w:val="en-US"/>
        </w:rPr>
        <w:t xml:space="preserve"> that particular </w:t>
      </w:r>
      <w:r>
        <w:rPr>
          <w:lang w:val="en-US"/>
        </w:rPr>
        <w:t>Member State</w:t>
      </w:r>
      <w:r w:rsidRPr="00631B70">
        <w:rPr>
          <w:lang w:val="en-US"/>
        </w:rPr>
        <w:t xml:space="preserve">. A further </w:t>
      </w:r>
      <w:r>
        <w:rPr>
          <w:lang w:val="en-US"/>
        </w:rPr>
        <w:t>three</w:t>
      </w:r>
      <w:r w:rsidRPr="00631B70">
        <w:rPr>
          <w:lang w:val="en-US"/>
        </w:rPr>
        <w:t xml:space="preserve"> years maximum, exclusive use is possible if 12 minor uses are developed and </w:t>
      </w:r>
      <w:r w:rsidR="0064164D">
        <w:rPr>
          <w:lang w:val="en-US"/>
        </w:rPr>
        <w:t>authoris</w:t>
      </w:r>
      <w:r>
        <w:rPr>
          <w:lang w:val="en-US"/>
        </w:rPr>
        <w:t>ed. This can extend the data exclusivity period past</w:t>
      </w:r>
      <w:r w:rsidRPr="00631B70">
        <w:rPr>
          <w:lang w:val="en-US"/>
        </w:rPr>
        <w:t xml:space="preserve"> the patent expiry</w:t>
      </w:r>
      <w:r>
        <w:rPr>
          <w:lang w:val="en-US"/>
        </w:rPr>
        <w:t xml:space="preserve"> date</w:t>
      </w:r>
      <w:r w:rsidRPr="00631B70">
        <w:rPr>
          <w:lang w:val="en-US"/>
        </w:rPr>
        <w:t xml:space="preserve">. </w:t>
      </w:r>
    </w:p>
    <w:p w:rsidR="00C701CC" w:rsidRDefault="00C701CC" w:rsidP="00C701CC">
      <w:pPr>
        <w:pStyle w:val="ListBullet"/>
      </w:pPr>
      <w:r w:rsidRPr="002E1979">
        <w:rPr>
          <w:lang w:val="en-US"/>
        </w:rPr>
        <w:t>The Bolar exemption</w:t>
      </w:r>
      <w:r>
        <w:rPr>
          <w:rStyle w:val="FootnoteReference"/>
          <w:lang w:val="en-US"/>
        </w:rPr>
        <w:footnoteReference w:id="81"/>
      </w:r>
      <w:r w:rsidRPr="002E1979">
        <w:rPr>
          <w:sz w:val="12"/>
          <w:szCs w:val="12"/>
          <w:lang w:val="en-US"/>
        </w:rPr>
        <w:t xml:space="preserve"> </w:t>
      </w:r>
      <w:r w:rsidRPr="002E1979">
        <w:rPr>
          <w:lang w:val="en-US"/>
        </w:rPr>
        <w:t xml:space="preserve">allows companies other than the inventing company to develop their registration dossiers during the last couple of years of the patent or SPC, and eventually </w:t>
      </w:r>
      <w:r>
        <w:rPr>
          <w:lang w:val="en-US"/>
        </w:rPr>
        <w:t xml:space="preserve">other </w:t>
      </w:r>
      <w:r w:rsidRPr="002E1979">
        <w:rPr>
          <w:lang w:val="en-US"/>
        </w:rPr>
        <w:t>manufacturers with generic versions of the original product enter the market.</w:t>
      </w:r>
    </w:p>
    <w:tbl>
      <w:tblPr>
        <w:tblW w:w="8168" w:type="dxa"/>
        <w:tblInd w:w="12" w:type="dxa"/>
        <w:tblLayout w:type="fixed"/>
        <w:tblCellMar>
          <w:left w:w="0" w:type="dxa"/>
          <w:right w:w="0" w:type="dxa"/>
        </w:tblCellMar>
        <w:tblLook w:val="04A0" w:firstRow="1" w:lastRow="0" w:firstColumn="1" w:lastColumn="0" w:noHBand="0" w:noVBand="1"/>
        <w:tblDescription w:val="fig_std"/>
      </w:tblPr>
      <w:tblGrid>
        <w:gridCol w:w="8168"/>
      </w:tblGrid>
      <w:tr w:rsidR="00E86A68" w:rsidRPr="00AA4DEE" w:rsidTr="00401D90">
        <w:trPr>
          <w:cantSplit/>
          <w:trHeight w:hRule="exact" w:val="160"/>
        </w:trPr>
        <w:tc>
          <w:tcPr>
            <w:tcW w:w="8168" w:type="dxa"/>
            <w:tcBorders>
              <w:bottom w:val="single" w:sz="4" w:space="0" w:color="auto"/>
            </w:tcBorders>
            <w:shd w:val="clear" w:color="auto" w:fill="auto"/>
          </w:tcPr>
          <w:p w:rsidR="00CA6DDF" w:rsidRPr="00AA4DEE" w:rsidRDefault="00CA6DDF" w:rsidP="00D340F3">
            <w:pPr>
              <w:pStyle w:val="spacer"/>
            </w:pPr>
          </w:p>
        </w:tc>
      </w:tr>
      <w:tr w:rsidR="00E86A68" w:rsidRPr="00897E60" w:rsidTr="00401D90">
        <w:trPr>
          <w:cantSplit/>
        </w:trPr>
        <w:tc>
          <w:tcPr>
            <w:tcW w:w="8168" w:type="dxa"/>
            <w:tcBorders>
              <w:top w:val="single" w:sz="4" w:space="0" w:color="auto"/>
            </w:tcBorders>
            <w:shd w:val="clear" w:color="auto" w:fill="auto"/>
            <w:tcMar>
              <w:left w:w="0" w:type="dxa"/>
            </w:tcMar>
          </w:tcPr>
          <w:p w:rsidR="00CA6DDF" w:rsidRPr="00897E60" w:rsidRDefault="00CA6DDF" w:rsidP="00A153EE">
            <w:pPr>
              <w:pStyle w:val="Caption"/>
            </w:pPr>
            <w:bookmarkStart w:id="111" w:name="_Ref485122959"/>
            <w:bookmarkStart w:id="112" w:name="_Toc497298095"/>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4</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3</w:t>
            </w:r>
            <w:r w:rsidR="004B55F4">
              <w:rPr>
                <w:rStyle w:val="CaptionLabel"/>
              </w:rPr>
              <w:fldChar w:fldCharType="end"/>
            </w:r>
            <w:bookmarkEnd w:id="111"/>
            <w:r>
              <w:tab/>
            </w:r>
            <w:r w:rsidR="00383D4F">
              <w:t>EU new active substance approval procedure</w:t>
            </w:r>
            <w:bookmarkEnd w:id="112"/>
          </w:p>
        </w:tc>
      </w:tr>
      <w:tr w:rsidR="00CA6DDF" w:rsidRPr="00AA4DEE" w:rsidTr="00580CF7">
        <w:trPr>
          <w:cantSplit/>
          <w:trHeight w:hRule="exact" w:val="380"/>
        </w:trPr>
        <w:tc>
          <w:tcPr>
            <w:tcW w:w="8168" w:type="dxa"/>
            <w:tcBorders>
              <w:bottom w:val="single" w:sz="4" w:space="0" w:color="auto"/>
            </w:tcBorders>
            <w:shd w:val="clear" w:color="auto" w:fill="auto"/>
          </w:tcPr>
          <w:p w:rsidR="00CA6DDF" w:rsidRPr="00AA4DEE" w:rsidRDefault="00A81AF2" w:rsidP="00D340F3">
            <w:pPr>
              <w:pStyle w:val="spacer"/>
            </w:pPr>
            <w:r>
              <w:rPr>
                <w:noProof/>
                <w:lang w:eastAsia="en-AU"/>
              </w:rPr>
              <mc:AlternateContent>
                <mc:Choice Requires="wps">
                  <w:drawing>
                    <wp:anchor distT="0" distB="0" distL="114300" distR="114300" simplePos="0" relativeHeight="252002304" behindDoc="0" locked="1" layoutInCell="1" allowOverlap="1" wp14:anchorId="34A3A13F" wp14:editId="046DB6CC">
                      <wp:simplePos x="0" y="0"/>
                      <wp:positionH relativeFrom="page">
                        <wp:posOffset>4615180</wp:posOffset>
                      </wp:positionH>
                      <wp:positionV relativeFrom="page">
                        <wp:posOffset>4445</wp:posOffset>
                      </wp:positionV>
                      <wp:extent cx="435600" cy="212400"/>
                      <wp:effectExtent l="0" t="0" r="3175" b="0"/>
                      <wp:wrapNone/>
                      <wp:docPr id="66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EBDB68" id="Freeform 5" o:spid="_x0000_s1026" style="position:absolute;margin-left:363.4pt;margin-top:.35pt;width:34.3pt;height:16.7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9fQ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anchory="page"/>
                      <w10:anchorlock/>
                    </v:shape>
                  </w:pict>
                </mc:Fallback>
              </mc:AlternateContent>
            </w:r>
            <w:r w:rsidR="00546375">
              <w:rPr>
                <w:noProof/>
                <w:lang w:eastAsia="en-AU"/>
              </w:rPr>
              <mc:AlternateContent>
                <mc:Choice Requires="wps">
                  <w:drawing>
                    <wp:anchor distT="0" distB="0" distL="114300" distR="114300" simplePos="0" relativeHeight="251904000" behindDoc="0" locked="1" layoutInCell="1" allowOverlap="1" wp14:anchorId="0F2C9567" wp14:editId="3C6C531B">
                      <wp:simplePos x="0" y="0"/>
                      <wp:positionH relativeFrom="page">
                        <wp:posOffset>6514465</wp:posOffset>
                      </wp:positionH>
                      <wp:positionV relativeFrom="page">
                        <wp:posOffset>1471295</wp:posOffset>
                      </wp:positionV>
                      <wp:extent cx="436880" cy="213360"/>
                      <wp:effectExtent l="0" t="0" r="1270" b="0"/>
                      <wp:wrapNone/>
                      <wp:docPr id="7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38EC94" id="Freeform 5" o:spid="_x0000_s1026" style="position:absolute;margin-left:512.95pt;margin-top:115.85pt;width:34.4pt;height:16.8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CA6DDF" w:rsidRPr="00AA4DEE" w:rsidTr="00580CF7">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CA6DDF" w:rsidRPr="00AA4DEE" w:rsidRDefault="00546375" w:rsidP="00A81AF2">
            <w:pPr>
              <w:pStyle w:val="Figure"/>
              <w:spacing w:before="120" w:after="120"/>
            </w:pPr>
            <w:r w:rsidRPr="006E33DA">
              <w:rPr>
                <w:noProof/>
                <w:lang w:eastAsia="en-AU"/>
              </w:rPr>
              <w:drawing>
                <wp:inline distT="0" distB="0" distL="0" distR="0" wp14:anchorId="47A6E47B" wp14:editId="6898103B">
                  <wp:extent cx="5189855" cy="6036945"/>
                  <wp:effectExtent l="0" t="0" r="0" b="1905"/>
                  <wp:docPr id="7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9855" cy="6036945"/>
                          </a:xfrm>
                          <a:prstGeom prst="rect">
                            <a:avLst/>
                          </a:prstGeom>
                          <a:noFill/>
                          <a:ln>
                            <a:noFill/>
                          </a:ln>
                        </pic:spPr>
                      </pic:pic>
                    </a:graphicData>
                  </a:graphic>
                </wp:inline>
              </w:drawing>
            </w:r>
          </w:p>
        </w:tc>
      </w:tr>
      <w:tr w:rsidR="00E86A68" w:rsidRPr="00AA4DEE" w:rsidTr="00401D9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CA6DDF" w:rsidRPr="00AA4DEE" w:rsidRDefault="00CA6DDF" w:rsidP="008B35B2">
            <w:pPr>
              <w:pStyle w:val="Source"/>
            </w:pPr>
            <w:r w:rsidRPr="00AA4DEE">
              <w:t xml:space="preserve">Source: </w:t>
            </w:r>
            <w:r w:rsidR="008B35B2">
              <w:t xml:space="preserve">EFSA </w:t>
            </w:r>
            <w:r w:rsidR="00383D4F">
              <w:t>2011, Regulation (EC) No 1107/2009</w:t>
            </w:r>
          </w:p>
        </w:tc>
      </w:tr>
      <w:tr w:rsidR="00E86A68" w:rsidTr="00401D90">
        <w:trPr>
          <w:trHeight w:hRule="exact" w:val="160"/>
        </w:trPr>
        <w:tc>
          <w:tcPr>
            <w:tcW w:w="8168" w:type="dxa"/>
            <w:tcBorders>
              <w:top w:val="single" w:sz="4" w:space="0" w:color="auto"/>
            </w:tcBorders>
            <w:shd w:val="clear" w:color="auto" w:fill="auto"/>
          </w:tcPr>
          <w:p w:rsidR="00CA6DDF" w:rsidRDefault="00CA6DDF" w:rsidP="00D340F3">
            <w:pPr>
              <w:pStyle w:val="spacertbl"/>
            </w:pPr>
          </w:p>
        </w:tc>
      </w:tr>
    </w:tbl>
    <w:p w:rsidR="00FA4FF0" w:rsidRPr="002E5A69" w:rsidRDefault="00FA4FF0" w:rsidP="00C701CC">
      <w:pPr>
        <w:pStyle w:val="ListBullet"/>
        <w:numPr>
          <w:ilvl w:val="0"/>
          <w:numId w:val="0"/>
        </w:numPr>
        <w:rPr>
          <w:lang w:val="en-US"/>
        </w:rPr>
      </w:pP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D739A0" w:rsidRPr="00AA4DEE" w:rsidRDefault="00D739A0" w:rsidP="0097252E">
            <w:pPr>
              <w:pStyle w:val="spacer"/>
            </w:pPr>
          </w:p>
        </w:tc>
      </w:tr>
      <w:tr w:rsidR="00E86A68" w:rsidRPr="00897E60" w:rsidTr="00401D90">
        <w:trPr>
          <w:cantSplit/>
        </w:trPr>
        <w:tc>
          <w:tcPr>
            <w:tcW w:w="10994" w:type="dxa"/>
            <w:tcBorders>
              <w:top w:val="single" w:sz="4" w:space="0" w:color="auto"/>
            </w:tcBorders>
            <w:shd w:val="clear" w:color="auto" w:fill="auto"/>
            <w:tcMar>
              <w:left w:w="0" w:type="dxa"/>
            </w:tcMar>
          </w:tcPr>
          <w:p w:rsidR="00D739A0" w:rsidRPr="00897E60" w:rsidRDefault="00D739A0" w:rsidP="0097252E">
            <w:pPr>
              <w:pStyle w:val="Caption"/>
            </w:pPr>
            <w:bookmarkStart w:id="113" w:name="_Ref485122993"/>
            <w:bookmarkStart w:id="114" w:name="_Toc497298096"/>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4</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4</w:t>
            </w:r>
            <w:r w:rsidR="004B55F4">
              <w:rPr>
                <w:rStyle w:val="CaptionLabel"/>
              </w:rPr>
              <w:fldChar w:fldCharType="end"/>
            </w:r>
            <w:bookmarkEnd w:id="113"/>
            <w:r>
              <w:tab/>
              <w:t>EU registration process</w:t>
            </w:r>
            <w:r w:rsidR="00850DB8">
              <w:t xml:space="preserve"> with data protection and other </w:t>
            </w:r>
            <w:r w:rsidR="007D63DB">
              <w:t xml:space="preserve">IP </w:t>
            </w:r>
            <w:r w:rsidR="00850DB8">
              <w:t>provisions</w:t>
            </w:r>
            <w:bookmarkEnd w:id="114"/>
          </w:p>
        </w:tc>
      </w:tr>
      <w:tr w:rsidR="00D739A0" w:rsidRPr="00AA4DEE" w:rsidTr="00580CF7">
        <w:trPr>
          <w:cantSplit/>
          <w:trHeight w:hRule="exact" w:val="380"/>
        </w:trPr>
        <w:tc>
          <w:tcPr>
            <w:tcW w:w="10994" w:type="dxa"/>
            <w:tcBorders>
              <w:bottom w:val="single" w:sz="4" w:space="0" w:color="auto"/>
            </w:tcBorders>
            <w:shd w:val="clear" w:color="auto" w:fill="auto"/>
          </w:tcPr>
          <w:p w:rsidR="00D739A0" w:rsidRPr="00AA4DEE" w:rsidRDefault="00A81AF2" w:rsidP="0097252E">
            <w:pPr>
              <w:pStyle w:val="spacer"/>
            </w:pPr>
            <w:r>
              <w:rPr>
                <w:noProof/>
                <w:lang w:eastAsia="en-AU"/>
              </w:rPr>
              <mc:AlternateContent>
                <mc:Choice Requires="wps">
                  <w:drawing>
                    <wp:anchor distT="0" distB="0" distL="114300" distR="114300" simplePos="0" relativeHeight="252000256" behindDoc="0" locked="1" layoutInCell="1" allowOverlap="1" wp14:anchorId="34A3A13F" wp14:editId="046DB6CC">
                      <wp:simplePos x="0" y="0"/>
                      <wp:positionH relativeFrom="page">
                        <wp:posOffset>6297930</wp:posOffset>
                      </wp:positionH>
                      <wp:positionV relativeFrom="paragraph">
                        <wp:posOffset>-12065</wp:posOffset>
                      </wp:positionV>
                      <wp:extent cx="435600" cy="212400"/>
                      <wp:effectExtent l="0" t="0" r="3175" b="0"/>
                      <wp:wrapNone/>
                      <wp:docPr id="6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5137A9" id="Freeform 5" o:spid="_x0000_s1026" style="position:absolute;margin-left:495.9pt;margin-top:-.95pt;width:34.3pt;height:16.7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9AfA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p>
        </w:tc>
      </w:tr>
      <w:tr w:rsidR="00D739A0" w:rsidRPr="00AA4DEE" w:rsidTr="00580CF7">
        <w:trPr>
          <w:cantSplit/>
        </w:trPr>
        <w:tc>
          <w:tcPr>
            <w:tcW w:w="10994" w:type="dxa"/>
            <w:tcBorders>
              <w:top w:val="single" w:sz="4" w:space="0" w:color="auto"/>
              <w:bottom w:val="single" w:sz="4" w:space="0" w:color="auto"/>
            </w:tcBorders>
            <w:shd w:val="clear" w:color="auto" w:fill="auto"/>
          </w:tcPr>
          <w:p w:rsidR="00D739A0" w:rsidRPr="00AA4DEE" w:rsidRDefault="00546375" w:rsidP="00A81AF2">
            <w:pPr>
              <w:pStyle w:val="Figure"/>
              <w:spacing w:before="120" w:after="120"/>
            </w:pPr>
            <w:r w:rsidRPr="006E33DA">
              <w:rPr>
                <w:noProof/>
                <w:lang w:eastAsia="en-AU"/>
              </w:rPr>
              <w:drawing>
                <wp:inline distT="0" distB="0" distL="0" distR="0" wp14:anchorId="6EB1FF67" wp14:editId="3DA0104C">
                  <wp:extent cx="6840855" cy="3954145"/>
                  <wp:effectExtent l="0" t="0" r="0" b="8255"/>
                  <wp:docPr id="87"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40855" cy="3954145"/>
                          </a:xfrm>
                          <a:prstGeom prst="rect">
                            <a:avLst/>
                          </a:prstGeom>
                          <a:noFill/>
                          <a:ln>
                            <a:noFill/>
                          </a:ln>
                        </pic:spPr>
                      </pic:pic>
                    </a:graphicData>
                  </a:graphic>
                </wp:inline>
              </w:drawing>
            </w:r>
          </w:p>
        </w:tc>
      </w:tr>
      <w:tr w:rsidR="00E86A68" w:rsidRPr="00AA4DEE" w:rsidTr="00401D9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D739A0" w:rsidRPr="00AA4DEE" w:rsidRDefault="00D739A0" w:rsidP="008B35B2">
            <w:pPr>
              <w:pStyle w:val="Source"/>
            </w:pPr>
            <w:r w:rsidRPr="00AA4DEE">
              <w:t xml:space="preserve">Source: </w:t>
            </w:r>
            <w:r w:rsidR="008B35B2">
              <w:t xml:space="preserve">Carroll MJ </w:t>
            </w:r>
            <w:r>
              <w:t>2016, The importance of regulatory data protection or exclusive use and other forms of IP rights in the crop protection industry, page 1634.</w:t>
            </w:r>
          </w:p>
        </w:tc>
      </w:tr>
      <w:tr w:rsidR="00E86A68" w:rsidTr="00401D90">
        <w:trPr>
          <w:trHeight w:hRule="exact" w:val="160"/>
        </w:trPr>
        <w:tc>
          <w:tcPr>
            <w:tcW w:w="10994" w:type="dxa"/>
            <w:tcBorders>
              <w:top w:val="single" w:sz="4" w:space="0" w:color="auto"/>
            </w:tcBorders>
            <w:shd w:val="clear" w:color="auto" w:fill="auto"/>
          </w:tcPr>
          <w:p w:rsidR="00D739A0" w:rsidRDefault="00D739A0" w:rsidP="0097252E">
            <w:pPr>
              <w:pStyle w:val="spacertbl"/>
            </w:pPr>
          </w:p>
        </w:tc>
      </w:tr>
    </w:tbl>
    <w:p w:rsidR="00535C1C" w:rsidRDefault="00535C1C" w:rsidP="00535C1C">
      <w:pPr>
        <w:pStyle w:val="BodyText"/>
        <w:rPr>
          <w:lang w:val="en-US"/>
        </w:rPr>
      </w:pPr>
      <w:r>
        <w:rPr>
          <w:lang w:val="en-US"/>
        </w:rPr>
        <w:t>As the author of the above flow charts has noted:</w:t>
      </w:r>
    </w:p>
    <w:p w:rsidR="00D739A0" w:rsidRDefault="002E5A69" w:rsidP="002E5A69">
      <w:pPr>
        <w:pStyle w:val="Quote"/>
        <w:rPr>
          <w:lang w:val="en-US"/>
        </w:rPr>
      </w:pPr>
      <w:r w:rsidRPr="002E5A69">
        <w:rPr>
          <w:lang w:val="en-US"/>
        </w:rPr>
        <w:t xml:space="preserve">Before patent expiry, the originating company must prepare for regulatory review, which is usually expensive if it is related to patent and takes an uncertain time as the exact requirements of the review are not specified by the regulator. </w:t>
      </w:r>
      <w:r w:rsidR="00FA4FF0" w:rsidRPr="002E5A69">
        <w:rPr>
          <w:lang w:val="en-US"/>
        </w:rPr>
        <w:t xml:space="preserve">From the regulator’s point of view, this is a rational decision because not all parts of the regulatory risk assessment have reached scientific consensus and so it is difficult for the regulator to specify in advance what the review should consider. </w:t>
      </w:r>
      <w:r w:rsidR="00D739A0" w:rsidRPr="002E5A69">
        <w:rPr>
          <w:lang w:val="en-US"/>
        </w:rPr>
        <w:t>The problem for the registration holder is that they must effectively guess what the regulator may require, and this leads to overcompensation in that perhaps more studies are carried out than are eventually necessary. Not only is this expensive, it may lead to further complexity as studies may not resolve regulatory questions completely, leading to further studies and more expense. Generic registration holders may not have taken part in the review, and although this means they have not spent any money, there is great uncertainty about how their product authorisations will be dealt with at M</w:t>
      </w:r>
      <w:r w:rsidR="00050E90" w:rsidRPr="002E5A69">
        <w:rPr>
          <w:lang w:val="en-US"/>
        </w:rPr>
        <w:t xml:space="preserve">ember </w:t>
      </w:r>
      <w:r w:rsidR="00D739A0" w:rsidRPr="002E5A69">
        <w:rPr>
          <w:lang w:val="en-US"/>
        </w:rPr>
        <w:t>S</w:t>
      </w:r>
      <w:r w:rsidR="00050E90" w:rsidRPr="002E5A69">
        <w:rPr>
          <w:lang w:val="en-US"/>
        </w:rPr>
        <w:t>tate</w:t>
      </w:r>
      <w:r w:rsidR="00D739A0" w:rsidRPr="002E5A69">
        <w:rPr>
          <w:lang w:val="en-US"/>
        </w:rPr>
        <w:t xml:space="preserve"> product review. However, task forces are formed in Europe between the primary and secondary manufacturers to defend active ingredients that have been off</w:t>
      </w:r>
      <w:r w:rsidR="00427EAF" w:rsidRPr="002E5A69">
        <w:rPr>
          <w:lang w:val="en-US"/>
        </w:rPr>
        <w:t>-</w:t>
      </w:r>
      <w:r w:rsidR="00D739A0" w:rsidRPr="002E5A69">
        <w:rPr>
          <w:lang w:val="en-US"/>
        </w:rPr>
        <w:t>patent for several years. If the review is successful and the active substance is reapproved, then the data necessary for the regulatory decision will be protected for a period of 30 months from reregistration of the first product containing the active substance under review, when each M</w:t>
      </w:r>
      <w:r w:rsidR="00427EAF" w:rsidRPr="002E5A69">
        <w:rPr>
          <w:lang w:val="en-US"/>
        </w:rPr>
        <w:t>ember State</w:t>
      </w:r>
      <w:r w:rsidR="00D739A0" w:rsidRPr="002E5A69">
        <w:rPr>
          <w:lang w:val="en-US"/>
        </w:rPr>
        <w:t xml:space="preserve"> re</w:t>
      </w:r>
      <w:r w:rsidR="00BB1540" w:rsidRPr="002E5A69">
        <w:rPr>
          <w:lang w:val="en-US"/>
        </w:rPr>
        <w:t>-</w:t>
      </w:r>
      <w:r w:rsidR="00D739A0" w:rsidRPr="002E5A69">
        <w:rPr>
          <w:lang w:val="en-US"/>
        </w:rPr>
        <w:t>authori</w:t>
      </w:r>
      <w:r w:rsidR="00427EAF" w:rsidRPr="002E5A69">
        <w:rPr>
          <w:lang w:val="en-US"/>
        </w:rPr>
        <w:t>s</w:t>
      </w:r>
      <w:r w:rsidR="00D739A0" w:rsidRPr="002E5A69">
        <w:rPr>
          <w:lang w:val="en-US"/>
        </w:rPr>
        <w:t>es the product.</w:t>
      </w:r>
      <w:r>
        <w:rPr>
          <w:lang w:val="en-US"/>
        </w:rPr>
        <w:t xml:space="preserve"> </w:t>
      </w:r>
      <w:r w:rsidR="00D739A0" w:rsidRPr="002E5A69">
        <w:rPr>
          <w:lang w:val="en-US"/>
        </w:rPr>
        <w:t xml:space="preserve">Vertebrate data necessary for the review regulatory decision must be shared </w:t>
      </w:r>
      <w:r w:rsidR="00427EAF" w:rsidRPr="002E5A69">
        <w:rPr>
          <w:lang w:val="en-US"/>
        </w:rPr>
        <w:t xml:space="preserve">(reportedly </w:t>
      </w:r>
      <w:r w:rsidR="00D739A0" w:rsidRPr="002E5A69">
        <w:rPr>
          <w:lang w:val="en-US"/>
        </w:rPr>
        <w:t>for ethical reasons</w:t>
      </w:r>
      <w:r w:rsidR="00427EAF" w:rsidRPr="002E5A69">
        <w:rPr>
          <w:lang w:val="en-US"/>
        </w:rPr>
        <w:t>)</w:t>
      </w:r>
      <w:r w:rsidR="00D739A0" w:rsidRPr="002E5A69">
        <w:rPr>
          <w:lang w:val="en-US"/>
        </w:rPr>
        <w:t>, with compensation payable to the data generator, but there is no forced sharing of non-vertebrate data. This can lead to a lot of confusion and the possibility of duplication of studies and the resulting multiple data endpoints, which can cause chaos for the regulatory risk assessment</w:t>
      </w:r>
      <w:r>
        <w:rPr>
          <w:lang w:val="en-US"/>
        </w:rPr>
        <w:t>.</w:t>
      </w:r>
    </w:p>
    <w:p w:rsidR="002E5A69" w:rsidRDefault="002E5A69" w:rsidP="00701F68">
      <w:pPr>
        <w:pStyle w:val="QuoteSource"/>
        <w:ind w:left="-142" w:hanging="142"/>
        <w:rPr>
          <w:lang w:val="en-US"/>
        </w:rPr>
      </w:pPr>
      <w:r>
        <w:rPr>
          <w:lang w:val="en-US"/>
        </w:rPr>
        <w:t xml:space="preserve">Carroll M. J 2016, The importance of regulatory data protection or exclusive use and other forms of intellectual property rights in the crop protection industry, Pest Management Science 2016, 72. </w:t>
      </w:r>
      <w:r w:rsidR="00701F68">
        <w:rPr>
          <w:lang w:val="en-US"/>
        </w:rPr>
        <w:t>p</w:t>
      </w:r>
      <w:r w:rsidR="00DE4822">
        <w:rPr>
          <w:lang w:val="en-US"/>
        </w:rPr>
        <w:t xml:space="preserve"> </w:t>
      </w:r>
      <w:r>
        <w:rPr>
          <w:lang w:val="en-US"/>
        </w:rPr>
        <w:t>1632</w:t>
      </w:r>
    </w:p>
    <w:p w:rsidR="00D739A0" w:rsidRDefault="00C26F85" w:rsidP="00A649B3">
      <w:pPr>
        <w:pStyle w:val="Heading3"/>
      </w:pPr>
      <w:r>
        <w:t>V</w:t>
      </w:r>
      <w:r w:rsidR="00D739A0">
        <w:t>eterinary chemical products</w:t>
      </w:r>
    </w:p>
    <w:p w:rsidR="000A295C" w:rsidRDefault="000A295C" w:rsidP="000A295C">
      <w:pPr>
        <w:pStyle w:val="BodyText"/>
      </w:pPr>
      <w:r w:rsidRPr="000A295C">
        <w:t>The registration process for veterinary chemical products has its origins in the 1965 EC Medicines Directive, which laid down the criteria of safety, quality and efficacy. In</w:t>
      </w:r>
      <w:r>
        <w:t xml:space="preserve"> 1981 two EC Directives were published with the intention of improving and harmonising the registration process for medicinal products within the European Union. These were later extended to include vaccines and homeopathic medicines. In the 1990s, controls were further harmonised and tightened with the introduction of legislation covering residues in food, a centralised registration procedure and the rules for Good Manufacturing Practice. In 2004, the legislation was amended to increase the efficiency of the procedures, particularly taking into account the 10 new Member States that joined the EU on 1 May 2004, and would therefore have to apply the legislation.</w:t>
      </w:r>
    </w:p>
    <w:p w:rsidR="00701F68" w:rsidRDefault="00983654" w:rsidP="000A295C">
      <w:pPr>
        <w:pStyle w:val="BodyText"/>
      </w:pPr>
      <w:r>
        <w:t xml:space="preserve">The EU system offers </w:t>
      </w:r>
      <w:r w:rsidR="00701F68">
        <w:t xml:space="preserve">three </w:t>
      </w:r>
      <w:r>
        <w:t>different pathways</w:t>
      </w:r>
      <w:r w:rsidR="004F10AC">
        <w:t xml:space="preserve"> for authorisation of veterinary medicine.</w:t>
      </w:r>
      <w:r w:rsidR="004D166B">
        <w:t xml:space="preserve"> </w:t>
      </w:r>
      <w:r w:rsidR="004F10AC">
        <w:t xml:space="preserve">The centralised procedure allows the marketing of a medicine on the basis of a single EU-wide assessment and marketing authorisation which is valid throughout the EU. Veterinary pharmaceutical companies submit a single authorisation application to </w:t>
      </w:r>
      <w:r w:rsidR="00427EAF">
        <w:t>t</w:t>
      </w:r>
      <w:r w:rsidR="004F10AC" w:rsidRPr="00D340F3">
        <w:t xml:space="preserve">he European Medicines Agency </w:t>
      </w:r>
      <w:r w:rsidR="004F10AC">
        <w:t xml:space="preserve">(EMA). The Agency’s Committee for Medicinal Products for Veterinary Use (CVMP) then carries out a scientific assessment of the application and gives a recommendation to the European Commission on whether or not to grant a marketing authorisation. Once granted by the European Commission, the centralised marketing authorisation is valid in all EU Member States. The use of the centrally authorised procedure is compulsory for most innovative medicines, including medicines for rare diseases. </w:t>
      </w:r>
    </w:p>
    <w:p w:rsidR="004F10AC" w:rsidRDefault="004F10AC" w:rsidP="000A295C">
      <w:pPr>
        <w:pStyle w:val="BodyText"/>
      </w:pPr>
      <w:r>
        <w:t>The majority of medicines authorised in the EU do not fall within the scope of the centralised procedure but are authorised by national competent authorities (NCAs) in the Member States. When a company wants to authorise a medicine in several Member States, it can use one of the following procedures:</w:t>
      </w:r>
      <w:r w:rsidR="004D166B">
        <w:rPr>
          <w:rStyle w:val="FootnoteReference"/>
        </w:rPr>
        <w:footnoteReference w:id="82"/>
      </w:r>
    </w:p>
    <w:p w:rsidR="004D166B" w:rsidRDefault="004D166B" w:rsidP="004D166B">
      <w:pPr>
        <w:pStyle w:val="ListBullet"/>
      </w:pPr>
      <w:r>
        <w:t xml:space="preserve">The decentralised procedure </w:t>
      </w:r>
      <w:r w:rsidR="00427EAF">
        <w:t xml:space="preserve">applies </w:t>
      </w:r>
      <w:r>
        <w:t>where companies can apply for the simultaneous authorisation of a medicine in more than one EU Member State if it has not yet been authorised in any EU country and does not fall within the scope of the centralised procedure</w:t>
      </w:r>
    </w:p>
    <w:p w:rsidR="004D166B" w:rsidRDefault="004D166B" w:rsidP="004D166B">
      <w:pPr>
        <w:pStyle w:val="ListBullet"/>
      </w:pPr>
      <w:r>
        <w:t xml:space="preserve">The mutual-recognition procedure </w:t>
      </w:r>
      <w:r w:rsidR="00427EAF">
        <w:t xml:space="preserve">allows for companies </w:t>
      </w:r>
      <w:r>
        <w:t xml:space="preserve">that have a medicine authorised in one EU Member State </w:t>
      </w:r>
      <w:r w:rsidR="00427EAF">
        <w:t>to</w:t>
      </w:r>
      <w:r>
        <w:t xml:space="preserve"> apply for this authorisation to be recognised in other EU countries. This process allows Member States to rely on each other’s scientific assessments. Rules and requirements applicable to pharmaceuticals in the EU are the same, irrespective of the authorisation route for a medicine.</w:t>
      </w:r>
    </w:p>
    <w:p w:rsidR="00F02D81" w:rsidRDefault="00F02D81" w:rsidP="00F02D81">
      <w:pPr>
        <w:pStyle w:val="BodyText"/>
      </w:pPr>
      <w:r>
        <w:t xml:space="preserve">The EU </w:t>
      </w:r>
      <w:r w:rsidR="00427EAF">
        <w:t xml:space="preserve">has </w:t>
      </w:r>
      <w:r>
        <w:t>establishe</w:t>
      </w:r>
      <w:r w:rsidR="00427EAF">
        <w:t>d</w:t>
      </w:r>
      <w:r>
        <w:t xml:space="preserve"> a two-tier registration system </w:t>
      </w:r>
      <w:r w:rsidR="00427EAF">
        <w:t xml:space="preserve">for the </w:t>
      </w:r>
      <w:r>
        <w:t>approval of active substances and authorisation of formulated products.</w:t>
      </w:r>
    </w:p>
    <w:p w:rsidR="002C6607" w:rsidRDefault="00427EAF" w:rsidP="00F02D81">
      <w:pPr>
        <w:pStyle w:val="BodyText"/>
      </w:pPr>
      <w:r>
        <w:t>Since 2009, t</w:t>
      </w:r>
      <w:r w:rsidR="002C6607">
        <w:t>he EU has moved from a risk based approach to chemical regulation</w:t>
      </w:r>
      <w:r w:rsidR="00701F68">
        <w:t>,</w:t>
      </w:r>
      <w:r w:rsidR="002C6607">
        <w:t xml:space="preserve"> to a hazard based approach. Under a risk based approach, the risk from a chemical that is toxic can be mitigated through conditions of use, packaging and formulation. Under the hazard based approach if an assessed chemical exceeds a hazard trigger for a </w:t>
      </w:r>
      <w:r w:rsidR="00701F68">
        <w:t>property</w:t>
      </w:r>
      <w:r w:rsidR="002C6607">
        <w:t xml:space="preserve"> such as persistence, bio accumulation or toxicity it is deemed unacceptable and will be either withdrawn or not registered, irrespective of the risk mitigation measures that could be deployed.</w:t>
      </w:r>
    </w:p>
    <w:p w:rsidR="002E43DA" w:rsidRDefault="002E43DA" w:rsidP="004D166B">
      <w:pPr>
        <w:pStyle w:val="Heading2"/>
      </w:pPr>
      <w:bookmarkStart w:id="115" w:name="_Toc497300835"/>
      <w:r>
        <w:t>UK registration process</w:t>
      </w:r>
      <w:r w:rsidR="00176957">
        <w:t>es</w:t>
      </w:r>
      <w:bookmarkEnd w:id="115"/>
      <w:r>
        <w:t xml:space="preserve"> </w:t>
      </w:r>
    </w:p>
    <w:p w:rsidR="007444F0" w:rsidRDefault="00FB1331" w:rsidP="00FB1331">
      <w:pPr>
        <w:pStyle w:val="Heading3"/>
      </w:pPr>
      <w:r>
        <w:t>Plant protection products</w:t>
      </w:r>
    </w:p>
    <w:p w:rsidR="002E43DA" w:rsidRDefault="00F02D81" w:rsidP="00F02D81">
      <w:pPr>
        <w:pStyle w:val="BodyText"/>
      </w:pPr>
      <w:r>
        <w:t xml:space="preserve">The process and standards required to obtain product authorisations are set out in EU legislation (Regulation (EC) No. 1107/2009 and associated guidance). This legislation applies in all EU Member States. However, national legislation is needed to underpin its operation and to </w:t>
      </w:r>
      <w:r w:rsidR="007565CA">
        <w:t xml:space="preserve">provide for </w:t>
      </w:r>
      <w:r>
        <w:t>fees and charges. These provisions were implemented by the following legislation in UK:</w:t>
      </w:r>
      <w:r>
        <w:rPr>
          <w:rStyle w:val="FootnoteReference"/>
        </w:rPr>
        <w:footnoteReference w:id="83"/>
      </w:r>
    </w:p>
    <w:p w:rsidR="00F02D81" w:rsidRPr="00F02D81" w:rsidRDefault="00F02D81" w:rsidP="00F02D81">
      <w:pPr>
        <w:pStyle w:val="ListBullet"/>
      </w:pPr>
      <w:r w:rsidRPr="00F02D81">
        <w:rPr>
          <w:bdr w:val="none" w:sz="0" w:space="0" w:color="auto" w:frame="1"/>
        </w:rPr>
        <w:t>Plant Protection Products Regulations 2011</w:t>
      </w:r>
    </w:p>
    <w:p w:rsidR="00F02D81" w:rsidRDefault="00F02D81" w:rsidP="00F02D81">
      <w:pPr>
        <w:pStyle w:val="ListBullet"/>
      </w:pPr>
      <w:r w:rsidRPr="00F02D81">
        <w:rPr>
          <w:bdr w:val="none" w:sz="0" w:space="0" w:color="auto" w:frame="1"/>
        </w:rPr>
        <w:t>Plant Protection Products Regulations (Northern Ireland) 2011</w:t>
      </w:r>
    </w:p>
    <w:p w:rsidR="00DD34C3" w:rsidRPr="00F02D81" w:rsidRDefault="00F02D81" w:rsidP="00F02D81">
      <w:pPr>
        <w:pStyle w:val="ListBullet"/>
      </w:pPr>
      <w:r w:rsidRPr="00F02D81">
        <w:rPr>
          <w:bdr w:val="none" w:sz="0" w:space="0" w:color="auto" w:frame="1"/>
        </w:rPr>
        <w:t>Plant Protection Products (Fees and Charges) Regulations 2011</w:t>
      </w:r>
    </w:p>
    <w:p w:rsidR="002E43DA" w:rsidRDefault="00FB1331" w:rsidP="00FB1331">
      <w:pPr>
        <w:pStyle w:val="Heading3"/>
      </w:pPr>
      <w:r>
        <w:t>V</w:t>
      </w:r>
      <w:r w:rsidR="002E43DA">
        <w:t>eterinary products</w:t>
      </w:r>
    </w:p>
    <w:p w:rsidR="002C2AF5" w:rsidRPr="002C2AF5" w:rsidRDefault="002C2AF5" w:rsidP="002C2AF5">
      <w:pPr>
        <w:pStyle w:val="BodyText"/>
        <w:rPr>
          <w:lang w:val="en-US"/>
        </w:rPr>
      </w:pPr>
      <w:r w:rsidRPr="002C2AF5">
        <w:rPr>
          <w:lang w:val="en-US"/>
        </w:rPr>
        <w:t xml:space="preserve">There are four </w:t>
      </w:r>
      <w:r w:rsidR="00983654">
        <w:rPr>
          <w:lang w:val="en-US"/>
        </w:rPr>
        <w:t>pathways</w:t>
      </w:r>
      <w:r>
        <w:rPr>
          <w:lang w:val="en-US"/>
        </w:rPr>
        <w:t xml:space="preserve"> to get a market authorisation for </w:t>
      </w:r>
      <w:r w:rsidR="009F4CA7">
        <w:rPr>
          <w:lang w:val="en-US"/>
        </w:rPr>
        <w:t xml:space="preserve">new </w:t>
      </w:r>
      <w:r>
        <w:rPr>
          <w:lang w:val="en-US"/>
        </w:rPr>
        <w:t>veterinary medicines in the UK.</w:t>
      </w:r>
      <w:r w:rsidR="00112E01">
        <w:rPr>
          <w:rStyle w:val="FootnoteReference"/>
          <w:lang w:val="en-US"/>
        </w:rPr>
        <w:footnoteReference w:id="84"/>
      </w:r>
      <w:r>
        <w:rPr>
          <w:lang w:val="en-US"/>
        </w:rPr>
        <w:t xml:space="preserve"> </w:t>
      </w:r>
      <w:r w:rsidRPr="002C2AF5">
        <w:rPr>
          <w:lang w:val="en-US"/>
        </w:rPr>
        <w:t xml:space="preserve">These </w:t>
      </w:r>
      <w:r w:rsidR="00983654">
        <w:rPr>
          <w:lang w:val="en-US"/>
        </w:rPr>
        <w:t>pathways</w:t>
      </w:r>
      <w:r w:rsidRPr="002C2AF5">
        <w:rPr>
          <w:lang w:val="en-US"/>
        </w:rPr>
        <w:t xml:space="preserve"> determine the procedures, processes and timelines used in processing an application for a new</w:t>
      </w:r>
      <w:r>
        <w:rPr>
          <w:lang w:val="en-US"/>
        </w:rPr>
        <w:t xml:space="preserve"> market authorisation</w:t>
      </w:r>
      <w:r w:rsidRPr="002C2AF5">
        <w:rPr>
          <w:lang w:val="en-US"/>
        </w:rPr>
        <w:t>. Once granted, the authorisation will be nationally authorised, centrally authorised, or mutually recognised.</w:t>
      </w:r>
    </w:p>
    <w:p w:rsidR="002C2AF5" w:rsidRPr="002C2AF5" w:rsidRDefault="002C2AF5" w:rsidP="002C2AF5">
      <w:pPr>
        <w:pStyle w:val="ListBullet"/>
        <w:rPr>
          <w:lang w:val="en-US"/>
        </w:rPr>
      </w:pPr>
      <w:r w:rsidRPr="00D07B7A">
        <w:rPr>
          <w:b/>
          <w:lang w:val="en-US"/>
        </w:rPr>
        <w:t>National</w:t>
      </w:r>
      <w:r w:rsidR="00F35825">
        <w:rPr>
          <w:lang w:val="en-US"/>
        </w:rPr>
        <w:t xml:space="preserve"> — a</w:t>
      </w:r>
      <w:r>
        <w:rPr>
          <w:shd w:val="clear" w:color="auto" w:fill="FFFFFF"/>
        </w:rPr>
        <w:t xml:space="preserve"> product that has been assessed and approved on a national basis only, i.e. there has been no interaction with other </w:t>
      </w:r>
      <w:r>
        <w:t xml:space="preserve">EU </w:t>
      </w:r>
      <w:r w:rsidR="00983654">
        <w:t>M</w:t>
      </w:r>
      <w:r>
        <w:t xml:space="preserve">ember </w:t>
      </w:r>
      <w:r w:rsidR="00983654">
        <w:t>S</w:t>
      </w:r>
      <w:r>
        <w:t>tates</w:t>
      </w:r>
      <w:r>
        <w:rPr>
          <w:shd w:val="clear" w:color="auto" w:fill="FFFFFF"/>
        </w:rPr>
        <w:t>.</w:t>
      </w:r>
    </w:p>
    <w:p w:rsidR="002C2AF5" w:rsidRPr="00112E01" w:rsidRDefault="002C2AF5" w:rsidP="00FF78D9">
      <w:pPr>
        <w:pStyle w:val="ListBullet"/>
        <w:rPr>
          <w:lang w:val="en-US"/>
        </w:rPr>
      </w:pPr>
      <w:r w:rsidRPr="00D07B7A">
        <w:rPr>
          <w:b/>
          <w:lang w:val="en-US"/>
        </w:rPr>
        <w:t>Centralised</w:t>
      </w:r>
      <w:r w:rsidR="00F35825">
        <w:rPr>
          <w:lang w:val="en-US"/>
        </w:rPr>
        <w:t xml:space="preserve"> —</w:t>
      </w:r>
      <w:r w:rsidRPr="00112E01">
        <w:rPr>
          <w:lang w:val="en-US"/>
        </w:rPr>
        <w:t xml:space="preserve"> a centrally authorised product is one that has been assessed and approved on a community level involving all EU </w:t>
      </w:r>
      <w:r w:rsidR="00185CCA">
        <w:rPr>
          <w:lang w:val="en-US"/>
        </w:rPr>
        <w:t>M</w:t>
      </w:r>
      <w:r w:rsidRPr="00112E01">
        <w:rPr>
          <w:lang w:val="en-US"/>
        </w:rPr>
        <w:t xml:space="preserve">ember </w:t>
      </w:r>
      <w:r w:rsidR="00185CCA">
        <w:rPr>
          <w:lang w:val="en-US"/>
        </w:rPr>
        <w:t>S</w:t>
      </w:r>
      <w:r w:rsidRPr="00112E01">
        <w:rPr>
          <w:lang w:val="en-US"/>
        </w:rPr>
        <w:t xml:space="preserve">tates. A pan-European authorisation is issued by the European Commission (EC) permitting the marketing, sale and supply of the product in all EU member states including the UK. The EMA organises the process of evaluation using scientific expertise from all EU </w:t>
      </w:r>
      <w:r w:rsidR="00185CCA">
        <w:rPr>
          <w:lang w:val="en-US"/>
        </w:rPr>
        <w:t>M</w:t>
      </w:r>
      <w:r w:rsidRPr="00112E01">
        <w:rPr>
          <w:lang w:val="en-US"/>
        </w:rPr>
        <w:t xml:space="preserve">ember </w:t>
      </w:r>
      <w:r w:rsidR="00185CCA">
        <w:rPr>
          <w:lang w:val="en-US"/>
        </w:rPr>
        <w:t>S</w:t>
      </w:r>
      <w:r w:rsidRPr="00112E01">
        <w:rPr>
          <w:lang w:val="en-US"/>
        </w:rPr>
        <w:t>tates. If a positive opinion is given by the</w:t>
      </w:r>
      <w:r w:rsidR="00112E01" w:rsidRPr="00112E01">
        <w:rPr>
          <w:lang w:val="en-US"/>
        </w:rPr>
        <w:t xml:space="preserve"> </w:t>
      </w:r>
      <w:r w:rsidRPr="00112E01">
        <w:rPr>
          <w:lang w:val="en-US"/>
        </w:rPr>
        <w:t>EMA</w:t>
      </w:r>
      <w:r w:rsidR="00112E01" w:rsidRPr="00112E01">
        <w:rPr>
          <w:lang w:val="en-US"/>
        </w:rPr>
        <w:t xml:space="preserve"> </w:t>
      </w:r>
      <w:r w:rsidRPr="00112E01">
        <w:rPr>
          <w:lang w:val="en-US"/>
        </w:rPr>
        <w:t>after a product has been evaluated, it is sent to the EC. If the EC also has a favourable opinion, it makes a formal decision to authorise the product and grants a single</w:t>
      </w:r>
      <w:r w:rsidR="00112E01" w:rsidRPr="00112E01">
        <w:rPr>
          <w:lang w:val="en-US"/>
        </w:rPr>
        <w:t xml:space="preserve"> market access </w:t>
      </w:r>
      <w:r w:rsidRPr="00112E01">
        <w:rPr>
          <w:lang w:val="en-US"/>
        </w:rPr>
        <w:t>that is valid in all</w:t>
      </w:r>
      <w:r w:rsidR="00112E01" w:rsidRPr="00112E01">
        <w:rPr>
          <w:lang w:val="en-US"/>
        </w:rPr>
        <w:t xml:space="preserve"> EU </w:t>
      </w:r>
      <w:r w:rsidR="007565CA">
        <w:rPr>
          <w:lang w:val="en-US"/>
        </w:rPr>
        <w:t>M</w:t>
      </w:r>
      <w:r w:rsidR="00112E01" w:rsidRPr="00112E01">
        <w:rPr>
          <w:lang w:val="en-US"/>
        </w:rPr>
        <w:t xml:space="preserve">ember </w:t>
      </w:r>
      <w:r w:rsidR="007565CA">
        <w:rPr>
          <w:lang w:val="en-US"/>
        </w:rPr>
        <w:t>S</w:t>
      </w:r>
      <w:r w:rsidR="00112E01" w:rsidRPr="00112E01">
        <w:rPr>
          <w:lang w:val="en-US"/>
        </w:rPr>
        <w:t>tates</w:t>
      </w:r>
      <w:r w:rsidR="007565CA">
        <w:rPr>
          <w:lang w:val="en-US"/>
        </w:rPr>
        <w:t>. W</w:t>
      </w:r>
      <w:r w:rsidRPr="00112E01">
        <w:rPr>
          <w:lang w:val="en-US"/>
        </w:rPr>
        <w:t>hil</w:t>
      </w:r>
      <w:r w:rsidR="007565CA">
        <w:rPr>
          <w:lang w:val="en-US"/>
        </w:rPr>
        <w:t>e</w:t>
      </w:r>
      <w:r w:rsidRPr="00112E01">
        <w:rPr>
          <w:lang w:val="en-US"/>
        </w:rPr>
        <w:t xml:space="preserve"> the EC will usually endorse a positive opinion, it has the right to reject it.</w:t>
      </w:r>
      <w:r w:rsidR="00112E01" w:rsidRPr="00112E01">
        <w:rPr>
          <w:lang w:val="en-US"/>
        </w:rPr>
        <w:t xml:space="preserve"> </w:t>
      </w:r>
      <w:r w:rsidRPr="00112E01">
        <w:rPr>
          <w:lang w:val="en-US"/>
        </w:rPr>
        <w:t xml:space="preserve">Although the VMD does not issue </w:t>
      </w:r>
      <w:r w:rsidR="00112E01" w:rsidRPr="00112E01">
        <w:rPr>
          <w:lang w:val="en-US"/>
        </w:rPr>
        <w:t xml:space="preserve">market authorisation </w:t>
      </w:r>
      <w:r w:rsidRPr="00112E01">
        <w:rPr>
          <w:lang w:val="en-US"/>
        </w:rPr>
        <w:t>for products authorised by the centralised procedure, the outcome is the same: the product is authorised for use in the UK.</w:t>
      </w:r>
      <w:r w:rsidR="00112E01" w:rsidRPr="00112E01">
        <w:rPr>
          <w:lang w:val="en-US"/>
        </w:rPr>
        <w:t xml:space="preserve"> </w:t>
      </w:r>
      <w:r w:rsidRPr="00112E01">
        <w:rPr>
          <w:lang w:val="en-US"/>
        </w:rPr>
        <w:t xml:space="preserve">The centralised procedure is compulsory for some products and optional for others. </w:t>
      </w:r>
      <w:r w:rsidR="00112E01">
        <w:rPr>
          <w:lang w:val="en-US"/>
        </w:rPr>
        <w:t>S</w:t>
      </w:r>
      <w:r w:rsidRPr="00112E01">
        <w:rPr>
          <w:lang w:val="en-US"/>
        </w:rPr>
        <w:t>ome products are not eligible for the centralised procedure</w:t>
      </w:r>
      <w:r w:rsidR="00112E01">
        <w:rPr>
          <w:lang w:val="en-US"/>
        </w:rPr>
        <w:t>.</w:t>
      </w:r>
    </w:p>
    <w:p w:rsidR="00F35825" w:rsidRPr="00F35825" w:rsidRDefault="002C2AF5" w:rsidP="00F35825">
      <w:pPr>
        <w:pStyle w:val="ListBullet"/>
        <w:rPr>
          <w:lang w:val="en-US"/>
        </w:rPr>
      </w:pPr>
      <w:r w:rsidRPr="00D07B7A">
        <w:rPr>
          <w:b/>
          <w:lang w:val="en-US"/>
        </w:rPr>
        <w:t>Mutual Recognition</w:t>
      </w:r>
      <w:r w:rsidR="00F35825" w:rsidRPr="00F35825">
        <w:rPr>
          <w:lang w:val="en-US"/>
        </w:rPr>
        <w:t xml:space="preserve"> — a mutually recognised product is one that has been assessed and approved on a European level involving at least two</w:t>
      </w:r>
      <w:r w:rsidR="00F35825">
        <w:rPr>
          <w:lang w:val="en-US"/>
        </w:rPr>
        <w:t xml:space="preserve"> EU </w:t>
      </w:r>
      <w:r w:rsidR="00185CCA">
        <w:rPr>
          <w:lang w:val="en-US"/>
        </w:rPr>
        <w:t>M</w:t>
      </w:r>
      <w:r w:rsidR="00F35825">
        <w:rPr>
          <w:lang w:val="en-US"/>
        </w:rPr>
        <w:t xml:space="preserve">ember </w:t>
      </w:r>
      <w:r w:rsidR="00864347">
        <w:rPr>
          <w:lang w:val="en-US"/>
        </w:rPr>
        <w:t>States</w:t>
      </w:r>
      <w:r w:rsidR="00864347" w:rsidRPr="00F35825">
        <w:rPr>
          <w:lang w:val="en-US"/>
        </w:rPr>
        <w:t xml:space="preserve"> that</w:t>
      </w:r>
      <w:r w:rsidR="00185CCA">
        <w:rPr>
          <w:lang w:val="en-US"/>
        </w:rPr>
        <w:t xml:space="preserve"> is</w:t>
      </w:r>
      <w:r w:rsidR="0095646E">
        <w:rPr>
          <w:lang w:val="en-US"/>
        </w:rPr>
        <w:t xml:space="preserve">, it has been </w:t>
      </w:r>
      <w:r w:rsidR="00F35825" w:rsidRPr="00F35825">
        <w:rPr>
          <w:lang w:val="en-US"/>
        </w:rPr>
        <w:t>evaluated via the mutual recognition or decentralised procedure. The mutual recognition procedure (MRP) is a European authorisation route resulting in a mutually recognised product.</w:t>
      </w:r>
      <w:r w:rsidR="00F35825">
        <w:rPr>
          <w:lang w:val="en-US"/>
        </w:rPr>
        <w:t xml:space="preserve"> </w:t>
      </w:r>
      <w:r w:rsidR="00F35825" w:rsidRPr="00F35825">
        <w:rPr>
          <w:lang w:val="en-US"/>
        </w:rPr>
        <w:t>Mutual recognition must be used when a product is already authorised in at least one</w:t>
      </w:r>
      <w:r w:rsidR="00F35825">
        <w:rPr>
          <w:lang w:val="en-US"/>
        </w:rPr>
        <w:t xml:space="preserve"> </w:t>
      </w:r>
      <w:r w:rsidR="00F35825" w:rsidRPr="00F35825">
        <w:rPr>
          <w:lang w:val="en-US"/>
        </w:rPr>
        <w:t>EU</w:t>
      </w:r>
      <w:r w:rsidR="00F35825">
        <w:rPr>
          <w:lang w:val="en-US"/>
        </w:rPr>
        <w:t xml:space="preserve"> </w:t>
      </w:r>
      <w:r w:rsidR="00185CCA">
        <w:rPr>
          <w:lang w:val="en-US"/>
        </w:rPr>
        <w:t>M</w:t>
      </w:r>
      <w:r w:rsidR="00F35825">
        <w:rPr>
          <w:lang w:val="en-US"/>
        </w:rPr>
        <w:t xml:space="preserve">ember </w:t>
      </w:r>
      <w:r w:rsidR="00185CCA">
        <w:rPr>
          <w:lang w:val="en-US"/>
        </w:rPr>
        <w:t>S</w:t>
      </w:r>
      <w:r w:rsidR="00F35825">
        <w:rPr>
          <w:lang w:val="en-US"/>
        </w:rPr>
        <w:t>tate</w:t>
      </w:r>
      <w:r w:rsidR="00F35825" w:rsidRPr="00F35825">
        <w:rPr>
          <w:lang w:val="en-US"/>
        </w:rPr>
        <w:t xml:space="preserve"> on a national basis</w:t>
      </w:r>
    </w:p>
    <w:p w:rsidR="002C2AF5" w:rsidRDefault="002C2AF5" w:rsidP="00F35825">
      <w:pPr>
        <w:pStyle w:val="ListBullet"/>
        <w:rPr>
          <w:lang w:val="en-US"/>
        </w:rPr>
      </w:pPr>
      <w:r w:rsidRPr="00D07B7A">
        <w:rPr>
          <w:b/>
          <w:lang w:val="en-US"/>
        </w:rPr>
        <w:t>Decentralised</w:t>
      </w:r>
      <w:r w:rsidR="00F35825" w:rsidRPr="00D07B7A">
        <w:rPr>
          <w:b/>
          <w:lang w:val="en-US"/>
        </w:rPr>
        <w:t xml:space="preserve"> </w:t>
      </w:r>
      <w:r w:rsidR="007565CA" w:rsidRPr="00D07B7A">
        <w:rPr>
          <w:b/>
          <w:lang w:val="en-US"/>
        </w:rPr>
        <w:t>approval</w:t>
      </w:r>
      <w:r w:rsidR="007565CA">
        <w:rPr>
          <w:lang w:val="en-US"/>
        </w:rPr>
        <w:t xml:space="preserve"> takes place when a </w:t>
      </w:r>
      <w:r w:rsidR="009F4CA7" w:rsidRPr="009F4CA7">
        <w:rPr>
          <w:lang w:val="en-US"/>
        </w:rPr>
        <w:t xml:space="preserve">product is not </w:t>
      </w:r>
      <w:r w:rsidR="00535C1C">
        <w:rPr>
          <w:lang w:val="en-US"/>
        </w:rPr>
        <w:t xml:space="preserve">already </w:t>
      </w:r>
      <w:r w:rsidR="009F4CA7" w:rsidRPr="009F4CA7">
        <w:rPr>
          <w:lang w:val="en-US"/>
        </w:rPr>
        <w:t xml:space="preserve">authorised in any EU </w:t>
      </w:r>
      <w:r w:rsidR="007565CA">
        <w:rPr>
          <w:lang w:val="en-US"/>
        </w:rPr>
        <w:t>M</w:t>
      </w:r>
      <w:r w:rsidR="009F4CA7" w:rsidRPr="009F4CA7">
        <w:rPr>
          <w:lang w:val="en-US"/>
        </w:rPr>
        <w:t xml:space="preserve">ember </w:t>
      </w:r>
      <w:r w:rsidR="007565CA">
        <w:rPr>
          <w:lang w:val="en-US"/>
        </w:rPr>
        <w:t>S</w:t>
      </w:r>
      <w:r w:rsidR="009F4CA7" w:rsidRPr="009F4CA7">
        <w:rPr>
          <w:lang w:val="en-US"/>
        </w:rPr>
        <w:t xml:space="preserve">tate and the registrants </w:t>
      </w:r>
      <w:r w:rsidR="007565CA">
        <w:rPr>
          <w:lang w:val="en-US"/>
        </w:rPr>
        <w:t>obtain authori</w:t>
      </w:r>
      <w:r w:rsidR="00185CCA">
        <w:rPr>
          <w:lang w:val="en-US"/>
        </w:rPr>
        <w:t>s</w:t>
      </w:r>
      <w:r w:rsidR="007565CA">
        <w:rPr>
          <w:lang w:val="en-US"/>
        </w:rPr>
        <w:t xml:space="preserve">ation </w:t>
      </w:r>
      <w:r w:rsidR="009F4CA7" w:rsidRPr="009F4CA7">
        <w:rPr>
          <w:lang w:val="en-US"/>
        </w:rPr>
        <w:t xml:space="preserve">in several </w:t>
      </w:r>
      <w:r w:rsidR="007565CA">
        <w:rPr>
          <w:lang w:val="en-US"/>
        </w:rPr>
        <w:t>M</w:t>
      </w:r>
      <w:r w:rsidR="009F4CA7" w:rsidRPr="009F4CA7">
        <w:rPr>
          <w:lang w:val="en-US"/>
        </w:rPr>
        <w:t xml:space="preserve">ember </w:t>
      </w:r>
      <w:r w:rsidR="007565CA">
        <w:rPr>
          <w:lang w:val="en-US"/>
        </w:rPr>
        <w:t>S</w:t>
      </w:r>
      <w:r w:rsidR="009F4CA7" w:rsidRPr="009F4CA7">
        <w:rPr>
          <w:lang w:val="en-US"/>
        </w:rPr>
        <w:t>tates</w:t>
      </w:r>
      <w:r w:rsidR="009F4CA7">
        <w:rPr>
          <w:lang w:val="en-US"/>
        </w:rPr>
        <w:t>.</w:t>
      </w:r>
    </w:p>
    <w:p w:rsidR="0075719E" w:rsidRDefault="0075719E" w:rsidP="007565CA">
      <w:pPr>
        <w:pStyle w:val="ListBullet"/>
        <w:numPr>
          <w:ilvl w:val="0"/>
          <w:numId w:val="0"/>
        </w:numPr>
        <w:rPr>
          <w:lang w:val="en-US"/>
        </w:rPr>
      </w:pPr>
      <w:r>
        <w:rPr>
          <w:lang w:val="en-US"/>
        </w:rPr>
        <w:t>Market authorisation</w:t>
      </w:r>
      <w:r w:rsidR="009F4CA7">
        <w:rPr>
          <w:lang w:val="en-US"/>
        </w:rPr>
        <w:t xml:space="preserve"> for generics is different </w:t>
      </w:r>
      <w:r>
        <w:rPr>
          <w:lang w:val="en-US"/>
        </w:rPr>
        <w:t>from</w:t>
      </w:r>
      <w:r w:rsidR="009F4CA7">
        <w:rPr>
          <w:lang w:val="en-US"/>
        </w:rPr>
        <w:t xml:space="preserve"> new innovative veterinary product</w:t>
      </w:r>
      <w:r>
        <w:rPr>
          <w:lang w:val="en-US"/>
        </w:rPr>
        <w:t>s</w:t>
      </w:r>
      <w:r w:rsidR="009F4CA7">
        <w:rPr>
          <w:lang w:val="en-US"/>
        </w:rPr>
        <w:t>.</w:t>
      </w:r>
      <w:r w:rsidR="007565CA">
        <w:rPr>
          <w:lang w:val="en-US"/>
        </w:rPr>
        <w:t xml:space="preserve"> </w:t>
      </w:r>
      <w:r>
        <w:rPr>
          <w:lang w:val="en-US"/>
        </w:rPr>
        <w:t>Market authorisation for generic</w:t>
      </w:r>
      <w:r w:rsidR="007565CA">
        <w:rPr>
          <w:lang w:val="en-US"/>
        </w:rPr>
        <w:t>s</w:t>
      </w:r>
      <w:r>
        <w:rPr>
          <w:lang w:val="en-US"/>
        </w:rPr>
        <w:t xml:space="preserve"> a</w:t>
      </w:r>
      <w:r w:rsidRPr="0075719E">
        <w:rPr>
          <w:lang w:val="en-US"/>
        </w:rPr>
        <w:t>rise</w:t>
      </w:r>
      <w:r w:rsidR="00185CCA">
        <w:rPr>
          <w:lang w:val="en-US"/>
        </w:rPr>
        <w:t>s</w:t>
      </w:r>
      <w:r w:rsidRPr="0075719E">
        <w:rPr>
          <w:lang w:val="en-US"/>
        </w:rPr>
        <w:t xml:space="preserve"> when the applicant refers to the safety and efficacy aspects of a data package submitted in support of an already authorised veterinary medicine, which is referred to as the reference product.</w:t>
      </w:r>
      <w:r>
        <w:rPr>
          <w:lang w:val="en-US"/>
        </w:rPr>
        <w:t xml:space="preserve"> </w:t>
      </w:r>
      <w:r w:rsidRPr="0075719E">
        <w:rPr>
          <w:lang w:val="en-US"/>
        </w:rPr>
        <w:t>In addition to a full quality data package, applicant</w:t>
      </w:r>
      <w:r w:rsidR="00185CCA">
        <w:rPr>
          <w:lang w:val="en-US"/>
        </w:rPr>
        <w:t>s must</w:t>
      </w:r>
      <w:r w:rsidRPr="0075719E">
        <w:rPr>
          <w:lang w:val="en-US"/>
        </w:rPr>
        <w:t xml:space="preserve"> provide an environmental risk assessment for the product and a user risk assessment. The type of user risk assessment provided depends on the degree of similarity between the generic and reference products.</w:t>
      </w:r>
      <w:r>
        <w:rPr>
          <w:lang w:val="en-US"/>
        </w:rPr>
        <w:t xml:space="preserve"> </w:t>
      </w:r>
      <w:r w:rsidRPr="0075719E">
        <w:rPr>
          <w:lang w:val="en-US"/>
        </w:rPr>
        <w:t>For generics of injectable products the submission of injection site residues data are necessary, unless a biowaiver exempts the application from the need for residues studies.</w:t>
      </w:r>
      <w:r>
        <w:rPr>
          <w:lang w:val="en-US"/>
        </w:rPr>
        <w:t xml:space="preserve"> </w:t>
      </w:r>
      <w:r w:rsidRPr="0075719E">
        <w:rPr>
          <w:lang w:val="en-US"/>
        </w:rPr>
        <w:t xml:space="preserve">Applicants must demonstrate that the generic product is bioequivalent to the reference product, unless they are exempt from doing so under the bioequivalence guidelines. </w:t>
      </w:r>
    </w:p>
    <w:p w:rsidR="0075719E" w:rsidRPr="0075719E" w:rsidRDefault="0075719E" w:rsidP="0075719E">
      <w:pPr>
        <w:pStyle w:val="BodyText"/>
        <w:rPr>
          <w:lang w:val="en-US"/>
        </w:rPr>
      </w:pPr>
      <w:r w:rsidRPr="0075719E">
        <w:rPr>
          <w:lang w:val="en-US"/>
        </w:rPr>
        <w:t xml:space="preserve">The reference product must have been authorised in accordance with the </w:t>
      </w:r>
      <w:r w:rsidR="00701F68">
        <w:rPr>
          <w:lang w:val="en-US"/>
        </w:rPr>
        <w:t xml:space="preserve">EU </w:t>
      </w:r>
      <w:r w:rsidRPr="0075719E">
        <w:rPr>
          <w:lang w:val="en-US"/>
        </w:rPr>
        <w:t>Directive for at least 10 years before the generic product can be placed on the market. For applications for generic products, which are based on reference products authorised after October 2005, the application can be submitted after eight years of authorisation, but the generic product cannot be marketed until the 10 year data protection period has expired.</w:t>
      </w:r>
    </w:p>
    <w:p w:rsidR="0075719E" w:rsidRPr="0075719E" w:rsidRDefault="0075719E" w:rsidP="0075719E">
      <w:pPr>
        <w:pStyle w:val="BodyText"/>
        <w:rPr>
          <w:lang w:val="en-US"/>
        </w:rPr>
      </w:pPr>
      <w:r w:rsidRPr="0075719E">
        <w:rPr>
          <w:lang w:val="en-US"/>
        </w:rPr>
        <w:t>In some cases the data protection period for the reference product may be extended to 13 years. For products indicated for the treatment of bees and fish the protection period of the reference product is automatically 13 years.</w:t>
      </w:r>
    </w:p>
    <w:p w:rsidR="00D739A0" w:rsidRDefault="00D739A0" w:rsidP="00D739A0">
      <w:pPr>
        <w:pStyle w:val="Heading2"/>
      </w:pPr>
      <w:bookmarkStart w:id="116" w:name="_Toc497300836"/>
      <w:r>
        <w:t>US registration processes</w:t>
      </w:r>
      <w:bookmarkEnd w:id="116"/>
      <w:r>
        <w:t xml:space="preserve"> </w:t>
      </w:r>
    </w:p>
    <w:p w:rsidR="003F5DC4" w:rsidRDefault="00B172D9" w:rsidP="00B172D9">
      <w:pPr>
        <w:pStyle w:val="Heading3"/>
      </w:pPr>
      <w:r>
        <w:t>Plant protection products</w:t>
      </w:r>
    </w:p>
    <w:p w:rsidR="00AB1F4C" w:rsidRDefault="00AB1F4C" w:rsidP="00AB1F4C">
      <w:pPr>
        <w:pStyle w:val="BodyText"/>
      </w:pPr>
      <w:r w:rsidRPr="00FE1C7A">
        <w:t xml:space="preserve">The process of registering a pesticide in </w:t>
      </w:r>
      <w:r w:rsidR="002516F8">
        <w:t>USA</w:t>
      </w:r>
      <w:r w:rsidR="007565CA">
        <w:t xml:space="preserve"> requires </w:t>
      </w:r>
      <w:r w:rsidR="00386636">
        <w:t xml:space="preserve">the </w:t>
      </w:r>
      <w:r w:rsidRPr="00FE1C7A">
        <w:t xml:space="preserve">USEPA </w:t>
      </w:r>
      <w:r w:rsidR="007565CA">
        <w:t xml:space="preserve">to </w:t>
      </w:r>
      <w:r w:rsidRPr="00FE1C7A">
        <w:t>examine</w:t>
      </w:r>
      <w:r w:rsidR="00386636">
        <w:t>:</w:t>
      </w:r>
    </w:p>
    <w:p w:rsidR="00AB1F4C" w:rsidRPr="00AB1F4C" w:rsidRDefault="00AB1F4C" w:rsidP="00AB1F4C">
      <w:pPr>
        <w:pStyle w:val="ListBullet"/>
        <w:rPr>
          <w:rFonts w:eastAsia="Times New Roman"/>
          <w:color w:val="212121"/>
        </w:rPr>
      </w:pPr>
      <w:r w:rsidRPr="00FE1C7A">
        <w:t>t</w:t>
      </w:r>
      <w:r>
        <w:t>he ingredients of the pesticide</w:t>
      </w:r>
    </w:p>
    <w:p w:rsidR="00AB1F4C" w:rsidRPr="00AB1F4C" w:rsidRDefault="00AB1F4C" w:rsidP="00FF78D9">
      <w:pPr>
        <w:pStyle w:val="ListBullet"/>
        <w:shd w:val="clear" w:color="auto" w:fill="FFFFFF"/>
        <w:spacing w:after="0" w:line="240" w:lineRule="auto"/>
        <w:rPr>
          <w:rFonts w:eastAsia="Times New Roman"/>
          <w:color w:val="212121"/>
        </w:rPr>
      </w:pPr>
      <w:r w:rsidRPr="00FE1C7A">
        <w:t>the particular site or crop where it is to be used</w:t>
      </w:r>
    </w:p>
    <w:p w:rsidR="00AB1F4C" w:rsidRDefault="00AB1F4C" w:rsidP="00AB1F4C">
      <w:pPr>
        <w:pStyle w:val="ListBullet"/>
      </w:pPr>
      <w:r w:rsidRPr="00FE1C7A">
        <w:t>the amount, frequency, and timing of its use</w:t>
      </w:r>
      <w:r w:rsidR="007565CA">
        <w:t>, and</w:t>
      </w:r>
    </w:p>
    <w:p w:rsidR="00AB1F4C" w:rsidRPr="00FE1C7A" w:rsidRDefault="00AB1F4C" w:rsidP="00AB1F4C">
      <w:pPr>
        <w:pStyle w:val="ListBullet"/>
      </w:pPr>
      <w:r w:rsidRPr="00FE1C7A">
        <w:t>storage and disposal practices.</w:t>
      </w:r>
    </w:p>
    <w:p w:rsidR="00AB1F4C" w:rsidRPr="00FE1C7A" w:rsidRDefault="00AB1F4C" w:rsidP="00AB1F4C">
      <w:pPr>
        <w:shd w:val="clear" w:color="auto" w:fill="FFFFFF"/>
        <w:spacing w:after="0" w:line="240" w:lineRule="auto"/>
        <w:rPr>
          <w:rFonts w:eastAsia="Times New Roman"/>
          <w:color w:val="212121"/>
        </w:rPr>
      </w:pPr>
      <w:r w:rsidRPr="00FE1C7A">
        <w:rPr>
          <w:rFonts w:eastAsia="Times New Roman"/>
          <w:color w:val="212121"/>
        </w:rPr>
        <w:t xml:space="preserve">In evaluating a pesticide registration application, </w:t>
      </w:r>
      <w:r w:rsidR="007565CA">
        <w:rPr>
          <w:rFonts w:eastAsia="Times New Roman"/>
          <w:color w:val="212121"/>
        </w:rPr>
        <w:t xml:space="preserve">the </w:t>
      </w:r>
      <w:r w:rsidRPr="00FE1C7A">
        <w:rPr>
          <w:rFonts w:eastAsia="Times New Roman"/>
          <w:color w:val="212121"/>
        </w:rPr>
        <w:t>USEPA assess</w:t>
      </w:r>
      <w:r w:rsidR="007565CA">
        <w:rPr>
          <w:rFonts w:eastAsia="Times New Roman"/>
          <w:color w:val="212121"/>
        </w:rPr>
        <w:t>es</w:t>
      </w:r>
      <w:r w:rsidRPr="00FE1C7A">
        <w:rPr>
          <w:rFonts w:eastAsia="Times New Roman"/>
          <w:color w:val="212121"/>
        </w:rPr>
        <w:t xml:space="preserve"> a wide variety of potential human health and environmental effects associated with use of the product</w:t>
      </w:r>
      <w:r w:rsidR="00701F68">
        <w:rPr>
          <w:rFonts w:eastAsia="Times New Roman"/>
          <w:color w:val="212121"/>
        </w:rPr>
        <w:t>.</w:t>
      </w:r>
    </w:p>
    <w:p w:rsidR="00D739A0" w:rsidRDefault="00AB1F4C" w:rsidP="00D739A0">
      <w:pPr>
        <w:pStyle w:val="BodyText"/>
      </w:pPr>
      <w:r>
        <w:rPr>
          <w:lang w:val="en-US"/>
        </w:rPr>
        <w:fldChar w:fldCharType="begin"/>
      </w:r>
      <w:r>
        <w:rPr>
          <w:lang w:val="en-US"/>
        </w:rPr>
        <w:instrText xml:space="preserve"> REF _Ref485132024 \h </w:instrText>
      </w:r>
      <w:r>
        <w:rPr>
          <w:lang w:val="en-US"/>
        </w:rPr>
      </w:r>
      <w:r>
        <w:rPr>
          <w:lang w:val="en-US"/>
        </w:rPr>
        <w:fldChar w:fldCharType="separate"/>
      </w:r>
      <w:r w:rsidR="0087688C" w:rsidRPr="00897E60">
        <w:rPr>
          <w:rStyle w:val="CaptionLabel"/>
        </w:rPr>
        <w:t>Figure</w:t>
      </w:r>
      <w:r w:rsidR="0087688C">
        <w:rPr>
          <w:rStyle w:val="CaptionLabel"/>
        </w:rPr>
        <w:t> </w:t>
      </w:r>
      <w:r w:rsidR="0087688C">
        <w:rPr>
          <w:rStyle w:val="CaptionLabel"/>
          <w:noProof/>
        </w:rPr>
        <w:t>4</w:t>
      </w:r>
      <w:r w:rsidR="0087688C">
        <w:rPr>
          <w:rStyle w:val="CaptionLabel"/>
        </w:rPr>
        <w:t>.</w:t>
      </w:r>
      <w:r w:rsidR="0087688C">
        <w:rPr>
          <w:rStyle w:val="CaptionLabel"/>
          <w:noProof/>
        </w:rPr>
        <w:t>5</w:t>
      </w:r>
      <w:r>
        <w:rPr>
          <w:lang w:val="en-US"/>
        </w:rPr>
        <w:fldChar w:fldCharType="end"/>
      </w:r>
      <w:r>
        <w:rPr>
          <w:lang w:val="en-US"/>
        </w:rPr>
        <w:t xml:space="preserve"> </w:t>
      </w:r>
      <w:r w:rsidR="00D739A0">
        <w:rPr>
          <w:lang w:val="en-US"/>
        </w:rPr>
        <w:t xml:space="preserve">shows a schematic representation of the US registration process for chemical plant protection products. </w:t>
      </w:r>
      <w:r w:rsidR="00D739A0">
        <w:t>T</w:t>
      </w:r>
      <w:r w:rsidR="008578BB">
        <w:t xml:space="preserve">he following </w:t>
      </w:r>
      <w:r w:rsidR="00D739A0">
        <w:t xml:space="preserve">section </w:t>
      </w:r>
      <w:r w:rsidR="007C5E30">
        <w:t>draws</w:t>
      </w:r>
      <w:r w:rsidR="008578BB">
        <w:t xml:space="preserve"> on </w:t>
      </w:r>
      <w:r w:rsidR="00D739A0">
        <w:t xml:space="preserve">a </w:t>
      </w:r>
      <w:r w:rsidR="008578BB">
        <w:t xml:space="preserve">recent </w:t>
      </w:r>
      <w:r w:rsidR="00D739A0">
        <w:t>paper by Carroll.</w:t>
      </w:r>
      <w:r w:rsidR="008578BB">
        <w:rPr>
          <w:rStyle w:val="FootnoteReference"/>
        </w:rPr>
        <w:footnoteReference w:id="85"/>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D739A0" w:rsidRPr="00AA4DEE" w:rsidRDefault="00D739A0" w:rsidP="0097252E">
            <w:pPr>
              <w:pStyle w:val="spacer"/>
            </w:pPr>
          </w:p>
        </w:tc>
      </w:tr>
      <w:tr w:rsidR="00E86A68" w:rsidRPr="00897E60" w:rsidTr="00401D90">
        <w:trPr>
          <w:cantSplit/>
        </w:trPr>
        <w:tc>
          <w:tcPr>
            <w:tcW w:w="10994" w:type="dxa"/>
            <w:tcBorders>
              <w:top w:val="single" w:sz="4" w:space="0" w:color="auto"/>
            </w:tcBorders>
            <w:shd w:val="clear" w:color="auto" w:fill="auto"/>
            <w:tcMar>
              <w:left w:w="0" w:type="dxa"/>
            </w:tcMar>
          </w:tcPr>
          <w:p w:rsidR="00D739A0" w:rsidRPr="00897E60" w:rsidRDefault="00D739A0" w:rsidP="0097252E">
            <w:pPr>
              <w:pStyle w:val="Caption"/>
            </w:pPr>
            <w:bookmarkStart w:id="117" w:name="_Ref485132024"/>
            <w:bookmarkStart w:id="118" w:name="_Toc497298097"/>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4</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5</w:t>
            </w:r>
            <w:r w:rsidR="004B55F4">
              <w:rPr>
                <w:rStyle w:val="CaptionLabel"/>
              </w:rPr>
              <w:fldChar w:fldCharType="end"/>
            </w:r>
            <w:bookmarkEnd w:id="117"/>
            <w:r>
              <w:tab/>
              <w:t>US registration process for plant protection products</w:t>
            </w:r>
            <w:bookmarkEnd w:id="118"/>
          </w:p>
        </w:tc>
      </w:tr>
      <w:tr w:rsidR="00D739A0" w:rsidRPr="00AA4DEE" w:rsidTr="00580CF7">
        <w:trPr>
          <w:cantSplit/>
          <w:trHeight w:hRule="exact" w:val="380"/>
        </w:trPr>
        <w:tc>
          <w:tcPr>
            <w:tcW w:w="10994" w:type="dxa"/>
            <w:tcBorders>
              <w:bottom w:val="single" w:sz="4" w:space="0" w:color="auto"/>
            </w:tcBorders>
            <w:shd w:val="clear" w:color="auto" w:fill="auto"/>
          </w:tcPr>
          <w:p w:rsidR="00D739A0" w:rsidRPr="00AA4DEE" w:rsidRDefault="00A81AF2" w:rsidP="00A81AF2">
            <w:pPr>
              <w:pStyle w:val="spacer"/>
              <w:jc w:val="right"/>
            </w:pPr>
            <w:r>
              <w:rPr>
                <w:noProof/>
                <w:lang w:eastAsia="en-AU"/>
              </w:rPr>
              <mc:AlternateContent>
                <mc:Choice Requires="wps">
                  <w:drawing>
                    <wp:anchor distT="0" distB="0" distL="114300" distR="114300" simplePos="0" relativeHeight="252006400" behindDoc="0" locked="1" layoutInCell="1" allowOverlap="1" wp14:anchorId="156B333E" wp14:editId="4C998274">
                      <wp:simplePos x="0" y="0"/>
                      <wp:positionH relativeFrom="page">
                        <wp:posOffset>6358890</wp:posOffset>
                      </wp:positionH>
                      <wp:positionV relativeFrom="page">
                        <wp:posOffset>-3175</wp:posOffset>
                      </wp:positionV>
                      <wp:extent cx="435600" cy="212400"/>
                      <wp:effectExtent l="0" t="0" r="3175" b="0"/>
                      <wp:wrapNone/>
                      <wp:docPr id="5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51CB" id="Freeform 5" o:spid="_x0000_s1026" style="position:absolute;margin-left:500.7pt;margin-top:-.25pt;width:34.3pt;height:16.7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EUfg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anchory="page"/>
                      <w10:anchorlock/>
                    </v:shape>
                  </w:pict>
                </mc:Fallback>
              </mc:AlternateContent>
            </w:r>
          </w:p>
        </w:tc>
      </w:tr>
      <w:tr w:rsidR="00D739A0" w:rsidRPr="00AA4DEE" w:rsidTr="00580CF7">
        <w:trPr>
          <w:cantSplit/>
        </w:trPr>
        <w:tc>
          <w:tcPr>
            <w:tcW w:w="10994" w:type="dxa"/>
            <w:tcBorders>
              <w:top w:val="single" w:sz="4" w:space="0" w:color="auto"/>
              <w:bottom w:val="single" w:sz="4" w:space="0" w:color="auto"/>
            </w:tcBorders>
            <w:shd w:val="clear" w:color="auto" w:fill="auto"/>
          </w:tcPr>
          <w:p w:rsidR="00D739A0" w:rsidRPr="00AA4DEE" w:rsidRDefault="00546375" w:rsidP="00D22B5D">
            <w:pPr>
              <w:pStyle w:val="Figure"/>
              <w:spacing w:before="120" w:after="120"/>
            </w:pPr>
            <w:r w:rsidRPr="006E33DA">
              <w:rPr>
                <w:noProof/>
                <w:lang w:eastAsia="en-AU"/>
              </w:rPr>
              <w:drawing>
                <wp:inline distT="0" distB="0" distL="0" distR="0" wp14:anchorId="3AE9DC1B" wp14:editId="38ADC4FC">
                  <wp:extent cx="6893973" cy="3920947"/>
                  <wp:effectExtent l="0" t="0" r="2540" b="3810"/>
                  <wp:docPr id="5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03194" cy="3926192"/>
                          </a:xfrm>
                          <a:prstGeom prst="rect">
                            <a:avLst/>
                          </a:prstGeom>
                          <a:noFill/>
                          <a:ln>
                            <a:noFill/>
                          </a:ln>
                        </pic:spPr>
                      </pic:pic>
                    </a:graphicData>
                  </a:graphic>
                </wp:inline>
              </w:drawing>
            </w:r>
          </w:p>
        </w:tc>
      </w:tr>
      <w:tr w:rsidR="00E86A68" w:rsidRPr="00AA4DEE" w:rsidTr="00401D9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D739A0" w:rsidRPr="00AA4DEE" w:rsidRDefault="00D739A0" w:rsidP="008B35B2">
            <w:pPr>
              <w:pStyle w:val="Source"/>
            </w:pPr>
            <w:r w:rsidRPr="00AA4DEE">
              <w:t xml:space="preserve">Source: </w:t>
            </w:r>
            <w:r>
              <w:t>Carroll MJ 2016, The importance of regulatory data protection or exclusive use and other forms of IP rights in the crop protection industry, page 1634.</w:t>
            </w:r>
          </w:p>
        </w:tc>
      </w:tr>
      <w:tr w:rsidR="00E86A68" w:rsidTr="00401D90">
        <w:trPr>
          <w:trHeight w:hRule="exact" w:val="160"/>
        </w:trPr>
        <w:tc>
          <w:tcPr>
            <w:tcW w:w="10994" w:type="dxa"/>
            <w:tcBorders>
              <w:top w:val="single" w:sz="4" w:space="0" w:color="auto"/>
            </w:tcBorders>
            <w:shd w:val="clear" w:color="auto" w:fill="auto"/>
          </w:tcPr>
          <w:p w:rsidR="00D739A0" w:rsidRDefault="00D739A0" w:rsidP="0097252E">
            <w:pPr>
              <w:pStyle w:val="spacertbl"/>
            </w:pPr>
          </w:p>
        </w:tc>
      </w:tr>
    </w:tbl>
    <w:p w:rsidR="00EE6E17" w:rsidRDefault="00EE6E17" w:rsidP="00F83078">
      <w:pPr>
        <w:pStyle w:val="BodyText"/>
        <w:rPr>
          <w:lang w:val="en-US"/>
        </w:rPr>
      </w:pPr>
      <w:r>
        <w:rPr>
          <w:lang w:val="en-US"/>
        </w:rPr>
        <w:t>In contrast to the EU, there is no provision for supplementary patent protection, but the 10 year exclusive use period for regulatory data protection is the same as in the EU and starts at first registration. Minor use registrations can extend the exclusive use period in the US</w:t>
      </w:r>
      <w:r w:rsidR="002516F8">
        <w:rPr>
          <w:lang w:val="en-US"/>
        </w:rPr>
        <w:t>A</w:t>
      </w:r>
      <w:r>
        <w:rPr>
          <w:lang w:val="en-US"/>
        </w:rPr>
        <w:t xml:space="preserve"> in a similar fashion to the EU. In addition, all data on submission are compensable in that they have a value that must be paid by another party seeking access to the data. This period of compensation lasts for 15 years from data submission. </w:t>
      </w:r>
    </w:p>
    <w:p w:rsidR="00EE6E17" w:rsidRDefault="00EE6E17" w:rsidP="00F83078">
      <w:pPr>
        <w:pStyle w:val="BodyText"/>
        <w:rPr>
          <w:lang w:val="en-US"/>
        </w:rPr>
      </w:pPr>
      <w:r>
        <w:rPr>
          <w:lang w:val="en-US"/>
        </w:rPr>
        <w:t>Any data required by the USEPA or data that would change the risk assessment made by the USEPA are compensable and</w:t>
      </w:r>
      <w:r w:rsidR="00701F68">
        <w:rPr>
          <w:lang w:val="en-US"/>
        </w:rPr>
        <w:t>,</w:t>
      </w:r>
      <w:r>
        <w:rPr>
          <w:lang w:val="en-US"/>
        </w:rPr>
        <w:t xml:space="preserve"> if submitted at different times</w:t>
      </w:r>
      <w:r w:rsidR="00701F68">
        <w:rPr>
          <w:lang w:val="en-US"/>
        </w:rPr>
        <w:t>,</w:t>
      </w:r>
      <w:r>
        <w:rPr>
          <w:lang w:val="en-US"/>
        </w:rPr>
        <w:t xml:space="preserve"> trigger separate compensable 15 year periods. </w:t>
      </w:r>
    </w:p>
    <w:p w:rsidR="00EE6E17" w:rsidRDefault="00EE6E17" w:rsidP="00F83078">
      <w:pPr>
        <w:pStyle w:val="BodyText"/>
        <w:rPr>
          <w:lang w:val="en-US"/>
        </w:rPr>
      </w:pPr>
      <w:r>
        <w:rPr>
          <w:lang w:val="en-US"/>
        </w:rPr>
        <w:t>There is no Bolar exemption in the US</w:t>
      </w:r>
      <w:r w:rsidR="001C1236">
        <w:rPr>
          <w:lang w:val="en-US"/>
        </w:rPr>
        <w:t>A</w:t>
      </w:r>
      <w:r>
        <w:rPr>
          <w:lang w:val="en-US"/>
        </w:rPr>
        <w:t xml:space="preserve">, and so it is not possible to generate regulatory data towards the end of the patent period as is possible in the EU. </w:t>
      </w:r>
    </w:p>
    <w:p w:rsidR="00D739A0" w:rsidRDefault="00EE6E17" w:rsidP="00F83078">
      <w:pPr>
        <w:pStyle w:val="BodyText"/>
        <w:rPr>
          <w:rFonts w:ascii="MyriadPro-Regular" w:hAnsi="MyriadPro-Regular" w:cs="MyriadPro-Regular"/>
          <w:sz w:val="18"/>
          <w:szCs w:val="18"/>
          <w:lang w:val="en-US"/>
        </w:rPr>
      </w:pPr>
      <w:r>
        <w:rPr>
          <w:lang w:val="en-US"/>
        </w:rPr>
        <w:t xml:space="preserve">Generic products eventually arrive after patent and exclusive use periods have expired or compensation has been paid to the data owner. </w:t>
      </w:r>
      <w:r w:rsidR="00D739A0">
        <w:rPr>
          <w:lang w:val="en-US"/>
        </w:rPr>
        <w:t xml:space="preserve">The review process in the </w:t>
      </w:r>
      <w:r w:rsidR="00185CCA">
        <w:rPr>
          <w:lang w:val="en-US"/>
        </w:rPr>
        <w:t>USA</w:t>
      </w:r>
      <w:r w:rsidR="00D739A0">
        <w:rPr>
          <w:lang w:val="en-US"/>
        </w:rPr>
        <w:t xml:space="preserve"> is quite different from the EU, in that the USEPA specif</w:t>
      </w:r>
      <w:r w:rsidR="00663AC0">
        <w:rPr>
          <w:lang w:val="en-US"/>
        </w:rPr>
        <w:t>ies</w:t>
      </w:r>
      <w:r w:rsidR="00D739A0">
        <w:rPr>
          <w:lang w:val="en-US"/>
        </w:rPr>
        <w:t xml:space="preserve"> what studies are required using a data call-in (DCI) system. </w:t>
      </w:r>
      <w:r w:rsidR="00701F68">
        <w:rPr>
          <w:lang w:val="en-US"/>
        </w:rPr>
        <w:t>T</w:t>
      </w:r>
      <w:r w:rsidR="00D739A0">
        <w:rPr>
          <w:lang w:val="en-US"/>
        </w:rPr>
        <w:t>he USEPA specif</w:t>
      </w:r>
      <w:r w:rsidR="00701F68">
        <w:rPr>
          <w:lang w:val="en-US"/>
        </w:rPr>
        <w:t>ies</w:t>
      </w:r>
      <w:r w:rsidR="00D739A0">
        <w:rPr>
          <w:lang w:val="en-US"/>
        </w:rPr>
        <w:t xml:space="preserve"> the studies required and the protocols to be followed, and </w:t>
      </w:r>
      <w:r w:rsidR="00701F68">
        <w:rPr>
          <w:lang w:val="en-US"/>
        </w:rPr>
        <w:t>allows</w:t>
      </w:r>
      <w:r w:rsidR="00D739A0">
        <w:rPr>
          <w:lang w:val="en-US"/>
        </w:rPr>
        <w:t xml:space="preserve"> enough time for stud</w:t>
      </w:r>
      <w:r w:rsidR="00701F68">
        <w:rPr>
          <w:lang w:val="en-US"/>
        </w:rPr>
        <w:t xml:space="preserve">ies to be </w:t>
      </w:r>
      <w:r w:rsidR="00D739A0">
        <w:rPr>
          <w:lang w:val="en-US"/>
        </w:rPr>
        <w:t>complet</w:t>
      </w:r>
      <w:r w:rsidR="00701F68">
        <w:rPr>
          <w:lang w:val="en-US"/>
        </w:rPr>
        <w:t>ed</w:t>
      </w:r>
      <w:r w:rsidR="00D739A0">
        <w:rPr>
          <w:lang w:val="en-US"/>
        </w:rPr>
        <w:t xml:space="preserve">. The registration holder may not like the final list of requirements, but at least there is some form of contract between regulator and registration holder. If there are multiple registration holders, acceptance of the review DCI allows those registration holders to stay </w:t>
      </w:r>
      <w:r w:rsidR="00701F68">
        <w:rPr>
          <w:lang w:val="en-US"/>
        </w:rPr>
        <w:t>i</w:t>
      </w:r>
      <w:r w:rsidR="00D739A0">
        <w:rPr>
          <w:lang w:val="en-US"/>
        </w:rPr>
        <w:t xml:space="preserve">n the market. Non-compliance with the review DCI means that the registration holder will eventually have the approval cancelled. Multiple registration holders form task forces to share costs and avoid multiple studies for the same regulatory endpoint. Once data are submitted in the review to comply with the DCI, the data are compensable for 15 years </w:t>
      </w:r>
      <w:r w:rsidR="00D739A0" w:rsidRPr="00663AC0">
        <w:rPr>
          <w:lang w:val="en-US"/>
        </w:rPr>
        <w:t>from the date of submission</w:t>
      </w:r>
      <w:r w:rsidR="00D739A0">
        <w:rPr>
          <w:rFonts w:ascii="MyriadPro-Regular" w:hAnsi="MyriadPro-Regular" w:cs="MyriadPro-Regular"/>
          <w:sz w:val="18"/>
          <w:szCs w:val="18"/>
          <w:lang w:val="en-US"/>
        </w:rPr>
        <w:t xml:space="preserve">. </w:t>
      </w:r>
    </w:p>
    <w:p w:rsidR="00D739A0" w:rsidRPr="00904DE3" w:rsidRDefault="00D739A0" w:rsidP="00F83078">
      <w:pPr>
        <w:pStyle w:val="BodyText"/>
      </w:pPr>
      <w:r>
        <w:rPr>
          <w:lang w:val="en-US"/>
        </w:rPr>
        <w:t>If further companies wish to enter the market post-patent and after the regulatory data protection exclusive use period has expired, they must pay compensation for access. Th</w:t>
      </w:r>
      <w:r w:rsidR="00701F68">
        <w:rPr>
          <w:lang w:val="en-US"/>
        </w:rPr>
        <w:t xml:space="preserve">us, </w:t>
      </w:r>
      <w:r>
        <w:rPr>
          <w:lang w:val="en-US"/>
        </w:rPr>
        <w:t xml:space="preserve">after the first 10 year period of regulatory data protection </w:t>
      </w:r>
      <w:r w:rsidR="00701F68">
        <w:rPr>
          <w:lang w:val="en-US"/>
        </w:rPr>
        <w:t xml:space="preserve">/ </w:t>
      </w:r>
      <w:r>
        <w:rPr>
          <w:lang w:val="en-US"/>
        </w:rPr>
        <w:t xml:space="preserve">exclusive use, all further access to data is determined by ability </w:t>
      </w:r>
      <w:r w:rsidR="00663AC0">
        <w:rPr>
          <w:lang w:val="en-US"/>
        </w:rPr>
        <w:t xml:space="preserve">of would-be generic manufacturers </w:t>
      </w:r>
      <w:r>
        <w:rPr>
          <w:lang w:val="en-US"/>
        </w:rPr>
        <w:t>to pay compensation.</w:t>
      </w:r>
      <w:r w:rsidR="00663AC0">
        <w:rPr>
          <w:lang w:val="en-US"/>
        </w:rPr>
        <w:t xml:space="preserve"> </w:t>
      </w:r>
    </w:p>
    <w:p w:rsidR="00D739A0" w:rsidRDefault="00D739A0" w:rsidP="00F83078">
      <w:pPr>
        <w:pStyle w:val="BodyText"/>
        <w:rPr>
          <w:lang w:val="en-US"/>
        </w:rPr>
      </w:pPr>
      <w:r w:rsidRPr="002805A5">
        <w:rPr>
          <w:lang w:val="en-US"/>
        </w:rPr>
        <w:t xml:space="preserve">This </w:t>
      </w:r>
      <w:r w:rsidR="00701F68">
        <w:rPr>
          <w:lang w:val="en-US"/>
        </w:rPr>
        <w:t xml:space="preserve">approach </w:t>
      </w:r>
      <w:r w:rsidRPr="002805A5">
        <w:rPr>
          <w:lang w:val="en-US"/>
        </w:rPr>
        <w:t xml:space="preserve">avoids the relative complexity and uncertainty of the EU system, where sequential periods of regulatory data protection exclusive use detract from an efficient regulatory process. A final but important point is that, in order to obtain approvals on the basis of compensating data holders, the compensating company need only offer to pay. Thus, registrations can be granted and compensation may well end up being decided in the courts </w:t>
      </w:r>
      <w:r w:rsidR="00663AC0">
        <w:rPr>
          <w:lang w:val="en-US"/>
        </w:rPr>
        <w:t xml:space="preserve">or </w:t>
      </w:r>
      <w:r w:rsidRPr="002805A5">
        <w:rPr>
          <w:lang w:val="en-US"/>
        </w:rPr>
        <w:t>through extended periods of mediation and arbitration</w:t>
      </w:r>
      <w:r>
        <w:rPr>
          <w:lang w:val="en-US"/>
        </w:rPr>
        <w:t>.</w:t>
      </w:r>
    </w:p>
    <w:p w:rsidR="00D739A0" w:rsidRDefault="00B172D9" w:rsidP="00B172D9">
      <w:pPr>
        <w:pStyle w:val="Heading3"/>
      </w:pPr>
      <w:r>
        <w:t>V</w:t>
      </w:r>
      <w:r w:rsidR="00D739A0">
        <w:t>eterinary chemical products</w:t>
      </w:r>
    </w:p>
    <w:p w:rsidR="00F45BC0" w:rsidRDefault="00F45BC0" w:rsidP="00F45BC0">
      <w:pPr>
        <w:pStyle w:val="ListBullet"/>
        <w:numPr>
          <w:ilvl w:val="0"/>
          <w:numId w:val="0"/>
        </w:numPr>
      </w:pPr>
      <w:r>
        <w:t>The USFDA employs a number of new animal drug application procedures.</w:t>
      </w:r>
      <w:r>
        <w:rPr>
          <w:rStyle w:val="FootnoteReference"/>
        </w:rPr>
        <w:footnoteReference w:id="86"/>
      </w:r>
      <w:r w:rsidR="00701F68">
        <w:t xml:space="preserve"> A</w:t>
      </w:r>
      <w:r w:rsidRPr="00666B04">
        <w:t xml:space="preserve"> guidance document</w:t>
      </w:r>
      <w:r w:rsidRPr="00666B04">
        <w:rPr>
          <w:rStyle w:val="FootnoteReference"/>
        </w:rPr>
        <w:footnoteReference w:id="87"/>
      </w:r>
      <w:r w:rsidRPr="00666B04">
        <w:t xml:space="preserve"> describes the type of information that the Food and Drug Administration’s</w:t>
      </w:r>
      <w:r>
        <w:t xml:space="preserve"> Center for Veterinary Medicine (CVM) recommends sponsors provide to address the human food safety of new animal drugs used in food-producing animals. </w:t>
      </w:r>
    </w:p>
    <w:p w:rsidR="00F45BC0" w:rsidRDefault="00F45BC0" w:rsidP="00F45BC0">
      <w:pPr>
        <w:pStyle w:val="ListBullet"/>
        <w:numPr>
          <w:ilvl w:val="0"/>
          <w:numId w:val="0"/>
        </w:numPr>
      </w:pPr>
      <w:r>
        <w:t xml:space="preserve">The human food safety evaluation of new animal drugs used in food-producing animals helps ensure that food derived from treated animals is safe for human consumption. Sponsors are required to furnish to CVM scientific data or information necessary to demonstrate that residues of the new animal drug in the edible tissues of treated animals are safe (see section 512(b)(1) of the </w:t>
      </w:r>
      <w:r w:rsidRPr="009C535C">
        <w:rPr>
          <w:i/>
        </w:rPr>
        <w:t xml:space="preserve">Federal Food, Drug, and Cosmetic Act </w:t>
      </w:r>
      <w:r>
        <w:t>(the FD</w:t>
      </w:r>
      <w:r w:rsidR="00050E90">
        <w:t>FD</w:t>
      </w:r>
      <w:r>
        <w:t>C</w:t>
      </w:r>
      <w:r w:rsidR="00050E90">
        <w:t>A</w:t>
      </w:r>
      <w:r>
        <w:t xml:space="preserve">)). In general, studies conducted to provide this information must be conducted in accordance with </w:t>
      </w:r>
      <w:r w:rsidR="00050E90">
        <w:t>US</w:t>
      </w:r>
      <w:r>
        <w:t xml:space="preserve">FDA’s Good Laboratory Practice regulations. See Title 21, Code of Federal Regulations, Part 58 (21 CFR 58). </w:t>
      </w:r>
    </w:p>
    <w:p w:rsidR="00F45BC0" w:rsidRDefault="00050E90" w:rsidP="00F45BC0">
      <w:pPr>
        <w:pStyle w:val="ListBullet"/>
        <w:numPr>
          <w:ilvl w:val="0"/>
          <w:numId w:val="0"/>
        </w:numPr>
      </w:pPr>
      <w:r>
        <w:t>The US</w:t>
      </w:r>
      <w:r w:rsidR="00F45BC0">
        <w:t xml:space="preserve">FDA conducts a human food safety assessment of new animal drugs for use in food-producing animals through hazard identification, hazard characterization and mitigation to reduce human exposure to residues in food derived from treated animals. </w:t>
      </w:r>
      <w:r>
        <w:t xml:space="preserve">The </w:t>
      </w:r>
      <w:r w:rsidR="00F45BC0">
        <w:t xml:space="preserve">CVM </w:t>
      </w:r>
      <w:r>
        <w:t xml:space="preserve">has </w:t>
      </w:r>
      <w:r w:rsidR="00F45BC0">
        <w:t xml:space="preserve">developed </w:t>
      </w:r>
      <w:r>
        <w:t xml:space="preserve">a </w:t>
      </w:r>
      <w:r w:rsidR="00F45BC0">
        <w:t>guidance document to inform sponsors of the scientific data and</w:t>
      </w:r>
      <w:r w:rsidR="006E37B2">
        <w:t xml:space="preserve"> </w:t>
      </w:r>
      <w:r w:rsidR="00F45BC0">
        <w:t>/</w:t>
      </w:r>
      <w:r w:rsidR="006E37B2">
        <w:t xml:space="preserve"> </w:t>
      </w:r>
      <w:r w:rsidR="00F45BC0">
        <w:t xml:space="preserve">or information that may provide an acceptable basis to determine that the residue of a new animal drug in or on food, when consumed, presents a reasonable certainty of no harm to humans. </w:t>
      </w:r>
    </w:p>
    <w:p w:rsidR="00F45BC0" w:rsidRDefault="00F45BC0" w:rsidP="00F45BC0">
      <w:pPr>
        <w:pStyle w:val="ListBullet"/>
        <w:numPr>
          <w:ilvl w:val="0"/>
          <w:numId w:val="0"/>
        </w:numPr>
      </w:pPr>
      <w:r>
        <w:t>This guidance document describes a recommended approach for providing human food safety scientific data and</w:t>
      </w:r>
      <w:r w:rsidR="006E37B2">
        <w:t xml:space="preserve"> </w:t>
      </w:r>
      <w:r>
        <w:t>/</w:t>
      </w:r>
      <w:r w:rsidR="006E37B2">
        <w:t xml:space="preserve"> </w:t>
      </w:r>
      <w:r>
        <w:t xml:space="preserve">or information. </w:t>
      </w:r>
      <w:r w:rsidR="00050E90">
        <w:t xml:space="preserve">The </w:t>
      </w:r>
      <w:r>
        <w:t>CVM acknowledges that alternate approaches also may be appropriate and encourages sponsors to discuss with CVM whether an alternate approach may be appropriate for specific new animal drugs. An overview of the overall process for the human food safety evaluation of new animal drugs used in food-producing animals includes:</w:t>
      </w:r>
    </w:p>
    <w:p w:rsidR="00F45BC0" w:rsidRPr="00666B04" w:rsidRDefault="00F45BC0" w:rsidP="00F45BC0">
      <w:pPr>
        <w:pStyle w:val="ListBullet"/>
      </w:pPr>
      <w:r w:rsidRPr="00666B04">
        <w:t>Determining an acceptable daily intake</w:t>
      </w:r>
    </w:p>
    <w:p w:rsidR="00F45BC0" w:rsidRPr="00666B04" w:rsidRDefault="00F45BC0" w:rsidP="00F45BC0">
      <w:pPr>
        <w:pStyle w:val="ListBullet"/>
      </w:pPr>
      <w:r w:rsidRPr="00666B04">
        <w:t>Calculating safe concentrations</w:t>
      </w:r>
    </w:p>
    <w:p w:rsidR="00F45BC0" w:rsidRPr="00666B04" w:rsidRDefault="00F45BC0" w:rsidP="00F45BC0">
      <w:pPr>
        <w:pStyle w:val="ListBullet"/>
      </w:pPr>
      <w:r w:rsidRPr="00666B04">
        <w:t>Assignment of a tolerance</w:t>
      </w:r>
    </w:p>
    <w:p w:rsidR="00F45BC0" w:rsidRPr="00666B04" w:rsidRDefault="00F45BC0" w:rsidP="00F45BC0">
      <w:pPr>
        <w:pStyle w:val="ListBullet"/>
      </w:pPr>
      <w:r w:rsidRPr="00666B04">
        <w:t>Calculation of a withdrawal period and a milk discard time</w:t>
      </w:r>
      <w:r w:rsidR="00050E90">
        <w:t>, and</w:t>
      </w:r>
    </w:p>
    <w:p w:rsidR="00F45BC0" w:rsidRPr="00666B04" w:rsidRDefault="00F45BC0" w:rsidP="00F45BC0">
      <w:pPr>
        <w:pStyle w:val="ListBullet"/>
      </w:pPr>
      <w:r w:rsidRPr="00666B04">
        <w:t>Evaluation of carcinogenic compounds</w:t>
      </w:r>
      <w:r w:rsidR="00050E90">
        <w:t>.</w:t>
      </w:r>
    </w:p>
    <w:p w:rsidR="00D739A0" w:rsidRDefault="006964D0" w:rsidP="00D739A0">
      <w:pPr>
        <w:pStyle w:val="Heading2"/>
      </w:pPr>
      <w:bookmarkStart w:id="119" w:name="_Toc497300837"/>
      <w:r>
        <w:t>C</w:t>
      </w:r>
      <w:r w:rsidR="00D739A0">
        <w:t>anadian registration processes</w:t>
      </w:r>
      <w:bookmarkEnd w:id="119"/>
      <w:r w:rsidR="00D739A0">
        <w:t xml:space="preserve"> </w:t>
      </w:r>
    </w:p>
    <w:p w:rsidR="00B172D9" w:rsidRDefault="004D67B0" w:rsidP="00B172D9">
      <w:pPr>
        <w:pStyle w:val="BodyText"/>
        <w:rPr>
          <w:lang w:val="en-US"/>
        </w:rPr>
      </w:pPr>
      <w:r>
        <w:rPr>
          <w:lang w:val="en-US"/>
        </w:rPr>
        <w:t xml:space="preserve">The </w:t>
      </w:r>
      <w:r w:rsidR="00D739A0">
        <w:rPr>
          <w:lang w:val="en-US"/>
        </w:rPr>
        <w:t>Canadian system is very similar to the US system</w:t>
      </w:r>
      <w:r w:rsidR="00A24CF1">
        <w:rPr>
          <w:lang w:val="en-US"/>
        </w:rPr>
        <w:t xml:space="preserve"> as shown in </w:t>
      </w:r>
      <w:r w:rsidR="003B154E">
        <w:rPr>
          <w:lang w:val="en-US"/>
        </w:rPr>
        <w:fldChar w:fldCharType="begin"/>
      </w:r>
      <w:r w:rsidR="003B154E">
        <w:rPr>
          <w:lang w:val="en-US"/>
        </w:rPr>
        <w:instrText xml:space="preserve"> REF _Ref485641869 \h </w:instrText>
      </w:r>
      <w:r w:rsidR="003B154E">
        <w:rPr>
          <w:lang w:val="en-US"/>
        </w:rPr>
      </w:r>
      <w:r w:rsidR="003B154E">
        <w:rPr>
          <w:lang w:val="en-US"/>
        </w:rPr>
        <w:fldChar w:fldCharType="separate"/>
      </w:r>
      <w:r w:rsidR="0087688C" w:rsidRPr="00897E60">
        <w:rPr>
          <w:rStyle w:val="CaptionLabel"/>
        </w:rPr>
        <w:t>Figure</w:t>
      </w:r>
      <w:r w:rsidR="0087688C">
        <w:rPr>
          <w:rStyle w:val="CaptionLabel"/>
        </w:rPr>
        <w:t> </w:t>
      </w:r>
      <w:r w:rsidR="0087688C">
        <w:rPr>
          <w:rStyle w:val="CaptionLabel"/>
          <w:noProof/>
        </w:rPr>
        <w:t>4</w:t>
      </w:r>
      <w:r w:rsidR="0087688C" w:rsidRPr="00897E60">
        <w:rPr>
          <w:rStyle w:val="CaptionLabel"/>
        </w:rPr>
        <w:t>.</w:t>
      </w:r>
      <w:r w:rsidR="0087688C">
        <w:rPr>
          <w:rStyle w:val="CaptionLabel"/>
          <w:noProof/>
        </w:rPr>
        <w:t>6</w:t>
      </w:r>
      <w:r w:rsidR="003B154E">
        <w:rPr>
          <w:lang w:val="en-US"/>
        </w:rPr>
        <w:fldChar w:fldCharType="end"/>
      </w:r>
      <w:r w:rsidR="00D739A0">
        <w:rPr>
          <w:lang w:val="en-US"/>
        </w:rPr>
        <w:t xml:space="preserve"> and regulatory review is based on data call-in. The key differences are that there is a Bolar exemption and the compensation periods are only of 12 years duration. At the heart of the Canadian system is the </w:t>
      </w:r>
      <w:r w:rsidR="00663AC0">
        <w:rPr>
          <w:lang w:val="en-US"/>
        </w:rPr>
        <w:t>provision tha</w:t>
      </w:r>
      <w:r w:rsidR="00D739A0">
        <w:rPr>
          <w:lang w:val="en-US"/>
        </w:rPr>
        <w:t>t, after the first 10 year period of regulatory data protection exclusive use, all further access to data is determined by ability to pay compensation</w:t>
      </w:r>
      <w:r w:rsidR="00663AC0">
        <w:rPr>
          <w:lang w:val="en-US"/>
        </w:rPr>
        <w:t xml:space="preserve">. This </w:t>
      </w:r>
      <w:r w:rsidR="00D739A0">
        <w:rPr>
          <w:lang w:val="en-US"/>
        </w:rPr>
        <w:t>avoid</w:t>
      </w:r>
      <w:r w:rsidR="00663AC0">
        <w:rPr>
          <w:lang w:val="en-US"/>
        </w:rPr>
        <w:t>s</w:t>
      </w:r>
      <w:r w:rsidR="00D739A0">
        <w:rPr>
          <w:lang w:val="en-US"/>
        </w:rPr>
        <w:t xml:space="preserve"> the complications of the EU process which uses multiple sequential periods of regulatory data protection </w:t>
      </w:r>
      <w:r w:rsidR="00701F68">
        <w:rPr>
          <w:lang w:val="en-US"/>
        </w:rPr>
        <w:t xml:space="preserve">/ </w:t>
      </w:r>
      <w:r w:rsidR="00D739A0">
        <w:rPr>
          <w:lang w:val="en-US"/>
        </w:rPr>
        <w:t>exclusive use. In Canada, however, it is not possible simply to offer to pay</w:t>
      </w:r>
      <w:r w:rsidR="00663AC0">
        <w:rPr>
          <w:lang w:val="en-US"/>
        </w:rPr>
        <w:t>. S</w:t>
      </w:r>
      <w:r w:rsidR="00D739A0">
        <w:rPr>
          <w:lang w:val="en-US"/>
        </w:rPr>
        <w:t>ome form of compensation must</w:t>
      </w:r>
      <w:r w:rsidR="00663AC0">
        <w:rPr>
          <w:lang w:val="en-US"/>
        </w:rPr>
        <w:t xml:space="preserve"> actually </w:t>
      </w:r>
      <w:r w:rsidR="00D739A0">
        <w:rPr>
          <w:lang w:val="en-US"/>
        </w:rPr>
        <w:t>be paid before a registration is granted.</w:t>
      </w:r>
      <w:r w:rsidR="00C701CC">
        <w:rPr>
          <w:lang w:val="en-US"/>
        </w:rPr>
        <w:t xml:space="preserve"> This means that generics are out of the market for 12 years, </w:t>
      </w:r>
      <w:r w:rsidR="00DE4822">
        <w:rPr>
          <w:lang w:val="en-US"/>
        </w:rPr>
        <w:t xml:space="preserve">two </w:t>
      </w:r>
      <w:r w:rsidR="00C701CC">
        <w:rPr>
          <w:lang w:val="en-US"/>
        </w:rPr>
        <w:t xml:space="preserve">years longer than </w:t>
      </w:r>
      <w:r w:rsidR="00DE4822">
        <w:rPr>
          <w:lang w:val="en-US"/>
        </w:rPr>
        <w:t xml:space="preserve">in </w:t>
      </w:r>
      <w:r w:rsidR="00C701CC">
        <w:rPr>
          <w:lang w:val="en-US"/>
        </w:rPr>
        <w:t>Australia.</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10994"/>
      </w:tblGrid>
      <w:tr w:rsidR="00E86A68" w:rsidRPr="00AA4DEE" w:rsidTr="00401D90">
        <w:trPr>
          <w:cantSplit/>
          <w:trHeight w:hRule="exact" w:val="160"/>
        </w:trPr>
        <w:tc>
          <w:tcPr>
            <w:tcW w:w="10994" w:type="dxa"/>
            <w:tcBorders>
              <w:bottom w:val="single" w:sz="4" w:space="0" w:color="auto"/>
            </w:tcBorders>
            <w:shd w:val="clear" w:color="auto" w:fill="auto"/>
          </w:tcPr>
          <w:p w:rsidR="003B154E" w:rsidRPr="00AA4DEE" w:rsidRDefault="003B154E" w:rsidP="006674E0">
            <w:pPr>
              <w:pStyle w:val="spacer"/>
            </w:pPr>
          </w:p>
        </w:tc>
      </w:tr>
      <w:tr w:rsidR="00E86A68" w:rsidRPr="00897E60" w:rsidTr="00401D90">
        <w:trPr>
          <w:cantSplit/>
        </w:trPr>
        <w:tc>
          <w:tcPr>
            <w:tcW w:w="10994" w:type="dxa"/>
            <w:tcBorders>
              <w:top w:val="single" w:sz="4" w:space="0" w:color="auto"/>
            </w:tcBorders>
            <w:shd w:val="clear" w:color="auto" w:fill="auto"/>
            <w:tcMar>
              <w:left w:w="0" w:type="dxa"/>
            </w:tcMar>
          </w:tcPr>
          <w:p w:rsidR="003B154E" w:rsidRPr="00897E60" w:rsidRDefault="003B154E" w:rsidP="003B154E">
            <w:pPr>
              <w:pStyle w:val="Caption"/>
            </w:pPr>
            <w:bookmarkStart w:id="120" w:name="_Ref485641869"/>
            <w:bookmarkStart w:id="121" w:name="_Toc409004815"/>
            <w:bookmarkStart w:id="122" w:name="_Toc497298098"/>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1977DE">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7688C">
              <w:rPr>
                <w:rStyle w:val="CaptionLabel"/>
                <w:noProof/>
              </w:rPr>
              <w:t>6</w:t>
            </w:r>
            <w:r w:rsidRPr="00897E60">
              <w:rPr>
                <w:rStyle w:val="CaptionLabel"/>
              </w:rPr>
              <w:fldChar w:fldCharType="end"/>
            </w:r>
            <w:bookmarkEnd w:id="120"/>
            <w:r>
              <w:tab/>
              <w:t>Canadian registration process for plant protection products</w:t>
            </w:r>
            <w:bookmarkEnd w:id="121"/>
            <w:bookmarkEnd w:id="122"/>
          </w:p>
        </w:tc>
      </w:tr>
      <w:tr w:rsidR="003B154E" w:rsidRPr="00AA4DEE" w:rsidTr="00580CF7">
        <w:trPr>
          <w:cantSplit/>
          <w:trHeight w:hRule="exact" w:val="380"/>
        </w:trPr>
        <w:tc>
          <w:tcPr>
            <w:tcW w:w="10994" w:type="dxa"/>
            <w:tcBorders>
              <w:bottom w:val="single" w:sz="4" w:space="0" w:color="auto"/>
            </w:tcBorders>
            <w:shd w:val="clear" w:color="auto" w:fill="auto"/>
          </w:tcPr>
          <w:p w:rsidR="003B154E" w:rsidRPr="00AA4DEE" w:rsidRDefault="00A81AF2" w:rsidP="00A81AF2">
            <w:pPr>
              <w:pStyle w:val="spacer"/>
              <w:tabs>
                <w:tab w:val="left" w:pos="10250"/>
              </w:tabs>
            </w:pPr>
            <w:r>
              <w:tab/>
            </w:r>
            <w:r>
              <w:rPr>
                <w:noProof/>
                <w:lang w:eastAsia="en-AU"/>
              </w:rPr>
              <mc:AlternateContent>
                <mc:Choice Requires="wps">
                  <w:drawing>
                    <wp:anchor distT="0" distB="0" distL="114300" distR="114300" simplePos="0" relativeHeight="252008448" behindDoc="0" locked="1" layoutInCell="1" allowOverlap="1" wp14:anchorId="055E2E3B" wp14:editId="09203274">
                      <wp:simplePos x="0" y="0"/>
                      <wp:positionH relativeFrom="page">
                        <wp:posOffset>6343015</wp:posOffset>
                      </wp:positionH>
                      <wp:positionV relativeFrom="paragraph">
                        <wp:posOffset>-14605</wp:posOffset>
                      </wp:positionV>
                      <wp:extent cx="435600" cy="212400"/>
                      <wp:effectExtent l="0" t="0" r="3175" b="0"/>
                      <wp:wrapNone/>
                      <wp:docPr id="5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6ECF18" id="Freeform 5" o:spid="_x0000_s1026" style="position:absolute;margin-left:499.45pt;margin-top:-1.15pt;width:34.3pt;height:16.7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uXewMAAMIJAAAOAAAAZHJzL2Uyb0RvYy54bWysVsFu2zgQvS/QfyB0LNDIcmz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p>
        </w:tc>
      </w:tr>
      <w:tr w:rsidR="003B154E" w:rsidRPr="00AA4DEE" w:rsidTr="00580CF7">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3B154E" w:rsidRPr="00AA4DEE" w:rsidRDefault="00546375" w:rsidP="00D22B5D">
            <w:pPr>
              <w:pStyle w:val="Figure"/>
              <w:spacing w:before="120" w:after="120"/>
            </w:pPr>
            <w:r w:rsidRPr="006E33DA">
              <w:rPr>
                <w:noProof/>
                <w:lang w:eastAsia="en-AU"/>
              </w:rPr>
              <w:drawing>
                <wp:inline distT="0" distB="0" distL="0" distR="0" wp14:anchorId="558EC87F" wp14:editId="61AE875A">
                  <wp:extent cx="6837363" cy="3884371"/>
                  <wp:effectExtent l="0" t="0" r="1905" b="1905"/>
                  <wp:docPr id="56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44006" cy="3888145"/>
                          </a:xfrm>
                          <a:prstGeom prst="rect">
                            <a:avLst/>
                          </a:prstGeom>
                          <a:noFill/>
                          <a:ln>
                            <a:noFill/>
                          </a:ln>
                        </pic:spPr>
                      </pic:pic>
                    </a:graphicData>
                  </a:graphic>
                </wp:inline>
              </w:drawing>
            </w:r>
          </w:p>
        </w:tc>
      </w:tr>
      <w:tr w:rsidR="00E86A68" w:rsidRPr="00AA4DEE" w:rsidTr="00401D9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3B154E" w:rsidRPr="00AA4DEE" w:rsidRDefault="003B154E" w:rsidP="008B35B2">
            <w:pPr>
              <w:pStyle w:val="Source"/>
            </w:pPr>
            <w:r>
              <w:t>S</w:t>
            </w:r>
            <w:r w:rsidRPr="00AA4DEE">
              <w:t xml:space="preserve">ource: </w:t>
            </w:r>
            <w:r>
              <w:t>Carroll MJ 2016, The importance of regulatory data protection or exclusive use and other forms of IP rights in the crop protection industry, page 1634</w:t>
            </w:r>
          </w:p>
        </w:tc>
      </w:tr>
      <w:tr w:rsidR="00E86A68" w:rsidTr="00401D90">
        <w:trPr>
          <w:trHeight w:hRule="exact" w:val="160"/>
        </w:trPr>
        <w:tc>
          <w:tcPr>
            <w:tcW w:w="10994" w:type="dxa"/>
            <w:tcBorders>
              <w:top w:val="single" w:sz="4" w:space="0" w:color="auto"/>
            </w:tcBorders>
            <w:shd w:val="clear" w:color="auto" w:fill="auto"/>
          </w:tcPr>
          <w:p w:rsidR="003B154E" w:rsidRDefault="003B154E" w:rsidP="006674E0">
            <w:pPr>
              <w:pStyle w:val="spacertbl"/>
            </w:pPr>
          </w:p>
        </w:tc>
      </w:tr>
    </w:tbl>
    <w:p w:rsidR="00D739A0" w:rsidRDefault="00D739A0" w:rsidP="000C653C">
      <w:pPr>
        <w:pStyle w:val="Heading2"/>
      </w:pPr>
      <w:bookmarkStart w:id="123" w:name="_Toc497300838"/>
      <w:r>
        <w:t>N</w:t>
      </w:r>
      <w:r w:rsidR="00663AC0">
        <w:t xml:space="preserve">ew </w:t>
      </w:r>
      <w:r>
        <w:t>Z</w:t>
      </w:r>
      <w:r w:rsidR="00663AC0">
        <w:t>ealand</w:t>
      </w:r>
      <w:r>
        <w:t xml:space="preserve"> registration processes</w:t>
      </w:r>
      <w:bookmarkEnd w:id="123"/>
      <w:r>
        <w:t xml:space="preserve"> </w:t>
      </w:r>
    </w:p>
    <w:p w:rsidR="00422039" w:rsidRDefault="005B3D67" w:rsidP="005B3D67">
      <w:pPr>
        <w:pStyle w:val="BodyText"/>
      </w:pPr>
      <w:r>
        <w:t>All agricultural compounds (includes agricultural chemicals and veterinary medicines), manufactured, sold or used in New Zealand must be authorised under the ACVM Act and Regulations.</w:t>
      </w:r>
      <w:r>
        <w:rPr>
          <w:rStyle w:val="FootnoteReference"/>
        </w:rPr>
        <w:footnoteReference w:id="88"/>
      </w:r>
      <w:r>
        <w:t xml:space="preserve"> </w:t>
      </w:r>
      <w:r w:rsidR="000702E5">
        <w:t>Unlike other reviewed countries, pre-application assessment</w:t>
      </w:r>
      <w:r w:rsidR="00EB32BC">
        <w:t xml:space="preserve"> is</w:t>
      </w:r>
      <w:r w:rsidR="000702E5">
        <w:t xml:space="preserve"> required prior to the </w:t>
      </w:r>
      <w:r w:rsidR="005F29ED">
        <w:t xml:space="preserve">New Zealand </w:t>
      </w:r>
      <w:r w:rsidR="00EB32BC">
        <w:t xml:space="preserve">regulator’s </w:t>
      </w:r>
      <w:r w:rsidR="000702E5">
        <w:t>agvet chemical assessment, which correspondingly limits the work and time required</w:t>
      </w:r>
      <w:r w:rsidR="00EB32BC">
        <w:t xml:space="preserve"> for </w:t>
      </w:r>
      <w:r w:rsidR="005415F0">
        <w:t>the latter</w:t>
      </w:r>
      <w:r w:rsidR="000702E5">
        <w:t>.</w:t>
      </w:r>
      <w:r w:rsidR="002D49A3">
        <w:t xml:space="preserve"> When the timeframes required for both pre-application and regulatory assessment are taken into account, they are similar to other countries.</w:t>
      </w:r>
      <w:r w:rsidR="005F29ED">
        <w:t xml:space="preserve"> </w:t>
      </w:r>
    </w:p>
    <w:p w:rsidR="005B3D67" w:rsidRPr="00F81968" w:rsidRDefault="005B3D67" w:rsidP="005B3D67">
      <w:pPr>
        <w:pStyle w:val="BodyText"/>
        <w:rPr>
          <w:lang w:val="en-US"/>
        </w:rPr>
      </w:pPr>
      <w:r w:rsidRPr="00F81968">
        <w:rPr>
          <w:lang w:val="en-US"/>
        </w:rPr>
        <w:t>There are</w:t>
      </w:r>
      <w:r>
        <w:rPr>
          <w:lang w:val="en-US"/>
        </w:rPr>
        <w:t xml:space="preserve"> five t</w:t>
      </w:r>
      <w:r w:rsidRPr="00F81968">
        <w:rPr>
          <w:lang w:val="en-US"/>
        </w:rPr>
        <w:t>ypes of authorisation for agricultural chemicals:</w:t>
      </w:r>
    </w:p>
    <w:p w:rsidR="005B3D67" w:rsidRPr="00185CCA" w:rsidRDefault="005B3D67" w:rsidP="005B3D67">
      <w:pPr>
        <w:pStyle w:val="ListNumber"/>
        <w:numPr>
          <w:ilvl w:val="0"/>
          <w:numId w:val="37"/>
        </w:numPr>
        <w:rPr>
          <w:lang w:val="en-US"/>
        </w:rPr>
      </w:pPr>
      <w:r w:rsidRPr="00185CCA">
        <w:rPr>
          <w:bCs/>
          <w:bdr w:val="none" w:sz="0" w:space="0" w:color="auto" w:frame="1"/>
          <w:lang w:val="en-US"/>
        </w:rPr>
        <w:t xml:space="preserve">Registration </w:t>
      </w:r>
      <w:r w:rsidRPr="00185CCA">
        <w:rPr>
          <w:lang w:val="en-US"/>
        </w:rPr>
        <w:t>(to authorise a specific trade name product — this applies to most agricultural chemical products)</w:t>
      </w:r>
    </w:p>
    <w:p w:rsidR="005B3D67" w:rsidRPr="00185CCA" w:rsidRDefault="005B3D67" w:rsidP="005B3D67">
      <w:pPr>
        <w:pStyle w:val="ListNumber"/>
        <w:numPr>
          <w:ilvl w:val="0"/>
          <w:numId w:val="37"/>
        </w:numPr>
        <w:rPr>
          <w:lang w:val="en-US"/>
        </w:rPr>
      </w:pPr>
      <w:r w:rsidRPr="00185CCA">
        <w:rPr>
          <w:bCs/>
          <w:bdr w:val="none" w:sz="0" w:space="0" w:color="auto" w:frame="1"/>
          <w:lang w:val="en-US"/>
        </w:rPr>
        <w:t xml:space="preserve">Provisional registration </w:t>
      </w:r>
      <w:r w:rsidRPr="00185CCA">
        <w:rPr>
          <w:lang w:val="en-US"/>
        </w:rPr>
        <w:t>(to do trial work to obtain information on a trade name product other than that required for New Zealand registration and to determine whether it should be registered in New Zealand)</w:t>
      </w:r>
    </w:p>
    <w:p w:rsidR="005B3D67" w:rsidRPr="00185CCA" w:rsidRDefault="005B3D67" w:rsidP="005B3D67">
      <w:pPr>
        <w:pStyle w:val="ListNumber"/>
        <w:numPr>
          <w:ilvl w:val="0"/>
          <w:numId w:val="37"/>
        </w:numPr>
        <w:rPr>
          <w:lang w:val="en-US"/>
        </w:rPr>
      </w:pPr>
      <w:r w:rsidRPr="00185CCA">
        <w:rPr>
          <w:bCs/>
          <w:bdr w:val="none" w:sz="0" w:space="0" w:color="auto" w:frame="1"/>
          <w:lang w:val="en-US"/>
        </w:rPr>
        <w:t xml:space="preserve">Exemption from registration under Regulations </w:t>
      </w:r>
      <w:r w:rsidRPr="00185CCA">
        <w:rPr>
          <w:lang w:val="en-US"/>
        </w:rPr>
        <w:t>(to authorise product “types” or groups that are exempted from registration subject to conditions in the ACVM Regulations)</w:t>
      </w:r>
    </w:p>
    <w:p w:rsidR="005B3D67" w:rsidRDefault="005B3D67" w:rsidP="005B3D67">
      <w:pPr>
        <w:pStyle w:val="ListNumber"/>
        <w:numPr>
          <w:ilvl w:val="0"/>
          <w:numId w:val="37"/>
        </w:numPr>
        <w:rPr>
          <w:lang w:val="en-US"/>
        </w:rPr>
      </w:pPr>
      <w:r w:rsidRPr="00185CCA">
        <w:rPr>
          <w:bCs/>
          <w:bdr w:val="none" w:sz="0" w:space="0" w:color="auto" w:frame="1"/>
          <w:lang w:val="en-US"/>
        </w:rPr>
        <w:t xml:space="preserve">Approval in special circumstances </w:t>
      </w:r>
      <w:r w:rsidRPr="00185CCA">
        <w:rPr>
          <w:lang w:val="en-US"/>
        </w:rPr>
        <w:t>(to allow agricultural chemicals to be used under strict conditions without registration or provisional registration).</w:t>
      </w:r>
    </w:p>
    <w:p w:rsidR="005B3D67" w:rsidRPr="00185CCA" w:rsidRDefault="005B3D67" w:rsidP="005B3D67">
      <w:pPr>
        <w:pStyle w:val="ListNumber"/>
        <w:numPr>
          <w:ilvl w:val="0"/>
          <w:numId w:val="37"/>
        </w:numPr>
        <w:rPr>
          <w:lang w:val="en-US"/>
        </w:rPr>
      </w:pPr>
      <w:r>
        <w:rPr>
          <w:lang w:val="en-US"/>
        </w:rPr>
        <w:t>Approval of an agricultural compound as Generally Recognized as Safe (GRAS).</w:t>
      </w:r>
    </w:p>
    <w:p w:rsidR="005B3D67" w:rsidRPr="00F81968" w:rsidRDefault="005B3D67" w:rsidP="005B3D67">
      <w:pPr>
        <w:pStyle w:val="BodyText"/>
        <w:rPr>
          <w:lang w:val="en-US"/>
        </w:rPr>
      </w:pPr>
      <w:r w:rsidRPr="00F81968">
        <w:rPr>
          <w:lang w:val="en-US"/>
        </w:rPr>
        <w:t xml:space="preserve">When </w:t>
      </w:r>
      <w:r>
        <w:rPr>
          <w:lang w:val="en-US"/>
        </w:rPr>
        <w:t xml:space="preserve">an </w:t>
      </w:r>
      <w:r w:rsidRPr="00F81968">
        <w:rPr>
          <w:lang w:val="en-US"/>
        </w:rPr>
        <w:t xml:space="preserve">agricultural chemical has been authorised, </w:t>
      </w:r>
      <w:r>
        <w:rPr>
          <w:lang w:val="en-US"/>
        </w:rPr>
        <w:t>its supplier</w:t>
      </w:r>
      <w:r w:rsidRPr="00F81968">
        <w:rPr>
          <w:lang w:val="en-US"/>
        </w:rPr>
        <w:t xml:space="preserve"> must comply with any conditions o</w:t>
      </w:r>
      <w:r>
        <w:rPr>
          <w:lang w:val="en-US"/>
        </w:rPr>
        <w:t>f</w:t>
      </w:r>
      <w:r w:rsidRPr="00F81968">
        <w:rPr>
          <w:lang w:val="en-US"/>
        </w:rPr>
        <w:t xml:space="preserve"> that authorisation. These conditions may limit aspects of </w:t>
      </w:r>
      <w:r>
        <w:rPr>
          <w:lang w:val="en-US"/>
        </w:rPr>
        <w:t>importing, m</w:t>
      </w:r>
      <w:r w:rsidRPr="00F81968">
        <w:rPr>
          <w:bdr w:val="none" w:sz="0" w:space="0" w:color="auto" w:frame="1"/>
          <w:lang w:val="en-US"/>
        </w:rPr>
        <w:t>anufacturing</w:t>
      </w:r>
      <w:r>
        <w:rPr>
          <w:bdr w:val="none" w:sz="0" w:space="0" w:color="auto" w:frame="1"/>
          <w:lang w:val="en-US"/>
        </w:rPr>
        <w:t>, s</w:t>
      </w:r>
      <w:r w:rsidRPr="00F81968">
        <w:rPr>
          <w:bdr w:val="none" w:sz="0" w:space="0" w:color="auto" w:frame="1"/>
          <w:lang w:val="en-US"/>
        </w:rPr>
        <w:t>elling</w:t>
      </w:r>
      <w:r>
        <w:rPr>
          <w:bdr w:val="none" w:sz="0" w:space="0" w:color="auto" w:frame="1"/>
          <w:lang w:val="en-US"/>
        </w:rPr>
        <w:t xml:space="preserve"> and u</w:t>
      </w:r>
      <w:r w:rsidRPr="00F81968">
        <w:rPr>
          <w:bdr w:val="none" w:sz="0" w:space="0" w:color="auto" w:frame="1"/>
          <w:lang w:val="en-US"/>
        </w:rPr>
        <w:t>sing</w:t>
      </w:r>
      <w:r>
        <w:rPr>
          <w:bdr w:val="none" w:sz="0" w:space="0" w:color="auto" w:frame="1"/>
          <w:lang w:val="en-US"/>
        </w:rPr>
        <w:t>.</w:t>
      </w:r>
    </w:p>
    <w:p w:rsidR="005B3D67" w:rsidRDefault="005B3D67" w:rsidP="005B3D67">
      <w:pPr>
        <w:pStyle w:val="BodyText"/>
      </w:pPr>
      <w:r>
        <w:t xml:space="preserve">Where the crop protection or veterinary medicine product is also a hazardous substance it also requires an approval (either </w:t>
      </w:r>
      <w:r w:rsidR="00701F68">
        <w:t>P</w:t>
      </w:r>
      <w:r>
        <w:t>art 5 approval or compliance with a Group Standard) under the HSNO Act. An ACVM registration cannot be finalised until it has a HSNO approval (where required).</w:t>
      </w:r>
    </w:p>
    <w:p w:rsidR="005B3D67" w:rsidRDefault="005B3D67" w:rsidP="005B3D67">
      <w:pPr>
        <w:pStyle w:val="BodyText"/>
      </w:pPr>
      <w:r>
        <w:t>Protection of confidential information submitted with an application for registration, certain variations to a registered product, or reassessment of a registered product is outlined in Part 6 of the ACVM Act.  The period of protection for confidential information is 5 years for non-innovative products, variations (e.g., additional pests, crops/animals, application methods) and reassessments and 10 years for innovative products (meaning contains an active ingredient not used in an already registered product).</w:t>
      </w:r>
    </w:p>
    <w:p w:rsidR="005B3D67" w:rsidRDefault="005B3D67" w:rsidP="005B3D67">
      <w:pPr>
        <w:pStyle w:val="BodyText"/>
      </w:pPr>
      <w:r>
        <w:t xml:space="preserve">This means during this protected period, another company wishing to register or vary an existing registration either has to supply the equivalent confidential information, or obtain a letter of support from the registrant </w:t>
      </w:r>
      <w:r w:rsidR="00701F68">
        <w:t>owning</w:t>
      </w:r>
      <w:r>
        <w:t xml:space="preserve"> the protected confidential information.</w:t>
      </w:r>
    </w:p>
    <w:p w:rsidR="005B3D67" w:rsidRDefault="005B3D67" w:rsidP="005B3D67">
      <w:pPr>
        <w:pStyle w:val="BodyText"/>
      </w:pPr>
      <w:r>
        <w:t>Key steps to register agricultural compounds are outlined below.</w:t>
      </w:r>
      <w:r>
        <w:rPr>
          <w:rStyle w:val="FootnoteReference"/>
        </w:rPr>
        <w:footnoteReference w:id="89"/>
      </w:r>
    </w:p>
    <w:p w:rsidR="005B3D67" w:rsidRDefault="005B3D67" w:rsidP="005B3D67">
      <w:pPr>
        <w:pStyle w:val="BodyText"/>
      </w:pPr>
      <w:r w:rsidRPr="00DF2F90">
        <w:rPr>
          <w:b/>
        </w:rPr>
        <w:t>Administrative pre-screen</w:t>
      </w:r>
      <w:r>
        <w:rPr>
          <w:b/>
        </w:rPr>
        <w:t xml:space="preserve"> </w:t>
      </w:r>
      <w:r>
        <w:t>— a</w:t>
      </w:r>
      <w:r w:rsidRPr="00DF2F90">
        <w:t>t the start</w:t>
      </w:r>
      <w:r w:rsidR="00701F68">
        <w:t xml:space="preserve"> of the process</w:t>
      </w:r>
      <w:r w:rsidRPr="00DF2F90">
        <w:t xml:space="preserve"> applicants are advised that the application has been received and will be processed by the Operations Team of the Approvals and ACVM Group. The applications are checked for completeness in terms of the supporting documents that must be included. Whether complete or not, a number is assigned to the application, a product file is created to hold the documents and relevant information is entered into an internal database.</w:t>
      </w:r>
    </w:p>
    <w:p w:rsidR="005B3D67" w:rsidRDefault="005B3D67" w:rsidP="005B3D67">
      <w:pPr>
        <w:pStyle w:val="BodyText"/>
      </w:pPr>
      <w:r w:rsidRPr="00DF2F90">
        <w:rPr>
          <w:b/>
        </w:rPr>
        <w:t>Technical pre-screen</w:t>
      </w:r>
      <w:r>
        <w:rPr>
          <w:b/>
        </w:rPr>
        <w:t xml:space="preserve"> </w:t>
      </w:r>
      <w:r>
        <w:t>— a</w:t>
      </w:r>
      <w:r w:rsidRPr="00DF2F90">
        <w:t>t this pre-screen, the Technical Appraisers (TAs) make a preliminary appraisal to confirm whether or not the data supplied with an application are sufficient to be appraised to support registration.</w:t>
      </w:r>
    </w:p>
    <w:p w:rsidR="005B3D67" w:rsidRDefault="005B3D67" w:rsidP="005B3D67">
      <w:pPr>
        <w:pStyle w:val="BodyText"/>
      </w:pPr>
      <w:r w:rsidRPr="005B3D67">
        <w:rPr>
          <w:b/>
        </w:rPr>
        <w:t>Pre-screen Decision</w:t>
      </w:r>
      <w:r>
        <w:t xml:space="preserve"> — i</w:t>
      </w:r>
      <w:r w:rsidRPr="00DF2F90">
        <w:t>f information provided is considered to be inadequate</w:t>
      </w:r>
      <w:r>
        <w:t xml:space="preserve"> either at the administrative or technical pre-screen</w:t>
      </w:r>
      <w:r w:rsidRPr="00DF2F90">
        <w:t>, the application is not accepted</w:t>
      </w:r>
      <w:r>
        <w:t xml:space="preserve"> under the ACVM Act. The applicant is advised of the deficiencies and they can decide whether to re-submit the application.</w:t>
      </w:r>
    </w:p>
    <w:p w:rsidR="005B3D67" w:rsidRDefault="005B3D67" w:rsidP="005B3D67">
      <w:pPr>
        <w:pStyle w:val="BodyText"/>
      </w:pPr>
      <w:r w:rsidRPr="00DF2F90">
        <w:rPr>
          <w:b/>
        </w:rPr>
        <w:t>Public notification</w:t>
      </w:r>
      <w:r>
        <w:rPr>
          <w:b/>
        </w:rPr>
        <w:t xml:space="preserve"> </w:t>
      </w:r>
      <w:r w:rsidRPr="00DF2F90">
        <w:t>—</w:t>
      </w:r>
      <w:r>
        <w:t xml:space="preserve"> once accepted into the regulatory system, s</w:t>
      </w:r>
      <w:r w:rsidRPr="00DF2F90">
        <w:t xml:space="preserve">ection 14 of the ACVM Act requires all applications for registration (and variations to existing registrations) to publish a notice in the NZ Gazette. However, section 15 of the Act grants MPI the ability to waive the notification if there is a registered TNP with the same active ingredients and an equivalent formulation as the TNP being submitted for registration and the variation to an existing registration does not affect the evaluation of risks relevant to the TNP. Typically, applications for </w:t>
      </w:r>
      <w:r>
        <w:t xml:space="preserve">registration of products containing </w:t>
      </w:r>
      <w:r w:rsidRPr="00DF2F90">
        <w:t>new active ingredients and</w:t>
      </w:r>
      <w:r>
        <w:t xml:space="preserve"> for </w:t>
      </w:r>
      <w:r w:rsidRPr="00C8716C">
        <w:t>registered trade name product</w:t>
      </w:r>
      <w:r>
        <w:t xml:space="preserve">s with a </w:t>
      </w:r>
      <w:r w:rsidRPr="00DF2F90">
        <w:t>new risk profiles require public notification. The decision whether or not to waive the requirement to publicly notify is made at technical pre-screen. The notification period is 30 working days and precedes the technical appraisal and risk assessment.</w:t>
      </w:r>
    </w:p>
    <w:p w:rsidR="005B3D67" w:rsidRDefault="005B3D67" w:rsidP="005B3D67">
      <w:pPr>
        <w:pStyle w:val="BodyText"/>
      </w:pPr>
      <w:r w:rsidRPr="00DF2F90">
        <w:rPr>
          <w:b/>
        </w:rPr>
        <w:t>Technical appraisal and risk assessment</w:t>
      </w:r>
      <w:r>
        <w:rPr>
          <w:b/>
        </w:rPr>
        <w:t xml:space="preserve"> </w:t>
      </w:r>
      <w:r w:rsidRPr="00DF2F90">
        <w:t>—</w:t>
      </w:r>
      <w:r>
        <w:t xml:space="preserve"> </w:t>
      </w:r>
      <w:r w:rsidRPr="00DF2F90">
        <w:t xml:space="preserve">TAs carry out the technical appraisal and risk assessment of the applications, determining whether or not the product meets the criteria for registration and what conditions should be placed on the registration to manage any risks identified. This phase can take </w:t>
      </w:r>
      <w:r w:rsidR="007855D0">
        <w:t>twenty-five</w:t>
      </w:r>
      <w:r w:rsidRPr="00DF2F90">
        <w:t xml:space="preserve"> working days. The TAs' recommendations on applications are made within the context of existing policies, which are set via a process that is separate from the registration process.</w:t>
      </w:r>
    </w:p>
    <w:p w:rsidR="005B3D67" w:rsidRDefault="005B3D67" w:rsidP="005B3D67">
      <w:pPr>
        <w:pStyle w:val="BodyText"/>
      </w:pPr>
      <w:r w:rsidRPr="00DF2F90">
        <w:rPr>
          <w:b/>
        </w:rPr>
        <w:t>Waiver of time</w:t>
      </w:r>
      <w:r w:rsidR="00917418">
        <w:rPr>
          <w:b/>
        </w:rPr>
        <w:t xml:space="preserve"> </w:t>
      </w:r>
      <w:r w:rsidRPr="00DF2F90">
        <w:t>—</w:t>
      </w:r>
      <w:r w:rsidR="00917418">
        <w:t xml:space="preserve"> d</w:t>
      </w:r>
      <w:r w:rsidRPr="00DF2F90">
        <w:t xml:space="preserve">uring the technical appraisal and risk assessment, the applicant may be contacted for additional information or clarification. If the applicant is unable to provide the information within a reasonable period of time (normally 5 working days), the applicant has to ask MPI for a Waiver of Time (WOT) for a given period (normally not exceeding </w:t>
      </w:r>
      <w:r w:rsidR="00701F68">
        <w:t>twenty</w:t>
      </w:r>
      <w:r w:rsidRPr="00DF2F90">
        <w:t xml:space="preserve"> working days). If the WOT request is accepted, the regulatory clock for the appraisal of the application is stopped until the additional information is received. If the WOT request is not made, or if the request is made but MPI declines to accept it (the reason will be communicated to the applicant), the TA will complete the appraisal based on the available information and is likely to recommend that the application be </w:t>
      </w:r>
      <w:r>
        <w:t>refused</w:t>
      </w:r>
      <w:r w:rsidRPr="00DF2F90">
        <w:t>.</w:t>
      </w:r>
    </w:p>
    <w:p w:rsidR="005B3D67" w:rsidRDefault="005B3D67" w:rsidP="005B3D67">
      <w:pPr>
        <w:pStyle w:val="BodyText"/>
      </w:pPr>
      <w:r w:rsidRPr="001E779D">
        <w:rPr>
          <w:b/>
        </w:rPr>
        <w:t>Extension of time</w:t>
      </w:r>
      <w:r w:rsidR="00917418">
        <w:rPr>
          <w:b/>
        </w:rPr>
        <w:t xml:space="preserve"> </w:t>
      </w:r>
      <w:r>
        <w:t>—</w:t>
      </w:r>
      <w:r w:rsidR="00917418">
        <w:t xml:space="preserve"> w</w:t>
      </w:r>
      <w:r>
        <w:t>ith certain applications MPI may require processing time that is likely to exceed the regulatory timeframe for completing the technical appraisal and risk assessment part of the registration process. In addition to staff resourcing issues, the reasons for this could be one or more of the following:</w:t>
      </w:r>
    </w:p>
    <w:p w:rsidR="005B3D67" w:rsidRDefault="005B3D67" w:rsidP="005B3D67">
      <w:pPr>
        <w:pStyle w:val="ListBullet"/>
      </w:pPr>
      <w:r>
        <w:t xml:space="preserve">TNPs that contain prescription medicines as defined under the </w:t>
      </w:r>
      <w:r w:rsidRPr="009C535C">
        <w:rPr>
          <w:i/>
        </w:rPr>
        <w:t>Medicines Act</w:t>
      </w:r>
      <w:r>
        <w:t xml:space="preserve"> require consent from the Director-General of the Ministry of Health before they can be registered under the ACVM Act. The time period for obtaining such consent is outside the control of MPI. Likewise, the regulators may have to consult with another directorate within MPI or with other governmental agencies before a decision on registration can be made. Such consultations add time to the appraisal of a registration application.</w:t>
      </w:r>
    </w:p>
    <w:p w:rsidR="005B3D67" w:rsidRDefault="005B3D67" w:rsidP="005B3D67">
      <w:pPr>
        <w:pStyle w:val="ListBullet"/>
      </w:pPr>
      <w:r>
        <w:t>Some applications may require new MPI policy to be drafted, or an existing policy amended, or in-house legal opinion obtained for the registration to occur.</w:t>
      </w:r>
    </w:p>
    <w:p w:rsidR="005B3D67" w:rsidRDefault="005B3D67" w:rsidP="005B3D67">
      <w:pPr>
        <w:pStyle w:val="BodyText"/>
      </w:pPr>
      <w:r>
        <w:t>If for the reasons stated above MPI requires more time to complete the technical appraisal and risk assessment, the regulators will ask the applicant for an Extension of Time. If the extension request is accepted, the regulatory clock for the appraisal of the application will be stopped for this period.</w:t>
      </w:r>
    </w:p>
    <w:p w:rsidR="005B3D67" w:rsidRDefault="005B3D67" w:rsidP="005B3D67">
      <w:pPr>
        <w:pStyle w:val="BodyText"/>
      </w:pPr>
      <w:r w:rsidRPr="001E779D">
        <w:rPr>
          <w:b/>
        </w:rPr>
        <w:t>Decision</w:t>
      </w:r>
      <w:r w:rsidR="00917418">
        <w:rPr>
          <w:b/>
        </w:rPr>
        <w:t xml:space="preserve"> </w:t>
      </w:r>
      <w:r>
        <w:t>—</w:t>
      </w:r>
      <w:r w:rsidR="00917418">
        <w:t xml:space="preserve"> a</w:t>
      </w:r>
      <w:r w:rsidRPr="001E779D">
        <w:t xml:space="preserve">fter the technical appraisal and risk assessment, the TA makes a recommendation either to </w:t>
      </w:r>
      <w:r>
        <w:t xml:space="preserve">grant </w:t>
      </w:r>
      <w:r w:rsidRPr="001E779D">
        <w:t xml:space="preserve">the registration of the product or </w:t>
      </w:r>
      <w:r>
        <w:t>refuse</w:t>
      </w:r>
      <w:r w:rsidRPr="001E779D">
        <w:t xml:space="preserve"> the application (a split recommendation may also occur</w:t>
      </w:r>
      <w:r>
        <w:t xml:space="preserve"> for multi-variation applications</w:t>
      </w:r>
      <w:r w:rsidRPr="001E779D">
        <w:t>) to the delegate (under delegation from the Director-General of MPI)</w:t>
      </w:r>
      <w:r w:rsidR="00701F68">
        <w:t>,</w:t>
      </w:r>
      <w:r w:rsidRPr="001E779D">
        <w:t xml:space="preserve"> who decides whether the application should be</w:t>
      </w:r>
      <w:r>
        <w:t xml:space="preserve"> granted</w:t>
      </w:r>
      <w:r w:rsidRPr="001E779D">
        <w:t xml:space="preserve"> or </w:t>
      </w:r>
      <w:r>
        <w:t>refused</w:t>
      </w:r>
      <w:r w:rsidRPr="001E779D">
        <w:t xml:space="preserve">. As required by the ACVM Act, the decision must be made within 15 working days. If the recommendation is for </w:t>
      </w:r>
      <w:r>
        <w:t>granting</w:t>
      </w:r>
      <w:r w:rsidRPr="001E779D">
        <w:t xml:space="preserve"> and the TA also advises changes to the original product data sheet (PDS) and</w:t>
      </w:r>
      <w:r>
        <w:t xml:space="preserve"> </w:t>
      </w:r>
      <w:r w:rsidRPr="001E779D">
        <w:t>/</w:t>
      </w:r>
      <w:r w:rsidR="00701F68">
        <w:t xml:space="preserve"> </w:t>
      </w:r>
      <w:r w:rsidRPr="001E779D">
        <w:t>or label content, the applicant is contacted for submission of an amended PDS and</w:t>
      </w:r>
      <w:r>
        <w:t xml:space="preserve"> </w:t>
      </w:r>
      <w:r w:rsidRPr="001E779D">
        <w:t>/</w:t>
      </w:r>
      <w:r>
        <w:t xml:space="preserve"> </w:t>
      </w:r>
      <w:r w:rsidRPr="001E779D">
        <w:t xml:space="preserve">or label content. The delegate’s decision will be made </w:t>
      </w:r>
      <w:r>
        <w:t>after</w:t>
      </w:r>
      <w:r w:rsidRPr="001E779D">
        <w:t xml:space="preserve"> the registrant supplies the updated PDS and</w:t>
      </w:r>
      <w:r>
        <w:t xml:space="preserve"> </w:t>
      </w:r>
      <w:r w:rsidRPr="001E779D">
        <w:t>/</w:t>
      </w:r>
      <w:r>
        <w:t xml:space="preserve"> </w:t>
      </w:r>
      <w:r w:rsidRPr="001E779D">
        <w:t xml:space="preserve">or label, </w:t>
      </w:r>
      <w:r>
        <w:t>and</w:t>
      </w:r>
      <w:r w:rsidRPr="001E779D">
        <w:t xml:space="preserve"> all outstanding issues have been addressed. </w:t>
      </w:r>
    </w:p>
    <w:p w:rsidR="005B3D67" w:rsidRDefault="005B3D67" w:rsidP="005B3D67">
      <w:pPr>
        <w:pStyle w:val="BodyText"/>
      </w:pPr>
      <w:r w:rsidRPr="001E779D">
        <w:rPr>
          <w:b/>
        </w:rPr>
        <w:t>Post decision</w:t>
      </w:r>
      <w:r w:rsidR="00917418">
        <w:rPr>
          <w:b/>
        </w:rPr>
        <w:t xml:space="preserve"> </w:t>
      </w:r>
      <w:r>
        <w:t>—</w:t>
      </w:r>
      <w:r w:rsidR="00917418">
        <w:t xml:space="preserve"> w</w:t>
      </w:r>
      <w:r>
        <w:t>hen an application is granted, the appropriate registration documentation is issued to the applicant. This includes the certificate of registration, which contains a unique registration number and any conditions applied</w:t>
      </w:r>
      <w:r w:rsidR="00701F68">
        <w:t>,</w:t>
      </w:r>
      <w:r>
        <w:t xml:space="preserve"> and the approved PDS, which details all the relevant information about the product, such as, manufacturer, formulation, use</w:t>
      </w:r>
      <w:r w:rsidR="00701F68">
        <w:t>,</w:t>
      </w:r>
      <w:r>
        <w:t xml:space="preserve"> and the approved label content.</w:t>
      </w:r>
    </w:p>
    <w:p w:rsidR="00F83078" w:rsidRDefault="005B3D67" w:rsidP="00F83078">
      <w:pPr>
        <w:pStyle w:val="BodyText"/>
      </w:pPr>
      <w:r>
        <w:t>Registrations are always conditional. If a registrant fails to comply with the relevant conditions, MPI may place a prohibition on the importation, manufacture and sale of the product. Therefore, it is important for registrants to read the list of conditions of registration on the certificate of registration so they are fully aware of their legal obligations under the ACVM Act.</w:t>
      </w:r>
    </w:p>
    <w:p w:rsidR="00F83078" w:rsidRDefault="004928CA" w:rsidP="004928CA">
      <w:pPr>
        <w:pStyle w:val="Heading2"/>
      </w:pPr>
      <w:bookmarkStart w:id="124" w:name="_Toc497300839"/>
      <w:r>
        <w:t>Conclusions</w:t>
      </w:r>
      <w:bookmarkEnd w:id="124"/>
    </w:p>
    <w:p w:rsidR="008637CA" w:rsidRDefault="008637CA" w:rsidP="008637CA">
      <w:pPr>
        <w:pStyle w:val="BodyText"/>
      </w:pPr>
      <w:r w:rsidRPr="00FC3E44">
        <w:t>The</w:t>
      </w:r>
      <w:r>
        <w:t xml:space="preserve">re are significant differences in the agvet regulatory </w:t>
      </w:r>
      <w:r w:rsidRPr="00FC3E44">
        <w:t xml:space="preserve">processes </w:t>
      </w:r>
      <w:r>
        <w:t xml:space="preserve">across the selected countries </w:t>
      </w:r>
      <w:r w:rsidRPr="00FC3E44">
        <w:t xml:space="preserve">and </w:t>
      </w:r>
      <w:r>
        <w:t>the agencies involved are also quite varied in their roles, responsibilities and structures.</w:t>
      </w:r>
      <w:r w:rsidR="007A351D">
        <w:t xml:space="preserve"> In this sense, there is not a predominant agvet chemical regulation and registration model. Each country has specific </w:t>
      </w:r>
      <w:r w:rsidR="00961B81">
        <w:t xml:space="preserve">registration </w:t>
      </w:r>
      <w:r w:rsidR="007A351D">
        <w:t>arrangements for accommodating innovative and generic agvet chemical products. The overview of registration arrangements continues in the next chapter.</w:t>
      </w:r>
      <w:r>
        <w:t xml:space="preserve"> </w:t>
      </w:r>
    </w:p>
    <w:p w:rsidR="0098660A" w:rsidRDefault="0098660A" w:rsidP="00F06B8F">
      <w:pPr>
        <w:pStyle w:val="BodyText"/>
      </w:pPr>
    </w:p>
    <w:p w:rsidR="001E4A42" w:rsidRDefault="001E4A42" w:rsidP="0097252E">
      <w:pPr>
        <w:pStyle w:val="BodyText"/>
        <w:sectPr w:rsidR="001E4A42" w:rsidSect="001E4A42">
          <w:headerReference w:type="even" r:id="rId70"/>
          <w:headerReference w:type="default" r:id="rId71"/>
          <w:footerReference w:type="even" r:id="rId72"/>
          <w:headerReference w:type="first" r:id="rId73"/>
          <w:footerReference w:type="first" r:id="rId74"/>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1E4A42" w:rsidTr="00580CF7">
        <w:trPr>
          <w:trHeight w:hRule="exact" w:val="382"/>
        </w:trPr>
        <w:tc>
          <w:tcPr>
            <w:tcW w:w="4738" w:type="dxa"/>
            <w:shd w:val="clear" w:color="auto" w:fill="9D57A6"/>
          </w:tcPr>
          <w:p w:rsidR="001E4A42" w:rsidRDefault="00546375" w:rsidP="001E4A42">
            <w:pPr>
              <w:pStyle w:val="tagchapterBanner"/>
              <w:pageBreakBefore w:val="0"/>
            </w:pPr>
            <w:r>
              <w:rPr>
                <w:noProof/>
                <w:lang w:eastAsia="en-AU"/>
              </w:rPr>
              <mc:AlternateContent>
                <mc:Choice Requires="wps">
                  <w:drawing>
                    <wp:anchor distT="0" distB="0" distL="114300" distR="114300" simplePos="0" relativeHeight="251912192" behindDoc="0" locked="1" layoutInCell="1" allowOverlap="1" wp14:anchorId="1800468A" wp14:editId="5D9ED7A0">
                      <wp:simplePos x="0" y="0"/>
                      <wp:positionH relativeFrom="page">
                        <wp:posOffset>158750</wp:posOffset>
                      </wp:positionH>
                      <wp:positionV relativeFrom="page">
                        <wp:posOffset>6350</wp:posOffset>
                      </wp:positionV>
                      <wp:extent cx="439420" cy="215265"/>
                      <wp:effectExtent l="0" t="0" r="0" b="0"/>
                      <wp:wrapNone/>
                      <wp:docPr id="57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87CFDB" id="Freeform 5" o:spid="_x0000_s1026" style="position:absolute;margin-left:12.5pt;margin-top:.5pt;width:34.6pt;height:16.9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9wWFh3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1E4A42" w:rsidRDefault="001E4A42" w:rsidP="0097252E">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1E4A42" w:rsidRPr="0014019A" w:rsidRDefault="00721D9A" w:rsidP="008A6B3B">
            <w:pPr>
              <w:pStyle w:val="Heading1"/>
              <w:spacing w:line="240" w:lineRule="auto"/>
            </w:pPr>
            <w:r>
              <w:t>T</w:t>
            </w:r>
            <w:r w:rsidR="002535C9">
              <w:t xml:space="preserve">ime and costs </w:t>
            </w:r>
            <w:r w:rsidR="00312E4D">
              <w:t xml:space="preserve">for </w:t>
            </w:r>
            <w:r w:rsidR="002535C9">
              <w:t xml:space="preserve">agvet </w:t>
            </w:r>
            <w:r w:rsidR="00166815">
              <w:t xml:space="preserve">chemical </w:t>
            </w:r>
            <w:r w:rsidR="00312E4D">
              <w:t>product</w:t>
            </w:r>
            <w:r w:rsidR="002535C9">
              <w:t xml:space="preserve"> registration</w:t>
            </w:r>
          </w:p>
        </w:tc>
        <w:tc>
          <w:tcPr>
            <w:tcW w:w="3430" w:type="dxa"/>
            <w:shd w:val="clear" w:color="auto" w:fill="9D57A6"/>
            <w:tcMar>
              <w:right w:w="344" w:type="dxa"/>
            </w:tcMar>
          </w:tcPr>
          <w:p w:rsidR="001E4A42" w:rsidRPr="00F5723F" w:rsidRDefault="00221158" w:rsidP="0097252E">
            <w:pPr>
              <w:pStyle w:val="HeadingChapter"/>
              <w:keepNext/>
            </w:pPr>
            <w:r>
              <w:fldChar w:fldCharType="begin"/>
            </w:r>
            <w:r>
              <w:instrText xml:space="preserve"> SEQ ChptNum\* Arabic \* MERGEFORMAT </w:instrText>
            </w:r>
            <w:r>
              <w:fldChar w:fldCharType="separate"/>
            </w:r>
            <w:bookmarkStart w:id="125" w:name="_Toc497300840"/>
            <w:r w:rsidR="001977DE">
              <w:t>5</w:t>
            </w:r>
            <w:bookmarkEnd w:id="125"/>
            <w:r>
              <w:fldChar w:fldCharType="end"/>
            </w:r>
          </w:p>
        </w:tc>
      </w:tr>
      <w:tr w:rsidR="00E86A68" w:rsidTr="00401D90">
        <w:trPr>
          <w:trHeight w:hRule="exact" w:val="232"/>
        </w:trPr>
        <w:tc>
          <w:tcPr>
            <w:tcW w:w="4738" w:type="dxa"/>
            <w:shd w:val="clear" w:color="auto" w:fill="9D57A6"/>
          </w:tcPr>
          <w:p w:rsidR="001E4A42" w:rsidRDefault="001E4A42" w:rsidP="0097252E">
            <w:pPr>
              <w:pStyle w:val="Chpt-Context"/>
            </w:pPr>
          </w:p>
        </w:tc>
        <w:tc>
          <w:tcPr>
            <w:tcW w:w="3430" w:type="dxa"/>
            <w:shd w:val="clear" w:color="auto" w:fill="9D57A6"/>
          </w:tcPr>
          <w:p w:rsidR="001E4A42" w:rsidRPr="008A4E3C" w:rsidRDefault="00221158" w:rsidP="0097252E">
            <w:pPr>
              <w:pStyle w:val="Chpt-Context"/>
            </w:pPr>
            <w:r>
              <w:fldChar w:fldCharType="begin"/>
            </w:r>
            <w:r>
              <w:instrText xml:space="preserve"> STYLEREF  "Heading 1" \l  \* MERGEFORMAT </w:instrText>
            </w:r>
            <w:r>
              <w:fldChar w:fldCharType="separate"/>
            </w:r>
            <w:bookmarkStart w:id="126" w:name="_Toc497300841"/>
            <w:r w:rsidR="0087688C">
              <w:rPr>
                <w:noProof/>
              </w:rPr>
              <w:t>Time and costs for agvet chemical product registration</w:t>
            </w:r>
            <w:bookmarkEnd w:id="126"/>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1E4A42" w:rsidRDefault="001E4A42" w:rsidP="0097252E">
            <w:pPr>
              <w:pStyle w:val="spacer"/>
            </w:pPr>
          </w:p>
        </w:tc>
        <w:tc>
          <w:tcPr>
            <w:tcW w:w="3430" w:type="dxa"/>
            <w:tcBorders>
              <w:top w:val="single" w:sz="4" w:space="0" w:color="9D57A6"/>
            </w:tcBorders>
            <w:shd w:val="clear" w:color="auto" w:fill="auto"/>
          </w:tcPr>
          <w:p w:rsidR="001E4A42" w:rsidRDefault="001E4A42" w:rsidP="0097252E">
            <w:pPr>
              <w:pStyle w:val="spacer"/>
            </w:pPr>
          </w:p>
        </w:tc>
      </w:tr>
    </w:tbl>
    <w:p w:rsidR="003C0AE1" w:rsidRDefault="003C0AE1" w:rsidP="003C0AE1">
      <w:pPr>
        <w:pStyle w:val="BodyText"/>
      </w:pPr>
      <w:r>
        <w:t>This chapter documents and compares time</w:t>
      </w:r>
      <w:r w:rsidR="00C7395D">
        <w:t>lines</w:t>
      </w:r>
      <w:r>
        <w:t xml:space="preserve"> and </w:t>
      </w:r>
      <w:r w:rsidR="00C7395D">
        <w:t xml:space="preserve">registration </w:t>
      </w:r>
      <w:r>
        <w:t>costs associated with registering agvet chemicals in Australia and overseas.</w:t>
      </w:r>
      <w:r w:rsidR="00990AF2">
        <w:t xml:space="preserve"> The focus is on Australian arrangements. </w:t>
      </w:r>
      <w:r w:rsidR="00580CF7">
        <w:t xml:space="preserve">The analysis </w:t>
      </w:r>
      <w:r w:rsidR="00990AF2">
        <w:t>does not extend to assessing other regulators’ performance against timeframes.</w:t>
      </w:r>
      <w:r w:rsidR="00FF78FA">
        <w:t xml:space="preserve"> </w:t>
      </w:r>
    </w:p>
    <w:p w:rsidR="005250F1" w:rsidRDefault="00652A2B" w:rsidP="005250F1">
      <w:pPr>
        <w:pStyle w:val="Heading2"/>
      </w:pPr>
      <w:bookmarkStart w:id="127" w:name="_Toc497300842"/>
      <w:r>
        <w:t>Australia</w:t>
      </w:r>
      <w:bookmarkEnd w:id="127"/>
    </w:p>
    <w:p w:rsidR="002919AF" w:rsidRDefault="00567E38" w:rsidP="00652A2B">
      <w:pPr>
        <w:pStyle w:val="Heading3"/>
      </w:pPr>
      <w:r>
        <w:t>Assessment period</w:t>
      </w:r>
    </w:p>
    <w:p w:rsidR="003C0AE1" w:rsidRDefault="003C0AE1" w:rsidP="003C0AE1">
      <w:pPr>
        <w:pStyle w:val="BodyText"/>
      </w:pPr>
      <w:r>
        <w:t xml:space="preserve">The assessment period in which the APVMA is required to determine an application varies depending on the complexity of the application. The legislation prescribes the assessment period for </w:t>
      </w:r>
      <w:r w:rsidR="00B13907">
        <w:t xml:space="preserve">the various </w:t>
      </w:r>
      <w:r>
        <w:t>application types</w:t>
      </w:r>
      <w:r w:rsidR="00B13907">
        <w:t>. T</w:t>
      </w:r>
      <w:r>
        <w:t>he assessment period</w:t>
      </w:r>
      <w:r w:rsidR="005532CA">
        <w:t>s</w:t>
      </w:r>
      <w:r>
        <w:t xml:space="preserve"> may be extended in certain circumstances. The assessment period of an application commences on the day the notice advising the registrant that its application has passed preliminary assessment is issued. </w:t>
      </w:r>
    </w:p>
    <w:p w:rsidR="003C0AE1" w:rsidRDefault="00EC5BD1" w:rsidP="003C0AE1">
      <w:pPr>
        <w:pStyle w:val="BodyText"/>
      </w:pPr>
      <w:r>
        <w:t>The</w:t>
      </w:r>
      <w:r w:rsidR="003C0AE1">
        <w:t xml:space="preserve"> APVMA is required to finalise all agvet product evaluations within statutory timeframes.</w:t>
      </w:r>
      <w:r w:rsidR="003C0AE1">
        <w:rPr>
          <w:rStyle w:val="FootnoteReference"/>
        </w:rPr>
        <w:footnoteReference w:id="90"/>
      </w:r>
      <w:r w:rsidR="003C0AE1">
        <w:t xml:space="preserve"> </w:t>
      </w:r>
      <w:r w:rsidR="00B13907">
        <w:t>More specifically, t</w:t>
      </w:r>
      <w:r w:rsidR="003C0AE1">
        <w:t>he APVMA is required to meet statutory timeframe for:</w:t>
      </w:r>
    </w:p>
    <w:p w:rsidR="003C0AE1" w:rsidRDefault="003C0AE1" w:rsidP="003C0AE1">
      <w:pPr>
        <w:pStyle w:val="ListBullet"/>
      </w:pPr>
      <w:r>
        <w:t>Conducting preliminary assessments – once the application has been lodged, the APVMA must, within one month, make a preliminary assessment as to whether the application compiles with requirements.</w:t>
      </w:r>
    </w:p>
    <w:p w:rsidR="003C0AE1" w:rsidRDefault="003C0AE1" w:rsidP="003C0AE1">
      <w:pPr>
        <w:pStyle w:val="ListBullet"/>
      </w:pPr>
      <w:r>
        <w:t>Finalising evaluations – if an application passes preliminary assessment then the application progresses to a</w:t>
      </w:r>
      <w:r w:rsidR="00EC5BD1">
        <w:t>n</w:t>
      </w:r>
      <w:r>
        <w:t xml:space="preserve"> evaluation. </w:t>
      </w:r>
      <w:r w:rsidRPr="00BB7BA6">
        <w:t xml:space="preserve">The APVMA is then required to make a decision on whether to register the product within </w:t>
      </w:r>
      <w:r w:rsidR="00EC5BD1" w:rsidRPr="00BB7BA6">
        <w:t xml:space="preserve">one </w:t>
      </w:r>
      <w:r w:rsidRPr="00BB7BA6">
        <w:t xml:space="preserve">to </w:t>
      </w:r>
      <w:r w:rsidR="00EC5BD1" w:rsidRPr="00BB7BA6">
        <w:t>twenty</w:t>
      </w:r>
      <w:r w:rsidR="007850CE" w:rsidRPr="00BB7BA6">
        <w:t>-</w:t>
      </w:r>
      <w:r w:rsidR="00EC5BD1" w:rsidRPr="00BB7BA6">
        <w:t>f</w:t>
      </w:r>
      <w:r w:rsidR="00883B4B" w:rsidRPr="00BB7BA6">
        <w:t>our</w:t>
      </w:r>
      <w:r w:rsidRPr="00BB7BA6">
        <w:t xml:space="preserve"> months</w:t>
      </w:r>
      <w:r w:rsidR="008A1C24" w:rsidRPr="00BB7BA6">
        <w:t xml:space="preserve"> (with extensions)</w:t>
      </w:r>
      <w:r w:rsidRPr="00BB7BA6">
        <w:t>, depending on the type of application.</w:t>
      </w:r>
      <w:r>
        <w:rPr>
          <w:rStyle w:val="FootnoteReference"/>
        </w:rPr>
        <w:footnoteReference w:id="91"/>
      </w:r>
    </w:p>
    <w:p w:rsidR="003C0AE1" w:rsidRDefault="003C0AE1" w:rsidP="003C0AE1">
      <w:pPr>
        <w:pStyle w:val="BodyText"/>
      </w:pPr>
      <w:r>
        <w:t xml:space="preserve">Applications processed by the APVMA in 2015-16 are provided in </w:t>
      </w:r>
      <w:r>
        <w:fldChar w:fldCharType="begin"/>
      </w:r>
      <w:r>
        <w:instrText xml:space="preserve"> REF _Ref485237236 \h </w:instrText>
      </w:r>
      <w:r>
        <w:fldChar w:fldCharType="separate"/>
      </w:r>
      <w:r w:rsidR="0087688C" w:rsidRPr="00FC29C8">
        <w:rPr>
          <w:rStyle w:val="CaptionLabel"/>
        </w:rPr>
        <w:t>Table</w:t>
      </w:r>
      <w:r w:rsidR="0087688C">
        <w:rPr>
          <w:rStyle w:val="CaptionLabel"/>
        </w:rPr>
        <w:t> </w:t>
      </w:r>
      <w:r w:rsidR="0087688C">
        <w:rPr>
          <w:rStyle w:val="CaptionLabel"/>
          <w:noProof/>
        </w:rPr>
        <w:t>5</w:t>
      </w:r>
      <w:r w:rsidR="0087688C">
        <w:rPr>
          <w:rStyle w:val="CaptionLabel"/>
        </w:rPr>
        <w:t>.</w:t>
      </w:r>
      <w:r w:rsidR="0087688C">
        <w:rPr>
          <w:rStyle w:val="CaptionLabel"/>
          <w:noProof/>
        </w:rPr>
        <w:t>1</w:t>
      </w:r>
      <w:r>
        <w:fldChar w:fldCharType="end"/>
      </w:r>
      <w:r>
        <w:t xml:space="preserve">. On average, the APVMA met only 68 per cent of the statutory timeframes for registration of agvet chemicals in 2015-16. This compares to a 2011 </w:t>
      </w:r>
      <w:r w:rsidR="00A603E0">
        <w:t xml:space="preserve">analysis </w:t>
      </w:r>
      <w:r>
        <w:t xml:space="preserve">(the </w:t>
      </w:r>
      <w:r w:rsidRPr="00386636">
        <w:rPr>
          <w:i/>
        </w:rPr>
        <w:t>Better regulation of agricultural and veterinary chemicals regulation impact statement</w:t>
      </w:r>
      <w:r>
        <w:t>)</w:t>
      </w:r>
      <w:r>
        <w:rPr>
          <w:i/>
        </w:rPr>
        <w:t>,</w:t>
      </w:r>
      <w:r>
        <w:rPr>
          <w:rStyle w:val="FootnoteReference"/>
        </w:rPr>
        <w:footnoteReference w:id="92"/>
      </w:r>
      <w:r>
        <w:t xml:space="preserve"> that noted for 2006-07 to 2009-10</w:t>
      </w:r>
      <w:r w:rsidR="00A603E0">
        <w:t>,</w:t>
      </w:r>
      <w:r>
        <w:t xml:space="preserve"> the APVMA met its statutory timeframe for 82–90 per cent and 88–96 per cent of pesticide and veterinary medicine applications respectively.</w:t>
      </w:r>
      <w:r w:rsidR="00EC5BD1">
        <w:t xml:space="preserve"> </w:t>
      </w:r>
      <w:r w:rsidR="008A1C24">
        <w:t>However, t</w:t>
      </w:r>
      <w:r w:rsidR="00EC5BD1">
        <w:t xml:space="preserve">hese timelines </w:t>
      </w:r>
      <w:r w:rsidR="008A1C24">
        <w:t>are</w:t>
      </w:r>
      <w:r w:rsidR="00EC5BD1">
        <w:t xml:space="preserve"> not </w:t>
      </w:r>
      <w:r w:rsidR="008A1C24">
        <w:t>strictly</w:t>
      </w:r>
      <w:r w:rsidR="00EC5BD1">
        <w:t xml:space="preserve"> comparable </w:t>
      </w:r>
      <w:r w:rsidR="008A1C24">
        <w:t>because of a change in</w:t>
      </w:r>
      <w:r w:rsidR="00EC5BD1">
        <w:t xml:space="preserve"> methodology in July</w:t>
      </w:r>
      <w:r w:rsidR="008A1C24">
        <w:t> </w:t>
      </w:r>
      <w:r w:rsidR="00EC5BD1">
        <w:t>2014</w:t>
      </w:r>
      <w:r w:rsidR="008A1C24">
        <w:t>.</w:t>
      </w:r>
    </w:p>
    <w:p w:rsidR="003C0AE1" w:rsidRDefault="003C0AE1" w:rsidP="003C0AE1">
      <w:pPr>
        <w:pStyle w:val="BodyText"/>
      </w:pPr>
      <w:r>
        <w:t>The APVMA engaged the professional services firm Oakton to compare the application duration statistics between the period 1 July 2011 to 30 June 2014 and 1 July 2014 to 31 March 2016. The data from this comparison indicate</w:t>
      </w:r>
      <w:r w:rsidR="00A603E0">
        <w:t>s</w:t>
      </w:r>
      <w:r>
        <w:t xml:space="preserve"> that the weighted average timeframe duration to complete an application (where clock does not stop) has improved by 3.2 months or 97 days.</w:t>
      </w:r>
      <w:r>
        <w:rPr>
          <w:rStyle w:val="FootnoteReference"/>
        </w:rPr>
        <w:footnoteReference w:id="93"/>
      </w:r>
      <w:r>
        <w:t xml:space="preserve"> However, it should be noted that there is an inherent bias in the sampling used by Oakton, as shown by the small number of applications received for classes with a timeframe greater than six months post 1 July 2014. </w:t>
      </w:r>
    </w:p>
    <w:p w:rsidR="00CF227B" w:rsidRDefault="00CF227B" w:rsidP="00CF227B">
      <w:pPr>
        <w:pStyle w:val="Caption"/>
        <w:spacing w:before="160"/>
      </w:pPr>
      <w:bookmarkStart w:id="128" w:name="_Ref485237236"/>
      <w:bookmarkStart w:id="129" w:name="_Toc497132812"/>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5</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1</w:t>
      </w:r>
      <w:r w:rsidR="004B55F4">
        <w:rPr>
          <w:rStyle w:val="CaptionLabel"/>
        </w:rPr>
        <w:fldChar w:fldCharType="end"/>
      </w:r>
      <w:bookmarkEnd w:id="128"/>
      <w:r>
        <w:tab/>
        <w:t>Applications processed by the APVMA, 2015-16</w:t>
      </w:r>
      <w:bookmarkEnd w:id="129"/>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4"/>
        <w:gridCol w:w="3403"/>
        <w:gridCol w:w="1276"/>
        <w:gridCol w:w="850"/>
        <w:gridCol w:w="1418"/>
        <w:gridCol w:w="1223"/>
      </w:tblGrid>
      <w:tr w:rsidR="00E86A68" w:rsidTr="009E1542">
        <w:trPr>
          <w:cantSplit/>
          <w:tblHeader/>
        </w:trPr>
        <w:tc>
          <w:tcPr>
            <w:tcW w:w="2236" w:type="pct"/>
            <w:gridSpan w:val="2"/>
            <w:shd w:val="clear" w:color="auto" w:fill="9D57A6"/>
            <w:tcMar>
              <w:left w:w="454" w:type="dxa"/>
              <w:bottom w:w="0" w:type="dxa"/>
            </w:tcMar>
          </w:tcPr>
          <w:p w:rsidR="00CF227B" w:rsidRDefault="006E20B8" w:rsidP="00CF227B">
            <w:pPr>
              <w:pStyle w:val="Tablecolumnheadings"/>
            </w:pPr>
            <w:r>
              <w:t>Application type</w:t>
            </w:r>
          </w:p>
        </w:tc>
        <w:tc>
          <w:tcPr>
            <w:tcW w:w="740" w:type="pct"/>
            <w:shd w:val="clear" w:color="auto" w:fill="9D57A6"/>
            <w:tcMar>
              <w:bottom w:w="0" w:type="dxa"/>
            </w:tcMar>
          </w:tcPr>
          <w:p w:rsidR="00CF227B" w:rsidRDefault="001D4634" w:rsidP="001D4634">
            <w:pPr>
              <w:pStyle w:val="Tablecolumnheadings"/>
              <w:jc w:val="right"/>
            </w:pPr>
            <w:r>
              <w:t>Number c</w:t>
            </w:r>
            <w:r w:rsidR="006E20B8">
              <w:t>ommenced</w:t>
            </w:r>
            <w:r w:rsidR="009E1542">
              <w:t xml:space="preserve"> </w:t>
            </w:r>
          </w:p>
        </w:tc>
        <w:tc>
          <w:tcPr>
            <w:tcW w:w="493" w:type="pct"/>
            <w:shd w:val="clear" w:color="auto" w:fill="9D57A6"/>
            <w:tcMar>
              <w:bottom w:w="0" w:type="dxa"/>
            </w:tcMar>
          </w:tcPr>
          <w:p w:rsidR="00CF227B" w:rsidRDefault="001D4634" w:rsidP="001D4634">
            <w:pPr>
              <w:pStyle w:val="Tablecolumnheadings"/>
              <w:jc w:val="right"/>
            </w:pPr>
            <w:r>
              <w:t>Number f</w:t>
            </w:r>
            <w:r w:rsidR="006E20B8">
              <w:t>inalised</w:t>
            </w:r>
            <w:r w:rsidR="009E1542">
              <w:t xml:space="preserve"> </w:t>
            </w:r>
          </w:p>
        </w:tc>
        <w:tc>
          <w:tcPr>
            <w:tcW w:w="822" w:type="pct"/>
            <w:shd w:val="clear" w:color="auto" w:fill="9D57A6"/>
            <w:tcMar>
              <w:bottom w:w="0" w:type="dxa"/>
            </w:tcMar>
          </w:tcPr>
          <w:p w:rsidR="00CF227B" w:rsidRDefault="006E20B8" w:rsidP="00D418BF">
            <w:pPr>
              <w:pStyle w:val="Tablecolumnheadings"/>
              <w:jc w:val="right"/>
            </w:pPr>
            <w:r>
              <w:t>Finalised within timeframe</w:t>
            </w:r>
            <w:r w:rsidR="009E1542">
              <w:t xml:space="preserve"> (%)</w:t>
            </w:r>
          </w:p>
        </w:tc>
        <w:tc>
          <w:tcPr>
            <w:tcW w:w="709" w:type="pct"/>
            <w:shd w:val="clear" w:color="auto" w:fill="9D57A6"/>
            <w:tcMar>
              <w:bottom w:w="0" w:type="dxa"/>
            </w:tcMar>
          </w:tcPr>
          <w:p w:rsidR="00CF227B" w:rsidRDefault="006E20B8" w:rsidP="00D418BF">
            <w:pPr>
              <w:pStyle w:val="Tablecolumnheadings"/>
              <w:jc w:val="right"/>
            </w:pPr>
            <w:r>
              <w:t>2014-15 in timeframe</w:t>
            </w:r>
            <w:r w:rsidR="009E1542">
              <w:t xml:space="preserve"> (%)</w:t>
            </w:r>
          </w:p>
        </w:tc>
      </w:tr>
      <w:tr w:rsidR="00E86A68" w:rsidTr="009E1542">
        <w:tblPrEx>
          <w:tblBorders>
            <w:bottom w:val="single" w:sz="4" w:space="0" w:color="646464"/>
            <w:insideH w:val="single" w:sz="4" w:space="0" w:color="646464"/>
          </w:tblBorders>
        </w:tblPrEx>
        <w:trPr>
          <w:gridBefore w:val="1"/>
          <w:wBefore w:w="263" w:type="pct"/>
          <w:cantSplit/>
        </w:trPr>
        <w:tc>
          <w:tcPr>
            <w:tcW w:w="1973" w:type="pct"/>
            <w:tcBorders>
              <w:top w:val="nil"/>
            </w:tcBorders>
            <w:shd w:val="clear" w:color="auto" w:fill="auto"/>
          </w:tcPr>
          <w:p w:rsidR="006E20B8" w:rsidRPr="00D418BF" w:rsidRDefault="006E20B8" w:rsidP="006E20B8">
            <w:pPr>
              <w:pStyle w:val="Tabletext"/>
              <w:rPr>
                <w:szCs w:val="20"/>
              </w:rPr>
            </w:pPr>
            <w:r w:rsidRPr="00D418BF">
              <w:rPr>
                <w:rStyle w:val="Strong"/>
                <w:rFonts w:cs="Arial"/>
                <w:b w:val="0"/>
                <w:color w:val="353735"/>
                <w:szCs w:val="20"/>
              </w:rPr>
              <w:t>Product registration</w:t>
            </w:r>
            <w:r w:rsidRPr="00D418BF">
              <w:rPr>
                <w:szCs w:val="20"/>
              </w:rPr>
              <w:t>—pesticides</w:t>
            </w:r>
          </w:p>
        </w:tc>
        <w:tc>
          <w:tcPr>
            <w:tcW w:w="740" w:type="pct"/>
            <w:tcBorders>
              <w:top w:val="nil"/>
            </w:tcBorders>
            <w:shd w:val="clear" w:color="auto" w:fill="auto"/>
          </w:tcPr>
          <w:p w:rsidR="006E20B8" w:rsidRPr="00D418BF" w:rsidRDefault="006E20B8" w:rsidP="00D418BF">
            <w:pPr>
              <w:pStyle w:val="Tabletext"/>
              <w:jc w:val="right"/>
              <w:rPr>
                <w:szCs w:val="20"/>
              </w:rPr>
            </w:pPr>
            <w:r w:rsidRPr="00D418BF">
              <w:rPr>
                <w:szCs w:val="20"/>
              </w:rPr>
              <w:t>905</w:t>
            </w:r>
          </w:p>
        </w:tc>
        <w:tc>
          <w:tcPr>
            <w:tcW w:w="493" w:type="pct"/>
            <w:tcBorders>
              <w:top w:val="nil"/>
            </w:tcBorders>
            <w:shd w:val="clear" w:color="auto" w:fill="auto"/>
          </w:tcPr>
          <w:p w:rsidR="006E20B8" w:rsidRPr="00D418BF" w:rsidRDefault="006E20B8" w:rsidP="00D418BF">
            <w:pPr>
              <w:pStyle w:val="Tabletext"/>
              <w:jc w:val="right"/>
              <w:rPr>
                <w:szCs w:val="20"/>
              </w:rPr>
            </w:pPr>
            <w:r w:rsidRPr="00D418BF">
              <w:rPr>
                <w:szCs w:val="20"/>
              </w:rPr>
              <w:t>1029</w:t>
            </w:r>
          </w:p>
        </w:tc>
        <w:tc>
          <w:tcPr>
            <w:tcW w:w="822" w:type="pct"/>
            <w:tcBorders>
              <w:top w:val="nil"/>
            </w:tcBorders>
            <w:shd w:val="clear" w:color="auto" w:fill="auto"/>
          </w:tcPr>
          <w:p w:rsidR="006E20B8" w:rsidRPr="00D418BF" w:rsidRDefault="006E20B8" w:rsidP="009E1542">
            <w:pPr>
              <w:pStyle w:val="Tabletext"/>
              <w:jc w:val="right"/>
              <w:rPr>
                <w:szCs w:val="20"/>
              </w:rPr>
            </w:pPr>
            <w:r w:rsidRPr="00D418BF">
              <w:rPr>
                <w:szCs w:val="20"/>
              </w:rPr>
              <w:t>57</w:t>
            </w:r>
          </w:p>
        </w:tc>
        <w:tc>
          <w:tcPr>
            <w:tcW w:w="709" w:type="pct"/>
            <w:tcBorders>
              <w:top w:val="nil"/>
            </w:tcBorders>
            <w:shd w:val="clear" w:color="auto" w:fill="auto"/>
          </w:tcPr>
          <w:p w:rsidR="006E20B8" w:rsidRPr="00D418BF" w:rsidRDefault="006E20B8" w:rsidP="009E1542">
            <w:pPr>
              <w:pStyle w:val="Tabletext"/>
              <w:jc w:val="right"/>
              <w:rPr>
                <w:szCs w:val="20"/>
              </w:rPr>
            </w:pPr>
            <w:r w:rsidRPr="00D418BF">
              <w:rPr>
                <w:szCs w:val="20"/>
              </w:rPr>
              <w:t>81</w:t>
            </w:r>
          </w:p>
        </w:tc>
      </w:tr>
      <w:tr w:rsidR="00E86A68" w:rsidTr="009E1542">
        <w:tblPrEx>
          <w:tblBorders>
            <w:bottom w:val="single" w:sz="4" w:space="0" w:color="646464"/>
            <w:insideH w:val="single" w:sz="4" w:space="0" w:color="646464"/>
          </w:tblBorders>
        </w:tblPrEx>
        <w:trPr>
          <w:gridBefore w:val="1"/>
          <w:wBefore w:w="263" w:type="pct"/>
          <w:cantSplit/>
        </w:trPr>
        <w:tc>
          <w:tcPr>
            <w:tcW w:w="1973" w:type="pct"/>
            <w:shd w:val="clear" w:color="auto" w:fill="auto"/>
          </w:tcPr>
          <w:p w:rsidR="006E20B8" w:rsidRPr="00D418BF" w:rsidRDefault="006E20B8" w:rsidP="006E20B8">
            <w:pPr>
              <w:pStyle w:val="Tabletext"/>
              <w:rPr>
                <w:szCs w:val="20"/>
              </w:rPr>
            </w:pPr>
            <w:r w:rsidRPr="00D418BF">
              <w:rPr>
                <w:rStyle w:val="Strong"/>
                <w:rFonts w:cs="Arial"/>
                <w:b w:val="0"/>
                <w:color w:val="353735"/>
                <w:szCs w:val="20"/>
              </w:rPr>
              <w:t>Product registration</w:t>
            </w:r>
            <w:r w:rsidRPr="00D418BF">
              <w:rPr>
                <w:szCs w:val="20"/>
              </w:rPr>
              <w:t>—veterinary medicines</w:t>
            </w:r>
          </w:p>
        </w:tc>
        <w:tc>
          <w:tcPr>
            <w:tcW w:w="740" w:type="pct"/>
            <w:shd w:val="clear" w:color="auto" w:fill="auto"/>
          </w:tcPr>
          <w:p w:rsidR="006E20B8" w:rsidRPr="00D418BF" w:rsidRDefault="006E20B8" w:rsidP="00D418BF">
            <w:pPr>
              <w:pStyle w:val="Tabletext"/>
              <w:jc w:val="right"/>
              <w:rPr>
                <w:szCs w:val="20"/>
              </w:rPr>
            </w:pPr>
            <w:r w:rsidRPr="00D418BF">
              <w:rPr>
                <w:szCs w:val="20"/>
              </w:rPr>
              <w:t>701</w:t>
            </w:r>
          </w:p>
        </w:tc>
        <w:tc>
          <w:tcPr>
            <w:tcW w:w="493" w:type="pct"/>
            <w:shd w:val="clear" w:color="auto" w:fill="auto"/>
          </w:tcPr>
          <w:p w:rsidR="006E20B8" w:rsidRPr="00D418BF" w:rsidRDefault="006E20B8" w:rsidP="00D418BF">
            <w:pPr>
              <w:pStyle w:val="Tabletext"/>
              <w:jc w:val="right"/>
              <w:rPr>
                <w:szCs w:val="20"/>
              </w:rPr>
            </w:pPr>
            <w:r w:rsidRPr="00D418BF">
              <w:rPr>
                <w:szCs w:val="20"/>
              </w:rPr>
              <w:t>704</w:t>
            </w:r>
          </w:p>
        </w:tc>
        <w:tc>
          <w:tcPr>
            <w:tcW w:w="822" w:type="pct"/>
            <w:shd w:val="clear" w:color="auto" w:fill="auto"/>
          </w:tcPr>
          <w:p w:rsidR="006E20B8" w:rsidRPr="00D418BF" w:rsidRDefault="006E20B8" w:rsidP="009E1542">
            <w:pPr>
              <w:pStyle w:val="Tabletext"/>
              <w:jc w:val="right"/>
              <w:rPr>
                <w:szCs w:val="20"/>
              </w:rPr>
            </w:pPr>
            <w:r w:rsidRPr="00D418BF">
              <w:rPr>
                <w:szCs w:val="20"/>
              </w:rPr>
              <w:t>80</w:t>
            </w:r>
          </w:p>
        </w:tc>
        <w:tc>
          <w:tcPr>
            <w:tcW w:w="709" w:type="pct"/>
            <w:shd w:val="clear" w:color="auto" w:fill="auto"/>
          </w:tcPr>
          <w:p w:rsidR="006E20B8" w:rsidRPr="00D418BF" w:rsidRDefault="006E20B8" w:rsidP="009E1542">
            <w:pPr>
              <w:pStyle w:val="Tabletext"/>
              <w:jc w:val="right"/>
              <w:rPr>
                <w:szCs w:val="20"/>
              </w:rPr>
            </w:pPr>
            <w:r w:rsidRPr="00D418BF">
              <w:rPr>
                <w:szCs w:val="20"/>
              </w:rPr>
              <w:t>80</w:t>
            </w:r>
          </w:p>
        </w:tc>
      </w:tr>
      <w:tr w:rsidR="00E86A68" w:rsidTr="009E1542">
        <w:tblPrEx>
          <w:tblBorders>
            <w:bottom w:val="single" w:sz="4" w:space="0" w:color="646464"/>
            <w:insideH w:val="single" w:sz="4" w:space="0" w:color="646464"/>
          </w:tblBorders>
        </w:tblPrEx>
        <w:trPr>
          <w:gridBefore w:val="1"/>
          <w:wBefore w:w="263" w:type="pct"/>
          <w:cantSplit/>
        </w:trPr>
        <w:tc>
          <w:tcPr>
            <w:tcW w:w="1973" w:type="pct"/>
            <w:shd w:val="clear" w:color="auto" w:fill="auto"/>
          </w:tcPr>
          <w:p w:rsidR="006E20B8" w:rsidRPr="00D418BF" w:rsidRDefault="006E20B8" w:rsidP="006E20B8">
            <w:pPr>
              <w:pStyle w:val="Tabletext"/>
              <w:rPr>
                <w:szCs w:val="20"/>
              </w:rPr>
            </w:pPr>
            <w:r w:rsidRPr="00D418BF">
              <w:rPr>
                <w:rStyle w:val="Strong"/>
                <w:rFonts w:cs="Arial"/>
                <w:b w:val="0"/>
                <w:color w:val="353735"/>
                <w:szCs w:val="20"/>
              </w:rPr>
              <w:t>Actives</w:t>
            </w:r>
          </w:p>
        </w:tc>
        <w:tc>
          <w:tcPr>
            <w:tcW w:w="740" w:type="pct"/>
            <w:shd w:val="clear" w:color="auto" w:fill="auto"/>
          </w:tcPr>
          <w:p w:rsidR="006E20B8" w:rsidRPr="00D418BF" w:rsidRDefault="006E20B8" w:rsidP="00D418BF">
            <w:pPr>
              <w:pStyle w:val="Tabletext"/>
              <w:jc w:val="right"/>
              <w:rPr>
                <w:szCs w:val="20"/>
              </w:rPr>
            </w:pPr>
            <w:r w:rsidRPr="00D418BF">
              <w:rPr>
                <w:szCs w:val="20"/>
              </w:rPr>
              <w:t>342</w:t>
            </w:r>
          </w:p>
        </w:tc>
        <w:tc>
          <w:tcPr>
            <w:tcW w:w="493" w:type="pct"/>
            <w:shd w:val="clear" w:color="auto" w:fill="auto"/>
          </w:tcPr>
          <w:p w:rsidR="006E20B8" w:rsidRPr="00D418BF" w:rsidRDefault="006E20B8" w:rsidP="00D418BF">
            <w:pPr>
              <w:pStyle w:val="Tabletext"/>
              <w:jc w:val="right"/>
              <w:rPr>
                <w:szCs w:val="20"/>
              </w:rPr>
            </w:pPr>
            <w:r w:rsidRPr="00D418BF">
              <w:rPr>
                <w:szCs w:val="20"/>
              </w:rPr>
              <w:t>213</w:t>
            </w:r>
          </w:p>
        </w:tc>
        <w:tc>
          <w:tcPr>
            <w:tcW w:w="822" w:type="pct"/>
            <w:shd w:val="clear" w:color="auto" w:fill="auto"/>
          </w:tcPr>
          <w:p w:rsidR="006E20B8" w:rsidRPr="00D418BF" w:rsidRDefault="006E20B8" w:rsidP="009E1542">
            <w:pPr>
              <w:pStyle w:val="Tabletext"/>
              <w:jc w:val="right"/>
              <w:rPr>
                <w:szCs w:val="20"/>
              </w:rPr>
            </w:pPr>
            <w:r w:rsidRPr="00D418BF">
              <w:rPr>
                <w:szCs w:val="20"/>
              </w:rPr>
              <w:t>70</w:t>
            </w:r>
          </w:p>
        </w:tc>
        <w:tc>
          <w:tcPr>
            <w:tcW w:w="709" w:type="pct"/>
            <w:shd w:val="clear" w:color="auto" w:fill="auto"/>
          </w:tcPr>
          <w:p w:rsidR="006E20B8" w:rsidRPr="00D418BF" w:rsidRDefault="006E20B8" w:rsidP="009E1542">
            <w:pPr>
              <w:pStyle w:val="Tabletext"/>
              <w:jc w:val="right"/>
              <w:rPr>
                <w:szCs w:val="20"/>
              </w:rPr>
            </w:pPr>
            <w:r w:rsidRPr="00D418BF">
              <w:rPr>
                <w:szCs w:val="20"/>
              </w:rPr>
              <w:t>63</w:t>
            </w:r>
          </w:p>
        </w:tc>
      </w:tr>
      <w:tr w:rsidR="00E86A68" w:rsidTr="009E1542">
        <w:tblPrEx>
          <w:tblBorders>
            <w:bottom w:val="single" w:sz="4" w:space="0" w:color="646464"/>
            <w:insideH w:val="single" w:sz="4" w:space="0" w:color="646464"/>
          </w:tblBorders>
        </w:tblPrEx>
        <w:trPr>
          <w:gridBefore w:val="1"/>
          <w:wBefore w:w="263" w:type="pct"/>
          <w:cantSplit/>
        </w:trPr>
        <w:tc>
          <w:tcPr>
            <w:tcW w:w="1973" w:type="pct"/>
            <w:shd w:val="clear" w:color="auto" w:fill="auto"/>
          </w:tcPr>
          <w:p w:rsidR="006E20B8" w:rsidRPr="00D418BF" w:rsidRDefault="006E20B8" w:rsidP="006E20B8">
            <w:pPr>
              <w:pStyle w:val="Tabletext"/>
              <w:rPr>
                <w:szCs w:val="20"/>
              </w:rPr>
            </w:pPr>
            <w:r w:rsidRPr="00D418BF">
              <w:rPr>
                <w:rStyle w:val="Strong"/>
                <w:rFonts w:cs="Arial"/>
                <w:b w:val="0"/>
                <w:color w:val="353735"/>
                <w:szCs w:val="20"/>
              </w:rPr>
              <w:t>Permits</w:t>
            </w:r>
          </w:p>
        </w:tc>
        <w:tc>
          <w:tcPr>
            <w:tcW w:w="740" w:type="pct"/>
            <w:shd w:val="clear" w:color="auto" w:fill="auto"/>
          </w:tcPr>
          <w:p w:rsidR="006E20B8" w:rsidRPr="00D418BF" w:rsidRDefault="006E20B8" w:rsidP="00D418BF">
            <w:pPr>
              <w:pStyle w:val="Tabletext"/>
              <w:jc w:val="right"/>
              <w:rPr>
                <w:szCs w:val="20"/>
              </w:rPr>
            </w:pPr>
            <w:r w:rsidRPr="00D418BF">
              <w:rPr>
                <w:szCs w:val="20"/>
              </w:rPr>
              <w:t>562</w:t>
            </w:r>
          </w:p>
        </w:tc>
        <w:tc>
          <w:tcPr>
            <w:tcW w:w="493" w:type="pct"/>
            <w:shd w:val="clear" w:color="auto" w:fill="auto"/>
          </w:tcPr>
          <w:p w:rsidR="006E20B8" w:rsidRPr="00D418BF" w:rsidRDefault="006E20B8" w:rsidP="00D418BF">
            <w:pPr>
              <w:pStyle w:val="Tabletext"/>
              <w:jc w:val="right"/>
              <w:rPr>
                <w:szCs w:val="20"/>
              </w:rPr>
            </w:pPr>
            <w:r w:rsidRPr="00D418BF">
              <w:rPr>
                <w:szCs w:val="20"/>
              </w:rPr>
              <w:t>599</w:t>
            </w:r>
          </w:p>
        </w:tc>
        <w:tc>
          <w:tcPr>
            <w:tcW w:w="822" w:type="pct"/>
            <w:shd w:val="clear" w:color="auto" w:fill="auto"/>
          </w:tcPr>
          <w:p w:rsidR="006E20B8" w:rsidRPr="00D418BF" w:rsidRDefault="006E20B8" w:rsidP="009E1542">
            <w:pPr>
              <w:pStyle w:val="Tabletext"/>
              <w:jc w:val="right"/>
              <w:rPr>
                <w:szCs w:val="20"/>
              </w:rPr>
            </w:pPr>
            <w:r w:rsidRPr="00D418BF">
              <w:rPr>
                <w:szCs w:val="20"/>
              </w:rPr>
              <w:t>70</w:t>
            </w:r>
          </w:p>
        </w:tc>
        <w:tc>
          <w:tcPr>
            <w:tcW w:w="709" w:type="pct"/>
            <w:shd w:val="clear" w:color="auto" w:fill="auto"/>
          </w:tcPr>
          <w:p w:rsidR="006E20B8" w:rsidRPr="00D418BF" w:rsidRDefault="006E20B8" w:rsidP="009E1542">
            <w:pPr>
              <w:pStyle w:val="Tabletext"/>
              <w:jc w:val="right"/>
              <w:rPr>
                <w:szCs w:val="20"/>
              </w:rPr>
            </w:pPr>
            <w:r w:rsidRPr="00D418BF">
              <w:rPr>
                <w:szCs w:val="20"/>
              </w:rPr>
              <w:t>70</w:t>
            </w:r>
          </w:p>
        </w:tc>
      </w:tr>
      <w:tr w:rsidR="00E86A68" w:rsidTr="009E1542">
        <w:tblPrEx>
          <w:tblBorders>
            <w:bottom w:val="single" w:sz="4" w:space="0" w:color="646464"/>
            <w:insideH w:val="single" w:sz="4" w:space="0" w:color="646464"/>
          </w:tblBorders>
        </w:tblPrEx>
        <w:trPr>
          <w:gridBefore w:val="1"/>
          <w:wBefore w:w="263" w:type="pct"/>
          <w:cantSplit/>
        </w:trPr>
        <w:tc>
          <w:tcPr>
            <w:tcW w:w="1973" w:type="pct"/>
            <w:shd w:val="clear" w:color="auto" w:fill="auto"/>
          </w:tcPr>
          <w:p w:rsidR="006E20B8" w:rsidRPr="00D418BF" w:rsidRDefault="006E20B8" w:rsidP="006E20B8">
            <w:pPr>
              <w:pStyle w:val="Tabletext"/>
              <w:rPr>
                <w:b/>
                <w:szCs w:val="20"/>
              </w:rPr>
            </w:pPr>
            <w:r w:rsidRPr="00D418BF">
              <w:rPr>
                <w:rStyle w:val="Strong"/>
                <w:rFonts w:cs="Arial"/>
                <w:b w:val="0"/>
                <w:color w:val="353735"/>
                <w:szCs w:val="20"/>
              </w:rPr>
              <w:t>Total</w:t>
            </w:r>
          </w:p>
        </w:tc>
        <w:tc>
          <w:tcPr>
            <w:tcW w:w="740" w:type="pct"/>
            <w:shd w:val="clear" w:color="auto" w:fill="auto"/>
          </w:tcPr>
          <w:p w:rsidR="006E20B8" w:rsidRPr="00D418BF" w:rsidRDefault="006E20B8" w:rsidP="00D418BF">
            <w:pPr>
              <w:pStyle w:val="Tabletext"/>
              <w:jc w:val="right"/>
              <w:rPr>
                <w:b/>
                <w:szCs w:val="20"/>
              </w:rPr>
            </w:pPr>
            <w:r w:rsidRPr="00D418BF">
              <w:rPr>
                <w:rStyle w:val="Strong"/>
                <w:rFonts w:cs="Arial"/>
                <w:b w:val="0"/>
                <w:color w:val="353735"/>
                <w:szCs w:val="20"/>
              </w:rPr>
              <w:t>2510</w:t>
            </w:r>
          </w:p>
        </w:tc>
        <w:tc>
          <w:tcPr>
            <w:tcW w:w="493" w:type="pct"/>
            <w:shd w:val="clear" w:color="auto" w:fill="auto"/>
          </w:tcPr>
          <w:p w:rsidR="006E20B8" w:rsidRPr="00D418BF" w:rsidRDefault="006E20B8" w:rsidP="00D418BF">
            <w:pPr>
              <w:pStyle w:val="Tabletext"/>
              <w:jc w:val="right"/>
              <w:rPr>
                <w:b/>
                <w:szCs w:val="20"/>
              </w:rPr>
            </w:pPr>
            <w:r w:rsidRPr="00D418BF">
              <w:rPr>
                <w:rStyle w:val="Strong"/>
                <w:rFonts w:cs="Arial"/>
                <w:b w:val="0"/>
                <w:color w:val="353735"/>
                <w:szCs w:val="20"/>
              </w:rPr>
              <w:t>2545</w:t>
            </w:r>
          </w:p>
        </w:tc>
        <w:tc>
          <w:tcPr>
            <w:tcW w:w="822" w:type="pct"/>
            <w:shd w:val="clear" w:color="auto" w:fill="auto"/>
          </w:tcPr>
          <w:p w:rsidR="006E20B8" w:rsidRPr="00D418BF" w:rsidRDefault="006E20B8" w:rsidP="009E1542">
            <w:pPr>
              <w:pStyle w:val="Tabletext"/>
              <w:jc w:val="right"/>
              <w:rPr>
                <w:b/>
                <w:szCs w:val="20"/>
              </w:rPr>
            </w:pPr>
            <w:r w:rsidRPr="00D418BF">
              <w:rPr>
                <w:rStyle w:val="Strong"/>
                <w:rFonts w:cs="Arial"/>
                <w:b w:val="0"/>
                <w:color w:val="353735"/>
                <w:szCs w:val="20"/>
              </w:rPr>
              <w:t>68</w:t>
            </w:r>
          </w:p>
        </w:tc>
        <w:tc>
          <w:tcPr>
            <w:tcW w:w="709" w:type="pct"/>
            <w:shd w:val="clear" w:color="auto" w:fill="auto"/>
          </w:tcPr>
          <w:p w:rsidR="006E20B8" w:rsidRPr="00D418BF" w:rsidRDefault="006E20B8" w:rsidP="00D418BF">
            <w:pPr>
              <w:pStyle w:val="Tabletext"/>
              <w:jc w:val="right"/>
              <w:rPr>
                <w:b/>
                <w:szCs w:val="20"/>
              </w:rPr>
            </w:pPr>
          </w:p>
        </w:tc>
      </w:tr>
      <w:tr w:rsidR="00E86A68" w:rsidTr="006E20B8">
        <w:tblPrEx>
          <w:tblBorders>
            <w:bottom w:val="single" w:sz="4" w:space="0" w:color="646464"/>
            <w:insideH w:val="single" w:sz="4" w:space="0" w:color="646464"/>
          </w:tblBorders>
        </w:tblPrEx>
        <w:trPr>
          <w:gridBefore w:val="1"/>
          <w:wBefore w:w="263" w:type="pct"/>
          <w:cantSplit/>
        </w:trPr>
        <w:tc>
          <w:tcPr>
            <w:tcW w:w="4737" w:type="pct"/>
            <w:gridSpan w:val="5"/>
            <w:tcBorders>
              <w:bottom w:val="single" w:sz="4" w:space="0" w:color="646464"/>
            </w:tcBorders>
            <w:shd w:val="clear" w:color="auto" w:fill="auto"/>
          </w:tcPr>
          <w:p w:rsidR="00D418BF" w:rsidRPr="00D418BF" w:rsidRDefault="00CF227B" w:rsidP="00D418BF">
            <w:pPr>
              <w:pStyle w:val="NormalWeb"/>
              <w:shd w:val="clear" w:color="auto" w:fill="FFFFFF"/>
              <w:spacing w:after="0" w:line="240" w:lineRule="auto"/>
              <w:rPr>
                <w:rFonts w:ascii="Arial Narrow" w:eastAsia="Times New Roman" w:hAnsi="Arial Narrow"/>
                <w:sz w:val="14"/>
              </w:rPr>
            </w:pPr>
            <w:r w:rsidRPr="00D418BF">
              <w:rPr>
                <w:rFonts w:ascii="Arial Narrow" w:eastAsia="Times New Roman" w:hAnsi="Arial Narrow"/>
                <w:sz w:val="14"/>
              </w:rPr>
              <w:t xml:space="preserve">Note: </w:t>
            </w:r>
            <w:r w:rsidR="00D418BF" w:rsidRPr="00D418BF">
              <w:rPr>
                <w:rFonts w:ascii="Arial Narrow" w:eastAsia="Times New Roman" w:hAnsi="Arial Narrow"/>
                <w:sz w:val="14"/>
              </w:rPr>
              <w:t xml:space="preserve">On 1 July 2014, the APVMA adopted new legislation which changed the way </w:t>
            </w:r>
            <w:r w:rsidR="00D418BF">
              <w:rPr>
                <w:rFonts w:ascii="Arial Narrow" w:eastAsia="Times New Roman" w:hAnsi="Arial Narrow"/>
                <w:sz w:val="14"/>
              </w:rPr>
              <w:t>they</w:t>
            </w:r>
            <w:r w:rsidR="00D418BF" w:rsidRPr="00D418BF">
              <w:rPr>
                <w:rFonts w:ascii="Arial Narrow" w:eastAsia="Times New Roman" w:hAnsi="Arial Narrow"/>
                <w:sz w:val="14"/>
              </w:rPr>
              <w:t xml:space="preserve"> calculate and interpret regulatory timeframe performance within the </w:t>
            </w:r>
            <w:r w:rsidR="00583FB5">
              <w:rPr>
                <w:rFonts w:ascii="Arial Narrow" w:eastAsia="Times New Roman" w:hAnsi="Arial Narrow"/>
                <w:sz w:val="14"/>
              </w:rPr>
              <w:t>Authority</w:t>
            </w:r>
            <w:r w:rsidR="00D418BF" w:rsidRPr="00D418BF">
              <w:rPr>
                <w:rFonts w:ascii="Arial Narrow" w:eastAsia="Times New Roman" w:hAnsi="Arial Narrow"/>
                <w:sz w:val="14"/>
              </w:rPr>
              <w:t xml:space="preserve">. These changes mean it is inappropriate to compare timeframe performance for 2015–16 with results published in </w:t>
            </w:r>
            <w:r w:rsidR="00D418BF">
              <w:rPr>
                <w:rFonts w:ascii="Arial Narrow" w:eastAsia="Times New Roman" w:hAnsi="Arial Narrow"/>
                <w:sz w:val="14"/>
              </w:rPr>
              <w:t>their</w:t>
            </w:r>
            <w:r w:rsidR="00D418BF" w:rsidRPr="00D418BF">
              <w:rPr>
                <w:rFonts w:ascii="Arial Narrow" w:eastAsia="Times New Roman" w:hAnsi="Arial Narrow"/>
                <w:sz w:val="14"/>
              </w:rPr>
              <w:t xml:space="preserve"> annua</w:t>
            </w:r>
            <w:r w:rsidR="00D418BF">
              <w:rPr>
                <w:rFonts w:ascii="Arial Narrow" w:eastAsia="Times New Roman" w:hAnsi="Arial Narrow"/>
                <w:sz w:val="14"/>
              </w:rPr>
              <w:t xml:space="preserve">l reports prior to 1 July 2014. </w:t>
            </w:r>
            <w:r w:rsidR="00D418BF" w:rsidRPr="00D418BF">
              <w:rPr>
                <w:rFonts w:ascii="Arial Narrow" w:eastAsia="Times New Roman" w:hAnsi="Arial Narrow"/>
                <w:sz w:val="14"/>
              </w:rPr>
              <w:t>Caution is also needed when comparing 2015–16 results to 2014–15 data, as 2014–15 data included applications from both sets of l</w:t>
            </w:r>
            <w:r w:rsidR="00D418BF">
              <w:rPr>
                <w:rFonts w:ascii="Arial Narrow" w:eastAsia="Times New Roman" w:hAnsi="Arial Narrow"/>
                <w:sz w:val="14"/>
              </w:rPr>
              <w:t xml:space="preserve">egislation. In contrast, from 1 </w:t>
            </w:r>
            <w:r w:rsidR="00D418BF" w:rsidRPr="00D418BF">
              <w:rPr>
                <w:rFonts w:ascii="Arial Narrow" w:eastAsia="Times New Roman" w:hAnsi="Arial Narrow"/>
                <w:sz w:val="14"/>
              </w:rPr>
              <w:t>July 2015, all applications are now subject to the new requirements (regardless of when they were received by the APVMA) and timeframe performance is to be calculated and interpreted in the manner required by the current legislation</w:t>
            </w:r>
            <w:r w:rsidR="00D418BF">
              <w:rPr>
                <w:rFonts w:ascii="Arial Narrow" w:eastAsia="Times New Roman" w:hAnsi="Arial Narrow"/>
                <w:sz w:val="14"/>
              </w:rPr>
              <w:t>.</w:t>
            </w:r>
          </w:p>
          <w:p w:rsidR="00CF227B" w:rsidRDefault="00CF227B" w:rsidP="008109A9">
            <w:pPr>
              <w:pStyle w:val="Source"/>
            </w:pPr>
            <w:r>
              <w:t xml:space="preserve">Source: </w:t>
            </w:r>
            <w:hyperlink r:id="rId75" w:history="1">
              <w:r w:rsidR="00D418BF" w:rsidRPr="00BA656D">
                <w:rPr>
                  <w:rStyle w:val="Hyperlink"/>
                </w:rPr>
                <w:t>https://apvma.gov.au/node/19751</w:t>
              </w:r>
            </w:hyperlink>
            <w:r w:rsidR="00D418BF">
              <w:t xml:space="preserve"> accessed </w:t>
            </w:r>
            <w:r w:rsidR="008109A9">
              <w:t xml:space="preserve">on </w:t>
            </w:r>
            <w:r w:rsidR="00D418BF">
              <w:t>28 May 2017</w:t>
            </w:r>
          </w:p>
        </w:tc>
      </w:tr>
      <w:tr w:rsidR="00E86A68" w:rsidTr="006E20B8">
        <w:tblPrEx>
          <w:tblBorders>
            <w:bottom w:val="single" w:sz="4" w:space="0" w:color="646464"/>
            <w:insideH w:val="single" w:sz="4" w:space="0" w:color="646464"/>
          </w:tblBorders>
        </w:tblPrEx>
        <w:trPr>
          <w:gridBefore w:val="1"/>
          <w:wBefore w:w="263" w:type="pct"/>
          <w:cantSplit/>
          <w:trHeight w:hRule="exact" w:val="120"/>
        </w:trPr>
        <w:tc>
          <w:tcPr>
            <w:tcW w:w="4737" w:type="pct"/>
            <w:gridSpan w:val="5"/>
            <w:tcBorders>
              <w:top w:val="single" w:sz="4" w:space="0" w:color="646464"/>
              <w:bottom w:val="nil"/>
            </w:tcBorders>
            <w:shd w:val="clear" w:color="auto" w:fill="auto"/>
          </w:tcPr>
          <w:p w:rsidR="00CF227B" w:rsidRDefault="00CF227B" w:rsidP="00CF227B">
            <w:pPr>
              <w:pStyle w:val="spacertbl"/>
            </w:pPr>
          </w:p>
        </w:tc>
      </w:tr>
    </w:tbl>
    <w:p w:rsidR="00354783" w:rsidRDefault="00354783" w:rsidP="00354783">
      <w:pPr>
        <w:pStyle w:val="BodyText"/>
      </w:pPr>
      <w:r>
        <w:t xml:space="preserve">These statistics provide an overall indication of the APVMA’s performance, but they are strongly influenced by the high proportion of applications that are simply administrative in nature and have a short time frame (two to three months). </w:t>
      </w:r>
      <w:r w:rsidR="008A1C24">
        <w:t xml:space="preserve">The data provided in Table 5.1 suggest </w:t>
      </w:r>
      <w:r>
        <w:t xml:space="preserve">that APVMA generally has a high success rate meeting </w:t>
      </w:r>
      <w:r w:rsidR="00EC5BD1">
        <w:t xml:space="preserve">short </w:t>
      </w:r>
      <w:r>
        <w:t>statutory time frames, although it does not routinely meet them.</w:t>
      </w:r>
    </w:p>
    <w:p w:rsidR="00354783" w:rsidRDefault="00354783" w:rsidP="00354783">
      <w:pPr>
        <w:pStyle w:val="BodyText"/>
      </w:pPr>
      <w:r>
        <w:t>It is the APVMA’s performance in the categories with time frames of five months or longer that has the most significant impact on the agvet chemical industry. Importantly, app</w:t>
      </w:r>
      <w:r w:rsidR="005532CA">
        <w:t xml:space="preserve">lications with time frames longer </w:t>
      </w:r>
      <w:r>
        <w:t xml:space="preserve">than 5 </w:t>
      </w:r>
      <w:r w:rsidR="00883B4B">
        <w:t xml:space="preserve">months </w:t>
      </w:r>
      <w:r>
        <w:t xml:space="preserve">represent a much higher investment by applicants than administrative applications require. The agvet chemical industry seeks to recover this investment though the sale of its product; hence predictability in the regulatory system and in the time-to-market is critical. Failure of the APVMA to complete applications within the statutory time frames contributes to uncertainty within the industry, impacting </w:t>
      </w:r>
      <w:r w:rsidR="007850CE">
        <w:t xml:space="preserve">on </w:t>
      </w:r>
      <w:r>
        <w:t>decisions to develop agvet chemicals and their availability.</w:t>
      </w:r>
    </w:p>
    <w:p w:rsidR="00354783" w:rsidRDefault="00354783" w:rsidP="00354783">
      <w:pPr>
        <w:pStyle w:val="BodyText"/>
      </w:pPr>
      <w:r>
        <w:t xml:space="preserve">This point was discussed in the </w:t>
      </w:r>
      <w:r w:rsidRPr="00386636">
        <w:rPr>
          <w:i/>
        </w:rPr>
        <w:t>Better regulation of agricultural and veterinary chemicals regulation impact statement</w:t>
      </w:r>
      <w:r>
        <w:rPr>
          <w:rStyle w:val="FootnoteReference"/>
        </w:rPr>
        <w:footnoteReference w:id="94"/>
      </w:r>
      <w:r>
        <w:t xml:space="preserve">, which noted that: </w:t>
      </w:r>
    </w:p>
    <w:p w:rsidR="00CA31E4" w:rsidRDefault="00CA31E4" w:rsidP="00CA31E4">
      <w:pPr>
        <w:pStyle w:val="Quote"/>
      </w:pPr>
      <w:r>
        <w:t>The unpredictability of the current regulatory system (so far as it relates to the statutory time frames for assessment) is likely to be further exacerbated by the lack of substantive alignment between statutory time frames and the total elapsed time frame taken to complete assessment. This unpredictability is compounded by the APVMA not specifying the ‘off the clock’ period in which applicants are required to correct applications, often resulting in protracted delays at the request of the applicant. For example, for 2009–10 applications in 13–15-month categories, the average total elapsed time for pesticide and veterinary medicine applications was 46.2 and 33.1 months respectively—at least three times and two times the statutory time frame respectively. This in turn introduces disincentives into the regulatory system and can also contribute to inefficient use of APVMA resources through it having to manage low quality applications. The difference between elapsed and statutory time frames varies considerably across the range of applications and from year to year. This high degree of variation, coupled with the absolute increase in ‘real’ time taken to assess an application, leads to greater uncertainty and less predictability for business.</w:t>
      </w:r>
    </w:p>
    <w:p w:rsidR="00354783" w:rsidRDefault="00354783" w:rsidP="00354783">
      <w:pPr>
        <w:pStyle w:val="BodyText"/>
      </w:pPr>
      <w:r>
        <w:t xml:space="preserve">Although several initiatives—including consolidation of application categories, </w:t>
      </w:r>
      <w:r w:rsidR="00EC5BD1">
        <w:t xml:space="preserve">consideration of a </w:t>
      </w:r>
      <w:r>
        <w:t>greater use of modular assessment categories and reduction or elimination of application requirements for some minor applications—have been undertaken by APVMA since an audit by ANAO (2006), consultations with the industry representatives for this project indicate the failure of the APVMA to meet statutory timeframes for assessments is still a major issue. Industry stakeholders have suggested that delays in the assessment process inhibit the ability of patent holders to realise a return on their R&amp;D, which in turn threatens future flows of new agvet products into the Australian market.</w:t>
      </w:r>
    </w:p>
    <w:p w:rsidR="00D46E37" w:rsidRDefault="00D46E37" w:rsidP="00D46E37">
      <w:pPr>
        <w:pStyle w:val="BodyText"/>
      </w:pPr>
      <w:r>
        <w:t xml:space="preserve">Stakeholders </w:t>
      </w:r>
      <w:r w:rsidR="00533730">
        <w:t>believe</w:t>
      </w:r>
      <w:r>
        <w:t xml:space="preserve"> that time frames established by the USEPA provide more efficient and transparent arrangements. For example, the </w:t>
      </w:r>
      <w:r w:rsidRPr="00DA5F88">
        <w:rPr>
          <w:i/>
        </w:rPr>
        <w:t>United States Pesticide Registration Improvement Act 2003</w:t>
      </w:r>
      <w:r>
        <w:t xml:space="preserve"> (PRIA), </w:t>
      </w:r>
      <w:r w:rsidRPr="00DA5F88">
        <w:rPr>
          <w:i/>
          <w:shd w:val="clear" w:color="auto" w:fill="FFFFFF"/>
        </w:rPr>
        <w:t>the Pesticide Registration Improvement Renewal Act 2007</w:t>
      </w:r>
      <w:r>
        <w:rPr>
          <w:shd w:val="clear" w:color="auto" w:fill="FFFFFF"/>
        </w:rPr>
        <w:t xml:space="preserve"> and the </w:t>
      </w:r>
      <w:r w:rsidRPr="00DA5F88">
        <w:rPr>
          <w:i/>
          <w:shd w:val="clear" w:color="auto" w:fill="FFFFFF"/>
        </w:rPr>
        <w:t>Pesticide Registration Improvement Extension Act 2012</w:t>
      </w:r>
      <w:r>
        <w:rPr>
          <w:shd w:val="clear" w:color="auto" w:fill="FFFFFF"/>
        </w:rPr>
        <w:t xml:space="preserve"> </w:t>
      </w:r>
      <w:r>
        <w:t>include specific provisions for maximum time limits throughout regulatory processes. These provisions specify the maximum timeframes for the submission of data and information, assessment reports and the regulator’s final decision. Further, the US system requires that the applicant and the assessing agency must come to a mutual agreement to change the assessment timeframes.</w:t>
      </w:r>
      <w:r w:rsidR="00FF78FA">
        <w:t xml:space="preserve"> </w:t>
      </w:r>
      <w:r w:rsidR="00580CF7" w:rsidRPr="00580CF7">
        <w:t xml:space="preserve">This study has not determined whether </w:t>
      </w:r>
      <w:r w:rsidR="00E80836" w:rsidRPr="00580CF7">
        <w:t>such</w:t>
      </w:r>
      <w:r w:rsidR="00FF78FA" w:rsidRPr="00580CF7">
        <w:t xml:space="preserve"> timeframes are </w:t>
      </w:r>
      <w:r w:rsidR="00DF2455" w:rsidRPr="00580CF7">
        <w:t>met</w:t>
      </w:r>
      <w:r w:rsidR="00FF78FA">
        <w:t>.</w:t>
      </w:r>
    </w:p>
    <w:p w:rsidR="00C74868" w:rsidRDefault="00C74868" w:rsidP="00354783">
      <w:pPr>
        <w:pStyle w:val="BodyText"/>
      </w:pPr>
      <w:r>
        <w:t xml:space="preserve">Similar provisions </w:t>
      </w:r>
      <w:r w:rsidR="00C2484E">
        <w:t xml:space="preserve">can be found in </w:t>
      </w:r>
      <w:r>
        <w:t>the European Union Regulations 1107/2009.</w:t>
      </w:r>
    </w:p>
    <w:p w:rsidR="00B27193" w:rsidRDefault="00FE0551" w:rsidP="002465E3">
      <w:pPr>
        <w:pStyle w:val="Heading3"/>
      </w:pPr>
      <w:r>
        <w:t>Application fees</w:t>
      </w:r>
    </w:p>
    <w:p w:rsidR="00354783" w:rsidRDefault="00FE0551" w:rsidP="00354783">
      <w:pPr>
        <w:pStyle w:val="BodyText"/>
        <w:rPr>
          <w:shd w:val="clear" w:color="auto" w:fill="FFFFFF"/>
        </w:rPr>
      </w:pPr>
      <w:r>
        <w:t xml:space="preserve">More details of timeframes and fees are provided in Appendix B. As this shows, </w:t>
      </w:r>
      <w:r w:rsidR="00533730">
        <w:t xml:space="preserve">the </w:t>
      </w:r>
      <w:r w:rsidR="00354783">
        <w:t xml:space="preserve">APVMA’s </w:t>
      </w:r>
      <w:r>
        <w:t>application fee</w:t>
      </w:r>
      <w:r w:rsidR="003202A1">
        <w:t>s</w:t>
      </w:r>
      <w:r w:rsidR="00354783">
        <w:t xml:space="preserve"> range between $350 and $</w:t>
      </w:r>
      <w:r w:rsidR="00323591">
        <w:t>84,115</w:t>
      </w:r>
      <w:r w:rsidR="00354783">
        <w:t xml:space="preserve"> in 2015-16</w:t>
      </w:r>
      <w:r>
        <w:t xml:space="preserve"> (see Appendix B.2 for calculation)</w:t>
      </w:r>
      <w:r w:rsidR="00354783">
        <w:t>.</w:t>
      </w:r>
      <w:r w:rsidR="00354783">
        <w:rPr>
          <w:rStyle w:val="FootnoteReference"/>
        </w:rPr>
        <w:footnoteReference w:id="95"/>
      </w:r>
      <w:r w:rsidR="00354783">
        <w:t xml:space="preserve"> </w:t>
      </w:r>
      <w:r w:rsidR="00354783">
        <w:rPr>
          <w:shd w:val="clear" w:color="auto" w:fill="FFFFFF"/>
        </w:rPr>
        <w:t xml:space="preserve">The APVMA is funded </w:t>
      </w:r>
      <w:r w:rsidR="007850CE">
        <w:rPr>
          <w:shd w:val="clear" w:color="auto" w:fill="FFFFFF"/>
        </w:rPr>
        <w:t>through</w:t>
      </w:r>
      <w:r w:rsidR="00354783">
        <w:rPr>
          <w:shd w:val="clear" w:color="auto" w:fill="FFFFFF"/>
        </w:rPr>
        <w:t xml:space="preserve"> fees, charges and levies imposed on the industry it regulates. Chemical companies pay fees so the APVMA can evaluate registration proposals and renew product registrations, </w:t>
      </w:r>
      <w:r w:rsidR="007850CE">
        <w:rPr>
          <w:shd w:val="clear" w:color="auto" w:fill="FFFFFF"/>
        </w:rPr>
        <w:t>as well as</w:t>
      </w:r>
      <w:r w:rsidR="00354783">
        <w:rPr>
          <w:shd w:val="clear" w:color="auto" w:fill="FFFFFF"/>
        </w:rPr>
        <w:t xml:space="preserve"> a levy based on the wholesale sales of chemical products in Australia.</w:t>
      </w:r>
    </w:p>
    <w:p w:rsidR="00354783" w:rsidRDefault="00354783" w:rsidP="00354783">
      <w:pPr>
        <w:pStyle w:val="BodyText"/>
      </w:pPr>
      <w:r>
        <w:rPr>
          <w:shd w:val="clear" w:color="auto" w:fill="FFFFFF"/>
        </w:rPr>
        <w:t>The current APVMA cost recovery arrangements were implemented in 2013. There was a discussion paper released by the DAWR in 2014</w:t>
      </w:r>
      <w:r w:rsidR="00FE0551">
        <w:rPr>
          <w:shd w:val="clear" w:color="auto" w:fill="FFFFFF"/>
        </w:rPr>
        <w:t xml:space="preserve"> on the future principles of APVMA cost recovery arrangements</w:t>
      </w:r>
      <w:r>
        <w:rPr>
          <w:shd w:val="clear" w:color="auto" w:fill="FFFFFF"/>
        </w:rPr>
        <w:t>.</w:t>
      </w:r>
      <w:r>
        <w:rPr>
          <w:rStyle w:val="FootnoteReference"/>
          <w:shd w:val="clear" w:color="auto" w:fill="FFFFFF"/>
        </w:rPr>
        <w:footnoteReference w:id="96"/>
      </w:r>
      <w:r>
        <w:rPr>
          <w:shd w:val="clear" w:color="auto" w:fill="FFFFFF"/>
        </w:rPr>
        <w:t xml:space="preserve"> </w:t>
      </w:r>
    </w:p>
    <w:p w:rsidR="00354783" w:rsidRDefault="00354783" w:rsidP="00354783">
      <w:pPr>
        <w:pStyle w:val="BodyText"/>
      </w:pPr>
      <w:r>
        <w:t xml:space="preserve">The APVMA charges a fee </w:t>
      </w:r>
      <w:r w:rsidR="00FE0551">
        <w:t>(around</w:t>
      </w:r>
      <w:r>
        <w:t xml:space="preserve"> 40 per cent of the cost of assessing applications</w:t>
      </w:r>
      <w:r w:rsidR="00FE0551">
        <w:t>)</w:t>
      </w:r>
      <w:r>
        <w:t xml:space="preserve"> for approvals and registration, with the remainder of costs recovered across the life of the product via the levy collected by the companies at the point of wholesale sale. This approach was implemented in recognition that a higher level of cost recovery through the application fee would disincentivise new products and other innovations from coming to market, particularly in the case of low volume chemical products.</w:t>
      </w:r>
    </w:p>
    <w:p w:rsidR="00354783" w:rsidRDefault="00354783" w:rsidP="00354783">
      <w:pPr>
        <w:pStyle w:val="BodyText"/>
      </w:pPr>
      <w:r>
        <w:t xml:space="preserve">The </w:t>
      </w:r>
      <w:r w:rsidR="005835E9">
        <w:t xml:space="preserve">Productivity </w:t>
      </w:r>
      <w:r w:rsidR="00D210AD">
        <w:t>Commission’s</w:t>
      </w:r>
      <w:r>
        <w:t xml:space="preserve"> (2008)</w:t>
      </w:r>
      <w:r>
        <w:rPr>
          <w:rStyle w:val="FootnoteReference"/>
        </w:rPr>
        <w:footnoteReference w:id="97"/>
      </w:r>
      <w:r>
        <w:t xml:space="preserve"> report indicated that </w:t>
      </w:r>
      <w:r w:rsidR="00323591">
        <w:t xml:space="preserve">the </w:t>
      </w:r>
      <w:r>
        <w:t xml:space="preserve">APVMA’s fees are low by international standards. However it appears that the </w:t>
      </w:r>
      <w:r w:rsidR="005835E9">
        <w:t xml:space="preserve">Productivity </w:t>
      </w:r>
      <w:r w:rsidR="00D210AD">
        <w:t>Commission’s</w:t>
      </w:r>
      <w:r>
        <w:t xml:space="preserve"> </w:t>
      </w:r>
      <w:r w:rsidR="007850CE">
        <w:t>comparison</w:t>
      </w:r>
      <w:r>
        <w:t xml:space="preserve"> included only the registration fee but not the levy. The APVMA recovers the costs through both fees and levies, whereas other countries recover assessment costs through registration fees alone. </w:t>
      </w:r>
      <w:r w:rsidR="007850CE">
        <w:t xml:space="preserve">This makes comparisons of registration costs with other countries difficult. </w:t>
      </w:r>
      <w:r>
        <w:t xml:space="preserve">If the levy component is included, the </w:t>
      </w:r>
      <w:r w:rsidR="00511515">
        <w:t>estimated</w:t>
      </w:r>
      <w:r>
        <w:t xml:space="preserve"> total cost of registering new active ingredients </w:t>
      </w:r>
      <w:r w:rsidRPr="00354783">
        <w:t xml:space="preserve">in current dollars </w:t>
      </w:r>
      <w:r w:rsidR="007850CE">
        <w:t>was</w:t>
      </w:r>
      <w:r w:rsidRPr="00354783">
        <w:t xml:space="preserve"> around $275,000 in 2015-16. This </w:t>
      </w:r>
      <w:r w:rsidR="007850CE">
        <w:t xml:space="preserve">estimate </w:t>
      </w:r>
      <w:r w:rsidRPr="00354783">
        <w:t>does not include regulatory</w:t>
      </w:r>
      <w:r>
        <w:t xml:space="preserve"> delay costs, product development costs and costs arising from uncertainties related to the timing of market launches.</w:t>
      </w:r>
    </w:p>
    <w:p w:rsidR="008B0669" w:rsidRDefault="008B0669" w:rsidP="00A578ED">
      <w:pPr>
        <w:pStyle w:val="Heading3"/>
      </w:pPr>
      <w:r>
        <w:t>Sources of APVMA income and expenditure</w:t>
      </w:r>
    </w:p>
    <w:p w:rsidR="00354783" w:rsidRDefault="00354783" w:rsidP="00E2773D">
      <w:pPr>
        <w:pStyle w:val="BodyText"/>
      </w:pPr>
      <w:r>
        <w:t xml:space="preserve">APVMA’s 2015-16 Annual Report outlined the income and expenditure of the Authority for that year, as shown in </w:t>
      </w:r>
      <w:r>
        <w:fldChar w:fldCharType="begin"/>
      </w:r>
      <w:r>
        <w:instrText xml:space="preserve"> REF _Ref485289261 \h </w:instrText>
      </w:r>
      <w:r>
        <w:fldChar w:fldCharType="separate"/>
      </w:r>
      <w:r w:rsidR="0087688C" w:rsidRPr="00897E60">
        <w:rPr>
          <w:rStyle w:val="CaptionLabel"/>
        </w:rPr>
        <w:t>Figure</w:t>
      </w:r>
      <w:r w:rsidR="0087688C">
        <w:rPr>
          <w:rStyle w:val="CaptionLabel"/>
        </w:rPr>
        <w:t> </w:t>
      </w:r>
      <w:r w:rsidR="0087688C">
        <w:rPr>
          <w:rStyle w:val="CaptionLabel"/>
          <w:noProof/>
        </w:rPr>
        <w:t>5</w:t>
      </w:r>
      <w:r w:rsidR="0087688C">
        <w:rPr>
          <w:rStyle w:val="CaptionLabel"/>
        </w:rPr>
        <w:t>.</w:t>
      </w:r>
      <w:r w:rsidR="0087688C">
        <w:rPr>
          <w:rStyle w:val="CaptionLabel"/>
          <w:noProof/>
        </w:rPr>
        <w:t>1</w:t>
      </w:r>
      <w:r>
        <w:fldChar w:fldCharType="end"/>
      </w:r>
      <w:r>
        <w:t>.</w:t>
      </w:r>
    </w:p>
    <w:p w:rsidR="00E2773D" w:rsidRDefault="00E2773D" w:rsidP="00E2773D">
      <w:pPr>
        <w:pStyle w:val="BodyText"/>
      </w:pPr>
      <w:r>
        <w:t>The APVMA received income of $30</w:t>
      </w:r>
      <w:r w:rsidR="00354783">
        <w:t>.6 million</w:t>
      </w:r>
      <w:r>
        <w:t xml:space="preserve"> and incurred expenditure of $33</w:t>
      </w:r>
      <w:r w:rsidR="00354783">
        <w:t>.9 million</w:t>
      </w:r>
      <w:r>
        <w:t xml:space="preserve"> in 2015-16, resulting in a net operating deficit of $3.2 million. </w:t>
      </w:r>
    </w:p>
    <w:p w:rsidR="0020373C" w:rsidRDefault="0020373C" w:rsidP="0020373C">
      <w:pPr>
        <w:pStyle w:val="Heading3"/>
      </w:pPr>
      <w:r>
        <w:t>Calculation and allocation of costs by the APVMA</w:t>
      </w:r>
    </w:p>
    <w:p w:rsidR="0020373C" w:rsidRDefault="0020373C" w:rsidP="0020373C">
      <w:pPr>
        <w:pStyle w:val="BodyText"/>
      </w:pPr>
      <w:r>
        <w:t xml:space="preserve">As noted above, the APVMA’s regulatory operations are funded on a cost recovery basis. Apart from charges on registration applications, annual fee and a levy-based on product sales, </w:t>
      </w:r>
      <w:r w:rsidR="00323591">
        <w:t xml:space="preserve">the </w:t>
      </w:r>
      <w:r>
        <w:t>APVMA also charges a number of minor fees.</w:t>
      </w:r>
    </w:p>
    <w:p w:rsidR="0020373C" w:rsidRDefault="0020373C" w:rsidP="0020373C">
      <w:pPr>
        <w:pStyle w:val="Heading4"/>
      </w:pPr>
      <w:r>
        <w:t>Annual fee</w:t>
      </w:r>
    </w:p>
    <w:p w:rsidR="0020373C" w:rsidRDefault="0020373C" w:rsidP="0020373C">
      <w:pPr>
        <w:pStyle w:val="BodyText"/>
      </w:pPr>
      <w:r>
        <w:t>An annual fee of $430 per product serves to maintain each product’s registration for a financial year. The fee is paid in advance and applies to all registered products regardless of sales.</w:t>
      </w:r>
    </w:p>
    <w:tbl>
      <w:tblPr>
        <w:tblW w:w="10994" w:type="dxa"/>
        <w:tblInd w:w="-2814" w:type="dxa"/>
        <w:tblLayout w:type="fixed"/>
        <w:tblCellMar>
          <w:left w:w="0" w:type="dxa"/>
          <w:right w:w="0" w:type="dxa"/>
        </w:tblCellMar>
        <w:tblLook w:val="04A0" w:firstRow="1" w:lastRow="0" w:firstColumn="1" w:lastColumn="0" w:noHBand="0" w:noVBand="1"/>
        <w:tblDescription w:val="fig_std"/>
      </w:tblPr>
      <w:tblGrid>
        <w:gridCol w:w="5497"/>
        <w:gridCol w:w="5497"/>
      </w:tblGrid>
      <w:tr w:rsidR="00E86A68" w:rsidRPr="00AA4DEE" w:rsidTr="00401D90">
        <w:trPr>
          <w:cantSplit/>
          <w:trHeight w:hRule="exact" w:val="160"/>
        </w:trPr>
        <w:tc>
          <w:tcPr>
            <w:tcW w:w="10994" w:type="dxa"/>
            <w:gridSpan w:val="2"/>
            <w:tcBorders>
              <w:bottom w:val="single" w:sz="4" w:space="0" w:color="auto"/>
            </w:tcBorders>
            <w:shd w:val="clear" w:color="auto" w:fill="auto"/>
          </w:tcPr>
          <w:p w:rsidR="007C6343" w:rsidRPr="00AA4DEE" w:rsidRDefault="007C6343" w:rsidP="001D7F42">
            <w:pPr>
              <w:pStyle w:val="spacer"/>
            </w:pPr>
          </w:p>
        </w:tc>
      </w:tr>
      <w:tr w:rsidR="00E86A68" w:rsidRPr="00897E60" w:rsidTr="00401D90">
        <w:trPr>
          <w:cantSplit/>
        </w:trPr>
        <w:tc>
          <w:tcPr>
            <w:tcW w:w="10994" w:type="dxa"/>
            <w:gridSpan w:val="2"/>
            <w:tcBorders>
              <w:top w:val="single" w:sz="4" w:space="0" w:color="auto"/>
            </w:tcBorders>
            <w:shd w:val="clear" w:color="auto" w:fill="auto"/>
            <w:tcMar>
              <w:left w:w="0" w:type="dxa"/>
            </w:tcMar>
          </w:tcPr>
          <w:p w:rsidR="007C6343" w:rsidRPr="00897E60" w:rsidRDefault="007C6343" w:rsidP="00A95734">
            <w:pPr>
              <w:pStyle w:val="Caption"/>
            </w:pPr>
            <w:bookmarkStart w:id="130" w:name="_Ref485289261"/>
            <w:bookmarkStart w:id="131" w:name="_Toc497298099"/>
            <w:r w:rsidRPr="00897E60">
              <w:rPr>
                <w:rStyle w:val="CaptionLabel"/>
              </w:rPr>
              <w:t>Figure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5</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Figure \* ARABIC \s 1 </w:instrText>
            </w:r>
            <w:r w:rsidR="004B55F4">
              <w:rPr>
                <w:rStyle w:val="CaptionLabel"/>
              </w:rPr>
              <w:fldChar w:fldCharType="separate"/>
            </w:r>
            <w:r w:rsidR="0087688C">
              <w:rPr>
                <w:rStyle w:val="CaptionLabel"/>
                <w:noProof/>
              </w:rPr>
              <w:t>1</w:t>
            </w:r>
            <w:r w:rsidR="004B55F4">
              <w:rPr>
                <w:rStyle w:val="CaptionLabel"/>
              </w:rPr>
              <w:fldChar w:fldCharType="end"/>
            </w:r>
            <w:bookmarkEnd w:id="130"/>
            <w:r>
              <w:tab/>
              <w:t>Sources of APVMA income and expenditure</w:t>
            </w:r>
            <w:r w:rsidR="00A95734">
              <w:t>,</w:t>
            </w:r>
            <w:r>
              <w:t xml:space="preserve"> 2015-16</w:t>
            </w:r>
            <w:bookmarkEnd w:id="131"/>
          </w:p>
        </w:tc>
      </w:tr>
      <w:tr w:rsidR="007C6343" w:rsidRPr="00AA4DEE" w:rsidTr="00580CF7">
        <w:trPr>
          <w:cantSplit/>
          <w:trHeight w:hRule="exact" w:val="380"/>
        </w:trPr>
        <w:tc>
          <w:tcPr>
            <w:tcW w:w="10994" w:type="dxa"/>
            <w:gridSpan w:val="2"/>
            <w:tcBorders>
              <w:bottom w:val="single" w:sz="4" w:space="0" w:color="auto"/>
            </w:tcBorders>
            <w:shd w:val="clear" w:color="auto" w:fill="auto"/>
          </w:tcPr>
          <w:p w:rsidR="007C6343" w:rsidRPr="00AA4DEE" w:rsidRDefault="00B326D2" w:rsidP="001D7F42">
            <w:pPr>
              <w:pStyle w:val="spacer"/>
            </w:pPr>
            <w:r>
              <w:rPr>
                <w:noProof/>
                <w:lang w:eastAsia="en-AU"/>
              </w:rPr>
              <mc:AlternateContent>
                <mc:Choice Requires="wps">
                  <w:drawing>
                    <wp:anchor distT="0" distB="0" distL="114300" distR="114300" simplePos="0" relativeHeight="252016640" behindDoc="0" locked="1" layoutInCell="1" allowOverlap="1" wp14:anchorId="1C5AB625" wp14:editId="5F0A7019">
                      <wp:simplePos x="0" y="0"/>
                      <wp:positionH relativeFrom="page">
                        <wp:posOffset>6329045</wp:posOffset>
                      </wp:positionH>
                      <wp:positionV relativeFrom="paragraph">
                        <wp:posOffset>-14605</wp:posOffset>
                      </wp:positionV>
                      <wp:extent cx="435600" cy="212400"/>
                      <wp:effectExtent l="0" t="0" r="3175" b="0"/>
                      <wp:wrapNone/>
                      <wp:docPr id="10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AF73FA" id="Freeform 5" o:spid="_x0000_s1026" style="position:absolute;margin-left:498.35pt;margin-top:-1.15pt;width:34.3pt;height:16.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" path="m822,r,828l,828,822,xm863,828r823,l1686,,863,828xe" fillcolor="#9d57a6" stroked="f">
                      <v:path arrowok="t" o:connecttype="custom" o:connectlocs="212374,0;212374,212400;0,212400;212374,0;222967,212400;435600,212400;435600,0;222967,212400" o:connectangles="0,0,0,0,0,0,0,0"/>
                      <o:lock v:ext="edit" aspectratio="t" verticies="t"/>
                      <w10:wrap anchorx="page"/>
                      <w10:anchorlock/>
                    </v:shape>
                  </w:pict>
                </mc:Fallback>
              </mc:AlternateContent>
            </w:r>
          </w:p>
        </w:tc>
      </w:tr>
      <w:tr w:rsidR="00E86A68" w:rsidRPr="007C6343" w:rsidTr="00401D90">
        <w:trPr>
          <w:cantSplit/>
        </w:trPr>
        <w:tc>
          <w:tcPr>
            <w:tcW w:w="5497" w:type="dxa"/>
            <w:tcBorders>
              <w:top w:val="single" w:sz="4" w:space="0" w:color="auto"/>
              <w:bottom w:val="single" w:sz="4" w:space="0" w:color="auto"/>
            </w:tcBorders>
            <w:shd w:val="clear" w:color="auto" w:fill="DDDDDD"/>
            <w:tcMar>
              <w:top w:w="10" w:type="dxa"/>
              <w:bottom w:w="10" w:type="dxa"/>
              <w:right w:w="0" w:type="dxa"/>
            </w:tcMar>
          </w:tcPr>
          <w:p w:rsidR="007C6343" w:rsidRPr="007C6343" w:rsidRDefault="007C6343" w:rsidP="001D7F42">
            <w:pPr>
              <w:pStyle w:val="Figure"/>
              <w:rPr>
                <w:sz w:val="20"/>
                <w:szCs w:val="20"/>
              </w:rPr>
            </w:pPr>
            <w:r w:rsidRPr="007C6343">
              <w:rPr>
                <w:sz w:val="20"/>
                <w:szCs w:val="20"/>
              </w:rPr>
              <w:t>Income sources</w:t>
            </w:r>
          </w:p>
        </w:tc>
        <w:tc>
          <w:tcPr>
            <w:tcW w:w="5497" w:type="dxa"/>
            <w:tcBorders>
              <w:top w:val="single" w:sz="4" w:space="0" w:color="auto"/>
              <w:bottom w:val="single" w:sz="4" w:space="0" w:color="auto"/>
            </w:tcBorders>
            <w:shd w:val="clear" w:color="auto" w:fill="DDDDDD"/>
          </w:tcPr>
          <w:p w:rsidR="007C6343" w:rsidRPr="007C6343" w:rsidRDefault="007C6343" w:rsidP="001D7F42">
            <w:pPr>
              <w:pStyle w:val="Figure"/>
              <w:rPr>
                <w:sz w:val="20"/>
                <w:szCs w:val="20"/>
              </w:rPr>
            </w:pPr>
            <w:r w:rsidRPr="007C6343">
              <w:rPr>
                <w:sz w:val="20"/>
                <w:szCs w:val="20"/>
              </w:rPr>
              <w:t>Expenditure</w:t>
            </w:r>
          </w:p>
        </w:tc>
      </w:tr>
      <w:tr w:rsidR="007C6343" w:rsidRPr="00AA4DEE" w:rsidTr="00580CF7">
        <w:trPr>
          <w:cantSplit/>
        </w:trPr>
        <w:tc>
          <w:tcPr>
            <w:tcW w:w="5497" w:type="dxa"/>
            <w:tcBorders>
              <w:top w:val="single" w:sz="4" w:space="0" w:color="auto"/>
              <w:bottom w:val="single" w:sz="4" w:space="0" w:color="auto"/>
            </w:tcBorders>
            <w:shd w:val="clear" w:color="auto" w:fill="auto"/>
          </w:tcPr>
          <w:p w:rsidR="007C6343" w:rsidRPr="00AA4DEE" w:rsidRDefault="005D2E61" w:rsidP="001D7F42">
            <w:pPr>
              <w:pStyle w:val="Figure"/>
              <w:rPr>
                <w:noProof/>
                <w:lang w:val="en-US"/>
              </w:rPr>
            </w:pPr>
            <w:r w:rsidRPr="005D2E61">
              <w:rPr>
                <w:noProof/>
                <w:lang w:eastAsia="en-AU"/>
              </w:rPr>
              <w:drawing>
                <wp:inline distT="0" distB="0" distL="0" distR="0">
                  <wp:extent cx="3484245" cy="2092325"/>
                  <wp:effectExtent l="0" t="0" r="1905" b="317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84245" cy="2092325"/>
                          </a:xfrm>
                          <a:prstGeom prst="rect">
                            <a:avLst/>
                          </a:prstGeom>
                          <a:noFill/>
                          <a:ln>
                            <a:noFill/>
                          </a:ln>
                        </pic:spPr>
                      </pic:pic>
                    </a:graphicData>
                  </a:graphic>
                </wp:inline>
              </w:drawing>
            </w:r>
          </w:p>
        </w:tc>
        <w:tc>
          <w:tcPr>
            <w:tcW w:w="5497" w:type="dxa"/>
            <w:tcBorders>
              <w:top w:val="single" w:sz="4" w:space="0" w:color="auto"/>
              <w:bottom w:val="single" w:sz="4" w:space="0" w:color="auto"/>
            </w:tcBorders>
            <w:shd w:val="clear" w:color="auto" w:fill="auto"/>
          </w:tcPr>
          <w:p w:rsidR="007C6343" w:rsidRPr="006C4D8C" w:rsidRDefault="00FC3AD6" w:rsidP="001D7F42">
            <w:pPr>
              <w:pStyle w:val="Figure"/>
              <w:rPr>
                <w:noProof/>
                <w:sz w:val="20"/>
                <w:szCs w:val="20"/>
                <w:lang w:val="en-US"/>
              </w:rPr>
            </w:pPr>
            <w:r w:rsidRPr="00FC3AD6">
              <w:rPr>
                <w:noProof/>
                <w:sz w:val="20"/>
                <w:szCs w:val="20"/>
                <w:lang w:eastAsia="en-AU"/>
              </w:rPr>
              <w:drawing>
                <wp:inline distT="0" distB="0" distL="0" distR="0">
                  <wp:extent cx="3656931" cy="2022475"/>
                  <wp:effectExtent l="0" t="0" r="127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61063" cy="2024760"/>
                          </a:xfrm>
                          <a:prstGeom prst="rect">
                            <a:avLst/>
                          </a:prstGeom>
                          <a:noFill/>
                          <a:ln>
                            <a:noFill/>
                          </a:ln>
                        </pic:spPr>
                      </pic:pic>
                    </a:graphicData>
                  </a:graphic>
                </wp:inline>
              </w:drawing>
            </w:r>
          </w:p>
        </w:tc>
      </w:tr>
      <w:tr w:rsidR="00E86A68" w:rsidRPr="00AA4DEE" w:rsidTr="00401D90">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rsidR="007C6343" w:rsidRPr="00AA4DEE" w:rsidRDefault="007C6343" w:rsidP="001D7F42">
            <w:pPr>
              <w:pStyle w:val="Source"/>
            </w:pPr>
            <w:r w:rsidRPr="00AA4DEE">
              <w:t xml:space="preserve">Source: </w:t>
            </w:r>
            <w:r>
              <w:t>APVMA, 2015-16 Annual Report</w:t>
            </w:r>
          </w:p>
        </w:tc>
      </w:tr>
      <w:tr w:rsidR="00E86A68" w:rsidTr="00401D90">
        <w:trPr>
          <w:trHeight w:hRule="exact" w:val="160"/>
        </w:trPr>
        <w:tc>
          <w:tcPr>
            <w:tcW w:w="10994" w:type="dxa"/>
            <w:gridSpan w:val="2"/>
            <w:tcBorders>
              <w:top w:val="single" w:sz="4" w:space="0" w:color="auto"/>
            </w:tcBorders>
            <w:shd w:val="clear" w:color="auto" w:fill="auto"/>
          </w:tcPr>
          <w:p w:rsidR="007C6343" w:rsidRDefault="007C6343" w:rsidP="001D7F42">
            <w:pPr>
              <w:pStyle w:val="spacertbl"/>
            </w:pPr>
          </w:p>
        </w:tc>
      </w:tr>
    </w:tbl>
    <w:p w:rsidR="00A34E31" w:rsidRDefault="00A34E31" w:rsidP="00A34E31">
      <w:pPr>
        <w:pStyle w:val="Heading4"/>
      </w:pPr>
      <w:r>
        <w:t>Levy</w:t>
      </w:r>
    </w:p>
    <w:p w:rsidR="00354783" w:rsidRDefault="00354783" w:rsidP="00354783">
      <w:pPr>
        <w:pStyle w:val="BodyText"/>
      </w:pPr>
      <w:r>
        <w:t xml:space="preserve">The APVMA is predominately funded by a levy on the sales of agvet products (see </w:t>
      </w:r>
      <w:r>
        <w:fldChar w:fldCharType="begin"/>
      </w:r>
      <w:r>
        <w:instrText xml:space="preserve"> REF _Ref485289261 \h </w:instrText>
      </w:r>
      <w:r>
        <w:fldChar w:fldCharType="separate"/>
      </w:r>
      <w:r w:rsidR="0087688C" w:rsidRPr="00897E60">
        <w:rPr>
          <w:rStyle w:val="CaptionLabel"/>
        </w:rPr>
        <w:t>Figure</w:t>
      </w:r>
      <w:r w:rsidR="0087688C">
        <w:rPr>
          <w:rStyle w:val="CaptionLabel"/>
        </w:rPr>
        <w:t> </w:t>
      </w:r>
      <w:r w:rsidR="0087688C">
        <w:rPr>
          <w:rStyle w:val="CaptionLabel"/>
          <w:noProof/>
        </w:rPr>
        <w:t>5</w:t>
      </w:r>
      <w:r w:rsidR="0087688C">
        <w:rPr>
          <w:rStyle w:val="CaptionLabel"/>
        </w:rPr>
        <w:t>.</w:t>
      </w:r>
      <w:r w:rsidR="0087688C">
        <w:rPr>
          <w:rStyle w:val="CaptionLabel"/>
          <w:noProof/>
        </w:rPr>
        <w:t>1</w:t>
      </w:r>
      <w:r>
        <w:fldChar w:fldCharType="end"/>
      </w:r>
      <w:r>
        <w:t xml:space="preserve">). </w:t>
      </w:r>
    </w:p>
    <w:p w:rsidR="00A34E31" w:rsidRDefault="00A34E31" w:rsidP="00903A8B">
      <w:pPr>
        <w:pStyle w:val="BodyText"/>
      </w:pPr>
      <w:r>
        <w:t>By 31 October each year registrants are required to declare the value of sales for the previous financial year. Lev</w:t>
      </w:r>
      <w:r w:rsidR="007850CE">
        <w:t xml:space="preserve">ies are </w:t>
      </w:r>
      <w:r>
        <w:t>calculated on a tier scale</w:t>
      </w:r>
      <w:r w:rsidR="007850CE">
        <w:t xml:space="preserve"> and ap</w:t>
      </w:r>
      <w:r>
        <w:t>pl</w:t>
      </w:r>
      <w:r w:rsidR="007850CE">
        <w:t>y</w:t>
      </w:r>
      <w:r>
        <w:t xml:space="preserve"> </w:t>
      </w:r>
      <w:r w:rsidR="007850CE">
        <w:t xml:space="preserve">to both </w:t>
      </w:r>
      <w:r>
        <w:t>import</w:t>
      </w:r>
      <w:r w:rsidR="007850CE">
        <w:t xml:space="preserve">ers and </w:t>
      </w:r>
      <w:r>
        <w:t>manufactur</w:t>
      </w:r>
      <w:r w:rsidR="007850CE">
        <w:t>ers of</w:t>
      </w:r>
      <w:r>
        <w:t xml:space="preserve"> relevant chemicals. Payments have to be made on </w:t>
      </w:r>
      <w:r w:rsidR="00323591">
        <w:t xml:space="preserve">a </w:t>
      </w:r>
      <w:r>
        <w:t xml:space="preserve">yearly basis. Current levy tiers are provided in </w:t>
      </w:r>
      <w:r>
        <w:fldChar w:fldCharType="begin"/>
      </w:r>
      <w:r>
        <w:instrText xml:space="preserve"> REF _Ref485291204 \h </w:instrText>
      </w:r>
      <w:r>
        <w:fldChar w:fldCharType="separate"/>
      </w:r>
      <w:r w:rsidR="0087688C" w:rsidRPr="00FC29C8">
        <w:rPr>
          <w:rStyle w:val="CaptionLabel"/>
        </w:rPr>
        <w:t>Table</w:t>
      </w:r>
      <w:r w:rsidR="0087688C">
        <w:rPr>
          <w:rStyle w:val="CaptionLabel"/>
        </w:rPr>
        <w:t> </w:t>
      </w:r>
      <w:r w:rsidR="0087688C">
        <w:rPr>
          <w:rStyle w:val="CaptionLabel"/>
          <w:noProof/>
        </w:rPr>
        <w:t>5</w:t>
      </w:r>
      <w:r w:rsidR="0087688C">
        <w:rPr>
          <w:rStyle w:val="CaptionLabel"/>
        </w:rPr>
        <w:t>.</w:t>
      </w:r>
      <w:r w:rsidR="0087688C">
        <w:rPr>
          <w:rStyle w:val="CaptionLabel"/>
          <w:noProof/>
        </w:rPr>
        <w:t>2</w:t>
      </w:r>
      <w:r>
        <w:fldChar w:fldCharType="end"/>
      </w:r>
      <w:r>
        <w:t>.</w:t>
      </w:r>
    </w:p>
    <w:p w:rsidR="00A34E31" w:rsidRDefault="00A34E31" w:rsidP="00A34E31">
      <w:pPr>
        <w:pStyle w:val="Caption"/>
        <w:spacing w:before="160"/>
      </w:pPr>
      <w:bookmarkStart w:id="132" w:name="_Ref485291204"/>
      <w:bookmarkStart w:id="133" w:name="_Toc497132813"/>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5</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2</w:t>
      </w:r>
      <w:r w:rsidR="004B55F4">
        <w:rPr>
          <w:rStyle w:val="CaptionLabel"/>
        </w:rPr>
        <w:fldChar w:fldCharType="end"/>
      </w:r>
      <w:bookmarkEnd w:id="132"/>
      <w:r>
        <w:tab/>
      </w:r>
      <w:r w:rsidR="00D210AD">
        <w:t xml:space="preserve">Australian </w:t>
      </w:r>
      <w:r>
        <w:t>Levy rates</w:t>
      </w:r>
      <w:r w:rsidR="00354783">
        <w:t xml:space="preserve"> by Tier</w:t>
      </w:r>
      <w:bookmarkEnd w:id="133"/>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4"/>
        <w:gridCol w:w="3545"/>
        <w:gridCol w:w="1900"/>
        <w:gridCol w:w="2723"/>
      </w:tblGrid>
      <w:tr w:rsidR="00E86A68" w:rsidTr="003E64A3">
        <w:trPr>
          <w:cantSplit/>
          <w:tblHeader/>
        </w:trPr>
        <w:tc>
          <w:tcPr>
            <w:tcW w:w="2319" w:type="pct"/>
            <w:gridSpan w:val="2"/>
            <w:shd w:val="clear" w:color="auto" w:fill="9D57A6"/>
            <w:tcMar>
              <w:left w:w="454" w:type="dxa"/>
              <w:bottom w:w="0" w:type="dxa"/>
            </w:tcMar>
          </w:tcPr>
          <w:p w:rsidR="00A34E31" w:rsidRDefault="00354783" w:rsidP="00A34E31">
            <w:pPr>
              <w:pStyle w:val="Tablecolumnheadings"/>
            </w:pPr>
            <w:r>
              <w:t>Levy paid in</w:t>
            </w:r>
          </w:p>
        </w:tc>
        <w:tc>
          <w:tcPr>
            <w:tcW w:w="1102" w:type="pct"/>
            <w:shd w:val="clear" w:color="auto" w:fill="9D57A6"/>
            <w:tcMar>
              <w:bottom w:w="0" w:type="dxa"/>
            </w:tcMar>
          </w:tcPr>
          <w:p w:rsidR="00A34E31" w:rsidRDefault="00354783" w:rsidP="00A34E31">
            <w:pPr>
              <w:pStyle w:val="Tablecolumnheadings"/>
            </w:pPr>
            <w:r>
              <w:t>2013-14</w:t>
            </w:r>
          </w:p>
        </w:tc>
        <w:tc>
          <w:tcPr>
            <w:tcW w:w="1579" w:type="pct"/>
            <w:shd w:val="clear" w:color="auto" w:fill="9D57A6"/>
            <w:tcMar>
              <w:bottom w:w="0" w:type="dxa"/>
            </w:tcMar>
          </w:tcPr>
          <w:p w:rsidR="00A34E31" w:rsidRDefault="00354783" w:rsidP="00A34E31">
            <w:pPr>
              <w:pStyle w:val="Tablecolumnheadings"/>
            </w:pPr>
            <w:r>
              <w:t>2014-15</w:t>
            </w:r>
          </w:p>
        </w:tc>
      </w:tr>
      <w:tr w:rsidR="00E86A68" w:rsidTr="00354783">
        <w:tblPrEx>
          <w:tblBorders>
            <w:bottom w:val="single" w:sz="4" w:space="0" w:color="646464"/>
            <w:insideH w:val="single" w:sz="4" w:space="0" w:color="646464"/>
          </w:tblBorders>
        </w:tblPrEx>
        <w:trPr>
          <w:gridBefore w:val="1"/>
          <w:wBefore w:w="263" w:type="pct"/>
          <w:cantSplit/>
        </w:trPr>
        <w:tc>
          <w:tcPr>
            <w:tcW w:w="2056" w:type="pct"/>
            <w:tcBorders>
              <w:top w:val="single" w:sz="4" w:space="0" w:color="646464"/>
            </w:tcBorders>
            <w:shd w:val="clear" w:color="auto" w:fill="DDDDDD"/>
          </w:tcPr>
          <w:p w:rsidR="00A34E31" w:rsidRDefault="00A34E31" w:rsidP="00A34E31">
            <w:pPr>
              <w:pStyle w:val="Tabletext"/>
            </w:pPr>
          </w:p>
        </w:tc>
        <w:tc>
          <w:tcPr>
            <w:tcW w:w="1102" w:type="pct"/>
            <w:tcBorders>
              <w:top w:val="single" w:sz="4" w:space="0" w:color="646464"/>
            </w:tcBorders>
            <w:shd w:val="clear" w:color="auto" w:fill="DDDDDD"/>
          </w:tcPr>
          <w:p w:rsidR="00A34E31" w:rsidRDefault="00354783" w:rsidP="00A34E31">
            <w:pPr>
              <w:pStyle w:val="Tabletext"/>
            </w:pPr>
            <w:r>
              <w:t>Per cent</w:t>
            </w:r>
          </w:p>
        </w:tc>
        <w:tc>
          <w:tcPr>
            <w:tcW w:w="1579" w:type="pct"/>
            <w:tcBorders>
              <w:top w:val="single" w:sz="4" w:space="0" w:color="646464"/>
            </w:tcBorders>
            <w:shd w:val="clear" w:color="auto" w:fill="DDDDDD"/>
          </w:tcPr>
          <w:p w:rsidR="00A34E31" w:rsidRDefault="00354783" w:rsidP="00A34E31">
            <w:pPr>
              <w:pStyle w:val="Tabletext"/>
            </w:pPr>
            <w:r>
              <w:t>Per cent</w:t>
            </w:r>
          </w:p>
        </w:tc>
      </w:tr>
      <w:tr w:rsidR="00E86A68" w:rsidTr="00A34E31">
        <w:tblPrEx>
          <w:tblBorders>
            <w:bottom w:val="single" w:sz="4" w:space="0" w:color="646464"/>
            <w:insideH w:val="single" w:sz="4" w:space="0" w:color="646464"/>
          </w:tblBorders>
        </w:tblPrEx>
        <w:trPr>
          <w:gridBefore w:val="1"/>
          <w:wBefore w:w="263" w:type="pct"/>
          <w:cantSplit/>
        </w:trPr>
        <w:tc>
          <w:tcPr>
            <w:tcW w:w="2056" w:type="pct"/>
            <w:shd w:val="clear" w:color="auto" w:fill="auto"/>
          </w:tcPr>
          <w:p w:rsidR="00354783" w:rsidRDefault="00354783" w:rsidP="00354783">
            <w:pPr>
              <w:pStyle w:val="Tabletext"/>
            </w:pPr>
            <w:r>
              <w:t>Tier 1: sales up to $1 million</w:t>
            </w:r>
          </w:p>
        </w:tc>
        <w:tc>
          <w:tcPr>
            <w:tcW w:w="1102" w:type="pct"/>
            <w:shd w:val="clear" w:color="auto" w:fill="auto"/>
          </w:tcPr>
          <w:p w:rsidR="00354783" w:rsidRDefault="00354783" w:rsidP="00354783">
            <w:pPr>
              <w:pStyle w:val="Tabletext"/>
            </w:pPr>
            <w:r>
              <w:t>0.70</w:t>
            </w:r>
          </w:p>
        </w:tc>
        <w:tc>
          <w:tcPr>
            <w:tcW w:w="1579" w:type="pct"/>
            <w:shd w:val="clear" w:color="auto" w:fill="auto"/>
          </w:tcPr>
          <w:p w:rsidR="00354783" w:rsidRDefault="00354783" w:rsidP="00354783">
            <w:pPr>
              <w:pStyle w:val="Tabletext"/>
            </w:pPr>
            <w:r>
              <w:t>0.63</w:t>
            </w:r>
          </w:p>
        </w:tc>
      </w:tr>
      <w:tr w:rsidR="00E86A68" w:rsidTr="00A34E31">
        <w:tblPrEx>
          <w:tblBorders>
            <w:bottom w:val="single" w:sz="4" w:space="0" w:color="646464"/>
            <w:insideH w:val="single" w:sz="4" w:space="0" w:color="646464"/>
          </w:tblBorders>
        </w:tblPrEx>
        <w:trPr>
          <w:gridBefore w:val="1"/>
          <w:wBefore w:w="263" w:type="pct"/>
          <w:cantSplit/>
        </w:trPr>
        <w:tc>
          <w:tcPr>
            <w:tcW w:w="2056" w:type="pct"/>
            <w:shd w:val="clear" w:color="auto" w:fill="auto"/>
          </w:tcPr>
          <w:p w:rsidR="00354783" w:rsidRDefault="00354783" w:rsidP="00354783">
            <w:pPr>
              <w:pStyle w:val="Tabletext"/>
            </w:pPr>
            <w:r>
              <w:t>Tier 2: sales between $1 million and $5 million</w:t>
            </w:r>
          </w:p>
        </w:tc>
        <w:tc>
          <w:tcPr>
            <w:tcW w:w="1102" w:type="pct"/>
            <w:shd w:val="clear" w:color="auto" w:fill="auto"/>
          </w:tcPr>
          <w:p w:rsidR="00354783" w:rsidRDefault="00354783" w:rsidP="00354783">
            <w:pPr>
              <w:pStyle w:val="Tabletext"/>
            </w:pPr>
            <w:r>
              <w:t>0.40</w:t>
            </w:r>
          </w:p>
        </w:tc>
        <w:tc>
          <w:tcPr>
            <w:tcW w:w="1579" w:type="pct"/>
            <w:shd w:val="clear" w:color="auto" w:fill="auto"/>
          </w:tcPr>
          <w:p w:rsidR="00354783" w:rsidRDefault="00354783" w:rsidP="00354783">
            <w:pPr>
              <w:pStyle w:val="Tabletext"/>
            </w:pPr>
            <w:r>
              <w:t>0.35</w:t>
            </w:r>
          </w:p>
        </w:tc>
      </w:tr>
      <w:tr w:rsidR="00E86A68" w:rsidTr="00A34E31">
        <w:tblPrEx>
          <w:tblBorders>
            <w:bottom w:val="single" w:sz="4" w:space="0" w:color="646464"/>
            <w:insideH w:val="single" w:sz="4" w:space="0" w:color="646464"/>
          </w:tblBorders>
        </w:tblPrEx>
        <w:trPr>
          <w:gridBefore w:val="1"/>
          <w:wBefore w:w="263" w:type="pct"/>
          <w:cantSplit/>
        </w:trPr>
        <w:tc>
          <w:tcPr>
            <w:tcW w:w="2056" w:type="pct"/>
            <w:shd w:val="clear" w:color="auto" w:fill="auto"/>
          </w:tcPr>
          <w:p w:rsidR="00354783" w:rsidRDefault="00354783" w:rsidP="00354783">
            <w:pPr>
              <w:pStyle w:val="Tabletext"/>
            </w:pPr>
            <w:r>
              <w:t>Tier 3: sales over $5 million</w:t>
            </w:r>
          </w:p>
        </w:tc>
        <w:tc>
          <w:tcPr>
            <w:tcW w:w="1102" w:type="pct"/>
            <w:shd w:val="clear" w:color="auto" w:fill="auto"/>
          </w:tcPr>
          <w:p w:rsidR="00354783" w:rsidRDefault="00354783" w:rsidP="00354783">
            <w:pPr>
              <w:pStyle w:val="Tabletext"/>
            </w:pPr>
            <w:r>
              <w:t>0.28</w:t>
            </w:r>
          </w:p>
        </w:tc>
        <w:tc>
          <w:tcPr>
            <w:tcW w:w="1579" w:type="pct"/>
            <w:shd w:val="clear" w:color="auto" w:fill="auto"/>
          </w:tcPr>
          <w:p w:rsidR="00354783" w:rsidRDefault="00354783" w:rsidP="00354783">
            <w:pPr>
              <w:pStyle w:val="Tabletext"/>
            </w:pPr>
            <w:r>
              <w:t>0.25</w:t>
            </w:r>
          </w:p>
        </w:tc>
      </w:tr>
      <w:tr w:rsidR="00E86A68" w:rsidTr="00A34E31">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354783" w:rsidRDefault="00354783" w:rsidP="00354783">
            <w:pPr>
              <w:pStyle w:val="Source"/>
            </w:pPr>
            <w:r>
              <w:t>Note: Levies are paid on the basis of sales in the previous year.</w:t>
            </w:r>
            <w:r>
              <w:br/>
              <w:t xml:space="preserve">Source: APVMA, </w:t>
            </w:r>
            <w:hyperlink r:id="rId78" w:history="1">
              <w:r w:rsidR="008109A9" w:rsidRPr="00F90F7E">
                <w:rPr>
                  <w:rStyle w:val="Hyperlink"/>
                  <w:caps w:val="0"/>
                </w:rPr>
                <w:t>HTTP://ARCHIVE.APVMA.GOV.AU/ABOUT/WORK/BETTER_REGULATION/DOCS/FEES-CHARGES-SLIDES.PDF</w:t>
              </w:r>
            </w:hyperlink>
            <w:r w:rsidR="008109A9">
              <w:rPr>
                <w:caps w:val="0"/>
              </w:rPr>
              <w:t xml:space="preserve"> </w:t>
            </w:r>
            <w:r>
              <w:t>accessed on 24 May 2017</w:t>
            </w:r>
          </w:p>
        </w:tc>
      </w:tr>
      <w:tr w:rsidR="00E86A68" w:rsidTr="00A34E31">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top w:val="single" w:sz="4" w:space="0" w:color="646464"/>
              <w:bottom w:val="nil"/>
            </w:tcBorders>
            <w:shd w:val="clear" w:color="auto" w:fill="auto"/>
          </w:tcPr>
          <w:p w:rsidR="00354783" w:rsidRDefault="00354783" w:rsidP="00354783">
            <w:pPr>
              <w:pStyle w:val="spacertbl"/>
            </w:pPr>
          </w:p>
        </w:tc>
      </w:tr>
    </w:tbl>
    <w:p w:rsidR="00C9693A" w:rsidRDefault="00C9693A" w:rsidP="00903A8B">
      <w:pPr>
        <w:pStyle w:val="BodyText"/>
      </w:pPr>
      <w:r>
        <w:t xml:space="preserve">For products with sales greater than $5 million, </w:t>
      </w:r>
      <w:r w:rsidR="007850CE">
        <w:t>the</w:t>
      </w:r>
      <w:r>
        <w:t xml:space="preserve"> levy rate </w:t>
      </w:r>
      <w:r w:rsidR="007850CE">
        <w:t>is</w:t>
      </w:r>
      <w:r>
        <w:t xml:space="preserve"> 0.63 per cent on the first $1 million in sales, 0.35 per cent on the next $4 million </w:t>
      </w:r>
      <w:r w:rsidR="007850CE">
        <w:t xml:space="preserve">in </w:t>
      </w:r>
      <w:r>
        <w:t xml:space="preserve">sales, </w:t>
      </w:r>
      <w:r w:rsidR="007850CE">
        <w:t>and</w:t>
      </w:r>
      <w:r>
        <w:t xml:space="preserve"> 0.25</w:t>
      </w:r>
      <w:r w:rsidR="00237650">
        <w:t> </w:t>
      </w:r>
      <w:r>
        <w:t>per</w:t>
      </w:r>
      <w:r w:rsidR="00237650">
        <w:t> </w:t>
      </w:r>
      <w:r>
        <w:t>cent on sales above $5 million.</w:t>
      </w:r>
      <w:r w:rsidR="007850CE">
        <w:t xml:space="preserve"> </w:t>
      </w:r>
      <w:r w:rsidR="00512ABB">
        <w:t>In 2008 ACIL Tasman</w:t>
      </w:r>
      <w:r w:rsidR="00D3231D">
        <w:rPr>
          <w:rStyle w:val="FootnoteReference"/>
        </w:rPr>
        <w:footnoteReference w:id="98"/>
      </w:r>
      <w:r w:rsidR="00D3231D">
        <w:t xml:space="preserve"> argued that </w:t>
      </w:r>
      <w:r w:rsidR="00323591">
        <w:t xml:space="preserve">the </w:t>
      </w:r>
      <w:r w:rsidR="00D3231D">
        <w:t xml:space="preserve">tier levy system </w:t>
      </w:r>
      <w:r w:rsidR="00FE0551">
        <w:t>creates</w:t>
      </w:r>
      <w:r w:rsidR="00D3231D">
        <w:t xml:space="preserve"> inefficiencies through cross subsidisation</w:t>
      </w:r>
      <w:r w:rsidR="00FE0551">
        <w:t>,</w:t>
      </w:r>
      <w:r w:rsidR="00D3231D">
        <w:t xml:space="preserve"> and ultimately these inefficiencies </w:t>
      </w:r>
      <w:r w:rsidR="00FE0551">
        <w:t xml:space="preserve">are </w:t>
      </w:r>
      <w:r w:rsidR="00D3231D">
        <w:t>borne by users of agvet chemicals.</w:t>
      </w:r>
    </w:p>
    <w:p w:rsidR="00A34E31" w:rsidRDefault="00E11052" w:rsidP="00E11052">
      <w:pPr>
        <w:pStyle w:val="Heading4"/>
      </w:pPr>
      <w:r>
        <w:t>Permit fees</w:t>
      </w:r>
    </w:p>
    <w:p w:rsidR="00E11052" w:rsidRDefault="001D7F42" w:rsidP="00E11052">
      <w:pPr>
        <w:pStyle w:val="BodyText"/>
      </w:pPr>
      <w:r>
        <w:t xml:space="preserve">A fee of </w:t>
      </w:r>
      <w:r w:rsidR="00073B99">
        <w:t>$</w:t>
      </w:r>
      <w:r>
        <w:t xml:space="preserve">350 must be paid for most permit applications except emergency use permits and some permits where </w:t>
      </w:r>
      <w:r w:rsidR="00323591">
        <w:t xml:space="preserve">a </w:t>
      </w:r>
      <w:r>
        <w:t>government agency is the permit holder.</w:t>
      </w:r>
      <w:r w:rsidR="009A7190">
        <w:t xml:space="preserve"> </w:t>
      </w:r>
      <w:r w:rsidR="007850CE">
        <w:t>Fees for a</w:t>
      </w:r>
      <w:r w:rsidR="008B170F">
        <w:t>pproval</w:t>
      </w:r>
      <w:r w:rsidR="007850CE">
        <w:t>s</w:t>
      </w:r>
      <w:r w:rsidR="008B170F">
        <w:t xml:space="preserve"> of permit</w:t>
      </w:r>
      <w:r w:rsidR="007850CE">
        <w:t>s</w:t>
      </w:r>
      <w:r w:rsidR="008B170F">
        <w:t xml:space="preserve"> or extension</w:t>
      </w:r>
      <w:r w:rsidR="007850CE">
        <w:t>s</w:t>
      </w:r>
      <w:r w:rsidR="008B170F">
        <w:t xml:space="preserve"> of the duration of permit</w:t>
      </w:r>
      <w:r w:rsidR="00404863">
        <w:t>s</w:t>
      </w:r>
      <w:r w:rsidR="008B170F">
        <w:t xml:space="preserve"> made under section 110A or 115(3A) of the </w:t>
      </w:r>
      <w:r w:rsidR="009A7190">
        <w:t>A</w:t>
      </w:r>
      <w:r w:rsidR="008B170F">
        <w:t xml:space="preserve">gvet </w:t>
      </w:r>
      <w:r w:rsidR="00512ABB">
        <w:t>C</w:t>
      </w:r>
      <w:r w:rsidR="008B170F">
        <w:t>ode are provided in Appendix</w:t>
      </w:r>
      <w:r w:rsidR="00AF1B78">
        <w:t> </w:t>
      </w:r>
      <w:r w:rsidR="008B170F">
        <w:t>B.</w:t>
      </w:r>
    </w:p>
    <w:p w:rsidR="009808E4" w:rsidRDefault="009808E4" w:rsidP="009808E4">
      <w:pPr>
        <w:pStyle w:val="Heading2"/>
      </w:pPr>
      <w:bookmarkStart w:id="134" w:name="_Toc497300843"/>
      <w:r>
        <w:t>United Kingdom</w:t>
      </w:r>
      <w:bookmarkEnd w:id="134"/>
    </w:p>
    <w:p w:rsidR="002B44FC" w:rsidRDefault="002B44FC" w:rsidP="002B44FC">
      <w:pPr>
        <w:pStyle w:val="Heading3"/>
      </w:pPr>
      <w:r>
        <w:t>Assessment period for crop protection period</w:t>
      </w:r>
    </w:p>
    <w:p w:rsidR="002B44FC" w:rsidRDefault="002B44FC" w:rsidP="002B44FC">
      <w:pPr>
        <w:pStyle w:val="BodyText"/>
      </w:pPr>
      <w:r>
        <w:t xml:space="preserve">The assessment period for authorisation of plant protection products </w:t>
      </w:r>
      <w:r>
        <w:rPr>
          <w:shd w:val="clear" w:color="auto" w:fill="FFFFFF"/>
        </w:rPr>
        <w:t xml:space="preserve">depends upon the nature of the application and changes. For example, a simple change in product name will take less time than a change in field of use from a professional product to a minor use. The length of time </w:t>
      </w:r>
      <w:r w:rsidR="00DF2455">
        <w:rPr>
          <w:shd w:val="clear" w:color="auto" w:fill="FFFFFF"/>
        </w:rPr>
        <w:t xml:space="preserve">needed </w:t>
      </w:r>
      <w:r>
        <w:rPr>
          <w:shd w:val="clear" w:color="auto" w:fill="FFFFFF"/>
        </w:rPr>
        <w:t xml:space="preserve">to complete an evaluation is very much a case-by-case basis. Some timelines are defined by legislation </w:t>
      </w:r>
      <w:r w:rsidR="00404863">
        <w:rPr>
          <w:shd w:val="clear" w:color="auto" w:fill="FFFFFF"/>
        </w:rPr>
        <w:t xml:space="preserve">and are </w:t>
      </w:r>
      <w:r>
        <w:rPr>
          <w:shd w:val="clear" w:color="auto" w:fill="FFFFFF"/>
        </w:rPr>
        <w:t>similar to th</w:t>
      </w:r>
      <w:r w:rsidR="00404863">
        <w:rPr>
          <w:shd w:val="clear" w:color="auto" w:fill="FFFFFF"/>
        </w:rPr>
        <w:t xml:space="preserve">ose in </w:t>
      </w:r>
      <w:r>
        <w:rPr>
          <w:shd w:val="clear" w:color="auto" w:fill="FFFFFF"/>
        </w:rPr>
        <w:t xml:space="preserve">Australia. Timelines defined in Regulation (EC) No 1107/2009 are provided in </w:t>
      </w:r>
      <w:r w:rsidR="006D2994">
        <w:rPr>
          <w:shd w:val="clear" w:color="auto" w:fill="FFFFFF"/>
        </w:rPr>
        <w:fldChar w:fldCharType="begin"/>
      </w:r>
      <w:r w:rsidR="006D2994">
        <w:rPr>
          <w:shd w:val="clear" w:color="auto" w:fill="FFFFFF"/>
        </w:rPr>
        <w:instrText xml:space="preserve"> REF _Ref485302096 \h </w:instrText>
      </w:r>
      <w:r w:rsidR="006D2994">
        <w:rPr>
          <w:shd w:val="clear" w:color="auto" w:fill="FFFFFF"/>
        </w:rPr>
      </w:r>
      <w:r w:rsidR="006D2994">
        <w:rPr>
          <w:shd w:val="clear" w:color="auto" w:fill="FFFFFF"/>
        </w:rPr>
        <w:fldChar w:fldCharType="separate"/>
      </w:r>
      <w:r w:rsidR="0087688C" w:rsidRPr="00FC29C8">
        <w:rPr>
          <w:rStyle w:val="CaptionLabel"/>
        </w:rPr>
        <w:t>Table</w:t>
      </w:r>
      <w:r w:rsidR="0087688C">
        <w:rPr>
          <w:rStyle w:val="CaptionLabel"/>
        </w:rPr>
        <w:t> </w:t>
      </w:r>
      <w:r w:rsidR="0087688C">
        <w:rPr>
          <w:rStyle w:val="CaptionLabel"/>
          <w:noProof/>
        </w:rPr>
        <w:t>5</w:t>
      </w:r>
      <w:r w:rsidR="0087688C">
        <w:rPr>
          <w:rStyle w:val="CaptionLabel"/>
        </w:rPr>
        <w:t>.</w:t>
      </w:r>
      <w:r w:rsidR="0087688C">
        <w:rPr>
          <w:rStyle w:val="CaptionLabel"/>
          <w:noProof/>
        </w:rPr>
        <w:t>3</w:t>
      </w:r>
      <w:r w:rsidR="006D2994">
        <w:rPr>
          <w:shd w:val="clear" w:color="auto" w:fill="FFFFFF"/>
        </w:rPr>
        <w:fldChar w:fldCharType="end"/>
      </w:r>
      <w:r w:rsidR="00404863">
        <w:rPr>
          <w:shd w:val="clear" w:color="auto" w:fill="FFFFFF"/>
        </w:rPr>
        <w:t xml:space="preserve"> and are </w:t>
      </w:r>
      <w:r w:rsidR="006D2994">
        <w:rPr>
          <w:shd w:val="clear" w:color="auto" w:fill="FFFFFF"/>
        </w:rPr>
        <w:t>generally around 12 months</w:t>
      </w:r>
      <w:r w:rsidR="00404863">
        <w:rPr>
          <w:shd w:val="clear" w:color="auto" w:fill="FFFFFF"/>
        </w:rPr>
        <w:t>.</w:t>
      </w:r>
    </w:p>
    <w:p w:rsidR="002B44FC" w:rsidRDefault="002B44FC" w:rsidP="002B44FC">
      <w:pPr>
        <w:pStyle w:val="Caption"/>
        <w:spacing w:before="160"/>
      </w:pPr>
      <w:bookmarkStart w:id="135" w:name="_Ref485302096"/>
      <w:bookmarkStart w:id="136" w:name="_Toc497132814"/>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5</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3</w:t>
      </w:r>
      <w:r w:rsidR="004B55F4">
        <w:rPr>
          <w:rStyle w:val="CaptionLabel"/>
        </w:rPr>
        <w:fldChar w:fldCharType="end"/>
      </w:r>
      <w:bookmarkEnd w:id="135"/>
      <w:r>
        <w:tab/>
        <w:t xml:space="preserve">Timelines for pesticide registration in </w:t>
      </w:r>
      <w:r w:rsidR="00A95734">
        <w:t xml:space="preserve">the </w:t>
      </w:r>
      <w:r>
        <w:t>UK</w:t>
      </w:r>
      <w:bookmarkEnd w:id="136"/>
    </w:p>
    <w:tbl>
      <w:tblPr>
        <w:tblW w:w="8476"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4"/>
        <w:gridCol w:w="2270"/>
        <w:gridCol w:w="1841"/>
        <w:gridCol w:w="1251"/>
        <w:gridCol w:w="2653"/>
        <w:gridCol w:w="7"/>
      </w:tblGrid>
      <w:tr w:rsidR="00B326D2" w:rsidTr="00B326D2">
        <w:trPr>
          <w:gridAfter w:val="1"/>
          <w:wAfter w:w="4" w:type="pct"/>
          <w:cantSplit/>
          <w:tblHeader/>
        </w:trPr>
        <w:tc>
          <w:tcPr>
            <w:tcW w:w="1607" w:type="pct"/>
            <w:gridSpan w:val="2"/>
            <w:shd w:val="clear" w:color="auto" w:fill="9D57A6"/>
            <w:tcMar>
              <w:left w:w="454" w:type="dxa"/>
              <w:bottom w:w="0" w:type="dxa"/>
            </w:tcMar>
          </w:tcPr>
          <w:p w:rsidR="00B326D2" w:rsidRDefault="00B326D2" w:rsidP="002B44FC">
            <w:pPr>
              <w:pStyle w:val="Tablecolumnheadings"/>
            </w:pPr>
            <w:r>
              <w:t>Evaluation type</w:t>
            </w:r>
          </w:p>
        </w:tc>
        <w:tc>
          <w:tcPr>
            <w:tcW w:w="1086" w:type="pct"/>
            <w:shd w:val="clear" w:color="auto" w:fill="9D57A6"/>
            <w:tcMar>
              <w:bottom w:w="0" w:type="dxa"/>
            </w:tcMar>
          </w:tcPr>
          <w:p w:rsidR="00B326D2" w:rsidRDefault="00B326D2" w:rsidP="002B44FC">
            <w:pPr>
              <w:pStyle w:val="Tablecolumnheadings"/>
            </w:pPr>
            <w:r>
              <w:t>Article number of Regulation 1107/2009</w:t>
            </w:r>
          </w:p>
        </w:tc>
        <w:tc>
          <w:tcPr>
            <w:tcW w:w="738" w:type="pct"/>
            <w:shd w:val="clear" w:color="auto" w:fill="9D57A6"/>
            <w:tcMar>
              <w:bottom w:w="0" w:type="dxa"/>
            </w:tcMar>
          </w:tcPr>
          <w:p w:rsidR="00B326D2" w:rsidRDefault="00B326D2" w:rsidP="002B44FC">
            <w:pPr>
              <w:pStyle w:val="Tablecolumnheadings"/>
            </w:pPr>
            <w:r>
              <w:t>Timeline</w:t>
            </w:r>
          </w:p>
        </w:tc>
        <w:tc>
          <w:tcPr>
            <w:tcW w:w="1565" w:type="pct"/>
            <w:shd w:val="clear" w:color="auto" w:fill="9D57A6"/>
            <w:tcMar>
              <w:bottom w:w="0" w:type="dxa"/>
            </w:tcMar>
          </w:tcPr>
          <w:p w:rsidR="00B326D2" w:rsidRDefault="00B326D2" w:rsidP="002B44FC">
            <w:pPr>
              <w:pStyle w:val="Tablecolumnheadings"/>
            </w:pPr>
            <w:r>
              <w:t>Comment</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tcBorders>
              <w:top w:val="nil"/>
            </w:tcBorders>
            <w:shd w:val="clear" w:color="auto" w:fill="auto"/>
          </w:tcPr>
          <w:p w:rsidR="00B326D2" w:rsidRDefault="00B326D2" w:rsidP="002B44FC">
            <w:pPr>
              <w:pStyle w:val="Tabletext"/>
            </w:pPr>
            <w:r>
              <w:t>Authorisation or amendment of an authorisation</w:t>
            </w:r>
          </w:p>
        </w:tc>
        <w:tc>
          <w:tcPr>
            <w:tcW w:w="1086" w:type="pct"/>
            <w:tcBorders>
              <w:top w:val="nil"/>
            </w:tcBorders>
            <w:shd w:val="clear" w:color="auto" w:fill="auto"/>
          </w:tcPr>
          <w:p w:rsidR="00B326D2" w:rsidRDefault="00B326D2" w:rsidP="00E92FF8">
            <w:pPr>
              <w:pStyle w:val="Tabletext"/>
            </w:pPr>
            <w:r>
              <w:t>33, 34, 51</w:t>
            </w:r>
            <w:r>
              <w:rPr>
                <w:rStyle w:val="Notelabel"/>
              </w:rPr>
              <w:t>a</w:t>
            </w:r>
            <w:r>
              <w:t xml:space="preserve"> and 54</w:t>
            </w:r>
          </w:p>
        </w:tc>
        <w:tc>
          <w:tcPr>
            <w:tcW w:w="738" w:type="pct"/>
            <w:tcBorders>
              <w:top w:val="nil"/>
            </w:tcBorders>
            <w:shd w:val="clear" w:color="auto" w:fill="auto"/>
          </w:tcPr>
          <w:p w:rsidR="00B326D2" w:rsidRDefault="00B326D2" w:rsidP="002B44FC">
            <w:pPr>
              <w:pStyle w:val="Tabletext"/>
            </w:pPr>
            <w:r>
              <w:t>12 months</w:t>
            </w:r>
          </w:p>
        </w:tc>
        <w:tc>
          <w:tcPr>
            <w:tcW w:w="1565" w:type="pct"/>
            <w:tcBorders>
              <w:top w:val="nil"/>
            </w:tcBorders>
            <w:shd w:val="clear" w:color="auto" w:fill="auto"/>
          </w:tcPr>
          <w:p w:rsidR="00B326D2" w:rsidRDefault="00B326D2" w:rsidP="002B44FC">
            <w:pPr>
              <w:pStyle w:val="Tabletext"/>
            </w:pPr>
            <w:r>
              <w:t>Timeline defined by legislation</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Default="00B326D2" w:rsidP="002B44FC">
            <w:pPr>
              <w:pStyle w:val="Tabletext"/>
            </w:pPr>
            <w:r>
              <w:t>Additional information request</w:t>
            </w:r>
          </w:p>
        </w:tc>
        <w:tc>
          <w:tcPr>
            <w:tcW w:w="1086" w:type="pct"/>
            <w:shd w:val="clear" w:color="auto" w:fill="auto"/>
          </w:tcPr>
          <w:p w:rsidR="00B326D2" w:rsidRDefault="00B326D2" w:rsidP="00E92FF8">
            <w:pPr>
              <w:pStyle w:val="Tabletext"/>
            </w:pPr>
            <w:r>
              <w:t>33, 47 and 51</w:t>
            </w:r>
            <w:r>
              <w:rPr>
                <w:rStyle w:val="Notelabel"/>
              </w:rPr>
              <w:t>a</w:t>
            </w:r>
          </w:p>
        </w:tc>
        <w:tc>
          <w:tcPr>
            <w:tcW w:w="738" w:type="pct"/>
            <w:shd w:val="clear" w:color="auto" w:fill="auto"/>
          </w:tcPr>
          <w:p w:rsidR="00B326D2" w:rsidRDefault="00B326D2" w:rsidP="002B44FC">
            <w:pPr>
              <w:pStyle w:val="Tabletext"/>
            </w:pPr>
            <w:r>
              <w:t>-</w:t>
            </w:r>
          </w:p>
        </w:tc>
        <w:tc>
          <w:tcPr>
            <w:tcW w:w="1565" w:type="pct"/>
            <w:shd w:val="clear" w:color="auto" w:fill="auto"/>
          </w:tcPr>
          <w:p w:rsidR="00B326D2" w:rsidRDefault="00B326D2" w:rsidP="002B44FC">
            <w:pPr>
              <w:pStyle w:val="Tabletext"/>
            </w:pPr>
            <w:r>
              <w:t>A total of 6 months given for the provision of further information</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Default="00B326D2" w:rsidP="002B44FC">
            <w:pPr>
              <w:pStyle w:val="Tabletext"/>
            </w:pPr>
            <w:r>
              <w:t>Following zonal, mutual recognition and Low risk products</w:t>
            </w:r>
          </w:p>
        </w:tc>
        <w:tc>
          <w:tcPr>
            <w:tcW w:w="1086" w:type="pct"/>
            <w:shd w:val="clear" w:color="auto" w:fill="auto"/>
          </w:tcPr>
          <w:p w:rsidR="00B326D2" w:rsidRDefault="00B326D2" w:rsidP="002B44FC">
            <w:pPr>
              <w:pStyle w:val="Tabletext"/>
            </w:pPr>
            <w:r>
              <w:t>33, 40 and 47</w:t>
            </w:r>
          </w:p>
        </w:tc>
        <w:tc>
          <w:tcPr>
            <w:tcW w:w="738" w:type="pct"/>
            <w:shd w:val="clear" w:color="auto" w:fill="auto"/>
          </w:tcPr>
          <w:p w:rsidR="00B326D2" w:rsidRDefault="00B326D2" w:rsidP="002B44FC">
            <w:pPr>
              <w:pStyle w:val="Tabletext"/>
            </w:pPr>
            <w:r>
              <w:t>120 days</w:t>
            </w:r>
          </w:p>
        </w:tc>
        <w:tc>
          <w:tcPr>
            <w:tcW w:w="1565" w:type="pct"/>
            <w:shd w:val="clear" w:color="auto" w:fill="auto"/>
          </w:tcPr>
          <w:p w:rsidR="00B326D2" w:rsidRDefault="00B326D2" w:rsidP="002B44FC">
            <w:pPr>
              <w:pStyle w:val="Tabletext"/>
            </w:pPr>
            <w:r>
              <w:t>Timeline defined by legislation</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Default="00B326D2" w:rsidP="002B44FC">
            <w:pPr>
              <w:pStyle w:val="Tabletext"/>
            </w:pPr>
            <w:r>
              <w:t>Art 43 Renewals</w:t>
            </w:r>
          </w:p>
        </w:tc>
        <w:tc>
          <w:tcPr>
            <w:tcW w:w="1086" w:type="pct"/>
            <w:shd w:val="clear" w:color="auto" w:fill="auto"/>
          </w:tcPr>
          <w:p w:rsidR="00B326D2" w:rsidRDefault="00B326D2" w:rsidP="00E92FF8">
            <w:pPr>
              <w:pStyle w:val="Tabletext"/>
            </w:pPr>
            <w:r>
              <w:t>43 and 51</w:t>
            </w:r>
            <w:r>
              <w:rPr>
                <w:rStyle w:val="Notelabel"/>
              </w:rPr>
              <w:t>a</w:t>
            </w:r>
          </w:p>
        </w:tc>
        <w:tc>
          <w:tcPr>
            <w:tcW w:w="738" w:type="pct"/>
            <w:shd w:val="clear" w:color="auto" w:fill="auto"/>
          </w:tcPr>
          <w:p w:rsidR="00B326D2" w:rsidRDefault="00B326D2" w:rsidP="002B44FC">
            <w:pPr>
              <w:pStyle w:val="Tabletext"/>
            </w:pPr>
            <w:r>
              <w:t>26 weeks</w:t>
            </w:r>
          </w:p>
        </w:tc>
        <w:tc>
          <w:tcPr>
            <w:tcW w:w="1565" w:type="pct"/>
            <w:shd w:val="clear" w:color="auto" w:fill="auto"/>
          </w:tcPr>
          <w:p w:rsidR="00B326D2" w:rsidRDefault="00B326D2" w:rsidP="002B44FC">
            <w:pPr>
              <w:pStyle w:val="Tabletext"/>
            </w:pPr>
            <w:r>
              <w:t>Timeline defined by legislation / guidance</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Default="00B326D2" w:rsidP="002B44FC">
            <w:pPr>
              <w:pStyle w:val="Tabletext"/>
            </w:pPr>
            <w:r>
              <w:t>Parallel permit</w:t>
            </w:r>
          </w:p>
        </w:tc>
        <w:tc>
          <w:tcPr>
            <w:tcW w:w="1086" w:type="pct"/>
            <w:shd w:val="clear" w:color="auto" w:fill="auto"/>
          </w:tcPr>
          <w:p w:rsidR="00B326D2" w:rsidRDefault="00B326D2" w:rsidP="002B44FC">
            <w:pPr>
              <w:pStyle w:val="Tabletext"/>
            </w:pPr>
            <w:r>
              <w:t>52</w:t>
            </w:r>
          </w:p>
        </w:tc>
        <w:tc>
          <w:tcPr>
            <w:tcW w:w="738" w:type="pct"/>
            <w:shd w:val="clear" w:color="auto" w:fill="auto"/>
          </w:tcPr>
          <w:p w:rsidR="00B326D2" w:rsidRDefault="00B326D2" w:rsidP="002B44FC">
            <w:pPr>
              <w:pStyle w:val="Tabletext"/>
            </w:pPr>
            <w:r>
              <w:t>45 days</w:t>
            </w:r>
          </w:p>
        </w:tc>
        <w:tc>
          <w:tcPr>
            <w:tcW w:w="1565" w:type="pct"/>
            <w:shd w:val="clear" w:color="auto" w:fill="auto"/>
          </w:tcPr>
          <w:p w:rsidR="00B326D2" w:rsidRDefault="00B326D2" w:rsidP="002B44FC">
            <w:pPr>
              <w:pStyle w:val="Tabletext"/>
            </w:pPr>
            <w:r>
              <w:t>Timeline defined by legislation</w:t>
            </w:r>
          </w:p>
        </w:tc>
      </w:tr>
      <w:tr w:rsidR="00B326D2" w:rsidRPr="002B44FC"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Pr="002B44FC" w:rsidRDefault="00B326D2" w:rsidP="002B44FC">
            <w:pPr>
              <w:pStyle w:val="Tabletext"/>
            </w:pPr>
            <w:r w:rsidRPr="002B44FC">
              <w:rPr>
                <w:rStyle w:val="Emphasis"/>
                <w:rFonts w:cs="Arial"/>
                <w:i w:val="0"/>
                <w:color w:val="111111"/>
                <w:szCs w:val="20"/>
                <w:bdr w:val="none" w:sz="0" w:space="0" w:color="auto" w:frame="1"/>
              </w:rPr>
              <w:t>Import Tolerance</w:t>
            </w:r>
          </w:p>
        </w:tc>
        <w:tc>
          <w:tcPr>
            <w:tcW w:w="1086" w:type="pct"/>
            <w:shd w:val="clear" w:color="auto" w:fill="auto"/>
          </w:tcPr>
          <w:p w:rsidR="00B326D2" w:rsidRPr="002B44FC" w:rsidRDefault="00B326D2" w:rsidP="002B44FC">
            <w:pPr>
              <w:pStyle w:val="Tabletext"/>
            </w:pPr>
            <w:r w:rsidRPr="002B44FC">
              <w:rPr>
                <w:rStyle w:val="Emphasis"/>
                <w:rFonts w:cs="Arial"/>
                <w:i w:val="0"/>
                <w:color w:val="111111"/>
                <w:szCs w:val="20"/>
                <w:bdr w:val="none" w:sz="0" w:space="0" w:color="auto" w:frame="1"/>
              </w:rPr>
              <w:t>Regulation (EC) No 396/2005</w:t>
            </w:r>
          </w:p>
        </w:tc>
        <w:tc>
          <w:tcPr>
            <w:tcW w:w="738" w:type="pct"/>
            <w:shd w:val="clear" w:color="auto" w:fill="auto"/>
          </w:tcPr>
          <w:p w:rsidR="00B326D2" w:rsidRPr="002B44FC" w:rsidRDefault="00B326D2" w:rsidP="002B44FC">
            <w:pPr>
              <w:pStyle w:val="Tabletext"/>
            </w:pPr>
            <w:r w:rsidRPr="002B44FC">
              <w:rPr>
                <w:rStyle w:val="Emphasis"/>
                <w:rFonts w:cs="Arial"/>
                <w:i w:val="0"/>
                <w:color w:val="111111"/>
                <w:szCs w:val="20"/>
                <w:bdr w:val="none" w:sz="0" w:space="0" w:color="auto" w:frame="1"/>
              </w:rPr>
              <w:t>12 months</w:t>
            </w:r>
          </w:p>
        </w:tc>
        <w:tc>
          <w:tcPr>
            <w:tcW w:w="1565" w:type="pct"/>
            <w:shd w:val="clear" w:color="auto" w:fill="auto"/>
          </w:tcPr>
          <w:p w:rsidR="00B326D2" w:rsidRPr="002B44FC" w:rsidRDefault="00B326D2" w:rsidP="002B44FC">
            <w:pPr>
              <w:pStyle w:val="Tabletext"/>
            </w:pPr>
            <w:r w:rsidRPr="002B44FC">
              <w:rPr>
                <w:rStyle w:val="Emphasis"/>
                <w:rFonts w:cs="Arial"/>
                <w:i w:val="0"/>
                <w:color w:val="111111"/>
                <w:szCs w:val="20"/>
                <w:bdr w:val="none" w:sz="0" w:space="0" w:color="auto" w:frame="1"/>
              </w:rPr>
              <w:t>No timeline in Regulation – align with timeline for other applications</w:t>
            </w:r>
          </w:p>
        </w:tc>
      </w:tr>
      <w:tr w:rsidR="00B326D2" w:rsidTr="00B326D2">
        <w:tblPrEx>
          <w:tblBorders>
            <w:bottom w:val="single" w:sz="4" w:space="0" w:color="646464"/>
            <w:insideH w:val="single" w:sz="4" w:space="0" w:color="646464"/>
          </w:tblBorders>
        </w:tblPrEx>
        <w:trPr>
          <w:gridBefore w:val="1"/>
          <w:gridAfter w:val="1"/>
          <w:wBefore w:w="268" w:type="pct"/>
          <w:wAfter w:w="4" w:type="pct"/>
          <w:cantSplit/>
        </w:trPr>
        <w:tc>
          <w:tcPr>
            <w:tcW w:w="1339" w:type="pct"/>
            <w:shd w:val="clear" w:color="auto" w:fill="auto"/>
          </w:tcPr>
          <w:p w:rsidR="00B326D2" w:rsidRDefault="00B326D2" w:rsidP="002B44FC">
            <w:pPr>
              <w:pStyle w:val="Tabletext"/>
            </w:pPr>
            <w:r>
              <w:t>Emergency situations in plant protection</w:t>
            </w:r>
          </w:p>
        </w:tc>
        <w:tc>
          <w:tcPr>
            <w:tcW w:w="1086" w:type="pct"/>
            <w:shd w:val="clear" w:color="auto" w:fill="auto"/>
          </w:tcPr>
          <w:p w:rsidR="00B326D2" w:rsidRDefault="00B326D2" w:rsidP="002B44FC">
            <w:pPr>
              <w:pStyle w:val="Tabletext"/>
            </w:pPr>
            <w:r>
              <w:t>53</w:t>
            </w:r>
          </w:p>
        </w:tc>
        <w:tc>
          <w:tcPr>
            <w:tcW w:w="738" w:type="pct"/>
            <w:shd w:val="clear" w:color="auto" w:fill="auto"/>
          </w:tcPr>
          <w:p w:rsidR="00B326D2" w:rsidRDefault="00B326D2" w:rsidP="002B44FC">
            <w:pPr>
              <w:pStyle w:val="Tabletext"/>
            </w:pPr>
            <w:r>
              <w:t>As agreed with HSE</w:t>
            </w:r>
          </w:p>
        </w:tc>
        <w:tc>
          <w:tcPr>
            <w:tcW w:w="1565" w:type="pct"/>
            <w:shd w:val="clear" w:color="auto" w:fill="auto"/>
          </w:tcPr>
          <w:p w:rsidR="00B326D2" w:rsidRDefault="00B326D2" w:rsidP="00223E9C">
            <w:pPr>
              <w:pStyle w:val="Tabletext"/>
            </w:pPr>
            <w:r>
              <w:t>Agreed timelines with the registrants</w:t>
            </w:r>
          </w:p>
        </w:tc>
      </w:tr>
      <w:tr w:rsidR="00B326D2" w:rsidTr="00B326D2">
        <w:tblPrEx>
          <w:tblBorders>
            <w:bottom w:val="single" w:sz="4" w:space="0" w:color="646464"/>
            <w:insideH w:val="single" w:sz="4" w:space="0" w:color="646464"/>
          </w:tblBorders>
        </w:tblPrEx>
        <w:trPr>
          <w:gridBefore w:val="1"/>
          <w:wBefore w:w="268" w:type="pct"/>
          <w:cantSplit/>
        </w:trPr>
        <w:tc>
          <w:tcPr>
            <w:tcW w:w="4732" w:type="pct"/>
            <w:gridSpan w:val="5"/>
            <w:tcBorders>
              <w:bottom w:val="single" w:sz="4" w:space="0" w:color="646464"/>
            </w:tcBorders>
          </w:tcPr>
          <w:p w:rsidR="00B326D2" w:rsidRDefault="008109A9" w:rsidP="00BE119F">
            <w:pPr>
              <w:pStyle w:val="Note"/>
              <w:rPr>
                <w:rStyle w:val="Notelabel"/>
              </w:rPr>
            </w:pPr>
            <w:r w:rsidRPr="00B94822">
              <w:t>NOTE:</w:t>
            </w:r>
            <w:r w:rsidR="00B94822" w:rsidRPr="00B94822">
              <w:t xml:space="preserve"> </w:t>
            </w:r>
            <w:r w:rsidR="00B326D2" w:rsidRPr="00B94822">
              <w:t>a</w:t>
            </w:r>
            <w:r w:rsidR="00B326D2">
              <w:t xml:space="preserve"> </w:t>
            </w:r>
            <w:r w:rsidRPr="00683E6D">
              <w:t>ARTICLE 51 COVERS EXTENSION OF AUTHORISATIONS FOR MINOR USES</w:t>
            </w:r>
            <w:r>
              <w:t>.</w:t>
            </w:r>
            <w:r w:rsidR="00BE119F">
              <w:br/>
            </w:r>
            <w:r>
              <w:t xml:space="preserve">SOURCE: </w:t>
            </w:r>
            <w:hyperlink r:id="rId79" w:history="1">
              <w:r w:rsidRPr="008D3BDF">
                <w:rPr>
                  <w:rStyle w:val="Hyperlink"/>
                </w:rPr>
                <w:t>HTTP://WWW.HSE.GOV.UK/PESTICIDES/TOPICS/PESTICIDE-APPROVALS/PESTICIDES-REGISTRATION/APPLICANT-GUIDE/THE-APPLICANT-GUIDE-APPLICA-2.HTM</w:t>
              </w:r>
            </w:hyperlink>
            <w:r>
              <w:rPr>
                <w:rStyle w:val="Hyperlink"/>
              </w:rPr>
              <w:t xml:space="preserve"> </w:t>
            </w:r>
            <w:r w:rsidRPr="008109A9">
              <w:rPr>
                <w:rStyle w:val="Hyperlink"/>
                <w:color w:val="auto"/>
              </w:rPr>
              <w:t>ACCESSED ON 20 AUGUST 2017</w:t>
            </w:r>
          </w:p>
        </w:tc>
      </w:tr>
      <w:tr w:rsidR="00B326D2" w:rsidTr="00B326D2">
        <w:tblPrEx>
          <w:tblBorders>
            <w:bottom w:val="single" w:sz="4" w:space="0" w:color="646464"/>
            <w:insideH w:val="single" w:sz="4" w:space="0" w:color="646464"/>
          </w:tblBorders>
        </w:tblPrEx>
        <w:trPr>
          <w:gridBefore w:val="1"/>
          <w:wBefore w:w="268" w:type="pct"/>
          <w:cantSplit/>
          <w:trHeight w:hRule="exact" w:val="120"/>
        </w:trPr>
        <w:tc>
          <w:tcPr>
            <w:tcW w:w="4732" w:type="pct"/>
            <w:gridSpan w:val="5"/>
            <w:tcBorders>
              <w:top w:val="single" w:sz="4" w:space="0" w:color="646464"/>
              <w:bottom w:val="nil"/>
            </w:tcBorders>
          </w:tcPr>
          <w:p w:rsidR="00B326D2" w:rsidRDefault="00B326D2" w:rsidP="002B44FC">
            <w:pPr>
              <w:pStyle w:val="spacertbl"/>
            </w:pPr>
          </w:p>
        </w:tc>
      </w:tr>
    </w:tbl>
    <w:p w:rsidR="002B44FC" w:rsidRDefault="0050777C" w:rsidP="002B44FC">
      <w:pPr>
        <w:pStyle w:val="Heading3"/>
      </w:pPr>
      <w:r>
        <w:t>Market</w:t>
      </w:r>
      <w:r w:rsidR="002B44FC">
        <w:t xml:space="preserve"> authorisation costs for crop protection products</w:t>
      </w:r>
    </w:p>
    <w:p w:rsidR="002B44FC" w:rsidRDefault="002B44FC" w:rsidP="002B44FC">
      <w:pPr>
        <w:pStyle w:val="BodyText"/>
      </w:pPr>
      <w:r>
        <w:t>Fees charged for individual application types range between £100 and £114,400</w:t>
      </w:r>
      <w:r>
        <w:rPr>
          <w:rStyle w:val="FootnoteReference"/>
        </w:rPr>
        <w:footnoteReference w:id="99"/>
      </w:r>
      <w:r w:rsidR="007570B4">
        <w:t xml:space="preserve"> </w:t>
      </w:r>
      <w:r w:rsidR="00404863">
        <w:t>(a</w:t>
      </w:r>
      <w:r w:rsidR="007570B4">
        <w:t>t</w:t>
      </w:r>
      <w:r>
        <w:t xml:space="preserve"> current exchange rate</w:t>
      </w:r>
      <w:r w:rsidR="00404863">
        <w:t xml:space="preserve">, </w:t>
      </w:r>
      <w:r w:rsidR="00512ABB">
        <w:t>A</w:t>
      </w:r>
      <w:r>
        <w:t>$191,000</w:t>
      </w:r>
      <w:r w:rsidR="00404863">
        <w:t xml:space="preserve">) </w:t>
      </w:r>
      <w:r>
        <w:t xml:space="preserve">for evaluation of </w:t>
      </w:r>
      <w:r w:rsidR="00404863">
        <w:t xml:space="preserve">a </w:t>
      </w:r>
      <w:r>
        <w:t>core dossier.</w:t>
      </w:r>
    </w:p>
    <w:p w:rsidR="00A24348" w:rsidRDefault="00A24348" w:rsidP="00A24348">
      <w:pPr>
        <w:pStyle w:val="Heading3"/>
      </w:pPr>
      <w:r>
        <w:t>Market authorisation costs for veterinary medicines</w:t>
      </w:r>
    </w:p>
    <w:p w:rsidR="00A24348" w:rsidRDefault="00A24348" w:rsidP="00A24348">
      <w:pPr>
        <w:pStyle w:val="BodyText"/>
      </w:pPr>
      <w:r>
        <w:t xml:space="preserve">Fees charged for individual application </w:t>
      </w:r>
      <w:r w:rsidR="00683D2F">
        <w:t>types range between £400 and £53,315</w:t>
      </w:r>
      <w:r w:rsidR="00683D2F">
        <w:rPr>
          <w:rStyle w:val="FootnoteReference"/>
        </w:rPr>
        <w:footnoteReference w:id="100"/>
      </w:r>
      <w:r>
        <w:t xml:space="preserve"> </w:t>
      </w:r>
      <w:r w:rsidR="00404863">
        <w:t>(a</w:t>
      </w:r>
      <w:r>
        <w:t>t current exchange rate</w:t>
      </w:r>
      <w:r w:rsidR="00404863">
        <w:t xml:space="preserve">, </w:t>
      </w:r>
      <w:r w:rsidR="00512ABB">
        <w:t>A</w:t>
      </w:r>
      <w:r>
        <w:t>$</w:t>
      </w:r>
      <w:r w:rsidR="00683D2F">
        <w:t>89</w:t>
      </w:r>
      <w:r>
        <w:t>,0</w:t>
      </w:r>
      <w:r w:rsidR="00683D2F">
        <w:t>36</w:t>
      </w:r>
      <w:r w:rsidR="00404863">
        <w:t>)</w:t>
      </w:r>
      <w:r>
        <w:t>.</w:t>
      </w:r>
    </w:p>
    <w:p w:rsidR="009808E4" w:rsidRDefault="009808E4" w:rsidP="009808E4">
      <w:pPr>
        <w:pStyle w:val="Heading2"/>
      </w:pPr>
      <w:bookmarkStart w:id="137" w:name="_Toc497300844"/>
      <w:r>
        <w:t>United States</w:t>
      </w:r>
      <w:r w:rsidR="008B35B2">
        <w:t xml:space="preserve"> of America</w:t>
      </w:r>
      <w:bookmarkEnd w:id="137"/>
    </w:p>
    <w:p w:rsidR="009808E4" w:rsidRDefault="004251A7" w:rsidP="00F1413A">
      <w:pPr>
        <w:pStyle w:val="BodyText"/>
      </w:pPr>
      <w:r>
        <w:t xml:space="preserve">Timelines and the registration service fee for new plant protection product active ingredient </w:t>
      </w:r>
      <w:r w:rsidR="00E2749F">
        <w:t xml:space="preserve">in </w:t>
      </w:r>
      <w:r w:rsidR="002516F8">
        <w:t>USA</w:t>
      </w:r>
      <w:r w:rsidR="00E2749F">
        <w:t xml:space="preserve"> </w:t>
      </w:r>
      <w:r>
        <w:t xml:space="preserve">are provided in </w:t>
      </w:r>
      <w:r w:rsidR="00A957E1">
        <w:fldChar w:fldCharType="begin"/>
      </w:r>
      <w:r w:rsidR="00A957E1">
        <w:instrText xml:space="preserve"> REF _Ref485323067 \h </w:instrText>
      </w:r>
      <w:r w:rsidR="00A957E1">
        <w:fldChar w:fldCharType="separate"/>
      </w:r>
      <w:r w:rsidR="0087688C" w:rsidRPr="00FC29C8">
        <w:rPr>
          <w:rStyle w:val="CaptionLabel"/>
        </w:rPr>
        <w:t>Table</w:t>
      </w:r>
      <w:r w:rsidR="0087688C">
        <w:rPr>
          <w:rStyle w:val="CaptionLabel"/>
        </w:rPr>
        <w:t> </w:t>
      </w:r>
      <w:r w:rsidR="0087688C">
        <w:rPr>
          <w:rStyle w:val="CaptionLabel"/>
          <w:noProof/>
        </w:rPr>
        <w:t>5</w:t>
      </w:r>
      <w:r w:rsidR="0087688C">
        <w:rPr>
          <w:rStyle w:val="CaptionLabel"/>
        </w:rPr>
        <w:t>.</w:t>
      </w:r>
      <w:r w:rsidR="0087688C">
        <w:rPr>
          <w:rStyle w:val="CaptionLabel"/>
          <w:noProof/>
        </w:rPr>
        <w:t>4</w:t>
      </w:r>
      <w:r w:rsidR="00A957E1">
        <w:fldChar w:fldCharType="end"/>
      </w:r>
      <w:r>
        <w:t>.</w:t>
      </w:r>
    </w:p>
    <w:p w:rsidR="00E2749F" w:rsidRDefault="005107B0" w:rsidP="00F1413A">
      <w:pPr>
        <w:pStyle w:val="BodyText"/>
      </w:pPr>
      <w:r>
        <w:t xml:space="preserve">To register an active ingredient for pesticide use </w:t>
      </w:r>
      <w:r w:rsidR="00A957E1">
        <w:t xml:space="preserve">in </w:t>
      </w:r>
      <w:r w:rsidR="002516F8">
        <w:t xml:space="preserve">the </w:t>
      </w:r>
      <w:r>
        <w:t>US</w:t>
      </w:r>
      <w:r w:rsidR="002516F8">
        <w:t>A</w:t>
      </w:r>
      <w:r>
        <w:t xml:space="preserve"> takes between 14 and 24 months</w:t>
      </w:r>
      <w:r w:rsidR="00A957E1">
        <w:t xml:space="preserve"> and cos</w:t>
      </w:r>
      <w:r w:rsidR="00E71097">
        <w:t>ts between US$182,327 and US$</w:t>
      </w:r>
      <w:r w:rsidR="00E71097" w:rsidRPr="00404863">
        <w:t>62</w:t>
      </w:r>
      <w:r w:rsidR="00404863">
        <w:t>7</w:t>
      </w:r>
      <w:r w:rsidR="00A957E1" w:rsidRPr="00404863">
        <w:t>,568</w:t>
      </w:r>
      <w:r w:rsidR="00404863">
        <w:t xml:space="preserve"> (at current exchange rate, A$850,882)</w:t>
      </w:r>
      <w:r w:rsidR="003061EA">
        <w:t>, which at the top end is significantly more than Australian costs</w:t>
      </w:r>
      <w:r w:rsidR="00FE2B58" w:rsidRPr="00404863">
        <w:t>.</w:t>
      </w:r>
    </w:p>
    <w:p w:rsidR="00E2749F" w:rsidRDefault="00E2749F" w:rsidP="00EE3881">
      <w:pPr>
        <w:pStyle w:val="Caption"/>
        <w:spacing w:before="160"/>
        <w:ind w:left="-2410" w:firstLine="0"/>
      </w:pPr>
      <w:bookmarkStart w:id="138" w:name="_Ref485323067"/>
      <w:bookmarkStart w:id="139" w:name="_Toc497132815"/>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5</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4</w:t>
      </w:r>
      <w:r w:rsidR="004B55F4">
        <w:rPr>
          <w:rStyle w:val="CaptionLabel"/>
        </w:rPr>
        <w:fldChar w:fldCharType="end"/>
      </w:r>
      <w:bookmarkEnd w:id="138"/>
      <w:r>
        <w:tab/>
        <w:t xml:space="preserve">New active ingredient </w:t>
      </w:r>
      <w:r w:rsidR="00A957E1">
        <w:t xml:space="preserve">pesticide </w:t>
      </w:r>
      <w:r>
        <w:t>registration decision time and fee</w:t>
      </w:r>
      <w:bookmarkEnd w:id="139"/>
    </w:p>
    <w:tbl>
      <w:tblPr>
        <w:tblW w:w="11003" w:type="dxa"/>
        <w:tblInd w:w="-2835" w:type="dxa"/>
        <w:tblLayout w:type="fixed"/>
        <w:tblCellMar>
          <w:left w:w="0" w:type="dxa"/>
          <w:bottom w:w="40" w:type="dxa"/>
          <w:right w:w="0" w:type="dxa"/>
        </w:tblCellMar>
        <w:tblLook w:val="0000" w:firstRow="0" w:lastRow="0" w:firstColumn="0" w:lastColumn="0" w:noHBand="0" w:noVBand="0"/>
        <w:tblDescription w:val="table_Std"/>
      </w:tblPr>
      <w:tblGrid>
        <w:gridCol w:w="425"/>
        <w:gridCol w:w="849"/>
        <w:gridCol w:w="852"/>
        <w:gridCol w:w="5673"/>
        <w:gridCol w:w="1415"/>
        <w:gridCol w:w="1789"/>
      </w:tblGrid>
      <w:tr w:rsidR="00E86A68" w:rsidTr="00533730">
        <w:trPr>
          <w:cantSplit/>
          <w:tblHeader/>
        </w:trPr>
        <w:tc>
          <w:tcPr>
            <w:tcW w:w="579" w:type="pct"/>
            <w:gridSpan w:val="2"/>
            <w:shd w:val="clear" w:color="auto" w:fill="9D57A6"/>
            <w:tcMar>
              <w:left w:w="454" w:type="dxa"/>
              <w:bottom w:w="0" w:type="dxa"/>
            </w:tcMar>
          </w:tcPr>
          <w:p w:rsidR="00E2749F" w:rsidRDefault="00E2749F" w:rsidP="00E2749F">
            <w:pPr>
              <w:pStyle w:val="Tablecolumnheadings"/>
            </w:pPr>
            <w:r>
              <w:t>EPA no.</w:t>
            </w:r>
          </w:p>
        </w:tc>
        <w:tc>
          <w:tcPr>
            <w:tcW w:w="387" w:type="pct"/>
            <w:shd w:val="clear" w:color="auto" w:fill="9D57A6"/>
            <w:tcMar>
              <w:bottom w:w="0" w:type="dxa"/>
            </w:tcMar>
          </w:tcPr>
          <w:p w:rsidR="00E2749F" w:rsidRDefault="00E2749F" w:rsidP="00E2749F">
            <w:pPr>
              <w:pStyle w:val="Tablecolumnheadings"/>
            </w:pPr>
            <w:r>
              <w:t>New CR no.</w:t>
            </w:r>
          </w:p>
        </w:tc>
        <w:tc>
          <w:tcPr>
            <w:tcW w:w="2578" w:type="pct"/>
            <w:shd w:val="clear" w:color="auto" w:fill="9D57A6"/>
            <w:tcMar>
              <w:bottom w:w="0" w:type="dxa"/>
            </w:tcMar>
          </w:tcPr>
          <w:p w:rsidR="00E2749F" w:rsidRDefault="00E2749F" w:rsidP="00E2749F">
            <w:pPr>
              <w:pStyle w:val="Tablecolumnheadings"/>
            </w:pPr>
            <w:r>
              <w:t>Action</w:t>
            </w:r>
          </w:p>
        </w:tc>
        <w:tc>
          <w:tcPr>
            <w:tcW w:w="643" w:type="pct"/>
            <w:shd w:val="clear" w:color="auto" w:fill="9D57A6"/>
            <w:tcMar>
              <w:bottom w:w="0" w:type="dxa"/>
            </w:tcMar>
          </w:tcPr>
          <w:p w:rsidR="00E2749F" w:rsidRDefault="00E2749F" w:rsidP="00E2749F">
            <w:pPr>
              <w:pStyle w:val="Tablecolumnheadings"/>
              <w:jc w:val="right"/>
            </w:pPr>
            <w:r>
              <w:t>Decision review time (months)</w:t>
            </w:r>
          </w:p>
        </w:tc>
        <w:tc>
          <w:tcPr>
            <w:tcW w:w="813" w:type="pct"/>
            <w:shd w:val="clear" w:color="auto" w:fill="9D57A6"/>
            <w:tcMar>
              <w:bottom w:w="0" w:type="dxa"/>
            </w:tcMar>
          </w:tcPr>
          <w:p w:rsidR="00E2749F" w:rsidRDefault="00E2749F" w:rsidP="00E2749F">
            <w:pPr>
              <w:pStyle w:val="Tablecolumnheadings"/>
              <w:jc w:val="right"/>
            </w:pPr>
            <w:r>
              <w:t>2016-17 registration service fee</w:t>
            </w:r>
            <w:r w:rsidR="006B33EC">
              <w:t xml:space="preserve"> (US$)</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tcBorders>
              <w:top w:val="nil"/>
            </w:tcBorders>
            <w:shd w:val="clear" w:color="auto" w:fill="auto"/>
            <w:vAlign w:val="center"/>
          </w:tcPr>
          <w:p w:rsidR="00E2749F" w:rsidRDefault="00E2749F" w:rsidP="00E2749F">
            <w:pPr>
              <w:pStyle w:val="Tabletext"/>
            </w:pPr>
            <w:r w:rsidRPr="00E2749F">
              <w:t>R010</w:t>
            </w:r>
          </w:p>
        </w:tc>
        <w:tc>
          <w:tcPr>
            <w:tcW w:w="387" w:type="pct"/>
            <w:tcBorders>
              <w:top w:val="nil"/>
            </w:tcBorders>
            <w:shd w:val="clear" w:color="auto" w:fill="auto"/>
            <w:vAlign w:val="center"/>
          </w:tcPr>
          <w:p w:rsidR="00E2749F" w:rsidRDefault="00E2749F" w:rsidP="00E2749F">
            <w:pPr>
              <w:pStyle w:val="Tabletext"/>
            </w:pPr>
            <w:r>
              <w:t>1</w:t>
            </w:r>
          </w:p>
        </w:tc>
        <w:tc>
          <w:tcPr>
            <w:tcW w:w="2578" w:type="pct"/>
            <w:tcBorders>
              <w:top w:val="nil"/>
            </w:tcBorders>
            <w:shd w:val="clear" w:color="auto" w:fill="auto"/>
            <w:vAlign w:val="center"/>
          </w:tcPr>
          <w:p w:rsidR="00E2749F" w:rsidRDefault="00E2749F" w:rsidP="00E2749F">
            <w:pPr>
              <w:pStyle w:val="Tabletext"/>
            </w:pPr>
            <w:r>
              <w:t>New Active Ingredient, Food use</w:t>
            </w:r>
          </w:p>
        </w:tc>
        <w:tc>
          <w:tcPr>
            <w:tcW w:w="643" w:type="pct"/>
            <w:tcBorders>
              <w:top w:val="nil"/>
            </w:tcBorders>
            <w:shd w:val="clear" w:color="auto" w:fill="auto"/>
            <w:vAlign w:val="center"/>
          </w:tcPr>
          <w:p w:rsidR="00E2749F" w:rsidRDefault="00E2749F" w:rsidP="00B12F39">
            <w:pPr>
              <w:pStyle w:val="Tabletext"/>
              <w:jc w:val="center"/>
            </w:pPr>
            <w:r>
              <w:t>24</w:t>
            </w:r>
          </w:p>
        </w:tc>
        <w:tc>
          <w:tcPr>
            <w:tcW w:w="813" w:type="pct"/>
            <w:tcBorders>
              <w:top w:val="nil"/>
            </w:tcBorders>
            <w:shd w:val="clear" w:color="auto" w:fill="auto"/>
            <w:vAlign w:val="center"/>
          </w:tcPr>
          <w:p w:rsidR="00E2749F" w:rsidRDefault="00E2749F" w:rsidP="00B12F39">
            <w:pPr>
              <w:pStyle w:val="Tabletext"/>
              <w:jc w:val="center"/>
            </w:pPr>
            <w:r>
              <w:t>627,568</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R020</w:t>
            </w:r>
          </w:p>
        </w:tc>
        <w:tc>
          <w:tcPr>
            <w:tcW w:w="387" w:type="pct"/>
            <w:shd w:val="clear" w:color="auto" w:fill="auto"/>
            <w:vAlign w:val="center"/>
          </w:tcPr>
          <w:p w:rsidR="00E2749F" w:rsidRDefault="00E2749F" w:rsidP="00E2749F">
            <w:pPr>
              <w:pStyle w:val="Tabletext"/>
            </w:pPr>
            <w:r>
              <w:t>2</w:t>
            </w:r>
          </w:p>
        </w:tc>
        <w:tc>
          <w:tcPr>
            <w:tcW w:w="2578" w:type="pct"/>
            <w:shd w:val="clear" w:color="auto" w:fill="auto"/>
            <w:vAlign w:val="center"/>
          </w:tcPr>
          <w:p w:rsidR="00E2749F" w:rsidRDefault="00E2749F" w:rsidP="00E2749F">
            <w:pPr>
              <w:pStyle w:val="Tabletext"/>
            </w:pPr>
            <w:r>
              <w:t>New Active Ingredient, Food use; reduced risk</w:t>
            </w:r>
          </w:p>
        </w:tc>
        <w:tc>
          <w:tcPr>
            <w:tcW w:w="643" w:type="pct"/>
            <w:shd w:val="clear" w:color="auto" w:fill="auto"/>
            <w:vAlign w:val="center"/>
          </w:tcPr>
          <w:p w:rsidR="00E2749F" w:rsidRDefault="00E2749F" w:rsidP="00B12F39">
            <w:pPr>
              <w:pStyle w:val="Tabletext"/>
              <w:jc w:val="center"/>
            </w:pPr>
            <w:r>
              <w:t>18</w:t>
            </w:r>
          </w:p>
        </w:tc>
        <w:tc>
          <w:tcPr>
            <w:tcW w:w="813" w:type="pct"/>
            <w:shd w:val="clear" w:color="auto" w:fill="auto"/>
            <w:vAlign w:val="center"/>
          </w:tcPr>
          <w:p w:rsidR="00E2749F" w:rsidRDefault="00E2749F" w:rsidP="00B12F39">
            <w:pPr>
              <w:pStyle w:val="Tabletext"/>
              <w:jc w:val="center"/>
            </w:pPr>
            <w:r>
              <w:t>627,568</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R040</w:t>
            </w:r>
          </w:p>
        </w:tc>
        <w:tc>
          <w:tcPr>
            <w:tcW w:w="387" w:type="pct"/>
            <w:shd w:val="clear" w:color="auto" w:fill="auto"/>
            <w:vAlign w:val="center"/>
          </w:tcPr>
          <w:p w:rsidR="00E2749F" w:rsidRDefault="00E2749F" w:rsidP="00E2749F">
            <w:pPr>
              <w:pStyle w:val="Tabletext"/>
            </w:pPr>
            <w:r>
              <w:t>3</w:t>
            </w:r>
          </w:p>
        </w:tc>
        <w:tc>
          <w:tcPr>
            <w:tcW w:w="2578" w:type="pct"/>
            <w:shd w:val="clear" w:color="auto" w:fill="auto"/>
            <w:vAlign w:val="center"/>
          </w:tcPr>
          <w:p w:rsidR="00E2749F" w:rsidRDefault="00E2749F" w:rsidP="006B33EC">
            <w:pPr>
              <w:pStyle w:val="Tabletext"/>
            </w:pPr>
            <w:r>
              <w:t>New Active Ingredient, Food use; Experimental Use Permit application; establish temporary tolerance; submitted before application for registration; credit 45</w:t>
            </w:r>
            <w:r w:rsidR="006B33EC">
              <w:t xml:space="preserve"> per cent</w:t>
            </w:r>
            <w:r>
              <w:t xml:space="preserve"> of fee toward new active ingredient application that follows</w:t>
            </w:r>
          </w:p>
        </w:tc>
        <w:tc>
          <w:tcPr>
            <w:tcW w:w="643" w:type="pct"/>
            <w:shd w:val="clear" w:color="auto" w:fill="auto"/>
            <w:vAlign w:val="center"/>
          </w:tcPr>
          <w:p w:rsidR="00E2749F" w:rsidRDefault="00E2749F" w:rsidP="00B12F39">
            <w:pPr>
              <w:pStyle w:val="Tabletext"/>
              <w:jc w:val="center"/>
            </w:pPr>
            <w:r>
              <w:t>18</w:t>
            </w:r>
          </w:p>
        </w:tc>
        <w:tc>
          <w:tcPr>
            <w:tcW w:w="813" w:type="pct"/>
            <w:shd w:val="clear" w:color="auto" w:fill="auto"/>
            <w:vAlign w:val="center"/>
          </w:tcPr>
          <w:p w:rsidR="00E2749F" w:rsidRDefault="00E2749F" w:rsidP="00B12F39">
            <w:pPr>
              <w:pStyle w:val="Tabletext"/>
              <w:jc w:val="center"/>
            </w:pPr>
            <w:r>
              <w:t>462,502</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R060</w:t>
            </w:r>
          </w:p>
        </w:tc>
        <w:tc>
          <w:tcPr>
            <w:tcW w:w="387" w:type="pct"/>
            <w:shd w:val="clear" w:color="auto" w:fill="auto"/>
            <w:vAlign w:val="center"/>
          </w:tcPr>
          <w:p w:rsidR="00E2749F" w:rsidRDefault="00E2749F" w:rsidP="00E2749F">
            <w:pPr>
              <w:pStyle w:val="Tabletext"/>
            </w:pPr>
            <w:r>
              <w:t>4</w:t>
            </w:r>
          </w:p>
        </w:tc>
        <w:tc>
          <w:tcPr>
            <w:tcW w:w="2578" w:type="pct"/>
            <w:shd w:val="clear" w:color="auto" w:fill="auto"/>
            <w:vAlign w:val="center"/>
          </w:tcPr>
          <w:p w:rsidR="00E2749F" w:rsidRDefault="00E2749F" w:rsidP="00E2749F">
            <w:pPr>
              <w:pStyle w:val="Tabletext"/>
            </w:pPr>
            <w:r>
              <w:t>New Active Ingredient, Non-food use; outdoor</w:t>
            </w:r>
          </w:p>
        </w:tc>
        <w:tc>
          <w:tcPr>
            <w:tcW w:w="643" w:type="pct"/>
            <w:shd w:val="clear" w:color="auto" w:fill="auto"/>
            <w:vAlign w:val="center"/>
          </w:tcPr>
          <w:p w:rsidR="00E2749F" w:rsidRDefault="00E2749F" w:rsidP="00B12F39">
            <w:pPr>
              <w:pStyle w:val="Tabletext"/>
              <w:jc w:val="center"/>
            </w:pPr>
            <w:r>
              <w:t>21</w:t>
            </w:r>
          </w:p>
        </w:tc>
        <w:tc>
          <w:tcPr>
            <w:tcW w:w="813" w:type="pct"/>
            <w:shd w:val="clear" w:color="auto" w:fill="auto"/>
            <w:vAlign w:val="center"/>
          </w:tcPr>
          <w:p w:rsidR="00E2749F" w:rsidRDefault="00E2749F" w:rsidP="00B12F39">
            <w:pPr>
              <w:pStyle w:val="Tabletext"/>
              <w:jc w:val="center"/>
            </w:pPr>
            <w:r>
              <w:t>436,004</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R070</w:t>
            </w:r>
          </w:p>
        </w:tc>
        <w:tc>
          <w:tcPr>
            <w:tcW w:w="387" w:type="pct"/>
            <w:shd w:val="clear" w:color="auto" w:fill="auto"/>
            <w:vAlign w:val="center"/>
          </w:tcPr>
          <w:p w:rsidR="00E2749F" w:rsidRDefault="00E2749F" w:rsidP="00E2749F">
            <w:pPr>
              <w:pStyle w:val="Tabletext"/>
            </w:pPr>
            <w:r>
              <w:t>5</w:t>
            </w:r>
          </w:p>
        </w:tc>
        <w:tc>
          <w:tcPr>
            <w:tcW w:w="2578" w:type="pct"/>
            <w:shd w:val="clear" w:color="auto" w:fill="auto"/>
            <w:vAlign w:val="center"/>
          </w:tcPr>
          <w:p w:rsidR="00E2749F" w:rsidRDefault="00E2749F" w:rsidP="00E2749F">
            <w:pPr>
              <w:pStyle w:val="Tabletext"/>
            </w:pPr>
            <w:r>
              <w:t>New Active Ingredient, Non-food use; outdoor; reduced risk</w:t>
            </w:r>
          </w:p>
        </w:tc>
        <w:tc>
          <w:tcPr>
            <w:tcW w:w="643" w:type="pct"/>
            <w:shd w:val="clear" w:color="auto" w:fill="auto"/>
            <w:vAlign w:val="center"/>
          </w:tcPr>
          <w:p w:rsidR="00E2749F" w:rsidRDefault="00E2749F" w:rsidP="00B12F39">
            <w:pPr>
              <w:pStyle w:val="Tabletext"/>
              <w:jc w:val="center"/>
            </w:pPr>
            <w:r>
              <w:t>16</w:t>
            </w:r>
          </w:p>
        </w:tc>
        <w:tc>
          <w:tcPr>
            <w:tcW w:w="813" w:type="pct"/>
            <w:shd w:val="clear" w:color="auto" w:fill="auto"/>
            <w:vAlign w:val="center"/>
          </w:tcPr>
          <w:p w:rsidR="00E2749F" w:rsidRDefault="00E2749F" w:rsidP="00B12F39">
            <w:pPr>
              <w:pStyle w:val="Tabletext"/>
              <w:jc w:val="center"/>
            </w:pPr>
            <w:r>
              <w:t>436,004</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R090</w:t>
            </w:r>
          </w:p>
        </w:tc>
        <w:tc>
          <w:tcPr>
            <w:tcW w:w="387" w:type="pct"/>
            <w:shd w:val="clear" w:color="auto" w:fill="auto"/>
            <w:vAlign w:val="center"/>
          </w:tcPr>
          <w:p w:rsidR="00E2749F" w:rsidRDefault="00E2749F" w:rsidP="00E2749F">
            <w:pPr>
              <w:pStyle w:val="Tabletext"/>
            </w:pPr>
            <w:r>
              <w:t>6</w:t>
            </w:r>
          </w:p>
        </w:tc>
        <w:tc>
          <w:tcPr>
            <w:tcW w:w="2578" w:type="pct"/>
            <w:shd w:val="clear" w:color="auto" w:fill="auto"/>
            <w:vAlign w:val="center"/>
          </w:tcPr>
          <w:p w:rsidR="00E2749F" w:rsidRDefault="00E2749F" w:rsidP="006B33EC">
            <w:pPr>
              <w:pStyle w:val="Tabletext"/>
            </w:pPr>
            <w:r>
              <w:t>New Active Ingredient, Non-food use; outdoor; Experimental Use Permit application; submitted before application for registration; credit 45</w:t>
            </w:r>
            <w:r w:rsidR="006B33EC">
              <w:t xml:space="preserve"> per cent</w:t>
            </w:r>
            <w:r>
              <w:t xml:space="preserve"> of fee toward new active ingredient application that follows</w:t>
            </w:r>
          </w:p>
        </w:tc>
        <w:tc>
          <w:tcPr>
            <w:tcW w:w="643" w:type="pct"/>
            <w:shd w:val="clear" w:color="auto" w:fill="auto"/>
            <w:vAlign w:val="center"/>
          </w:tcPr>
          <w:p w:rsidR="00E2749F" w:rsidRDefault="00E2749F" w:rsidP="00B12F39">
            <w:pPr>
              <w:pStyle w:val="Tabletext"/>
              <w:jc w:val="center"/>
            </w:pPr>
            <w:r>
              <w:t>16</w:t>
            </w:r>
          </w:p>
        </w:tc>
        <w:tc>
          <w:tcPr>
            <w:tcW w:w="813" w:type="pct"/>
            <w:shd w:val="clear" w:color="auto" w:fill="auto"/>
            <w:vAlign w:val="center"/>
          </w:tcPr>
          <w:p w:rsidR="00E2749F" w:rsidRDefault="00E2749F" w:rsidP="00B12F39">
            <w:pPr>
              <w:pStyle w:val="Tabletext"/>
              <w:jc w:val="center"/>
            </w:pPr>
            <w:r>
              <w:t>323,690</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R110</w:t>
            </w:r>
          </w:p>
        </w:tc>
        <w:tc>
          <w:tcPr>
            <w:tcW w:w="387" w:type="pct"/>
            <w:shd w:val="clear" w:color="auto" w:fill="auto"/>
            <w:vAlign w:val="center"/>
          </w:tcPr>
          <w:p w:rsidR="00E2749F" w:rsidRDefault="00E2749F" w:rsidP="00E2749F">
            <w:pPr>
              <w:pStyle w:val="Tabletext"/>
            </w:pPr>
            <w:r>
              <w:t>7</w:t>
            </w:r>
          </w:p>
        </w:tc>
        <w:tc>
          <w:tcPr>
            <w:tcW w:w="2578" w:type="pct"/>
            <w:shd w:val="clear" w:color="auto" w:fill="auto"/>
            <w:vAlign w:val="center"/>
          </w:tcPr>
          <w:p w:rsidR="00E2749F" w:rsidRDefault="00E2749F" w:rsidP="00E2749F">
            <w:pPr>
              <w:pStyle w:val="Tabletext"/>
            </w:pPr>
            <w:r>
              <w:t>New Active Ingredient, Non-food use; indoor</w:t>
            </w:r>
          </w:p>
        </w:tc>
        <w:tc>
          <w:tcPr>
            <w:tcW w:w="643" w:type="pct"/>
            <w:shd w:val="clear" w:color="auto" w:fill="auto"/>
            <w:vAlign w:val="center"/>
          </w:tcPr>
          <w:p w:rsidR="00E2749F" w:rsidRDefault="00E2749F" w:rsidP="00B12F39">
            <w:pPr>
              <w:pStyle w:val="Tabletext"/>
              <w:jc w:val="center"/>
            </w:pPr>
            <w:r>
              <w:t>20</w:t>
            </w:r>
          </w:p>
        </w:tc>
        <w:tc>
          <w:tcPr>
            <w:tcW w:w="813" w:type="pct"/>
            <w:shd w:val="clear" w:color="auto" w:fill="auto"/>
            <w:vAlign w:val="center"/>
          </w:tcPr>
          <w:p w:rsidR="00E2749F" w:rsidRDefault="00E2749F" w:rsidP="00B12F39">
            <w:pPr>
              <w:pStyle w:val="Tabletext"/>
              <w:jc w:val="center"/>
            </w:pPr>
            <w:r>
              <w:t>242,495</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R120</w:t>
            </w:r>
          </w:p>
        </w:tc>
        <w:tc>
          <w:tcPr>
            <w:tcW w:w="387" w:type="pct"/>
            <w:shd w:val="clear" w:color="auto" w:fill="auto"/>
            <w:vAlign w:val="center"/>
          </w:tcPr>
          <w:p w:rsidR="00E2749F" w:rsidRDefault="00E2749F" w:rsidP="00E2749F">
            <w:pPr>
              <w:pStyle w:val="Tabletext"/>
            </w:pPr>
            <w:r>
              <w:t>8</w:t>
            </w:r>
          </w:p>
        </w:tc>
        <w:tc>
          <w:tcPr>
            <w:tcW w:w="2578" w:type="pct"/>
            <w:shd w:val="clear" w:color="auto" w:fill="auto"/>
            <w:vAlign w:val="center"/>
          </w:tcPr>
          <w:p w:rsidR="00E2749F" w:rsidRDefault="00E2749F" w:rsidP="00E2749F">
            <w:pPr>
              <w:pStyle w:val="Tabletext"/>
            </w:pPr>
            <w:r>
              <w:t>New Active Ingredient, Non-food use; indoor; reduced risk</w:t>
            </w:r>
          </w:p>
        </w:tc>
        <w:tc>
          <w:tcPr>
            <w:tcW w:w="643" w:type="pct"/>
            <w:shd w:val="clear" w:color="auto" w:fill="auto"/>
            <w:vAlign w:val="center"/>
          </w:tcPr>
          <w:p w:rsidR="00E2749F" w:rsidRDefault="00E2749F" w:rsidP="00B12F39">
            <w:pPr>
              <w:pStyle w:val="Tabletext"/>
              <w:jc w:val="center"/>
            </w:pPr>
            <w:r>
              <w:t>14</w:t>
            </w:r>
          </w:p>
        </w:tc>
        <w:tc>
          <w:tcPr>
            <w:tcW w:w="813" w:type="pct"/>
            <w:shd w:val="clear" w:color="auto" w:fill="auto"/>
            <w:vAlign w:val="center"/>
          </w:tcPr>
          <w:p w:rsidR="00E2749F" w:rsidRDefault="00E2749F" w:rsidP="00B12F39">
            <w:pPr>
              <w:pStyle w:val="Tabletext"/>
              <w:jc w:val="center"/>
            </w:pPr>
            <w:r>
              <w:t>242,495</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R121</w:t>
            </w:r>
          </w:p>
        </w:tc>
        <w:tc>
          <w:tcPr>
            <w:tcW w:w="387" w:type="pct"/>
            <w:shd w:val="clear" w:color="auto" w:fill="auto"/>
            <w:vAlign w:val="center"/>
          </w:tcPr>
          <w:p w:rsidR="00E2749F" w:rsidRDefault="00E2749F" w:rsidP="00E2749F">
            <w:pPr>
              <w:pStyle w:val="Tabletext"/>
            </w:pPr>
            <w:r>
              <w:t>9</w:t>
            </w:r>
          </w:p>
        </w:tc>
        <w:tc>
          <w:tcPr>
            <w:tcW w:w="2578" w:type="pct"/>
            <w:shd w:val="clear" w:color="auto" w:fill="auto"/>
            <w:vAlign w:val="center"/>
          </w:tcPr>
          <w:p w:rsidR="00E2749F" w:rsidRDefault="00E2749F" w:rsidP="006B33EC">
            <w:pPr>
              <w:pStyle w:val="Tabletext"/>
            </w:pPr>
            <w:r>
              <w:t>New Active Ingredient, Non-food use; indoor; Experimental Use Permit application; submitted before application for registration; credit 45</w:t>
            </w:r>
            <w:r w:rsidR="006B33EC">
              <w:t xml:space="preserve"> per cent </w:t>
            </w:r>
            <w:r>
              <w:t>of fee toward new active ingredient application that follows</w:t>
            </w:r>
          </w:p>
        </w:tc>
        <w:tc>
          <w:tcPr>
            <w:tcW w:w="643" w:type="pct"/>
            <w:shd w:val="clear" w:color="auto" w:fill="auto"/>
            <w:vAlign w:val="center"/>
          </w:tcPr>
          <w:p w:rsidR="00E2749F" w:rsidRDefault="00E2749F" w:rsidP="00B12F39">
            <w:pPr>
              <w:pStyle w:val="Tabletext"/>
              <w:jc w:val="center"/>
            </w:pPr>
            <w:r>
              <w:t>18</w:t>
            </w:r>
          </w:p>
        </w:tc>
        <w:tc>
          <w:tcPr>
            <w:tcW w:w="813" w:type="pct"/>
            <w:shd w:val="clear" w:color="auto" w:fill="auto"/>
            <w:vAlign w:val="center"/>
          </w:tcPr>
          <w:p w:rsidR="00E2749F" w:rsidRDefault="00E2749F" w:rsidP="00B12F39">
            <w:pPr>
              <w:pStyle w:val="Tabletext"/>
              <w:jc w:val="center"/>
            </w:pPr>
            <w:r>
              <w:t>182,327</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R122</w:t>
            </w:r>
          </w:p>
        </w:tc>
        <w:tc>
          <w:tcPr>
            <w:tcW w:w="387" w:type="pct"/>
            <w:shd w:val="clear" w:color="auto" w:fill="auto"/>
            <w:vAlign w:val="center"/>
          </w:tcPr>
          <w:p w:rsidR="00E2749F" w:rsidRDefault="00E2749F" w:rsidP="00E2749F">
            <w:pPr>
              <w:pStyle w:val="Tabletext"/>
            </w:pPr>
            <w:r>
              <w:t>10</w:t>
            </w:r>
          </w:p>
        </w:tc>
        <w:tc>
          <w:tcPr>
            <w:tcW w:w="2578" w:type="pct"/>
            <w:shd w:val="clear" w:color="auto" w:fill="auto"/>
            <w:vAlign w:val="center"/>
          </w:tcPr>
          <w:p w:rsidR="00E2749F" w:rsidRDefault="00E2749F" w:rsidP="00E2749F">
            <w:pPr>
              <w:pStyle w:val="Tabletext"/>
            </w:pPr>
            <w:r>
              <w:t>Enriched isomer(s) of registered mixed-isomer active ingredient</w:t>
            </w:r>
          </w:p>
        </w:tc>
        <w:tc>
          <w:tcPr>
            <w:tcW w:w="643" w:type="pct"/>
            <w:shd w:val="clear" w:color="auto" w:fill="auto"/>
            <w:vAlign w:val="center"/>
          </w:tcPr>
          <w:p w:rsidR="00E2749F" w:rsidRDefault="00E2749F" w:rsidP="00B12F39">
            <w:pPr>
              <w:pStyle w:val="Tabletext"/>
              <w:jc w:val="center"/>
            </w:pPr>
            <w:r>
              <w:t>18</w:t>
            </w:r>
          </w:p>
        </w:tc>
        <w:tc>
          <w:tcPr>
            <w:tcW w:w="813" w:type="pct"/>
            <w:shd w:val="clear" w:color="auto" w:fill="auto"/>
            <w:vAlign w:val="center"/>
          </w:tcPr>
          <w:p w:rsidR="00E2749F" w:rsidRDefault="00E2749F" w:rsidP="00B12F39">
            <w:pPr>
              <w:pStyle w:val="Tabletext"/>
              <w:jc w:val="center"/>
            </w:pPr>
            <w:r>
              <w:t>317,128</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R123</w:t>
            </w:r>
          </w:p>
        </w:tc>
        <w:tc>
          <w:tcPr>
            <w:tcW w:w="387" w:type="pct"/>
            <w:shd w:val="clear" w:color="auto" w:fill="auto"/>
            <w:vAlign w:val="center"/>
          </w:tcPr>
          <w:p w:rsidR="00E2749F" w:rsidRDefault="00E2749F" w:rsidP="00E2749F">
            <w:pPr>
              <w:pStyle w:val="Tabletext"/>
            </w:pPr>
            <w:r>
              <w:t>11</w:t>
            </w:r>
          </w:p>
        </w:tc>
        <w:tc>
          <w:tcPr>
            <w:tcW w:w="2578" w:type="pct"/>
            <w:shd w:val="clear" w:color="auto" w:fill="auto"/>
            <w:vAlign w:val="center"/>
          </w:tcPr>
          <w:p w:rsidR="00E2749F" w:rsidRDefault="00E2749F" w:rsidP="00E2749F">
            <w:pPr>
              <w:pStyle w:val="Tabletext"/>
            </w:pPr>
            <w:r>
              <w:t>New Active Ingredient, Seed treatment only; includes agricultural and non-agricultural seeds; residues not expected in raw agricultural commodities</w:t>
            </w:r>
          </w:p>
        </w:tc>
        <w:tc>
          <w:tcPr>
            <w:tcW w:w="643" w:type="pct"/>
            <w:shd w:val="clear" w:color="auto" w:fill="auto"/>
            <w:vAlign w:val="center"/>
          </w:tcPr>
          <w:p w:rsidR="00E2749F" w:rsidRDefault="00E2749F" w:rsidP="00B12F39">
            <w:pPr>
              <w:pStyle w:val="Tabletext"/>
              <w:jc w:val="center"/>
            </w:pPr>
            <w:r>
              <w:t>18</w:t>
            </w:r>
          </w:p>
        </w:tc>
        <w:tc>
          <w:tcPr>
            <w:tcW w:w="813" w:type="pct"/>
            <w:shd w:val="clear" w:color="auto" w:fill="auto"/>
            <w:vAlign w:val="center"/>
          </w:tcPr>
          <w:p w:rsidR="00E2749F" w:rsidRDefault="00E2749F" w:rsidP="00B12F39">
            <w:pPr>
              <w:pStyle w:val="Tabletext"/>
              <w:jc w:val="center"/>
            </w:pPr>
            <w:r>
              <w:t>471,861</w:t>
            </w:r>
          </w:p>
        </w:tc>
      </w:tr>
      <w:tr w:rsidR="00E86A68" w:rsidTr="00B12F39">
        <w:tblPrEx>
          <w:tblBorders>
            <w:bottom w:val="single" w:sz="4" w:space="0" w:color="646464"/>
            <w:insideH w:val="single" w:sz="4" w:space="0" w:color="646464"/>
          </w:tblBorders>
        </w:tblPrEx>
        <w:trPr>
          <w:gridBefore w:val="1"/>
          <w:wBefore w:w="193" w:type="pct"/>
          <w:cantSplit/>
        </w:trPr>
        <w:tc>
          <w:tcPr>
            <w:tcW w:w="386" w:type="pct"/>
            <w:shd w:val="clear" w:color="auto" w:fill="auto"/>
            <w:vAlign w:val="center"/>
          </w:tcPr>
          <w:p w:rsidR="00E2749F" w:rsidRDefault="00E2749F" w:rsidP="00E2749F">
            <w:pPr>
              <w:pStyle w:val="Tabletext"/>
            </w:pPr>
            <w:r w:rsidRPr="00E2749F">
              <w:t>R125</w:t>
            </w:r>
          </w:p>
        </w:tc>
        <w:tc>
          <w:tcPr>
            <w:tcW w:w="387" w:type="pct"/>
            <w:shd w:val="clear" w:color="auto" w:fill="auto"/>
            <w:vAlign w:val="center"/>
          </w:tcPr>
          <w:p w:rsidR="00E2749F" w:rsidRDefault="00E2749F" w:rsidP="00E2749F">
            <w:pPr>
              <w:pStyle w:val="Tabletext"/>
            </w:pPr>
            <w:r>
              <w:t>12</w:t>
            </w:r>
          </w:p>
        </w:tc>
        <w:tc>
          <w:tcPr>
            <w:tcW w:w="2578" w:type="pct"/>
            <w:shd w:val="clear" w:color="auto" w:fill="auto"/>
            <w:vAlign w:val="center"/>
          </w:tcPr>
          <w:p w:rsidR="00E2749F" w:rsidRDefault="00E2749F" w:rsidP="006B33EC">
            <w:pPr>
              <w:pStyle w:val="Tabletext"/>
            </w:pPr>
            <w:r>
              <w:t>New Active Ingredient, Seed treatment; Experimental Use Permit application; submitted before application for registration; credit 45</w:t>
            </w:r>
            <w:r w:rsidR="006B33EC">
              <w:t> per cent</w:t>
            </w:r>
            <w:r>
              <w:t xml:space="preserve"> of fee toward new active ingredient application that follows</w:t>
            </w:r>
          </w:p>
        </w:tc>
        <w:tc>
          <w:tcPr>
            <w:tcW w:w="643" w:type="pct"/>
            <w:shd w:val="clear" w:color="auto" w:fill="auto"/>
            <w:vAlign w:val="center"/>
          </w:tcPr>
          <w:p w:rsidR="00E2749F" w:rsidRDefault="00E2749F" w:rsidP="00B12F39">
            <w:pPr>
              <w:pStyle w:val="Tabletext"/>
              <w:jc w:val="center"/>
            </w:pPr>
            <w:r>
              <w:t>16</w:t>
            </w:r>
          </w:p>
        </w:tc>
        <w:tc>
          <w:tcPr>
            <w:tcW w:w="813" w:type="pct"/>
            <w:shd w:val="clear" w:color="auto" w:fill="auto"/>
            <w:vAlign w:val="center"/>
          </w:tcPr>
          <w:p w:rsidR="00E2749F" w:rsidRDefault="00E2749F" w:rsidP="00B12F39">
            <w:pPr>
              <w:pStyle w:val="Tabletext"/>
              <w:jc w:val="center"/>
            </w:pPr>
            <w:r>
              <w:t>323,690</w:t>
            </w:r>
          </w:p>
        </w:tc>
      </w:tr>
      <w:tr w:rsidR="00E86A68" w:rsidTr="00533730">
        <w:tblPrEx>
          <w:tblBorders>
            <w:bottom w:val="single" w:sz="4" w:space="0" w:color="646464"/>
            <w:insideH w:val="single" w:sz="4" w:space="0" w:color="646464"/>
          </w:tblBorders>
        </w:tblPrEx>
        <w:trPr>
          <w:gridBefore w:val="1"/>
          <w:wBefore w:w="193" w:type="pct"/>
          <w:cantSplit/>
        </w:trPr>
        <w:tc>
          <w:tcPr>
            <w:tcW w:w="4807" w:type="pct"/>
            <w:gridSpan w:val="5"/>
            <w:tcBorders>
              <w:bottom w:val="single" w:sz="4" w:space="0" w:color="646464"/>
            </w:tcBorders>
            <w:shd w:val="clear" w:color="auto" w:fill="auto"/>
          </w:tcPr>
          <w:p w:rsidR="00E2749F" w:rsidRDefault="00E2749F" w:rsidP="008109A9">
            <w:pPr>
              <w:pStyle w:val="Source"/>
            </w:pPr>
            <w:r>
              <w:t xml:space="preserve">Source: </w:t>
            </w:r>
            <w:hyperlink r:id="rId80" w:history="1">
              <w:r w:rsidRPr="001C7018">
                <w:rPr>
                  <w:rStyle w:val="Hyperlink"/>
                </w:rPr>
                <w:t>https://www.epa.gov/pria-fees/pria-fee-category-table-registration-division-new-active-ingredients</w:t>
              </w:r>
            </w:hyperlink>
            <w:r>
              <w:t xml:space="preserve"> accessed </w:t>
            </w:r>
            <w:r w:rsidR="008109A9">
              <w:t xml:space="preserve">on </w:t>
            </w:r>
            <w:r w:rsidR="00DF2455">
              <w:t xml:space="preserve">2 </w:t>
            </w:r>
            <w:r>
              <w:t>June, 2017</w:t>
            </w:r>
          </w:p>
        </w:tc>
      </w:tr>
      <w:tr w:rsidR="00E86A68" w:rsidTr="00533730">
        <w:tblPrEx>
          <w:tblBorders>
            <w:bottom w:val="single" w:sz="4" w:space="0" w:color="646464"/>
            <w:insideH w:val="single" w:sz="4" w:space="0" w:color="646464"/>
          </w:tblBorders>
        </w:tblPrEx>
        <w:trPr>
          <w:gridBefore w:val="1"/>
          <w:wBefore w:w="193" w:type="pct"/>
          <w:cantSplit/>
          <w:trHeight w:hRule="exact" w:val="120"/>
        </w:trPr>
        <w:tc>
          <w:tcPr>
            <w:tcW w:w="4807" w:type="pct"/>
            <w:gridSpan w:val="5"/>
            <w:tcBorders>
              <w:top w:val="single" w:sz="4" w:space="0" w:color="646464"/>
              <w:bottom w:val="nil"/>
            </w:tcBorders>
            <w:shd w:val="clear" w:color="auto" w:fill="auto"/>
          </w:tcPr>
          <w:p w:rsidR="00E2749F" w:rsidRDefault="00E2749F" w:rsidP="00E2749F">
            <w:pPr>
              <w:pStyle w:val="spacertbl"/>
            </w:pPr>
          </w:p>
        </w:tc>
      </w:tr>
    </w:tbl>
    <w:p w:rsidR="00E71097" w:rsidRDefault="00E71097" w:rsidP="00EE3881">
      <w:pPr>
        <w:pStyle w:val="BodyText"/>
        <w:ind w:left="-2410"/>
      </w:pPr>
      <w:bookmarkStart w:id="140" w:name="_Ref485325507"/>
      <w:bookmarkStart w:id="141" w:name="_Toc497132816"/>
      <w:r w:rsidRPr="00404863">
        <w:rPr>
          <w:rStyle w:val="CaptionLabel"/>
          <w:iCs/>
          <w:caps/>
          <w:color w:val="000100"/>
          <w:sz w:val="20"/>
          <w:szCs w:val="18"/>
        </w:rPr>
        <w:t>Table</w:t>
      </w:r>
      <w:r>
        <w:rPr>
          <w:rStyle w:val="CaptionLabel"/>
        </w:rPr>
        <w:t> </w:t>
      </w:r>
      <w:r>
        <w:rPr>
          <w:rStyle w:val="CaptionLabel"/>
        </w:rPr>
        <w:fldChar w:fldCharType="begin"/>
      </w:r>
      <w:r>
        <w:rPr>
          <w:rStyle w:val="CaptionLabel"/>
        </w:rPr>
        <w:instrText xml:space="preserve"> STYLEREF 1 \s </w:instrText>
      </w:r>
      <w:r>
        <w:rPr>
          <w:rStyle w:val="CaptionLabel"/>
        </w:rPr>
        <w:fldChar w:fldCharType="separate"/>
      </w:r>
      <w:r w:rsidR="001977DE">
        <w:rPr>
          <w:rStyle w:val="CaptionLabel"/>
          <w:noProof/>
        </w:rPr>
        <w:t>5</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1977DE">
        <w:rPr>
          <w:rStyle w:val="CaptionLabel"/>
          <w:noProof/>
        </w:rPr>
        <w:t>5</w:t>
      </w:r>
      <w:r>
        <w:rPr>
          <w:rStyle w:val="CaptionLabel"/>
        </w:rPr>
        <w:fldChar w:fldCharType="end"/>
      </w:r>
      <w:bookmarkEnd w:id="140"/>
      <w:r>
        <w:tab/>
      </w:r>
      <w:r w:rsidRPr="00404863">
        <w:rPr>
          <w:iCs/>
          <w:caps/>
          <w:color w:val="000100"/>
          <w:sz w:val="20"/>
          <w:szCs w:val="18"/>
        </w:rPr>
        <w:t xml:space="preserve">Animal drugs user fee in the </w:t>
      </w:r>
      <w:r w:rsidR="002516F8" w:rsidRPr="00404863">
        <w:rPr>
          <w:iCs/>
          <w:caps/>
          <w:color w:val="000100"/>
          <w:sz w:val="20"/>
          <w:szCs w:val="18"/>
        </w:rPr>
        <w:t>USA</w:t>
      </w:r>
      <w:r w:rsidR="008B35B2" w:rsidRPr="00404863">
        <w:rPr>
          <w:iCs/>
          <w:caps/>
          <w:color w:val="000100"/>
          <w:sz w:val="20"/>
          <w:szCs w:val="18"/>
        </w:rPr>
        <w:t xml:space="preserve">, </w:t>
      </w:r>
      <w:r w:rsidRPr="00404863">
        <w:rPr>
          <w:iCs/>
          <w:caps/>
          <w:color w:val="000100"/>
          <w:sz w:val="20"/>
          <w:szCs w:val="18"/>
        </w:rPr>
        <w:t>FY2017</w:t>
      </w:r>
      <w:bookmarkEnd w:id="141"/>
    </w:p>
    <w:tbl>
      <w:tblPr>
        <w:tblW w:w="10862" w:type="dxa"/>
        <w:tblInd w:w="-2694" w:type="dxa"/>
        <w:tblLayout w:type="fixed"/>
        <w:tblCellMar>
          <w:left w:w="0" w:type="dxa"/>
          <w:bottom w:w="40" w:type="dxa"/>
          <w:right w:w="0" w:type="dxa"/>
        </w:tblCellMar>
        <w:tblLook w:val="0000" w:firstRow="0" w:lastRow="0" w:firstColumn="0" w:lastColumn="0" w:noHBand="0" w:noVBand="0"/>
        <w:tblDescription w:val="table_Std"/>
      </w:tblPr>
      <w:tblGrid>
        <w:gridCol w:w="285"/>
        <w:gridCol w:w="9354"/>
        <w:gridCol w:w="1223"/>
      </w:tblGrid>
      <w:tr w:rsidR="00E86A68" w:rsidTr="00533730">
        <w:trPr>
          <w:cantSplit/>
          <w:tblHeader/>
        </w:trPr>
        <w:tc>
          <w:tcPr>
            <w:tcW w:w="4437" w:type="pct"/>
            <w:gridSpan w:val="2"/>
            <w:shd w:val="clear" w:color="auto" w:fill="9D57A6"/>
            <w:tcMar>
              <w:left w:w="454" w:type="dxa"/>
              <w:bottom w:w="0" w:type="dxa"/>
            </w:tcMar>
          </w:tcPr>
          <w:p w:rsidR="00E71097" w:rsidRDefault="00E71097" w:rsidP="00DD52CC">
            <w:pPr>
              <w:pStyle w:val="Tablecolumnheadings"/>
            </w:pPr>
            <w:r>
              <w:t>Type</w:t>
            </w:r>
          </w:p>
        </w:tc>
        <w:tc>
          <w:tcPr>
            <w:tcW w:w="563" w:type="pct"/>
            <w:shd w:val="clear" w:color="auto" w:fill="9D57A6"/>
            <w:tcMar>
              <w:bottom w:w="0" w:type="dxa"/>
            </w:tcMar>
          </w:tcPr>
          <w:p w:rsidR="00E71097" w:rsidRDefault="00E71097" w:rsidP="00DD52CC">
            <w:pPr>
              <w:pStyle w:val="Tablecolumnheadings"/>
            </w:pPr>
            <w:r>
              <w:t>Fees (US$)</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tcBorders>
              <w:top w:val="nil"/>
            </w:tcBorders>
            <w:shd w:val="clear" w:color="auto" w:fill="DDDDDD"/>
          </w:tcPr>
          <w:p w:rsidR="00E71097" w:rsidRDefault="00E71097" w:rsidP="00DD52CC">
            <w:pPr>
              <w:pStyle w:val="Tabletext"/>
            </w:pPr>
            <w:r>
              <w:t>ADUFA III (non-generics)</w:t>
            </w:r>
          </w:p>
        </w:tc>
        <w:tc>
          <w:tcPr>
            <w:tcW w:w="563" w:type="pct"/>
            <w:tcBorders>
              <w:top w:val="nil"/>
            </w:tcBorders>
            <w:shd w:val="clear" w:color="auto" w:fill="DDDDDD"/>
          </w:tcPr>
          <w:p w:rsidR="00E71097" w:rsidRDefault="00E71097" w:rsidP="00DD52CC">
            <w:pPr>
              <w:pStyle w:val="Tabletext"/>
            </w:pPr>
          </w:p>
        </w:tc>
      </w:tr>
      <w:tr w:rsidR="00E86A68" w:rsidTr="00533730">
        <w:tblPrEx>
          <w:tblBorders>
            <w:bottom w:val="single" w:sz="4" w:space="0" w:color="646464"/>
            <w:insideH w:val="single" w:sz="4" w:space="0" w:color="646464"/>
          </w:tblBorders>
        </w:tblPrEx>
        <w:trPr>
          <w:gridBefore w:val="1"/>
          <w:wBefore w:w="131" w:type="pct"/>
          <w:cantSplit/>
        </w:trPr>
        <w:tc>
          <w:tcPr>
            <w:tcW w:w="4306" w:type="pct"/>
            <w:tcBorders>
              <w:top w:val="nil"/>
            </w:tcBorders>
            <w:shd w:val="clear" w:color="auto" w:fill="auto"/>
          </w:tcPr>
          <w:p w:rsidR="00E71097" w:rsidRDefault="00E71097" w:rsidP="00DD52CC">
            <w:pPr>
              <w:pStyle w:val="Tabletext"/>
            </w:pPr>
            <w:r>
              <w:t>Animal drug application</w:t>
            </w:r>
          </w:p>
        </w:tc>
        <w:tc>
          <w:tcPr>
            <w:tcW w:w="563" w:type="pct"/>
            <w:tcBorders>
              <w:top w:val="nil"/>
            </w:tcBorders>
            <w:shd w:val="clear" w:color="auto" w:fill="auto"/>
          </w:tcPr>
          <w:p w:rsidR="00E71097" w:rsidRDefault="00E71097" w:rsidP="008B35B2">
            <w:pPr>
              <w:pStyle w:val="Tabletext"/>
              <w:jc w:val="center"/>
            </w:pPr>
            <w:r>
              <w:t>350,700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sidRPr="00444D9D">
              <w:t>Supplemental Animal Drug Application requiring safety or effectiveness data and Animal Drug Application subject to criteria in 21 U.S.C. 360b(d)(4))</w:t>
            </w:r>
          </w:p>
        </w:tc>
        <w:tc>
          <w:tcPr>
            <w:tcW w:w="563" w:type="pct"/>
            <w:shd w:val="clear" w:color="auto" w:fill="auto"/>
          </w:tcPr>
          <w:p w:rsidR="00E71097" w:rsidRDefault="00E71097" w:rsidP="008B35B2">
            <w:pPr>
              <w:pStyle w:val="Tabletext"/>
              <w:jc w:val="center"/>
            </w:pPr>
            <w:r>
              <w:t>175,350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t>Product</w:t>
            </w:r>
          </w:p>
        </w:tc>
        <w:tc>
          <w:tcPr>
            <w:tcW w:w="563" w:type="pct"/>
            <w:shd w:val="clear" w:color="auto" w:fill="auto"/>
          </w:tcPr>
          <w:p w:rsidR="00E71097" w:rsidRDefault="00E71097" w:rsidP="008B35B2">
            <w:pPr>
              <w:pStyle w:val="Tabletext"/>
              <w:jc w:val="center"/>
            </w:pPr>
            <w:r>
              <w:t>8,195</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t>Establishment</w:t>
            </w:r>
          </w:p>
        </w:tc>
        <w:tc>
          <w:tcPr>
            <w:tcW w:w="563" w:type="pct"/>
            <w:shd w:val="clear" w:color="auto" w:fill="auto"/>
          </w:tcPr>
          <w:p w:rsidR="00E71097" w:rsidRDefault="00E71097" w:rsidP="008B35B2">
            <w:pPr>
              <w:pStyle w:val="Tabletext"/>
              <w:jc w:val="center"/>
            </w:pPr>
            <w:r>
              <w:t>111,900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tcBorders>
              <w:bottom w:val="single" w:sz="4" w:space="0" w:color="646464"/>
            </w:tcBorders>
            <w:shd w:val="clear" w:color="auto" w:fill="auto"/>
          </w:tcPr>
          <w:p w:rsidR="00E71097" w:rsidRDefault="00E71097" w:rsidP="00DD52CC">
            <w:pPr>
              <w:pStyle w:val="Tabletext"/>
            </w:pPr>
            <w:r>
              <w:t>Sponsor</w:t>
            </w:r>
          </w:p>
        </w:tc>
        <w:tc>
          <w:tcPr>
            <w:tcW w:w="563" w:type="pct"/>
            <w:tcBorders>
              <w:bottom w:val="single" w:sz="4" w:space="0" w:color="646464"/>
            </w:tcBorders>
            <w:shd w:val="clear" w:color="auto" w:fill="auto"/>
          </w:tcPr>
          <w:p w:rsidR="00E71097" w:rsidRDefault="00E71097" w:rsidP="008B35B2">
            <w:pPr>
              <w:pStyle w:val="Tabletext"/>
              <w:jc w:val="center"/>
            </w:pPr>
            <w:r>
              <w:t>103,100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tcBorders>
              <w:top w:val="single" w:sz="4" w:space="0" w:color="646464"/>
            </w:tcBorders>
            <w:shd w:val="clear" w:color="auto" w:fill="DDDDDD"/>
          </w:tcPr>
          <w:p w:rsidR="00E71097" w:rsidRDefault="00E71097" w:rsidP="00DD52CC">
            <w:pPr>
              <w:pStyle w:val="Tabletext"/>
            </w:pPr>
            <w:r>
              <w:t>AGDUFA II (Generic)</w:t>
            </w:r>
          </w:p>
        </w:tc>
        <w:tc>
          <w:tcPr>
            <w:tcW w:w="563" w:type="pct"/>
            <w:tcBorders>
              <w:top w:val="single" w:sz="4" w:space="0" w:color="646464"/>
            </w:tcBorders>
            <w:shd w:val="clear" w:color="auto" w:fill="DDDDDD"/>
          </w:tcPr>
          <w:p w:rsidR="00E71097" w:rsidRDefault="00E71097" w:rsidP="008B35B2">
            <w:pPr>
              <w:pStyle w:val="Tabletext"/>
              <w:jc w:val="center"/>
            </w:pP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Pr>
                <w:shd w:val="clear" w:color="auto" w:fill="FFFFFF"/>
              </w:rPr>
              <w:t>Abbreviated Generic New Animal Drug Application (except those subject to criteria in 21 U.S.C. 360b(d)(4))</w:t>
            </w:r>
          </w:p>
        </w:tc>
        <w:tc>
          <w:tcPr>
            <w:tcW w:w="563" w:type="pct"/>
            <w:shd w:val="clear" w:color="auto" w:fill="auto"/>
          </w:tcPr>
          <w:p w:rsidR="00E71097" w:rsidRDefault="00E71097" w:rsidP="008B35B2">
            <w:pPr>
              <w:pStyle w:val="Tabletext"/>
              <w:jc w:val="center"/>
            </w:pPr>
            <w:r>
              <w:t>232,400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Pr>
                <w:shd w:val="clear" w:color="auto" w:fill="FFFFFF"/>
              </w:rPr>
              <w:t>Abbreviated Generic New Animal Drug Application subject to criteria (50% of application fee)</w:t>
            </w:r>
          </w:p>
        </w:tc>
        <w:tc>
          <w:tcPr>
            <w:tcW w:w="563" w:type="pct"/>
            <w:shd w:val="clear" w:color="auto" w:fill="auto"/>
          </w:tcPr>
          <w:p w:rsidR="00E71097" w:rsidRDefault="00E71097" w:rsidP="008B35B2">
            <w:pPr>
              <w:pStyle w:val="Tabletext"/>
              <w:jc w:val="center"/>
            </w:pPr>
            <w:r>
              <w:t>116,200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t>Product</w:t>
            </w:r>
          </w:p>
        </w:tc>
        <w:tc>
          <w:tcPr>
            <w:tcW w:w="563" w:type="pct"/>
            <w:shd w:val="clear" w:color="auto" w:fill="auto"/>
          </w:tcPr>
          <w:p w:rsidR="00E71097" w:rsidRDefault="00E71097" w:rsidP="008B35B2">
            <w:pPr>
              <w:pStyle w:val="Tabletext"/>
              <w:jc w:val="center"/>
            </w:pPr>
            <w:r>
              <w:t>10,200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Pr>
                <w:shd w:val="clear" w:color="auto" w:fill="FFFFFF"/>
              </w:rPr>
              <w:t>Sponsor 100% (holds &gt; 6 approved abbreviated applications)</w:t>
            </w:r>
          </w:p>
        </w:tc>
        <w:tc>
          <w:tcPr>
            <w:tcW w:w="563" w:type="pct"/>
            <w:shd w:val="clear" w:color="auto" w:fill="auto"/>
          </w:tcPr>
          <w:p w:rsidR="00E71097" w:rsidRDefault="00E71097" w:rsidP="008B35B2">
            <w:pPr>
              <w:pStyle w:val="Tabletext"/>
              <w:jc w:val="center"/>
            </w:pPr>
            <w:r>
              <w:t>96,350</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Pr>
                <w:shd w:val="clear" w:color="auto" w:fill="FFFFFF"/>
              </w:rPr>
              <w:t>Sponsor 75% (holds 2-6 approved abbreviated applications)</w:t>
            </w:r>
          </w:p>
        </w:tc>
        <w:tc>
          <w:tcPr>
            <w:tcW w:w="563" w:type="pct"/>
            <w:shd w:val="clear" w:color="auto" w:fill="auto"/>
          </w:tcPr>
          <w:p w:rsidR="00E71097" w:rsidRDefault="00E71097" w:rsidP="008B35B2">
            <w:pPr>
              <w:pStyle w:val="Tabletext"/>
              <w:jc w:val="center"/>
            </w:pPr>
            <w:r>
              <w:t>72,263</w:t>
            </w:r>
          </w:p>
        </w:tc>
      </w:tr>
      <w:tr w:rsidR="00E86A68" w:rsidTr="00533730">
        <w:tblPrEx>
          <w:tblBorders>
            <w:bottom w:val="single" w:sz="4" w:space="0" w:color="646464"/>
            <w:insideH w:val="single" w:sz="4" w:space="0" w:color="646464"/>
          </w:tblBorders>
        </w:tblPrEx>
        <w:trPr>
          <w:gridBefore w:val="1"/>
          <w:wBefore w:w="131" w:type="pct"/>
          <w:cantSplit/>
        </w:trPr>
        <w:tc>
          <w:tcPr>
            <w:tcW w:w="4306" w:type="pct"/>
            <w:shd w:val="clear" w:color="auto" w:fill="auto"/>
          </w:tcPr>
          <w:p w:rsidR="00E71097" w:rsidRDefault="00E71097" w:rsidP="00DD52CC">
            <w:pPr>
              <w:pStyle w:val="Tabletext"/>
            </w:pPr>
            <w:r>
              <w:rPr>
                <w:shd w:val="clear" w:color="auto" w:fill="FFFFFF"/>
              </w:rPr>
              <w:t>Sponsor 50% (holds 0-1 approved abbreviated applications)</w:t>
            </w:r>
          </w:p>
        </w:tc>
        <w:tc>
          <w:tcPr>
            <w:tcW w:w="563" w:type="pct"/>
            <w:shd w:val="clear" w:color="auto" w:fill="auto"/>
          </w:tcPr>
          <w:p w:rsidR="00E71097" w:rsidRDefault="00E71097" w:rsidP="008B35B2">
            <w:pPr>
              <w:pStyle w:val="Tabletext"/>
              <w:jc w:val="center"/>
            </w:pPr>
            <w:r>
              <w:t>48,175</w:t>
            </w:r>
          </w:p>
        </w:tc>
      </w:tr>
      <w:tr w:rsidR="00E86A68" w:rsidTr="00533730">
        <w:tblPrEx>
          <w:tblBorders>
            <w:bottom w:val="single" w:sz="4" w:space="0" w:color="646464"/>
            <w:insideH w:val="single" w:sz="4" w:space="0" w:color="646464"/>
          </w:tblBorders>
        </w:tblPrEx>
        <w:trPr>
          <w:gridBefore w:val="1"/>
          <w:wBefore w:w="131" w:type="pct"/>
          <w:cantSplit/>
        </w:trPr>
        <w:tc>
          <w:tcPr>
            <w:tcW w:w="4869" w:type="pct"/>
            <w:gridSpan w:val="2"/>
            <w:tcBorders>
              <w:bottom w:val="single" w:sz="4" w:space="0" w:color="646464"/>
            </w:tcBorders>
            <w:shd w:val="clear" w:color="auto" w:fill="auto"/>
          </w:tcPr>
          <w:p w:rsidR="00E71097" w:rsidRDefault="00E71097" w:rsidP="00DD52CC">
            <w:pPr>
              <w:pStyle w:val="Source"/>
            </w:pPr>
            <w:r>
              <w:t xml:space="preserve">Source: </w:t>
            </w:r>
            <w:hyperlink r:id="rId81" w:history="1">
              <w:r w:rsidR="008109A9" w:rsidRPr="00BE119F">
                <w:rPr>
                  <w:rStyle w:val="Hyperlink"/>
                  <w:caps w:val="0"/>
                </w:rPr>
                <w:t>HTTPS://WWW.FDA.GOV/ANIMALVETERINARY/NEWSEVENTS/CVMUPDATES/UCM513124.HTM</w:t>
              </w:r>
            </w:hyperlink>
            <w:r w:rsidR="008109A9">
              <w:rPr>
                <w:rStyle w:val="Hyperlink"/>
                <w:caps w:val="0"/>
              </w:rPr>
              <w:t xml:space="preserve"> </w:t>
            </w:r>
            <w:r w:rsidR="008109A9" w:rsidRPr="008109A9">
              <w:rPr>
                <w:rStyle w:val="Hyperlink"/>
                <w:caps w:val="0"/>
                <w:color w:val="auto"/>
              </w:rPr>
              <w:t>ACCESSED ON 20 AUGUST 2017</w:t>
            </w:r>
          </w:p>
        </w:tc>
      </w:tr>
    </w:tbl>
    <w:p w:rsidR="00533730" w:rsidRDefault="00533730" w:rsidP="00533730">
      <w:pPr>
        <w:pStyle w:val="BodyText"/>
      </w:pPr>
      <w:r>
        <w:t>ADUFA III and ADUFA II (generic) application fees for financial year 2017 are provided in Table 5.5. Animal drug user fee</w:t>
      </w:r>
      <w:r w:rsidR="00AE60C5">
        <w:t>s</w:t>
      </w:r>
      <w:r>
        <w:t xml:space="preserve"> range between US$8,195 and US$350,700 </w:t>
      </w:r>
      <w:r w:rsidR="004264B4">
        <w:t xml:space="preserve">(at current exchange rate, A$442,399) </w:t>
      </w:r>
      <w:r>
        <w:t>for new animal drug applications. For generics, the user fee</w:t>
      </w:r>
      <w:r w:rsidR="00AE60C5">
        <w:t>s</w:t>
      </w:r>
      <w:r>
        <w:t xml:space="preserve"> range between US$10,200 and US$232,400</w:t>
      </w:r>
      <w:r w:rsidR="004264B4">
        <w:t xml:space="preserve"> (at current exchange rate, A$293,166)</w:t>
      </w:r>
      <w:r>
        <w:t>. The fee is 34 per cent lower for generic new animal drug</w:t>
      </w:r>
      <w:r w:rsidR="004264B4">
        <w:t>s</w:t>
      </w:r>
      <w:r>
        <w:t xml:space="preserve"> relative </w:t>
      </w:r>
      <w:r w:rsidR="00AE60C5">
        <w:t xml:space="preserve">to </w:t>
      </w:r>
      <w:r>
        <w:t>new non-generic animal drug</w:t>
      </w:r>
      <w:r w:rsidR="00AE60C5">
        <w:t>s</w:t>
      </w:r>
      <w:r w:rsidR="004264B4">
        <w:t>.</w:t>
      </w:r>
      <w:r>
        <w:t xml:space="preserve"> </w:t>
      </w:r>
    </w:p>
    <w:p w:rsidR="009D6713" w:rsidRDefault="009D6713" w:rsidP="009D6713">
      <w:pPr>
        <w:pStyle w:val="Heading2"/>
      </w:pPr>
      <w:bookmarkStart w:id="142" w:name="_Toc497300845"/>
      <w:r>
        <w:t>Canada</w:t>
      </w:r>
      <w:bookmarkEnd w:id="142"/>
    </w:p>
    <w:p w:rsidR="009D6713" w:rsidRDefault="00323591" w:rsidP="009D6713">
      <w:pPr>
        <w:pStyle w:val="BodyText"/>
      </w:pPr>
      <w:r>
        <w:t>The fee for an a</w:t>
      </w:r>
      <w:r w:rsidR="00581160">
        <w:t>pplication</w:t>
      </w:r>
      <w:r>
        <w:t xml:space="preserve"> for a new active ingredient </w:t>
      </w:r>
      <w:r w:rsidR="00581160">
        <w:t>for a pesticide is around C</w:t>
      </w:r>
      <w:r w:rsidR="00FE73D9">
        <w:t>$</w:t>
      </w:r>
      <w:r w:rsidR="00581160">
        <w:t>330</w:t>
      </w:r>
      <w:r w:rsidR="00E2773D">
        <w:t>,000</w:t>
      </w:r>
      <w:r w:rsidR="00581160">
        <w:rPr>
          <w:rStyle w:val="FootnoteReference"/>
        </w:rPr>
        <w:footnoteReference w:id="101"/>
      </w:r>
      <w:r w:rsidR="004264B4">
        <w:t xml:space="preserve"> (at current exchange rate, A$329,017).</w:t>
      </w:r>
      <w:r w:rsidR="001263A3">
        <w:t xml:space="preserve"> </w:t>
      </w:r>
      <w:r w:rsidR="00A6483D" w:rsidRPr="00476A2F">
        <w:t>The annual fee charged by the Canadian regulator for the sale of approved veterinary drugs is $250.</w:t>
      </w:r>
      <w:r w:rsidR="00835BCD" w:rsidRPr="00476A2F">
        <w:rPr>
          <w:rStyle w:val="FootnoteReference"/>
        </w:rPr>
        <w:t xml:space="preserve"> </w:t>
      </w:r>
      <w:r w:rsidR="00835BCD" w:rsidRPr="00476A2F">
        <w:rPr>
          <w:rStyle w:val="FootnoteReference"/>
        </w:rPr>
        <w:footnoteReference w:id="102"/>
      </w:r>
      <w:r w:rsidR="00A6483D">
        <w:t xml:space="preserve"> </w:t>
      </w:r>
    </w:p>
    <w:p w:rsidR="009808E4" w:rsidRDefault="00512ABB" w:rsidP="009808E4">
      <w:pPr>
        <w:pStyle w:val="Heading2"/>
      </w:pPr>
      <w:bookmarkStart w:id="143" w:name="_Toc497300846"/>
      <w:r>
        <w:t>N</w:t>
      </w:r>
      <w:r w:rsidR="009808E4">
        <w:t>ew Zealand</w:t>
      </w:r>
      <w:bookmarkEnd w:id="143"/>
    </w:p>
    <w:p w:rsidR="00F079D9" w:rsidRDefault="00736F3A" w:rsidP="00736F3A">
      <w:pPr>
        <w:pStyle w:val="Heading3"/>
      </w:pPr>
      <w:r>
        <w:t>Assessment period</w:t>
      </w:r>
    </w:p>
    <w:p w:rsidR="00736F3A" w:rsidRDefault="00CC13DC" w:rsidP="005C6C54">
      <w:pPr>
        <w:pStyle w:val="BodyText"/>
      </w:pPr>
      <w:r>
        <w:rPr>
          <w:lang w:val="en-US"/>
        </w:rPr>
        <w:t>As noted earlier, pre-application requirements</w:t>
      </w:r>
      <w:r w:rsidR="00DF2455" w:rsidRPr="00DF2455">
        <w:rPr>
          <w:lang w:val="en-US"/>
        </w:rPr>
        <w:t xml:space="preserve"> </w:t>
      </w:r>
      <w:r w:rsidR="00DF2455">
        <w:rPr>
          <w:lang w:val="en-US"/>
        </w:rPr>
        <w:t>in New Zealand</w:t>
      </w:r>
      <w:r>
        <w:rPr>
          <w:lang w:val="en-US"/>
        </w:rPr>
        <w:t xml:space="preserve">, including assessment by the NZEPA, reduce the work and time required for dedicated agvet assessment and registration. </w:t>
      </w:r>
      <w:r w:rsidR="005C6C54">
        <w:rPr>
          <w:lang w:val="en-US"/>
        </w:rPr>
        <w:t>The ACVM Act specifies MPI has 40 working days to consider and make a decision on an application for registration. Where an application is publicly notified there is an ad</w:t>
      </w:r>
      <w:r w:rsidR="00D341A3">
        <w:rPr>
          <w:lang w:val="en-US"/>
        </w:rPr>
        <w:t>ditional 30 working days. The 4</w:t>
      </w:r>
      <w:r w:rsidR="002070C7">
        <w:rPr>
          <w:lang w:val="en-US"/>
        </w:rPr>
        <w:t>0</w:t>
      </w:r>
      <w:r w:rsidR="00D341A3">
        <w:rPr>
          <w:lang w:val="en-US"/>
        </w:rPr>
        <w:t> </w:t>
      </w:r>
      <w:r w:rsidR="005C6C54">
        <w:rPr>
          <w:lang w:val="en-US"/>
        </w:rPr>
        <w:t xml:space="preserve">working days can be extended if an approval for the product is required under the </w:t>
      </w:r>
      <w:r w:rsidR="005C6C54" w:rsidRPr="009C535C">
        <w:rPr>
          <w:i/>
          <w:lang w:val="en-US"/>
        </w:rPr>
        <w:t>Hazardous Substances and New Organisms Act</w:t>
      </w:r>
      <w:r w:rsidR="005C6C54">
        <w:rPr>
          <w:lang w:val="en-US"/>
        </w:rPr>
        <w:t>, administered by the NZEPA. In such situations,</w:t>
      </w:r>
      <w:r w:rsidR="00D341A3">
        <w:rPr>
          <w:lang w:val="en-US"/>
        </w:rPr>
        <w:t xml:space="preserve"> once it is approved, MPI has five </w:t>
      </w:r>
      <w:r w:rsidR="005C6C54">
        <w:rPr>
          <w:lang w:val="en-US"/>
        </w:rPr>
        <w:t>working days to make a decision.</w:t>
      </w:r>
    </w:p>
    <w:p w:rsidR="00E2773D" w:rsidRDefault="00E2773D" w:rsidP="00E2773D">
      <w:pPr>
        <w:pStyle w:val="Heading3"/>
      </w:pPr>
      <w:bookmarkStart w:id="144" w:name="_Toc485376177"/>
      <w:r>
        <w:t>Registration costs</w:t>
      </w:r>
    </w:p>
    <w:p w:rsidR="00CC13DC" w:rsidRDefault="00CC13DC" w:rsidP="00CC13DC">
      <w:pPr>
        <w:pStyle w:val="BodyText"/>
      </w:pPr>
      <w:r>
        <w:t xml:space="preserve">In line with pre-application requirements, NZEPA costs are generally incurred prior to </w:t>
      </w:r>
      <w:r w:rsidR="001F101B">
        <w:t xml:space="preserve">the </w:t>
      </w:r>
      <w:r>
        <w:t xml:space="preserve">application to the agvet regulator. </w:t>
      </w:r>
    </w:p>
    <w:p w:rsidR="00E2773D" w:rsidRDefault="00E2773D" w:rsidP="00E2773D">
      <w:pPr>
        <w:pStyle w:val="BodyText"/>
      </w:pPr>
      <w:r>
        <w:t xml:space="preserve">The NZ fees are based on the time taken to register the product with ACVM. They are based on hourly rates. The fees are prescribed in the </w:t>
      </w:r>
      <w:r w:rsidRPr="001E2F19">
        <w:rPr>
          <w:i/>
        </w:rPr>
        <w:t>ACVM Regulations 2015</w:t>
      </w:r>
      <w:r>
        <w:t xml:space="preserve">. The rate is </w:t>
      </w:r>
      <w:r w:rsidR="00FE73D9">
        <w:t>NZ</w:t>
      </w:r>
      <w:r>
        <w:t>$155</w:t>
      </w:r>
      <w:r w:rsidR="006E37B2">
        <w:t xml:space="preserve"> </w:t>
      </w:r>
      <w:r>
        <w:t>/</w:t>
      </w:r>
      <w:r w:rsidR="006E37B2">
        <w:t xml:space="preserve"> </w:t>
      </w:r>
      <w:r>
        <w:t xml:space="preserve">hour excluding GST at July 2015.  Estimated fees for ACVM regulatory assessment of agricultural chemicals for new applications are provided in </w:t>
      </w:r>
      <w:r>
        <w:fldChar w:fldCharType="begin"/>
      </w:r>
      <w:r>
        <w:instrText xml:space="preserve"> REF _Ref485634884 \h </w:instrText>
      </w:r>
      <w:r>
        <w:fldChar w:fldCharType="separate"/>
      </w:r>
      <w:r w:rsidR="0087688C" w:rsidRPr="00FC29C8">
        <w:rPr>
          <w:rStyle w:val="CaptionLabel"/>
        </w:rPr>
        <w:t>Table</w:t>
      </w:r>
      <w:r w:rsidR="0087688C">
        <w:rPr>
          <w:rStyle w:val="CaptionLabel"/>
        </w:rPr>
        <w:t> </w:t>
      </w:r>
      <w:r w:rsidR="0087688C">
        <w:rPr>
          <w:rStyle w:val="CaptionLabel"/>
          <w:noProof/>
        </w:rPr>
        <w:t>5</w:t>
      </w:r>
      <w:r w:rsidR="0087688C" w:rsidRPr="00FC29C8">
        <w:rPr>
          <w:rStyle w:val="CaptionLabel"/>
        </w:rPr>
        <w:t>.</w:t>
      </w:r>
      <w:r w:rsidR="0087688C">
        <w:rPr>
          <w:rStyle w:val="CaptionLabel"/>
          <w:noProof/>
        </w:rPr>
        <w:t>6</w:t>
      </w:r>
      <w:r>
        <w:fldChar w:fldCharType="end"/>
      </w:r>
      <w:r>
        <w:t>.</w:t>
      </w:r>
    </w:p>
    <w:p w:rsidR="0020373C" w:rsidRDefault="0020373C" w:rsidP="0020373C">
      <w:pPr>
        <w:pStyle w:val="BodyText"/>
      </w:pPr>
      <w:r w:rsidRPr="001E2F19">
        <w:t>Generally, the registration costs based on the fees in the regulations for registration of a product range between NZ$1000 and NZ$</w:t>
      </w:r>
      <w:r>
        <w:t>4</w:t>
      </w:r>
      <w:r w:rsidRPr="001E2F19">
        <w:t>,</w:t>
      </w:r>
      <w:r>
        <w:t>5</w:t>
      </w:r>
      <w:r w:rsidR="004264B4">
        <w:t>00 (at current exchange rate, A$4,175).</w:t>
      </w:r>
    </w:p>
    <w:p w:rsidR="00E2773D" w:rsidRDefault="00E2773D" w:rsidP="00E2773D">
      <w:pPr>
        <w:pStyle w:val="Caption"/>
        <w:spacing w:before="160"/>
      </w:pPr>
      <w:bookmarkStart w:id="145" w:name="_Ref485634884"/>
      <w:bookmarkStart w:id="146" w:name="_Toc497132817"/>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5</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6</w:t>
      </w:r>
      <w:r w:rsidRPr="00FC29C8">
        <w:rPr>
          <w:rStyle w:val="CaptionLabel"/>
        </w:rPr>
        <w:fldChar w:fldCharType="end"/>
      </w:r>
      <w:bookmarkEnd w:id="145"/>
      <w:r>
        <w:tab/>
        <w:t>Estimated fees for agvet chemical registration in N</w:t>
      </w:r>
      <w:r w:rsidR="0020373C">
        <w:t xml:space="preserve">ew </w:t>
      </w:r>
      <w:r>
        <w:t>Z</w:t>
      </w:r>
      <w:r w:rsidR="0020373C">
        <w:t>ealand</w:t>
      </w:r>
      <w:bookmarkEnd w:id="146"/>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5"/>
        <w:gridCol w:w="566"/>
        <w:gridCol w:w="1985"/>
        <w:gridCol w:w="1418"/>
        <w:gridCol w:w="1701"/>
        <w:gridCol w:w="2499"/>
      </w:tblGrid>
      <w:tr w:rsidR="00E86A68" w:rsidTr="0020373C">
        <w:trPr>
          <w:cantSplit/>
          <w:tblHeader/>
        </w:trPr>
        <w:tc>
          <w:tcPr>
            <w:tcW w:w="592" w:type="pct"/>
            <w:gridSpan w:val="2"/>
            <w:shd w:val="clear" w:color="auto" w:fill="9D57A6"/>
            <w:tcMar>
              <w:left w:w="454" w:type="dxa"/>
              <w:bottom w:w="0" w:type="dxa"/>
            </w:tcMar>
          </w:tcPr>
          <w:p w:rsidR="00E2773D" w:rsidRDefault="00E2773D" w:rsidP="00DD52CC">
            <w:pPr>
              <w:pStyle w:val="Tablecolumnheadings"/>
            </w:pPr>
            <w:r>
              <w:t>Type</w:t>
            </w:r>
          </w:p>
        </w:tc>
        <w:tc>
          <w:tcPr>
            <w:tcW w:w="1151" w:type="pct"/>
            <w:shd w:val="clear" w:color="auto" w:fill="9D57A6"/>
            <w:tcMar>
              <w:bottom w:w="0" w:type="dxa"/>
            </w:tcMar>
          </w:tcPr>
          <w:p w:rsidR="00E2773D" w:rsidRDefault="00E2773D" w:rsidP="00DD52CC">
            <w:pPr>
              <w:pStyle w:val="Tablecolumnheadings"/>
            </w:pPr>
            <w:r>
              <w:t>Description of type</w:t>
            </w:r>
          </w:p>
        </w:tc>
        <w:tc>
          <w:tcPr>
            <w:tcW w:w="822" w:type="pct"/>
            <w:shd w:val="clear" w:color="auto" w:fill="9D57A6"/>
            <w:tcMar>
              <w:bottom w:w="0" w:type="dxa"/>
            </w:tcMar>
          </w:tcPr>
          <w:p w:rsidR="00E2773D" w:rsidRDefault="00E2773D" w:rsidP="00DD52CC">
            <w:pPr>
              <w:pStyle w:val="Tablecolumnheadings"/>
            </w:pPr>
            <w:r>
              <w:t>Pre-screen fee</w:t>
            </w:r>
          </w:p>
        </w:tc>
        <w:tc>
          <w:tcPr>
            <w:tcW w:w="986" w:type="pct"/>
            <w:shd w:val="clear" w:color="auto" w:fill="9D57A6"/>
            <w:tcMar>
              <w:bottom w:w="0" w:type="dxa"/>
            </w:tcMar>
          </w:tcPr>
          <w:p w:rsidR="00E2773D" w:rsidRDefault="00E2773D" w:rsidP="00DD52CC">
            <w:pPr>
              <w:pStyle w:val="Tablecolumnheadings"/>
            </w:pPr>
            <w:r>
              <w:t>Processing time</w:t>
            </w:r>
          </w:p>
        </w:tc>
        <w:tc>
          <w:tcPr>
            <w:tcW w:w="1449" w:type="pct"/>
            <w:shd w:val="clear" w:color="auto" w:fill="9D57A6"/>
            <w:tcMar>
              <w:bottom w:w="0" w:type="dxa"/>
            </w:tcMar>
          </w:tcPr>
          <w:p w:rsidR="00E2773D" w:rsidRDefault="00E2773D" w:rsidP="00DD52CC">
            <w:pPr>
              <w:pStyle w:val="Tablecolumnheadings"/>
            </w:pPr>
            <w:r>
              <w:t>Estimate of time and fee</w:t>
            </w:r>
          </w:p>
        </w:tc>
      </w:tr>
      <w:tr w:rsidR="00E86A68" w:rsidTr="0020373C">
        <w:tblPrEx>
          <w:tblBorders>
            <w:bottom w:val="single" w:sz="4" w:space="0" w:color="646464"/>
            <w:insideH w:val="single" w:sz="4" w:space="0" w:color="646464"/>
          </w:tblBorders>
        </w:tblPrEx>
        <w:trPr>
          <w:gridBefore w:val="1"/>
          <w:wBefore w:w="264" w:type="pct"/>
          <w:cantSplit/>
        </w:trPr>
        <w:tc>
          <w:tcPr>
            <w:tcW w:w="328" w:type="pct"/>
            <w:tcBorders>
              <w:top w:val="nil"/>
            </w:tcBorders>
            <w:shd w:val="clear" w:color="auto" w:fill="auto"/>
          </w:tcPr>
          <w:p w:rsidR="00E2773D" w:rsidRDefault="00E2773D" w:rsidP="00DD52CC">
            <w:pPr>
              <w:pStyle w:val="Tabletext"/>
            </w:pPr>
          </w:p>
        </w:tc>
        <w:tc>
          <w:tcPr>
            <w:tcW w:w="1151" w:type="pct"/>
            <w:tcBorders>
              <w:top w:val="nil"/>
            </w:tcBorders>
            <w:shd w:val="clear" w:color="auto" w:fill="auto"/>
          </w:tcPr>
          <w:p w:rsidR="00E2773D" w:rsidRDefault="00E2773D" w:rsidP="00DD52CC">
            <w:pPr>
              <w:pStyle w:val="Tabletext"/>
            </w:pPr>
            <w:r>
              <w:t>New active ingredient</w:t>
            </w:r>
          </w:p>
        </w:tc>
        <w:tc>
          <w:tcPr>
            <w:tcW w:w="822" w:type="pct"/>
            <w:tcBorders>
              <w:top w:val="nil"/>
            </w:tcBorders>
            <w:shd w:val="clear" w:color="auto" w:fill="auto"/>
          </w:tcPr>
          <w:p w:rsidR="00E2773D" w:rsidRDefault="00E2773D" w:rsidP="00DD52CC">
            <w:pPr>
              <w:pStyle w:val="Tabletext"/>
            </w:pPr>
            <w:r>
              <w:t>NZ$540 (excluding GST)</w:t>
            </w:r>
          </w:p>
        </w:tc>
        <w:tc>
          <w:tcPr>
            <w:tcW w:w="986" w:type="pct"/>
            <w:tcBorders>
              <w:top w:val="nil"/>
            </w:tcBorders>
            <w:shd w:val="clear" w:color="auto" w:fill="auto"/>
          </w:tcPr>
          <w:p w:rsidR="00E2773D" w:rsidRDefault="00E2773D" w:rsidP="00DD52CC">
            <w:pPr>
              <w:pStyle w:val="Tabletext"/>
            </w:pPr>
            <w:r>
              <w:t>40 working days</w:t>
            </w:r>
          </w:p>
        </w:tc>
        <w:tc>
          <w:tcPr>
            <w:tcW w:w="1449" w:type="pct"/>
            <w:tcBorders>
              <w:top w:val="nil"/>
            </w:tcBorders>
            <w:shd w:val="clear" w:color="auto" w:fill="auto"/>
          </w:tcPr>
          <w:p w:rsidR="00E2773D" w:rsidRDefault="00E2773D" w:rsidP="00DD52CC">
            <w:pPr>
              <w:pStyle w:val="Tabletext"/>
            </w:pPr>
            <w:r>
              <w:t>12-25 hours @155</w:t>
            </w:r>
            <w:r w:rsidR="006E37B2">
              <w:t xml:space="preserve"> </w:t>
            </w:r>
            <w:r>
              <w:t>/</w:t>
            </w:r>
            <w:r w:rsidR="006E37B2">
              <w:t xml:space="preserve"> </w:t>
            </w:r>
            <w:r>
              <w:t>hour = NZ$2,400 – NZ$4,415</w:t>
            </w:r>
          </w:p>
        </w:tc>
      </w:tr>
      <w:tr w:rsidR="00E86A68" w:rsidTr="0020373C">
        <w:tblPrEx>
          <w:tblBorders>
            <w:bottom w:val="single" w:sz="4" w:space="0" w:color="646464"/>
            <w:insideH w:val="single" w:sz="4" w:space="0" w:color="646464"/>
          </w:tblBorders>
        </w:tblPrEx>
        <w:trPr>
          <w:gridBefore w:val="1"/>
          <w:wBefore w:w="264" w:type="pct"/>
          <w:cantSplit/>
        </w:trPr>
        <w:tc>
          <w:tcPr>
            <w:tcW w:w="328" w:type="pct"/>
            <w:shd w:val="clear" w:color="auto" w:fill="auto"/>
          </w:tcPr>
          <w:p w:rsidR="00E2773D" w:rsidRDefault="00E2773D" w:rsidP="00DD52CC">
            <w:pPr>
              <w:pStyle w:val="Tabletext"/>
            </w:pPr>
            <w:r>
              <w:t>A2</w:t>
            </w:r>
          </w:p>
        </w:tc>
        <w:tc>
          <w:tcPr>
            <w:tcW w:w="1151" w:type="pct"/>
            <w:shd w:val="clear" w:color="auto" w:fill="auto"/>
          </w:tcPr>
          <w:p w:rsidR="00E2773D" w:rsidRDefault="00E2773D" w:rsidP="00DD52CC">
            <w:pPr>
              <w:pStyle w:val="Tabletext"/>
            </w:pPr>
            <w:r>
              <w:t>Existing Active Ingredient with different profile, such as new use</w:t>
            </w:r>
          </w:p>
        </w:tc>
        <w:tc>
          <w:tcPr>
            <w:tcW w:w="822" w:type="pct"/>
            <w:shd w:val="clear" w:color="auto" w:fill="auto"/>
          </w:tcPr>
          <w:p w:rsidR="00E2773D" w:rsidRDefault="00E2773D" w:rsidP="00DD52CC">
            <w:pPr>
              <w:pStyle w:val="Tabletext"/>
            </w:pPr>
            <w:r>
              <w:t>NZ$540 (excluding GST)</w:t>
            </w:r>
          </w:p>
        </w:tc>
        <w:tc>
          <w:tcPr>
            <w:tcW w:w="986" w:type="pct"/>
            <w:shd w:val="clear" w:color="auto" w:fill="auto"/>
          </w:tcPr>
          <w:p w:rsidR="00E2773D" w:rsidRDefault="00E2773D" w:rsidP="00DD52CC">
            <w:pPr>
              <w:pStyle w:val="Tabletext"/>
            </w:pPr>
            <w:r>
              <w:t>40 working days</w:t>
            </w:r>
          </w:p>
        </w:tc>
        <w:tc>
          <w:tcPr>
            <w:tcW w:w="1449" w:type="pct"/>
            <w:shd w:val="clear" w:color="auto" w:fill="auto"/>
          </w:tcPr>
          <w:p w:rsidR="00E2773D" w:rsidRDefault="00E2773D" w:rsidP="00DD52CC">
            <w:pPr>
              <w:pStyle w:val="Tabletext"/>
            </w:pPr>
            <w:r>
              <w:t>12-18 hours @155</w:t>
            </w:r>
            <w:r w:rsidR="006E37B2">
              <w:t xml:space="preserve"> </w:t>
            </w:r>
            <w:r>
              <w:t>/</w:t>
            </w:r>
            <w:r w:rsidR="006E37B2">
              <w:t xml:space="preserve"> </w:t>
            </w:r>
            <w:r>
              <w:t>hour = NZ$2,400 – NZ$2,790</w:t>
            </w:r>
          </w:p>
        </w:tc>
      </w:tr>
      <w:tr w:rsidR="00E86A68" w:rsidTr="0020373C">
        <w:tblPrEx>
          <w:tblBorders>
            <w:bottom w:val="single" w:sz="4" w:space="0" w:color="646464"/>
            <w:insideH w:val="single" w:sz="4" w:space="0" w:color="646464"/>
          </w:tblBorders>
        </w:tblPrEx>
        <w:trPr>
          <w:gridBefore w:val="1"/>
          <w:wBefore w:w="264" w:type="pct"/>
          <w:cantSplit/>
        </w:trPr>
        <w:tc>
          <w:tcPr>
            <w:tcW w:w="328" w:type="pct"/>
            <w:shd w:val="clear" w:color="auto" w:fill="auto"/>
          </w:tcPr>
          <w:p w:rsidR="00E2773D" w:rsidRDefault="00E2773D" w:rsidP="00DD52CC">
            <w:pPr>
              <w:pStyle w:val="Tabletext"/>
            </w:pPr>
            <w:r>
              <w:t>B1</w:t>
            </w:r>
          </w:p>
        </w:tc>
        <w:tc>
          <w:tcPr>
            <w:tcW w:w="1151" w:type="pct"/>
            <w:shd w:val="clear" w:color="auto" w:fill="auto"/>
          </w:tcPr>
          <w:p w:rsidR="00E2773D" w:rsidRDefault="00E2773D" w:rsidP="00DD52CC">
            <w:pPr>
              <w:pStyle w:val="Tabletext"/>
            </w:pPr>
            <w:r>
              <w:t>Identical to Registered Product (all the same except trade name)</w:t>
            </w:r>
          </w:p>
        </w:tc>
        <w:tc>
          <w:tcPr>
            <w:tcW w:w="822" w:type="pct"/>
            <w:shd w:val="clear" w:color="auto" w:fill="auto"/>
          </w:tcPr>
          <w:p w:rsidR="00E2773D" w:rsidRDefault="00E2773D" w:rsidP="00DD52CC">
            <w:pPr>
              <w:pStyle w:val="Tabletext"/>
            </w:pPr>
          </w:p>
        </w:tc>
        <w:tc>
          <w:tcPr>
            <w:tcW w:w="986" w:type="pct"/>
            <w:shd w:val="clear" w:color="auto" w:fill="auto"/>
          </w:tcPr>
          <w:p w:rsidR="00E2773D" w:rsidRDefault="00E2773D" w:rsidP="00DD52CC">
            <w:pPr>
              <w:pStyle w:val="Tabletext"/>
            </w:pPr>
            <w:r>
              <w:t>40 working days</w:t>
            </w:r>
          </w:p>
        </w:tc>
        <w:tc>
          <w:tcPr>
            <w:tcW w:w="1449" w:type="pct"/>
            <w:shd w:val="clear" w:color="auto" w:fill="auto"/>
          </w:tcPr>
          <w:p w:rsidR="00E2773D" w:rsidRDefault="00E2773D" w:rsidP="00DD52CC">
            <w:pPr>
              <w:pStyle w:val="Tabletext"/>
            </w:pPr>
            <w:r>
              <w:t>4-5 hours @155</w:t>
            </w:r>
            <w:r w:rsidR="006E37B2">
              <w:t xml:space="preserve"> </w:t>
            </w:r>
            <w:r>
              <w:t>/</w:t>
            </w:r>
            <w:r w:rsidR="006E37B2">
              <w:t xml:space="preserve"> </w:t>
            </w:r>
            <w:r>
              <w:t>hour = NZ$775 – NZ$2,790</w:t>
            </w:r>
          </w:p>
        </w:tc>
      </w:tr>
      <w:tr w:rsidR="00E86A68" w:rsidTr="0020373C">
        <w:tblPrEx>
          <w:tblBorders>
            <w:bottom w:val="single" w:sz="4" w:space="0" w:color="646464"/>
            <w:insideH w:val="single" w:sz="4" w:space="0" w:color="646464"/>
          </w:tblBorders>
        </w:tblPrEx>
        <w:trPr>
          <w:gridBefore w:val="1"/>
          <w:wBefore w:w="264" w:type="pct"/>
          <w:cantSplit/>
        </w:trPr>
        <w:tc>
          <w:tcPr>
            <w:tcW w:w="328" w:type="pct"/>
            <w:shd w:val="clear" w:color="auto" w:fill="auto"/>
          </w:tcPr>
          <w:p w:rsidR="00E2773D" w:rsidRDefault="00E2773D" w:rsidP="00DD52CC">
            <w:pPr>
              <w:pStyle w:val="Tabletext"/>
            </w:pPr>
            <w:r>
              <w:t>B2</w:t>
            </w:r>
          </w:p>
        </w:tc>
        <w:tc>
          <w:tcPr>
            <w:tcW w:w="1151" w:type="pct"/>
            <w:shd w:val="clear" w:color="auto" w:fill="auto"/>
          </w:tcPr>
          <w:p w:rsidR="00E2773D" w:rsidRDefault="00E2773D" w:rsidP="00DD52CC">
            <w:pPr>
              <w:pStyle w:val="Tabletext"/>
            </w:pPr>
            <w:r>
              <w:t>Similar to Registered Product (same active ingredient, same formulation type, same dose regime, same use patterns)</w:t>
            </w:r>
          </w:p>
        </w:tc>
        <w:tc>
          <w:tcPr>
            <w:tcW w:w="822" w:type="pct"/>
            <w:shd w:val="clear" w:color="auto" w:fill="auto"/>
          </w:tcPr>
          <w:p w:rsidR="00E2773D" w:rsidRDefault="00E2773D" w:rsidP="00DD52CC">
            <w:pPr>
              <w:pStyle w:val="Tabletext"/>
            </w:pPr>
            <w:r>
              <w:t>NZ$540 (excluding GST)</w:t>
            </w:r>
          </w:p>
        </w:tc>
        <w:tc>
          <w:tcPr>
            <w:tcW w:w="986" w:type="pct"/>
            <w:shd w:val="clear" w:color="auto" w:fill="auto"/>
          </w:tcPr>
          <w:p w:rsidR="00E2773D" w:rsidRDefault="00E2773D" w:rsidP="00DD52CC">
            <w:pPr>
              <w:pStyle w:val="Tabletext"/>
            </w:pPr>
            <w:r>
              <w:t>40 working days</w:t>
            </w:r>
          </w:p>
        </w:tc>
        <w:tc>
          <w:tcPr>
            <w:tcW w:w="1449" w:type="pct"/>
            <w:shd w:val="clear" w:color="auto" w:fill="auto"/>
          </w:tcPr>
          <w:p w:rsidR="00E2773D" w:rsidRDefault="00E2773D" w:rsidP="00DD52CC">
            <w:pPr>
              <w:pStyle w:val="Tabletext"/>
            </w:pPr>
            <w:r>
              <w:t>8-12 hours @155</w:t>
            </w:r>
            <w:r w:rsidR="006E37B2">
              <w:t xml:space="preserve"> </w:t>
            </w:r>
            <w:r>
              <w:t>/</w:t>
            </w:r>
            <w:r w:rsidR="006E37B2">
              <w:t xml:space="preserve"> </w:t>
            </w:r>
            <w:r>
              <w:t>hour = NZ$1,780 – NZ$2,400</w:t>
            </w:r>
          </w:p>
        </w:tc>
      </w:tr>
      <w:tr w:rsidR="00E86A68" w:rsidTr="00DD52CC">
        <w:tblPrEx>
          <w:tblBorders>
            <w:bottom w:val="single" w:sz="4" w:space="0" w:color="646464"/>
            <w:insideH w:val="single" w:sz="4" w:space="0" w:color="646464"/>
          </w:tblBorders>
        </w:tblPrEx>
        <w:trPr>
          <w:gridBefore w:val="1"/>
          <w:wBefore w:w="264" w:type="pct"/>
          <w:cantSplit/>
        </w:trPr>
        <w:tc>
          <w:tcPr>
            <w:tcW w:w="4736" w:type="pct"/>
            <w:gridSpan w:val="5"/>
            <w:tcBorders>
              <w:bottom w:val="single" w:sz="4" w:space="0" w:color="646464"/>
            </w:tcBorders>
            <w:shd w:val="clear" w:color="auto" w:fill="auto"/>
          </w:tcPr>
          <w:p w:rsidR="00E2773D" w:rsidRDefault="00E2773D" w:rsidP="00DD52CC">
            <w:pPr>
              <w:pStyle w:val="Source"/>
            </w:pPr>
            <w:r>
              <w:t xml:space="preserve">Source: </w:t>
            </w:r>
            <w:hyperlink r:id="rId82" w:history="1">
              <w:r w:rsidR="008109A9" w:rsidRPr="00BE119F">
                <w:rPr>
                  <w:rStyle w:val="Hyperlink"/>
                  <w:caps w:val="0"/>
                </w:rPr>
                <w:t>HTTP://WWW.FOODSAFETY.GOVT.NZ/ELIBRARY/INDUSTRY/ESTIMATED-FEES-FOR-REGULATORY-ASSESSMENT-OF-AGCHEMS.PDF</w:t>
              </w:r>
            </w:hyperlink>
            <w:r w:rsidR="008109A9">
              <w:rPr>
                <w:rStyle w:val="Hyperlink"/>
                <w:caps w:val="0"/>
              </w:rPr>
              <w:t xml:space="preserve"> </w:t>
            </w:r>
            <w:r w:rsidR="008109A9" w:rsidRPr="00A74B22">
              <w:rPr>
                <w:rStyle w:val="Hyperlink"/>
                <w:caps w:val="0"/>
                <w:color w:val="auto"/>
              </w:rPr>
              <w:t>ACCESSED ON 20 AUGUST 2017</w:t>
            </w:r>
          </w:p>
        </w:tc>
      </w:tr>
      <w:tr w:rsidR="00E86A68" w:rsidTr="00DD52CC">
        <w:tblPrEx>
          <w:tblBorders>
            <w:bottom w:val="single" w:sz="4" w:space="0" w:color="646464"/>
            <w:insideH w:val="single" w:sz="4" w:space="0" w:color="646464"/>
          </w:tblBorders>
        </w:tblPrEx>
        <w:trPr>
          <w:gridBefore w:val="1"/>
          <w:wBefore w:w="264" w:type="pct"/>
          <w:cantSplit/>
          <w:trHeight w:hRule="exact" w:val="120"/>
        </w:trPr>
        <w:tc>
          <w:tcPr>
            <w:tcW w:w="4736" w:type="pct"/>
            <w:gridSpan w:val="5"/>
            <w:tcBorders>
              <w:top w:val="single" w:sz="4" w:space="0" w:color="646464"/>
              <w:bottom w:val="nil"/>
            </w:tcBorders>
            <w:shd w:val="clear" w:color="auto" w:fill="auto"/>
          </w:tcPr>
          <w:p w:rsidR="00E2773D" w:rsidRDefault="00E2773D" w:rsidP="00DD52CC">
            <w:pPr>
              <w:pStyle w:val="spacertbl"/>
            </w:pPr>
          </w:p>
        </w:tc>
      </w:tr>
    </w:tbl>
    <w:p w:rsidR="00581160" w:rsidRPr="00581160" w:rsidRDefault="0020373C" w:rsidP="00581160">
      <w:pPr>
        <w:pStyle w:val="Heading2"/>
      </w:pPr>
      <w:bookmarkStart w:id="147" w:name="_Toc497300847"/>
      <w:bookmarkEnd w:id="144"/>
      <w:r>
        <w:t>S</w:t>
      </w:r>
      <w:r w:rsidR="00F17EC1">
        <w:t>ummary</w:t>
      </w:r>
      <w:r w:rsidR="00D341A3">
        <w:t xml:space="preserve"> of timeframes and costs</w:t>
      </w:r>
      <w:bookmarkEnd w:id="147"/>
    </w:p>
    <w:p w:rsidR="00581160" w:rsidRDefault="00581160" w:rsidP="00581160">
      <w:pPr>
        <w:pStyle w:val="BodyText"/>
      </w:pPr>
      <w:r w:rsidRPr="00581160">
        <w:t xml:space="preserve">An indicative </w:t>
      </w:r>
      <w:r w:rsidR="00F17EC1">
        <w:t>summary</w:t>
      </w:r>
      <w:r w:rsidRPr="00581160">
        <w:t xml:space="preserve"> of timelines and costs of agvet chemical authorisation or registration </w:t>
      </w:r>
      <w:r w:rsidR="004264B4">
        <w:t>is</w:t>
      </w:r>
      <w:r w:rsidRPr="00581160">
        <w:t xml:space="preserve"> provided in </w:t>
      </w:r>
      <w:r>
        <w:fldChar w:fldCharType="begin"/>
      </w:r>
      <w:r>
        <w:instrText xml:space="preserve"> REF _Ref485384046 \h </w:instrText>
      </w:r>
      <w:r>
        <w:fldChar w:fldCharType="separate"/>
      </w:r>
      <w:r w:rsidR="0087688C" w:rsidRPr="00FC29C8">
        <w:rPr>
          <w:rStyle w:val="CaptionLabel"/>
        </w:rPr>
        <w:t>Table</w:t>
      </w:r>
      <w:r w:rsidR="0087688C">
        <w:rPr>
          <w:rStyle w:val="CaptionLabel"/>
        </w:rPr>
        <w:t> </w:t>
      </w:r>
      <w:r w:rsidR="0087688C">
        <w:rPr>
          <w:rStyle w:val="CaptionLabel"/>
          <w:noProof/>
        </w:rPr>
        <w:t>5</w:t>
      </w:r>
      <w:r w:rsidR="0087688C" w:rsidRPr="00FC29C8">
        <w:rPr>
          <w:rStyle w:val="CaptionLabel"/>
        </w:rPr>
        <w:t>.</w:t>
      </w:r>
      <w:r w:rsidR="0087688C">
        <w:rPr>
          <w:rStyle w:val="CaptionLabel"/>
          <w:noProof/>
        </w:rPr>
        <w:t>7</w:t>
      </w:r>
      <w:r>
        <w:fldChar w:fldCharType="end"/>
      </w:r>
      <w:r w:rsidRPr="00581160">
        <w:t xml:space="preserve">. Timelines and registration fees vary across major economies to a register a new </w:t>
      </w:r>
      <w:r w:rsidR="00F17EC1">
        <w:t xml:space="preserve">pesticide </w:t>
      </w:r>
      <w:r w:rsidRPr="00581160">
        <w:t>product.</w:t>
      </w:r>
      <w:r>
        <w:t xml:space="preserve"> </w:t>
      </w:r>
    </w:p>
    <w:p w:rsidR="00D341A3" w:rsidRDefault="00D341A3" w:rsidP="00D341A3">
      <w:pPr>
        <w:pStyle w:val="BodyText"/>
      </w:pPr>
      <w:r>
        <w:t xml:space="preserve">The differences in costs </w:t>
      </w:r>
      <w:r w:rsidR="00793D6C">
        <w:t>appear to b</w:t>
      </w:r>
      <w:r>
        <w:t>e related to the</w:t>
      </w:r>
      <w:r w:rsidR="00793D6C">
        <w:t xml:space="preserve"> nature of </w:t>
      </w:r>
      <w:r>
        <w:t xml:space="preserve">cost-recovery arrangements. Australia and Canada recover part of their assessment costs through registration fees, while other countries recover the full costs of assessments through registration fees alone. </w:t>
      </w:r>
      <w:r w:rsidR="00793D6C">
        <w:t>I</w:t>
      </w:r>
      <w:r>
        <w:t xml:space="preserve">t is </w:t>
      </w:r>
      <w:r w:rsidR="00793D6C">
        <w:t xml:space="preserve">therefore </w:t>
      </w:r>
      <w:r>
        <w:t>difficult to com</w:t>
      </w:r>
      <w:r w:rsidR="00793D6C">
        <w:t>pare registration fees between countries</w:t>
      </w:r>
      <w:r>
        <w:t>.</w:t>
      </w:r>
      <w:r w:rsidR="0020373C">
        <w:t xml:space="preserve"> </w:t>
      </w:r>
      <w:r w:rsidR="00793D6C">
        <w:t xml:space="preserve">It is not appropriate to compare centralised registration costs in the EU with single country costs. For this reason, </w:t>
      </w:r>
      <w:r w:rsidR="0020373C" w:rsidRPr="00793D6C">
        <w:t xml:space="preserve">UK </w:t>
      </w:r>
      <w:r w:rsidR="00793D6C" w:rsidRPr="00793D6C">
        <w:t xml:space="preserve">cost </w:t>
      </w:r>
      <w:r w:rsidR="00793D6C">
        <w:t>data have been used for comparison purposes.</w:t>
      </w:r>
      <w:r w:rsidR="0020373C">
        <w:t xml:space="preserve"> </w:t>
      </w:r>
      <w:r w:rsidR="00793D6C">
        <w:t>New Zealand costs are also not comparable</w:t>
      </w:r>
      <w:r w:rsidR="00323591">
        <w:t xml:space="preserve"> because </w:t>
      </w:r>
      <w:r w:rsidR="00B12F39">
        <w:t xml:space="preserve">NZEPA </w:t>
      </w:r>
      <w:r w:rsidR="00323591">
        <w:t xml:space="preserve">costs are </w:t>
      </w:r>
      <w:r w:rsidR="004264B4">
        <w:t xml:space="preserve">not included. </w:t>
      </w:r>
    </w:p>
    <w:p w:rsidR="00581160" w:rsidRDefault="00793D6C" w:rsidP="00581160">
      <w:pPr>
        <w:pStyle w:val="BodyText"/>
      </w:pPr>
      <w:r>
        <w:t>T</w:t>
      </w:r>
      <w:r w:rsidR="00D341A3">
        <w:t xml:space="preserve">imelines also vary between </w:t>
      </w:r>
      <w:r>
        <w:t>countries</w:t>
      </w:r>
      <w:r w:rsidR="00D341A3">
        <w:t>. They depend on regulatory procedures and the risk assessment approaches discussed in Chapter 4.</w:t>
      </w:r>
    </w:p>
    <w:p w:rsidR="00581160" w:rsidRPr="003A6DA0" w:rsidRDefault="00581160" w:rsidP="00581160">
      <w:pPr>
        <w:pStyle w:val="Caption"/>
        <w:spacing w:before="160"/>
        <w:rPr>
          <w:vertAlign w:val="superscript"/>
        </w:rPr>
      </w:pPr>
      <w:bookmarkStart w:id="148" w:name="_Ref485384046"/>
      <w:bookmarkStart w:id="149" w:name="_Toc497132818"/>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5</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7</w:t>
      </w:r>
      <w:r w:rsidRPr="00FC29C8">
        <w:rPr>
          <w:rStyle w:val="CaptionLabel"/>
        </w:rPr>
        <w:fldChar w:fldCharType="end"/>
      </w:r>
      <w:bookmarkEnd w:id="148"/>
      <w:r>
        <w:tab/>
        <w:t xml:space="preserve">Timelines and registration </w:t>
      </w:r>
      <w:r w:rsidR="00F17EC1">
        <w:t>costs</w:t>
      </w:r>
      <w:r>
        <w:t xml:space="preserve"> for new pesticide products</w:t>
      </w:r>
      <w:bookmarkEnd w:id="149"/>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2723"/>
        <w:gridCol w:w="2723"/>
        <w:gridCol w:w="2723"/>
      </w:tblGrid>
      <w:tr w:rsidR="00E86A68" w:rsidTr="00B12F39">
        <w:trPr>
          <w:cantSplit/>
          <w:tblHeader/>
        </w:trPr>
        <w:tc>
          <w:tcPr>
            <w:tcW w:w="1842" w:type="pct"/>
            <w:gridSpan w:val="2"/>
            <w:shd w:val="clear" w:color="auto" w:fill="9D57A6"/>
            <w:tcMar>
              <w:left w:w="454" w:type="dxa"/>
              <w:bottom w:w="0" w:type="dxa"/>
            </w:tcMar>
          </w:tcPr>
          <w:p w:rsidR="00581160" w:rsidRDefault="00581160" w:rsidP="00613A76">
            <w:pPr>
              <w:pStyle w:val="Tablecolumnheadings"/>
            </w:pPr>
            <w:r>
              <w:t>Country</w:t>
            </w:r>
          </w:p>
        </w:tc>
        <w:tc>
          <w:tcPr>
            <w:tcW w:w="1579" w:type="pct"/>
            <w:shd w:val="clear" w:color="auto" w:fill="9D57A6"/>
            <w:tcMar>
              <w:bottom w:w="0" w:type="dxa"/>
            </w:tcMar>
            <w:vAlign w:val="center"/>
          </w:tcPr>
          <w:p w:rsidR="00581160" w:rsidRDefault="00581160" w:rsidP="00B12F39">
            <w:pPr>
              <w:pStyle w:val="Tablecolumnheadings"/>
              <w:jc w:val="center"/>
            </w:pPr>
            <w:r>
              <w:t>Timelines (months)</w:t>
            </w:r>
          </w:p>
        </w:tc>
        <w:tc>
          <w:tcPr>
            <w:tcW w:w="1579" w:type="pct"/>
            <w:shd w:val="clear" w:color="auto" w:fill="9D57A6"/>
            <w:tcMar>
              <w:bottom w:w="0" w:type="dxa"/>
            </w:tcMar>
            <w:vAlign w:val="center"/>
          </w:tcPr>
          <w:p w:rsidR="00581160" w:rsidRDefault="00FE73D9" w:rsidP="00B12F39">
            <w:pPr>
              <w:pStyle w:val="Tablecolumnheadings"/>
              <w:jc w:val="center"/>
            </w:pPr>
            <w:r>
              <w:t>Registration fee (</w:t>
            </w:r>
            <w:r w:rsidR="00581160">
              <w:t>A</w:t>
            </w:r>
            <w:r>
              <w:t>$</w:t>
            </w:r>
            <w:r w:rsidR="00581160">
              <w:t>)</w:t>
            </w:r>
            <w:r w:rsidR="00523C8D" w:rsidRPr="00523C8D">
              <w:rPr>
                <w:vertAlign w:val="superscript"/>
              </w:rPr>
              <w:t>a</w:t>
            </w:r>
          </w:p>
        </w:tc>
      </w:tr>
      <w:tr w:rsidR="00E86A68" w:rsidTr="00B12F39">
        <w:tblPrEx>
          <w:tblBorders>
            <w:bottom w:val="single" w:sz="4" w:space="0" w:color="646464"/>
            <w:insideH w:val="single" w:sz="4" w:space="0" w:color="646464"/>
          </w:tblBorders>
        </w:tblPrEx>
        <w:trPr>
          <w:gridBefore w:val="1"/>
          <w:wBefore w:w="263" w:type="pct"/>
          <w:cantSplit/>
        </w:trPr>
        <w:tc>
          <w:tcPr>
            <w:tcW w:w="1579" w:type="pct"/>
            <w:tcBorders>
              <w:top w:val="nil"/>
            </w:tcBorders>
            <w:shd w:val="clear" w:color="auto" w:fill="auto"/>
          </w:tcPr>
          <w:p w:rsidR="00581160" w:rsidRDefault="00581160" w:rsidP="00613A76">
            <w:pPr>
              <w:pStyle w:val="Tabletext"/>
            </w:pPr>
            <w:r>
              <w:t>Australia</w:t>
            </w:r>
          </w:p>
        </w:tc>
        <w:tc>
          <w:tcPr>
            <w:tcW w:w="1579" w:type="pct"/>
            <w:tcBorders>
              <w:top w:val="nil"/>
            </w:tcBorders>
            <w:shd w:val="clear" w:color="auto" w:fill="auto"/>
            <w:vAlign w:val="center"/>
          </w:tcPr>
          <w:p w:rsidR="00581160" w:rsidRDefault="00581160" w:rsidP="00B12F39">
            <w:pPr>
              <w:pStyle w:val="Tabletext"/>
              <w:jc w:val="center"/>
            </w:pPr>
            <w:r>
              <w:t>3-</w:t>
            </w:r>
            <w:r w:rsidR="00323591">
              <w:t>24</w:t>
            </w:r>
          </w:p>
        </w:tc>
        <w:tc>
          <w:tcPr>
            <w:tcW w:w="1579" w:type="pct"/>
            <w:tcBorders>
              <w:top w:val="nil"/>
            </w:tcBorders>
            <w:shd w:val="clear" w:color="auto" w:fill="auto"/>
            <w:vAlign w:val="center"/>
          </w:tcPr>
          <w:p w:rsidR="00581160" w:rsidRDefault="00581160" w:rsidP="00B12F39">
            <w:pPr>
              <w:pStyle w:val="Tabletext"/>
              <w:jc w:val="center"/>
            </w:pPr>
            <w:r>
              <w:t>275,000</w:t>
            </w:r>
          </w:p>
        </w:tc>
      </w:tr>
      <w:tr w:rsidR="00E86A68" w:rsidTr="00B12F39">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581160" w:rsidRDefault="00581160" w:rsidP="00613A76">
            <w:pPr>
              <w:pStyle w:val="Tabletext"/>
            </w:pPr>
            <w:r>
              <w:t>UK</w:t>
            </w:r>
          </w:p>
        </w:tc>
        <w:tc>
          <w:tcPr>
            <w:tcW w:w="1579" w:type="pct"/>
            <w:shd w:val="clear" w:color="auto" w:fill="auto"/>
            <w:vAlign w:val="center"/>
          </w:tcPr>
          <w:p w:rsidR="00581160" w:rsidRDefault="00581160" w:rsidP="00B12F39">
            <w:pPr>
              <w:pStyle w:val="Tabletext"/>
              <w:jc w:val="center"/>
            </w:pPr>
            <w:r>
              <w:t>12-14</w:t>
            </w:r>
          </w:p>
        </w:tc>
        <w:tc>
          <w:tcPr>
            <w:tcW w:w="1579" w:type="pct"/>
            <w:shd w:val="clear" w:color="auto" w:fill="auto"/>
            <w:vAlign w:val="center"/>
          </w:tcPr>
          <w:p w:rsidR="00581160" w:rsidRDefault="00581160" w:rsidP="00B12F39">
            <w:pPr>
              <w:pStyle w:val="Tabletext"/>
              <w:jc w:val="center"/>
            </w:pPr>
            <w:r>
              <w:t>191,000</w:t>
            </w:r>
          </w:p>
        </w:tc>
      </w:tr>
      <w:tr w:rsidR="00E86A68" w:rsidTr="00B12F39">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581160" w:rsidRDefault="002516F8" w:rsidP="00613A76">
            <w:pPr>
              <w:pStyle w:val="Tabletext"/>
            </w:pPr>
            <w:r>
              <w:t>USA</w:t>
            </w:r>
          </w:p>
        </w:tc>
        <w:tc>
          <w:tcPr>
            <w:tcW w:w="1579" w:type="pct"/>
            <w:shd w:val="clear" w:color="auto" w:fill="auto"/>
            <w:vAlign w:val="center"/>
          </w:tcPr>
          <w:p w:rsidR="00581160" w:rsidRDefault="00581160" w:rsidP="00B12F39">
            <w:pPr>
              <w:pStyle w:val="Tabletext"/>
              <w:jc w:val="center"/>
            </w:pPr>
            <w:r>
              <w:t>14-24</w:t>
            </w:r>
          </w:p>
        </w:tc>
        <w:tc>
          <w:tcPr>
            <w:tcW w:w="1579" w:type="pct"/>
            <w:shd w:val="clear" w:color="auto" w:fill="auto"/>
            <w:vAlign w:val="center"/>
          </w:tcPr>
          <w:p w:rsidR="00581160" w:rsidRDefault="00581160" w:rsidP="00B12F39">
            <w:pPr>
              <w:pStyle w:val="Tabletext"/>
              <w:jc w:val="center"/>
            </w:pPr>
            <w:r>
              <w:t>240,000 – 840,000</w:t>
            </w:r>
          </w:p>
        </w:tc>
      </w:tr>
      <w:tr w:rsidR="00E86A68" w:rsidTr="00B12F39">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581160" w:rsidRDefault="00581160" w:rsidP="00613A76">
            <w:pPr>
              <w:pStyle w:val="Tabletext"/>
            </w:pPr>
            <w:r>
              <w:t>Canada</w:t>
            </w:r>
          </w:p>
        </w:tc>
        <w:tc>
          <w:tcPr>
            <w:tcW w:w="1579" w:type="pct"/>
            <w:shd w:val="clear" w:color="auto" w:fill="auto"/>
            <w:vAlign w:val="center"/>
          </w:tcPr>
          <w:p w:rsidR="00581160" w:rsidRDefault="00581160" w:rsidP="00B12F39">
            <w:pPr>
              <w:pStyle w:val="Tabletext"/>
              <w:jc w:val="center"/>
            </w:pPr>
            <w:r>
              <w:t>10-14</w:t>
            </w:r>
          </w:p>
        </w:tc>
        <w:tc>
          <w:tcPr>
            <w:tcW w:w="1579" w:type="pct"/>
            <w:shd w:val="clear" w:color="auto" w:fill="auto"/>
            <w:vAlign w:val="center"/>
          </w:tcPr>
          <w:p w:rsidR="00581160" w:rsidRDefault="00581160" w:rsidP="00B12F39">
            <w:pPr>
              <w:pStyle w:val="Tabletext"/>
              <w:jc w:val="center"/>
            </w:pPr>
            <w:r>
              <w:t>330,000</w:t>
            </w:r>
          </w:p>
        </w:tc>
      </w:tr>
      <w:tr w:rsidR="00E86A68" w:rsidTr="00B12F39">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581160" w:rsidRDefault="00581160" w:rsidP="00523C8D">
            <w:pPr>
              <w:pStyle w:val="Tabletext"/>
            </w:pPr>
            <w:r>
              <w:t>New Zealand</w:t>
            </w:r>
            <w:r w:rsidR="00523C8D">
              <w:rPr>
                <w:vertAlign w:val="superscript"/>
              </w:rPr>
              <w:t>b</w:t>
            </w:r>
          </w:p>
        </w:tc>
        <w:tc>
          <w:tcPr>
            <w:tcW w:w="1579" w:type="pct"/>
            <w:shd w:val="clear" w:color="auto" w:fill="auto"/>
            <w:vAlign w:val="center"/>
          </w:tcPr>
          <w:p w:rsidR="00581160" w:rsidRDefault="002C03E4" w:rsidP="00B12F39">
            <w:pPr>
              <w:pStyle w:val="Tabletext"/>
              <w:jc w:val="center"/>
            </w:pPr>
            <w:r>
              <w:t>1-2</w:t>
            </w:r>
          </w:p>
        </w:tc>
        <w:tc>
          <w:tcPr>
            <w:tcW w:w="1579" w:type="pct"/>
            <w:shd w:val="clear" w:color="auto" w:fill="auto"/>
            <w:vAlign w:val="center"/>
          </w:tcPr>
          <w:p w:rsidR="00581160" w:rsidRDefault="00E2773D" w:rsidP="00B12F39">
            <w:pPr>
              <w:pStyle w:val="Tabletext"/>
              <w:jc w:val="center"/>
            </w:pPr>
            <w:r>
              <w:t>952– 4</w:t>
            </w:r>
            <w:r w:rsidRPr="001E2F19">
              <w:t>,</w:t>
            </w:r>
            <w:r>
              <w:t>286</w:t>
            </w:r>
          </w:p>
        </w:tc>
      </w:tr>
      <w:tr w:rsidR="00581160" w:rsidTr="00613A76">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581160" w:rsidRDefault="00581160" w:rsidP="00523C8D">
            <w:pPr>
              <w:pStyle w:val="Note"/>
            </w:pPr>
            <w:r w:rsidRPr="00F020BA">
              <w:t xml:space="preserve">Note: </w:t>
            </w:r>
            <w:r w:rsidR="00523C8D">
              <w:t xml:space="preserve">(a) </w:t>
            </w:r>
            <w:r w:rsidR="0091307E">
              <w:t xml:space="preserve">Typical registration fees for a complete evaluation and registration of a new product with a new active ingredient. </w:t>
            </w:r>
            <w:r>
              <w:t xml:space="preserve">Exchange rate as at 8 June 2017 was used to convert UK, </w:t>
            </w:r>
            <w:r w:rsidR="002516F8">
              <w:t>USA</w:t>
            </w:r>
            <w:r>
              <w:t>, Canad</w:t>
            </w:r>
            <w:r w:rsidR="00DE5C34">
              <w:t>i</w:t>
            </w:r>
            <w:r>
              <w:t>a</w:t>
            </w:r>
            <w:r w:rsidR="00DE5C34">
              <w:t>n</w:t>
            </w:r>
            <w:r>
              <w:t xml:space="preserve"> and NZ registration fees into Australian currency.</w:t>
            </w:r>
            <w:r w:rsidR="00523C8D">
              <w:t xml:space="preserve"> </w:t>
            </w:r>
            <w:r w:rsidR="00523C8D">
              <w:br/>
              <w:t>(b)</w:t>
            </w:r>
            <w:r w:rsidR="00523C8D" w:rsidRPr="00523C8D">
              <w:t xml:space="preserve"> Because of New Zealand’s pre-applications assessment being conducted prior to assessment</w:t>
            </w:r>
            <w:r w:rsidR="00523C8D">
              <w:t>,</w:t>
            </w:r>
            <w:r w:rsidR="00523C8D" w:rsidRPr="00523C8D">
              <w:t xml:space="preserve"> the NZ data is not comparable to the other countries listed in the table</w:t>
            </w:r>
            <w:r w:rsidR="00523C8D">
              <w:br/>
            </w:r>
            <w:r w:rsidR="007226E8" w:rsidRPr="00523C8D">
              <w:rPr>
                <w:i/>
              </w:rPr>
              <w:t>SOURCE: ACIL ALLEN ESTIMATES BASED ON VARIOUS SOURCES</w:t>
            </w:r>
          </w:p>
        </w:tc>
      </w:tr>
      <w:tr w:rsidR="00E86A68" w:rsidTr="00613A76">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top w:val="single" w:sz="4" w:space="0" w:color="646464"/>
              <w:bottom w:val="nil"/>
            </w:tcBorders>
            <w:shd w:val="clear" w:color="auto" w:fill="auto"/>
          </w:tcPr>
          <w:p w:rsidR="00581160" w:rsidRDefault="00581160" w:rsidP="00613A76">
            <w:pPr>
              <w:pStyle w:val="spacertbl"/>
            </w:pPr>
          </w:p>
        </w:tc>
      </w:tr>
    </w:tbl>
    <w:p w:rsidR="00581160" w:rsidRDefault="0020373C" w:rsidP="0020373C">
      <w:pPr>
        <w:pStyle w:val="Heading2"/>
      </w:pPr>
      <w:bookmarkStart w:id="150" w:name="_Toc497300848"/>
      <w:r>
        <w:t>Conclusion</w:t>
      </w:r>
      <w:r w:rsidR="0002721B">
        <w:t>s</w:t>
      </w:r>
      <w:bookmarkEnd w:id="150"/>
    </w:p>
    <w:p w:rsidR="00D0498C" w:rsidRDefault="00D0498C" w:rsidP="00F1413A">
      <w:pPr>
        <w:pStyle w:val="BodyText"/>
      </w:pPr>
      <w:r>
        <w:t xml:space="preserve">It is difficult to compare registration fees between countries because of the very different fee structures in use. Australian agvet chemical registration </w:t>
      </w:r>
      <w:r w:rsidR="003061EA">
        <w:t>fees</w:t>
      </w:r>
      <w:r>
        <w:t xml:space="preserve"> are broadly comparable with </w:t>
      </w:r>
      <w:r w:rsidR="003061EA">
        <w:t xml:space="preserve">most </w:t>
      </w:r>
      <w:r>
        <w:t>North America</w:t>
      </w:r>
      <w:r w:rsidR="00BE4953">
        <w:t>n</w:t>
      </w:r>
      <w:r>
        <w:t xml:space="preserve"> and EU</w:t>
      </w:r>
      <w:r w:rsidR="003061EA">
        <w:t xml:space="preserve"> fees</w:t>
      </w:r>
      <w:r>
        <w:t>.</w:t>
      </w:r>
      <w:r w:rsidR="0020373C">
        <w:t xml:space="preserve"> </w:t>
      </w:r>
      <w:r w:rsidR="00203C5B">
        <w:t>However, t</w:t>
      </w:r>
      <w:r w:rsidR="0020373C">
        <w:t xml:space="preserve">he Australian market is about one tenth of the size of the US market, giving manufacturers </w:t>
      </w:r>
      <w:r w:rsidR="00323591">
        <w:t>less</w:t>
      </w:r>
      <w:r w:rsidR="0020373C">
        <w:t xml:space="preserve"> scope to recover registration costs. </w:t>
      </w:r>
    </w:p>
    <w:p w:rsidR="00396687" w:rsidRDefault="0020373C" w:rsidP="00F1413A">
      <w:pPr>
        <w:pStyle w:val="BodyText"/>
      </w:pPr>
      <w:r>
        <w:t xml:space="preserve">A UK registration can be a stepping stone towards wider approval within the EU, again providing access to a market which is much larger than Australia’s. What stands out in </w:t>
      </w:r>
      <w:r>
        <w:fldChar w:fldCharType="begin"/>
      </w:r>
      <w:r>
        <w:instrText xml:space="preserve"> REF _Ref485384046 \h </w:instrText>
      </w:r>
      <w:r>
        <w:fldChar w:fldCharType="separate"/>
      </w:r>
      <w:r w:rsidR="0087688C" w:rsidRPr="00FC29C8">
        <w:rPr>
          <w:rStyle w:val="CaptionLabel"/>
        </w:rPr>
        <w:t>Table</w:t>
      </w:r>
      <w:r w:rsidR="0087688C">
        <w:rPr>
          <w:rStyle w:val="CaptionLabel"/>
        </w:rPr>
        <w:t> </w:t>
      </w:r>
      <w:r w:rsidR="0087688C">
        <w:rPr>
          <w:rStyle w:val="CaptionLabel"/>
          <w:noProof/>
        </w:rPr>
        <w:t>5</w:t>
      </w:r>
      <w:r w:rsidR="0087688C" w:rsidRPr="00FC29C8">
        <w:rPr>
          <w:rStyle w:val="CaptionLabel"/>
        </w:rPr>
        <w:t>.</w:t>
      </w:r>
      <w:r w:rsidR="0087688C">
        <w:rPr>
          <w:rStyle w:val="CaptionLabel"/>
          <w:noProof/>
        </w:rPr>
        <w:t>7</w:t>
      </w:r>
      <w:r>
        <w:fldChar w:fldCharType="end"/>
      </w:r>
      <w:r>
        <w:t xml:space="preserve"> is the extended timeframe for Australian </w:t>
      </w:r>
      <w:r w:rsidR="00B12F39">
        <w:t xml:space="preserve">and some US </w:t>
      </w:r>
      <w:r>
        <w:t>approvals.</w:t>
      </w:r>
    </w:p>
    <w:p w:rsidR="002535C9" w:rsidRDefault="002535C9" w:rsidP="00F1413A">
      <w:pPr>
        <w:pStyle w:val="BodyText"/>
      </w:pPr>
    </w:p>
    <w:p w:rsidR="002F3BAA" w:rsidRDefault="002F3BAA" w:rsidP="00F1413A">
      <w:pPr>
        <w:pStyle w:val="BodyText"/>
        <w:sectPr w:rsidR="002F3BAA" w:rsidSect="002F3BAA">
          <w:headerReference w:type="even" r:id="rId83"/>
          <w:headerReference w:type="default" r:id="rId84"/>
          <w:footerReference w:type="even" r:id="rId85"/>
          <w:headerReference w:type="first" r:id="rId86"/>
          <w:footerReference w:type="first" r:id="rId87"/>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916B9D" w:rsidTr="00580CF7">
        <w:trPr>
          <w:trHeight w:hRule="exact" w:val="382"/>
        </w:trPr>
        <w:tc>
          <w:tcPr>
            <w:tcW w:w="4738" w:type="dxa"/>
            <w:shd w:val="clear" w:color="auto" w:fill="9D57A6"/>
          </w:tcPr>
          <w:p w:rsidR="00916B9D" w:rsidRDefault="00546375" w:rsidP="005D39F1">
            <w:pPr>
              <w:pStyle w:val="tagchapterBanner"/>
            </w:pPr>
            <w:r>
              <w:rPr>
                <w:noProof/>
                <w:lang w:eastAsia="en-AU"/>
              </w:rPr>
              <mc:AlternateContent>
                <mc:Choice Requires="wps">
                  <w:drawing>
                    <wp:anchor distT="0" distB="0" distL="114300" distR="114300" simplePos="0" relativeHeight="251916288" behindDoc="0" locked="1" layoutInCell="1" allowOverlap="1" wp14:anchorId="1878AE09" wp14:editId="68B948BD">
                      <wp:simplePos x="0" y="0"/>
                      <wp:positionH relativeFrom="page">
                        <wp:posOffset>158750</wp:posOffset>
                      </wp:positionH>
                      <wp:positionV relativeFrom="page">
                        <wp:posOffset>6350</wp:posOffset>
                      </wp:positionV>
                      <wp:extent cx="439420" cy="215265"/>
                      <wp:effectExtent l="0" t="0" r="0" b="0"/>
                      <wp:wrapNone/>
                      <wp:docPr id="1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F118AD" id="Freeform 5" o:spid="_x0000_s1026" style="position:absolute;margin-left:12.5pt;margin-top:.5pt;width:34.6pt;height:16.9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8bfAMAAMIJAAAOAAAAZHJzL2Uyb0RvYy54bWysVsFu4zYQvRfoPxA6Fmhk2Y7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Mjljxt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916B9D" w:rsidRDefault="00916B9D" w:rsidP="005D39F1">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916B9D" w:rsidRPr="0014019A" w:rsidRDefault="00473C63" w:rsidP="008A6B3B">
            <w:pPr>
              <w:pStyle w:val="Heading1"/>
              <w:spacing w:line="240" w:lineRule="auto"/>
            </w:pPr>
            <w:r>
              <w:t>A</w:t>
            </w:r>
            <w:r w:rsidR="00721D9A">
              <w:t>g</w:t>
            </w:r>
            <w:r>
              <w:t xml:space="preserve">vet </w:t>
            </w:r>
            <w:r w:rsidR="00DB5AAD">
              <w:t xml:space="preserve">chemical </w:t>
            </w:r>
            <w:r w:rsidR="00176957">
              <w:t>m</w:t>
            </w:r>
            <w:r w:rsidR="00916B9D">
              <w:t>inor use</w:t>
            </w:r>
            <w:r w:rsidR="00D210AD">
              <w:t>s</w:t>
            </w:r>
          </w:p>
        </w:tc>
        <w:tc>
          <w:tcPr>
            <w:tcW w:w="3430" w:type="dxa"/>
            <w:shd w:val="clear" w:color="auto" w:fill="9D57A6"/>
            <w:tcMar>
              <w:right w:w="344" w:type="dxa"/>
            </w:tcMar>
          </w:tcPr>
          <w:p w:rsidR="00916B9D" w:rsidRPr="00F5723F" w:rsidRDefault="00221158" w:rsidP="005D39F1">
            <w:pPr>
              <w:pStyle w:val="HeadingChapter"/>
              <w:keepNext/>
            </w:pPr>
            <w:r>
              <w:fldChar w:fldCharType="begin"/>
            </w:r>
            <w:r>
              <w:instrText xml:space="preserve"> SEQ ChptNum\* Arabic \* MERGEFORMAT </w:instrText>
            </w:r>
            <w:r>
              <w:fldChar w:fldCharType="separate"/>
            </w:r>
            <w:bookmarkStart w:id="151" w:name="_Toc497300849"/>
            <w:r w:rsidR="001977DE">
              <w:t>6</w:t>
            </w:r>
            <w:bookmarkEnd w:id="151"/>
            <w:r>
              <w:fldChar w:fldCharType="end"/>
            </w:r>
          </w:p>
        </w:tc>
      </w:tr>
      <w:tr w:rsidR="00E86A68" w:rsidTr="00401D90">
        <w:trPr>
          <w:trHeight w:hRule="exact" w:val="232"/>
        </w:trPr>
        <w:tc>
          <w:tcPr>
            <w:tcW w:w="4738" w:type="dxa"/>
            <w:shd w:val="clear" w:color="auto" w:fill="9D57A6"/>
          </w:tcPr>
          <w:p w:rsidR="00916B9D" w:rsidRDefault="00916B9D" w:rsidP="005D39F1">
            <w:pPr>
              <w:pStyle w:val="Chpt-Context"/>
            </w:pPr>
          </w:p>
        </w:tc>
        <w:tc>
          <w:tcPr>
            <w:tcW w:w="3430" w:type="dxa"/>
            <w:shd w:val="clear" w:color="auto" w:fill="9D57A6"/>
          </w:tcPr>
          <w:p w:rsidR="00916B9D" w:rsidRPr="008A4E3C" w:rsidRDefault="00221158" w:rsidP="005D39F1">
            <w:pPr>
              <w:pStyle w:val="Chpt-Context"/>
            </w:pPr>
            <w:r>
              <w:fldChar w:fldCharType="begin"/>
            </w:r>
            <w:r>
              <w:instrText xml:space="preserve"> STYLEREF  "Heading 1" \l  \* MERGEFORMAT </w:instrText>
            </w:r>
            <w:r>
              <w:fldChar w:fldCharType="separate"/>
            </w:r>
            <w:bookmarkStart w:id="152" w:name="_Toc497300850"/>
            <w:r w:rsidR="0087688C">
              <w:rPr>
                <w:noProof/>
              </w:rPr>
              <w:t>Agvet chemical minor uses</w:t>
            </w:r>
            <w:bookmarkEnd w:id="152"/>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916B9D" w:rsidRDefault="00916B9D" w:rsidP="005D39F1">
            <w:pPr>
              <w:pStyle w:val="spacer"/>
            </w:pPr>
          </w:p>
        </w:tc>
        <w:tc>
          <w:tcPr>
            <w:tcW w:w="3430" w:type="dxa"/>
            <w:tcBorders>
              <w:top w:val="single" w:sz="4" w:space="0" w:color="9D57A6"/>
            </w:tcBorders>
            <w:shd w:val="clear" w:color="auto" w:fill="auto"/>
          </w:tcPr>
          <w:p w:rsidR="00916B9D" w:rsidRDefault="00916B9D" w:rsidP="005D39F1">
            <w:pPr>
              <w:pStyle w:val="spacer"/>
            </w:pPr>
          </w:p>
        </w:tc>
      </w:tr>
    </w:tbl>
    <w:p w:rsidR="00FE73D9" w:rsidRDefault="00DB5AAD" w:rsidP="00FE73D9">
      <w:pPr>
        <w:pStyle w:val="BodyText"/>
      </w:pPr>
      <w:r>
        <w:t xml:space="preserve">Access to agvet chemicals for minor uses </w:t>
      </w:r>
      <w:r w:rsidR="00CA7BC4">
        <w:t>and in particular</w:t>
      </w:r>
      <w:r>
        <w:t xml:space="preserve"> getting </w:t>
      </w:r>
      <w:r w:rsidR="00CA7BC4">
        <w:t xml:space="preserve">minor uses </w:t>
      </w:r>
      <w:r>
        <w:t>registered</w:t>
      </w:r>
      <w:r w:rsidR="00CA7BC4">
        <w:t xml:space="preserve"> or </w:t>
      </w:r>
      <w:r w:rsidR="00883B4B">
        <w:t>permit</w:t>
      </w:r>
      <w:r w:rsidR="00DF2455">
        <w:t>t</w:t>
      </w:r>
      <w:r w:rsidR="00883B4B">
        <w:t>ed</w:t>
      </w:r>
      <w:r>
        <w:t>, is a global challenge.</w:t>
      </w:r>
      <w:r>
        <w:rPr>
          <w:rStyle w:val="FootnoteReference"/>
        </w:rPr>
        <w:footnoteReference w:id="103"/>
      </w:r>
      <w:r>
        <w:t xml:space="preserve"> Minor uses are particularly relevant to specialist crops and are mainly associated with uses that do not attract commercial interest by product manufacturer / registrants where the potential economic return from those uses is insufficient to justify the cost of registration. </w:t>
      </w:r>
      <w:r w:rsidR="00FE73D9">
        <w:t>A</w:t>
      </w:r>
      <w:r w:rsidR="00883B4B">
        <w:t xml:space="preserve">part from </w:t>
      </w:r>
      <w:r w:rsidR="00FE73D9">
        <w:t xml:space="preserve">a lack of economic returns from registration of </w:t>
      </w:r>
      <w:r w:rsidR="00883B4B">
        <w:t>a minor</w:t>
      </w:r>
      <w:r w:rsidR="00FE73D9">
        <w:t xml:space="preserve"> use</w:t>
      </w:r>
      <w:r w:rsidR="00006604">
        <w:t>,</w:t>
      </w:r>
      <w:r w:rsidR="00FE73D9">
        <w:t xml:space="preserve"> </w:t>
      </w:r>
      <w:r w:rsidR="00883B4B">
        <w:t xml:space="preserve">the key problems include </w:t>
      </w:r>
      <w:r w:rsidR="00FE73D9">
        <w:t>the associated costs of generating the data required for obtaining and maintaining regulatory approval, the potential liability arising from those uses once approved, and delays in getting approval which limit economic returns.</w:t>
      </w:r>
      <w:r w:rsidR="009B5717">
        <w:rPr>
          <w:rStyle w:val="FootnoteReference"/>
        </w:rPr>
        <w:footnoteReference w:id="104"/>
      </w:r>
    </w:p>
    <w:p w:rsidR="00FE73D9" w:rsidRDefault="00883B4B" w:rsidP="00FE73D9">
      <w:pPr>
        <w:pStyle w:val="BodyText"/>
      </w:pPr>
      <w:r>
        <w:t>M</w:t>
      </w:r>
      <w:r w:rsidR="00FE73D9">
        <w:t xml:space="preserve">inor uses </w:t>
      </w:r>
      <w:r>
        <w:t xml:space="preserve">often </w:t>
      </w:r>
      <w:r w:rsidR="00FE73D9">
        <w:t xml:space="preserve">involve </w:t>
      </w:r>
      <w:r w:rsidR="00560A77">
        <w:t xml:space="preserve">high value </w:t>
      </w:r>
      <w:r w:rsidR="00FE73D9">
        <w:t xml:space="preserve">crops grown on a small scale (minor crops). </w:t>
      </w:r>
      <w:r w:rsidR="00560A77">
        <w:t>In s</w:t>
      </w:r>
      <w:r w:rsidR="00FE73D9">
        <w:t xml:space="preserve">ome instances, minor uses can involve </w:t>
      </w:r>
      <w:r>
        <w:t xml:space="preserve">controlling a minor pest </w:t>
      </w:r>
      <w:r w:rsidR="00FE73D9">
        <w:t>within the major crop</w:t>
      </w:r>
      <w:r>
        <w:t xml:space="preserve"> (e.g. </w:t>
      </w:r>
      <w:r w:rsidR="00FE73D9">
        <w:t>wheat</w:t>
      </w:r>
      <w:r w:rsidR="00234892">
        <w:t xml:space="preserve"> rust disease</w:t>
      </w:r>
      <w:r w:rsidR="00FE73D9">
        <w:t xml:space="preserve"> in Australia</w:t>
      </w:r>
      <w:r>
        <w:t>)</w:t>
      </w:r>
      <w:r w:rsidR="00FE73D9">
        <w:t>.</w:t>
      </w:r>
    </w:p>
    <w:p w:rsidR="004E1FAE" w:rsidRDefault="004E1FAE" w:rsidP="004E1FAE">
      <w:pPr>
        <w:pStyle w:val="BodyText"/>
      </w:pPr>
      <w:r>
        <w:t xml:space="preserve">Australia is small country in terms of agriculture production, with diversified crops and livestock. Due to changing </w:t>
      </w:r>
      <w:r w:rsidRPr="004F61BC">
        <w:t>demographics</w:t>
      </w:r>
      <w:r>
        <w:t xml:space="preserve"> and export market opportunities, minor use has become an issue for emerging crops grown for niche markets which have export potential. Minor use pesticides and agricultural chemicals are of major significance to many of the fruit, vegetables crops and livestock that could not be grown successfully without the</w:t>
      </w:r>
      <w:r w:rsidR="00716DC7">
        <w:t>m.</w:t>
      </w:r>
      <w:r>
        <w:t xml:space="preserve"> </w:t>
      </w:r>
    </w:p>
    <w:p w:rsidR="00234892" w:rsidRDefault="00FE73D9" w:rsidP="00FE73D9">
      <w:pPr>
        <w:pStyle w:val="BodyText"/>
      </w:pPr>
      <w:r>
        <w:t xml:space="preserve">This chapter discusses the importance of minor use registration in Australia for crops and livestock, differences in minor use definitions across countries and the use of economic and regulatory incentives to </w:t>
      </w:r>
      <w:r w:rsidR="0065463A">
        <w:t xml:space="preserve">facilitate </w:t>
      </w:r>
      <w:r>
        <w:t>minor use</w:t>
      </w:r>
      <w:r w:rsidR="0065463A">
        <w:t xml:space="preserve"> approvals</w:t>
      </w:r>
      <w:r>
        <w:t xml:space="preserve">. </w:t>
      </w:r>
    </w:p>
    <w:p w:rsidR="00FE73D9" w:rsidRDefault="00883B4B" w:rsidP="00FE73D9">
      <w:pPr>
        <w:pStyle w:val="BodyText"/>
      </w:pPr>
      <w:r>
        <w:t>W</w:t>
      </w:r>
      <w:r w:rsidR="00FE73D9">
        <w:t xml:space="preserve">ith </w:t>
      </w:r>
      <w:r w:rsidR="00FE73D9" w:rsidRPr="00B13F2F">
        <w:t xml:space="preserve">low </w:t>
      </w:r>
      <w:r w:rsidR="00FE73D9">
        <w:t xml:space="preserve">sales </w:t>
      </w:r>
      <w:r w:rsidR="00FE73D9" w:rsidRPr="00B13F2F">
        <w:t>volume</w:t>
      </w:r>
      <w:r w:rsidR="00FE73D9">
        <w:t>s,</w:t>
      </w:r>
      <w:r w:rsidR="00FE73D9" w:rsidRPr="00B13F2F">
        <w:t xml:space="preserve"> the </w:t>
      </w:r>
      <w:r w:rsidR="004E1FAE">
        <w:t xml:space="preserve">costs involved in obtaining </w:t>
      </w:r>
      <w:r w:rsidR="00FE73D9" w:rsidRPr="00B13F2F">
        <w:t xml:space="preserve">registration </w:t>
      </w:r>
      <w:r>
        <w:t xml:space="preserve">of a minor use in Australia </w:t>
      </w:r>
      <w:r w:rsidR="00FE73D9" w:rsidRPr="00B13F2F">
        <w:t xml:space="preserve">can outweigh the benefits. </w:t>
      </w:r>
      <w:r w:rsidR="00FE73D9">
        <w:t xml:space="preserve">Aligning Australia’s approach with that of other countries </w:t>
      </w:r>
      <w:r w:rsidR="00FE73D9" w:rsidRPr="00B13F2F">
        <w:t xml:space="preserve">could entice international </w:t>
      </w:r>
      <w:r w:rsidR="00FE73D9">
        <w:t>c</w:t>
      </w:r>
      <w:r w:rsidR="00FE73D9" w:rsidRPr="00B13F2F">
        <w:t>ompanies to include more uses for Australia in global approaches to rolling out new products</w:t>
      </w:r>
      <w:r w:rsidR="00FE73D9">
        <w:t>.</w:t>
      </w:r>
    </w:p>
    <w:p w:rsidR="00916B9D" w:rsidRDefault="00916B9D" w:rsidP="00916B9D">
      <w:pPr>
        <w:pStyle w:val="Heading2"/>
      </w:pPr>
      <w:bookmarkStart w:id="153" w:name="_Toc497300851"/>
      <w:r>
        <w:t>Minor use definitions</w:t>
      </w:r>
      <w:bookmarkEnd w:id="153"/>
    </w:p>
    <w:p w:rsidR="00FE73D9" w:rsidRDefault="00006604" w:rsidP="00FE73D9">
      <w:pPr>
        <w:pStyle w:val="BodyText"/>
      </w:pPr>
      <w:r>
        <w:t>M</w:t>
      </w:r>
      <w:r w:rsidR="00FE73D9">
        <w:t xml:space="preserve">ost countries have developed definitions of minor use based on “risk assessment” or “economic return principles” or a combination of both. </w:t>
      </w:r>
    </w:p>
    <w:p w:rsidR="00FE73D9" w:rsidRDefault="00FE73D9" w:rsidP="00FE73D9">
      <w:pPr>
        <w:pStyle w:val="BodyText"/>
      </w:pPr>
      <w:r>
        <w:t>The “risk assessment” approach is associated with the level of regulatory risk assessment required for a given use</w:t>
      </w:r>
      <w:r w:rsidR="00006604">
        <w:t>,</w:t>
      </w:r>
      <w:r>
        <w:t xml:space="preserve"> by determining at what level a crop (or animal) may be considered minor or major based upon volume (area or tonnage) of production and</w:t>
      </w:r>
      <w:r w:rsidR="00793D6C">
        <w:t xml:space="preserve"> </w:t>
      </w:r>
      <w:r>
        <w:t>/</w:t>
      </w:r>
      <w:r w:rsidR="00793D6C">
        <w:t xml:space="preserve"> </w:t>
      </w:r>
      <w:r>
        <w:t xml:space="preserve">or dietary intake. These criteria are also used by regulatory authorities to determine data requirements commensurate </w:t>
      </w:r>
      <w:r w:rsidR="00883B4B">
        <w:t>with</w:t>
      </w:r>
      <w:r>
        <w:t xml:space="preserve"> the level of risk assessment required. Th</w:t>
      </w:r>
      <w:r w:rsidR="003212E1">
        <w:t>us</w:t>
      </w:r>
      <w:r>
        <w:t xml:space="preserve"> minor crops may have reduced data requirements compared to major crops in areas such as residues and dietary risk assessment.</w:t>
      </w:r>
    </w:p>
    <w:p w:rsidR="00916B9D" w:rsidRDefault="00FE73D9" w:rsidP="00FE73D9">
      <w:pPr>
        <w:pStyle w:val="BodyText"/>
      </w:pPr>
      <w:r>
        <w:t>T</w:t>
      </w:r>
      <w:r w:rsidR="00916B9D">
        <w:t xml:space="preserve">he “economic return” approach is associated with potential economic return to </w:t>
      </w:r>
      <w:r w:rsidR="00420455">
        <w:t xml:space="preserve">the </w:t>
      </w:r>
      <w:r w:rsidR="00916B9D">
        <w:t>manufacturer</w:t>
      </w:r>
      <w:r w:rsidR="00793D6C">
        <w:t xml:space="preserve"> </w:t>
      </w:r>
      <w:r w:rsidR="00916B9D">
        <w:t>/</w:t>
      </w:r>
      <w:r w:rsidR="00793D6C">
        <w:t xml:space="preserve"> </w:t>
      </w:r>
      <w:r w:rsidR="00916B9D">
        <w:t xml:space="preserve">registrant from </w:t>
      </w:r>
      <w:r w:rsidR="00420455">
        <w:t>a minor agvet product</w:t>
      </w:r>
      <w:r w:rsidR="00272AD9">
        <w:t>,</w:t>
      </w:r>
      <w:r w:rsidR="00420455">
        <w:t xml:space="preserve"> </w:t>
      </w:r>
      <w:r w:rsidR="00916B9D">
        <w:t>where consider</w:t>
      </w:r>
      <w:r w:rsidR="00420455">
        <w:t xml:space="preserve">ation of registration may </w:t>
      </w:r>
      <w:r w:rsidR="00916B9D">
        <w:t>be influenced by factors other than solely regulatory risk assessment principles.</w:t>
      </w:r>
      <w:r w:rsidR="00CA7BC4">
        <w:t xml:space="preserve"> </w:t>
      </w:r>
    </w:p>
    <w:p w:rsidR="00234892" w:rsidRDefault="00420455" w:rsidP="00916B9D">
      <w:pPr>
        <w:pStyle w:val="BodyText"/>
      </w:pPr>
      <w:r>
        <w:t xml:space="preserve">These </w:t>
      </w:r>
      <w:r w:rsidR="00916B9D">
        <w:t>definitions serve as an important mechanism to ensur</w:t>
      </w:r>
      <w:r>
        <w:t>e</w:t>
      </w:r>
      <w:r w:rsidR="00916B9D">
        <w:t xml:space="preserve"> that minor uses are appropriately regulated and</w:t>
      </w:r>
      <w:r>
        <w:t>,</w:t>
      </w:r>
      <w:r w:rsidR="00916B9D">
        <w:t xml:space="preserve"> where applicable</w:t>
      </w:r>
      <w:r>
        <w:t>,</w:t>
      </w:r>
      <w:r w:rsidR="00916B9D">
        <w:t xml:space="preserve"> include mechanisms that reduce the regulatory burden</w:t>
      </w:r>
      <w:r>
        <w:t xml:space="preserve">. They </w:t>
      </w:r>
      <w:r w:rsidR="00916B9D">
        <w:t xml:space="preserve">are </w:t>
      </w:r>
      <w:r>
        <w:t xml:space="preserve">often </w:t>
      </w:r>
      <w:r w:rsidR="00916B9D">
        <w:t>complemented by regulatory incentives to en</w:t>
      </w:r>
      <w:r>
        <w:t xml:space="preserve">courage </w:t>
      </w:r>
      <w:r w:rsidR="00916B9D">
        <w:t>registration.</w:t>
      </w:r>
    </w:p>
    <w:p w:rsidR="003B154E" w:rsidRDefault="00916B9D" w:rsidP="00916B9D">
      <w:pPr>
        <w:pStyle w:val="BodyText"/>
      </w:pPr>
      <w:r>
        <w:t xml:space="preserve">Agvet chemical users </w:t>
      </w:r>
      <w:r w:rsidR="00420455">
        <w:t xml:space="preserve">are </w:t>
      </w:r>
      <w:r>
        <w:t>constantly alter</w:t>
      </w:r>
      <w:r w:rsidR="00420455">
        <w:t>ing</w:t>
      </w:r>
      <w:r>
        <w:t xml:space="preserve"> their agricultural production practices and diversify</w:t>
      </w:r>
      <w:r w:rsidR="00420455">
        <w:t>ing</w:t>
      </w:r>
      <w:r>
        <w:t xml:space="preserve"> into new crops and </w:t>
      </w:r>
      <w:r w:rsidR="00420455">
        <w:t>varieties</w:t>
      </w:r>
      <w:r>
        <w:t>. Th</w:t>
      </w:r>
      <w:r w:rsidR="00420455">
        <w:t xml:space="preserve">ese dynamics </w:t>
      </w:r>
      <w:r w:rsidR="00ED5763">
        <w:t xml:space="preserve">and exogenous factors </w:t>
      </w:r>
      <w:r w:rsidR="00420455">
        <w:t>create</w:t>
      </w:r>
      <w:r>
        <w:t xml:space="preserve"> an ever</w:t>
      </w:r>
      <w:r w:rsidR="00C43A38">
        <w:t>-</w:t>
      </w:r>
      <w:r>
        <w:t xml:space="preserve">changing agvet chemical market </w:t>
      </w:r>
      <w:r w:rsidR="00420455">
        <w:t>for agvet product suppliers</w:t>
      </w:r>
      <w:r>
        <w:t xml:space="preserve">. </w:t>
      </w:r>
      <w:r w:rsidR="00272AD9">
        <w:t xml:space="preserve">As previously noted, </w:t>
      </w:r>
      <w:r>
        <w:t xml:space="preserve">agvet </w:t>
      </w:r>
      <w:r w:rsidR="00420455">
        <w:t>product suppliers</w:t>
      </w:r>
      <w:r>
        <w:t xml:space="preserve"> pursue registration </w:t>
      </w:r>
      <w:r w:rsidR="00420455">
        <w:t>only when there is likely to be a satisfactory retu</w:t>
      </w:r>
      <w:r w:rsidR="005F389F">
        <w:t>rn on investment</w:t>
      </w:r>
      <w:r w:rsidR="00CA7BC4">
        <w:t xml:space="preserve"> (including the cost of registration)</w:t>
      </w:r>
      <w:r w:rsidR="005F389F">
        <w:t>. These d</w:t>
      </w:r>
      <w:r>
        <w:t>ecision</w:t>
      </w:r>
      <w:r w:rsidR="005F389F">
        <w:t>s</w:t>
      </w:r>
      <w:r>
        <w:t xml:space="preserve"> </w:t>
      </w:r>
      <w:r w:rsidR="00420455">
        <w:t xml:space="preserve">by suppliers </w:t>
      </w:r>
      <w:r>
        <w:t>not only affect wh</w:t>
      </w:r>
      <w:r w:rsidR="00C43A38">
        <w:t>ich</w:t>
      </w:r>
      <w:r>
        <w:t xml:space="preserve"> new products and registrations are pursued but also wh</w:t>
      </w:r>
      <w:r w:rsidR="003C026B">
        <w:t>ich</w:t>
      </w:r>
      <w:r>
        <w:t xml:space="preserve"> uses may receive continued support should regulatory reviews be initiated.</w:t>
      </w:r>
      <w:r w:rsidR="003B154E">
        <w:t xml:space="preserve"> </w:t>
      </w:r>
    </w:p>
    <w:p w:rsidR="00D210AD" w:rsidRDefault="00916B9D" w:rsidP="00234892">
      <w:pPr>
        <w:pStyle w:val="BodyText"/>
      </w:pPr>
      <w:r>
        <w:t>An example of these two approaches—risk assessment approach and economic returns approach</w:t>
      </w:r>
      <w:r w:rsidR="00420455">
        <w:t>—</w:t>
      </w:r>
      <w:r>
        <w:t xml:space="preserve">to minor use is provided in </w:t>
      </w:r>
      <w:r>
        <w:fldChar w:fldCharType="begin"/>
      </w:r>
      <w:r>
        <w:instrText xml:space="preserve"> REF _Ref484452335 \h </w:instrText>
      </w:r>
      <w:r>
        <w:fldChar w:fldCharType="separate"/>
      </w:r>
      <w:r w:rsidR="0087688C" w:rsidRPr="00AF3F55">
        <w:rPr>
          <w:rStyle w:val="CaptionLabel"/>
        </w:rPr>
        <w:t>Box</w:t>
      </w:r>
      <w:r w:rsidR="0087688C">
        <w:rPr>
          <w:rStyle w:val="CaptionLabel"/>
        </w:rPr>
        <w:t> </w:t>
      </w:r>
      <w:r w:rsidR="0087688C">
        <w:rPr>
          <w:rStyle w:val="CaptionLabel"/>
          <w:noProof/>
        </w:rPr>
        <w:t>6</w:t>
      </w:r>
      <w:r w:rsidR="0087688C" w:rsidRPr="00AF3F55">
        <w:rPr>
          <w:rStyle w:val="CaptionLabel"/>
        </w:rPr>
        <w:t>.</w:t>
      </w:r>
      <w:r w:rsidR="0087688C">
        <w:rPr>
          <w:rStyle w:val="CaptionLabel"/>
          <w:noProof/>
        </w:rPr>
        <w:t>1</w:t>
      </w:r>
      <w:r>
        <w:fldChar w:fldCharType="end"/>
      </w:r>
      <w:r>
        <w:t xml:space="preserve">. </w:t>
      </w:r>
      <w:r w:rsidR="00CE1144">
        <w:t xml:space="preserve">The </w:t>
      </w:r>
      <w:r>
        <w:t>example is taken from the OECD (2009).</w:t>
      </w:r>
      <w:r>
        <w:rPr>
          <w:rStyle w:val="FootnoteReference"/>
        </w:rPr>
        <w:footnoteReference w:id="105"/>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916B9D" w:rsidRPr="00AF3F55" w:rsidRDefault="00916B9D" w:rsidP="00C3126D">
            <w:pPr>
              <w:pStyle w:val="Caption"/>
            </w:pPr>
            <w:bookmarkStart w:id="154" w:name="_Ref484452335"/>
            <w:bookmarkStart w:id="155" w:name="_Toc497132834"/>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1</w:t>
            </w:r>
            <w:r w:rsidRPr="00AF3F55">
              <w:rPr>
                <w:rStyle w:val="CaptionLabel"/>
              </w:rPr>
              <w:fldChar w:fldCharType="end"/>
            </w:r>
            <w:bookmarkEnd w:id="154"/>
            <w:r>
              <w:tab/>
              <w:t>Approaches to minor use and conflicting objectives</w:t>
            </w:r>
            <w:bookmarkEnd w:id="155"/>
          </w:p>
        </w:tc>
      </w:tr>
      <w:tr w:rsidR="00916B9D" w:rsidRPr="00B07121" w:rsidTr="00580CF7">
        <w:trPr>
          <w:cantSplit/>
          <w:trHeight w:hRule="exact" w:val="380"/>
        </w:trPr>
        <w:tc>
          <w:tcPr>
            <w:tcW w:w="8614" w:type="dxa"/>
            <w:shd w:val="clear" w:color="auto" w:fill="E4E0DD"/>
          </w:tcPr>
          <w:p w:rsidR="00916B9D" w:rsidRPr="00B07121" w:rsidRDefault="007226E8" w:rsidP="00C3126D">
            <w:pPr>
              <w:pStyle w:val="spacer"/>
            </w:pPr>
            <w:r w:rsidRPr="00B07121">
              <w:rPr>
                <w:noProof/>
                <w:lang w:eastAsia="en-AU"/>
              </w:rPr>
              <mc:AlternateContent>
                <mc:Choice Requires="wps">
                  <w:drawing>
                    <wp:anchor distT="0" distB="0" distL="114300" distR="114300" simplePos="0" relativeHeight="252018688" behindDoc="0" locked="1" layoutInCell="1" allowOverlap="1" wp14:anchorId="0CFBC087" wp14:editId="3115AE98">
                      <wp:simplePos x="0" y="0"/>
                      <wp:positionH relativeFrom="rightMargin">
                        <wp:posOffset>-680720</wp:posOffset>
                      </wp:positionH>
                      <wp:positionV relativeFrom="paragraph">
                        <wp:posOffset>26035</wp:posOffset>
                      </wp:positionV>
                      <wp:extent cx="435600" cy="212400"/>
                      <wp:effectExtent l="0" t="0" r="3175" b="0"/>
                      <wp:wrapNone/>
                      <wp:docPr id="11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860557" id="Freeform 5" o:spid="_x0000_s1026" style="position:absolute;margin-left:-53.6pt;margin-top:2.05pt;width:34.3pt;height:16.7pt;z-index:25201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margin"/>
                      <w10:anchorlock/>
                    </v:shape>
                  </w:pict>
                </mc:Fallback>
              </mc:AlternateContent>
            </w:r>
            <w:r w:rsidR="00546375">
              <w:rPr>
                <w:noProof/>
                <w:lang w:eastAsia="en-AU"/>
              </w:rPr>
              <mc:AlternateContent>
                <mc:Choice Requires="wps">
                  <w:drawing>
                    <wp:anchor distT="0" distB="0" distL="114300" distR="114300" simplePos="0" relativeHeight="251918336" behindDoc="0" locked="1" layoutInCell="1" allowOverlap="1" wp14:anchorId="53130F17" wp14:editId="1D36D18E">
                      <wp:simplePos x="0" y="0"/>
                      <wp:positionH relativeFrom="page">
                        <wp:posOffset>6223635</wp:posOffset>
                      </wp:positionH>
                      <wp:positionV relativeFrom="page">
                        <wp:posOffset>3996055</wp:posOffset>
                      </wp:positionV>
                      <wp:extent cx="436880" cy="213360"/>
                      <wp:effectExtent l="0" t="0" r="1270" b="0"/>
                      <wp:wrapNone/>
                      <wp:docPr id="1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D8BEBC" id="Freeform 5" o:spid="_x0000_s1026" style="position:absolute;margin-left:490.05pt;margin-top:314.65pt;width:34.4pt;height:16.8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DXfw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916B9D" w:rsidRDefault="00916B9D" w:rsidP="00DD52CC">
            <w:pPr>
              <w:pStyle w:val="BoxText"/>
            </w:pPr>
            <w:r>
              <w:t>The following example explain</w:t>
            </w:r>
            <w:r w:rsidR="00DB5AAD">
              <w:t>s</w:t>
            </w:r>
            <w:r>
              <w:t xml:space="preserve"> how differences in minor use determinations can arise when considering the “economic return approach” compared to the “risk assessment approach”.</w:t>
            </w:r>
            <w:r w:rsidR="00DD52CC">
              <w:t xml:space="preserve"> </w:t>
            </w:r>
            <w:r>
              <w:t>Consider two different crops with similar volumes of production and dietary consumption. From the risk assessment approach the registration of both crops would be subject to relatively similar data requirements and costs associated in registering that use. However from the economic return approach</w:t>
            </w:r>
            <w:r w:rsidR="00272AD9">
              <w:t>,</w:t>
            </w:r>
            <w:r>
              <w:t xml:space="preserve"> factors such as dietary consumption often have little or no direct linkage to potential sales volume from that use when registered. Whil</w:t>
            </w:r>
            <w:r w:rsidR="003212E1">
              <w:t>e</w:t>
            </w:r>
            <w:r>
              <w:t xml:space="preserve"> the volume of production may provide some insight into the potential market size</w:t>
            </w:r>
            <w:r w:rsidR="003212E1">
              <w:t>,</w:t>
            </w:r>
            <w:r>
              <w:t xml:space="preserve"> that alone may not determine which use would provide greater economic return to manufacturer</w:t>
            </w:r>
            <w:r w:rsidR="00793D6C">
              <w:t xml:space="preserve"> </w:t>
            </w:r>
            <w:r>
              <w:t>/</w:t>
            </w:r>
            <w:r w:rsidR="00793D6C">
              <w:t xml:space="preserve"> </w:t>
            </w:r>
            <w:r>
              <w:t>registrant and therefore which is more attractive to register. This may also b</w:t>
            </w:r>
            <w:r w:rsidR="00DD52CC">
              <w:t xml:space="preserve">e influenced by factors such as </w:t>
            </w:r>
            <w:r>
              <w:t>level of pest or disease pressure and</w:t>
            </w:r>
            <w:r w:rsidR="00793D6C">
              <w:t xml:space="preserve"> </w:t>
            </w:r>
            <w:r>
              <w:t>/</w:t>
            </w:r>
            <w:r w:rsidR="00793D6C">
              <w:t xml:space="preserve"> </w:t>
            </w:r>
            <w:r>
              <w:t>or value of the commodity</w:t>
            </w:r>
            <w:r w:rsidR="00A6483D">
              <w:t>.</w:t>
            </w:r>
          </w:p>
          <w:p w:rsidR="00234892" w:rsidRDefault="00916B9D" w:rsidP="00234892">
            <w:pPr>
              <w:pStyle w:val="BoxListBullet"/>
            </w:pPr>
            <w:r>
              <w:t>Firstly</w:t>
            </w:r>
            <w:r w:rsidR="00ED5763">
              <w:t>,</w:t>
            </w:r>
            <w:r>
              <w:t xml:space="preserve"> </w:t>
            </w:r>
            <w:r w:rsidR="00272AD9">
              <w:t>a</w:t>
            </w:r>
            <w:r>
              <w:t xml:space="preserve"> crop that is subject to greater pest or disease pressure will </w:t>
            </w:r>
            <w:r w:rsidR="00272AD9">
              <w:t>have a</w:t>
            </w:r>
            <w:r>
              <w:t xml:space="preserve"> greater potential need for crop protection products and</w:t>
            </w:r>
            <w:r w:rsidR="00272AD9">
              <w:t xml:space="preserve"> will therefore provide </w:t>
            </w:r>
            <w:r>
              <w:t>a market of greater inter</w:t>
            </w:r>
            <w:r w:rsidR="00234892">
              <w:t>est to manufacture</w:t>
            </w:r>
            <w:r w:rsidR="00ED5763">
              <w:t>r</w:t>
            </w:r>
            <w:r w:rsidR="00272AD9">
              <w:t>s</w:t>
            </w:r>
            <w:r w:rsidR="00793D6C">
              <w:t xml:space="preserve"> </w:t>
            </w:r>
            <w:r w:rsidR="00234892">
              <w:t>/</w:t>
            </w:r>
            <w:r w:rsidR="00793D6C">
              <w:t xml:space="preserve"> </w:t>
            </w:r>
            <w:r w:rsidR="00234892">
              <w:t>registrant</w:t>
            </w:r>
            <w:r w:rsidR="00272AD9">
              <w:t>s</w:t>
            </w:r>
            <w:r w:rsidR="00234892">
              <w:t>.</w:t>
            </w:r>
          </w:p>
          <w:p w:rsidR="00234892" w:rsidRDefault="00234892" w:rsidP="00234892">
            <w:pPr>
              <w:pStyle w:val="BoxListBullet"/>
            </w:pPr>
            <w:r>
              <w:t>S</w:t>
            </w:r>
            <w:r w:rsidR="00916B9D">
              <w:t>econdly</w:t>
            </w:r>
            <w:r w:rsidR="00ED5763">
              <w:t>,</w:t>
            </w:r>
            <w:r w:rsidR="00916B9D">
              <w:t xml:space="preserve"> if the value of the </w:t>
            </w:r>
            <w:r w:rsidR="00272AD9">
              <w:t>crop</w:t>
            </w:r>
            <w:r w:rsidR="00916B9D">
              <w:t xml:space="preserve"> being produced is high</w:t>
            </w:r>
            <w:r w:rsidR="00272AD9">
              <w:t>,</w:t>
            </w:r>
            <w:r w:rsidR="00916B9D">
              <w:t xml:space="preserve"> that in turn will determine agvet chemical users</w:t>
            </w:r>
            <w:r w:rsidR="00272AD9">
              <w:t>’</w:t>
            </w:r>
            <w:r w:rsidR="00916B9D">
              <w:t xml:space="preserve"> decisions on input costs in producing and protecting the crop and</w:t>
            </w:r>
            <w:r w:rsidR="00272AD9">
              <w:t>,</w:t>
            </w:r>
            <w:r w:rsidR="00916B9D">
              <w:t xml:space="preserve"> similarly</w:t>
            </w:r>
            <w:r w:rsidR="00272AD9">
              <w:t>,</w:t>
            </w:r>
            <w:r w:rsidR="00916B9D">
              <w:t xml:space="preserve"> be a market of greater interest to manufacturer</w:t>
            </w:r>
            <w:r w:rsidR="00272AD9">
              <w:t>s</w:t>
            </w:r>
            <w:r w:rsidR="00793D6C">
              <w:t xml:space="preserve"> </w:t>
            </w:r>
            <w:r w:rsidR="00916B9D">
              <w:t>/</w:t>
            </w:r>
            <w:r w:rsidR="00793D6C">
              <w:t xml:space="preserve"> </w:t>
            </w:r>
            <w:r w:rsidR="00916B9D">
              <w:t>registrant</w:t>
            </w:r>
            <w:r w:rsidR="00272AD9">
              <w:t>s</w:t>
            </w:r>
            <w:r w:rsidR="00916B9D">
              <w:t xml:space="preserve">. </w:t>
            </w:r>
          </w:p>
          <w:p w:rsidR="00916B9D" w:rsidRDefault="00DB5AAD" w:rsidP="00234892">
            <w:pPr>
              <w:pStyle w:val="BoxText"/>
            </w:pPr>
            <w:r>
              <w:t>The opposite can also be true for high value commodities where potential liability to the manufacturer / registrant may outweigh or significantly offset potential economic returns. This potentially creates a ‘see-sawing’ effect to determining what may be a minor use in the economic return approach, and where that may be influenced by factors other than those utilised in the risk assessment approach where the emphasis is entirely on regulatory risk assessment principles. This often results in differences where a use from one perspective could be classified as major whilst the alternative approach could classify the use as minor and vice-versa. This creates a conundrum where the risk assessment approach and the economic return approach do not always equate and is perhaps the reason why differences of opinion can exist between regulators, manufacturers and agvet chemical users as to what uses are minor in the agvet chemical market.</w:t>
            </w:r>
          </w:p>
        </w:tc>
      </w:tr>
      <w:tr w:rsidR="00E86A68" w:rsidTr="00401D90">
        <w:trPr>
          <w:cantSplit/>
        </w:trPr>
        <w:tc>
          <w:tcPr>
            <w:tcW w:w="8614" w:type="dxa"/>
            <w:shd w:val="clear" w:color="auto" w:fill="auto"/>
            <w:tcMar>
              <w:top w:w="12" w:type="dxa"/>
              <w:left w:w="446" w:type="dxa"/>
              <w:bottom w:w="113" w:type="dxa"/>
            </w:tcMar>
          </w:tcPr>
          <w:p w:rsidR="00916B9D" w:rsidRDefault="00916B9D" w:rsidP="007226E8">
            <w:pPr>
              <w:pStyle w:val="Source"/>
              <w:keepNext w:val="0"/>
            </w:pPr>
            <w:r>
              <w:t>Source: OECD (2009), OECD Guidance on defining minor uses of pestici</w:t>
            </w:r>
            <w:r w:rsidR="001F101B">
              <w:t>D</w:t>
            </w:r>
            <w:r>
              <w:t>es, ENV/JM/MONO(2009)39</w:t>
            </w:r>
          </w:p>
        </w:tc>
      </w:tr>
    </w:tbl>
    <w:p w:rsidR="003212E1" w:rsidRDefault="003212E1" w:rsidP="007226E8">
      <w:pPr>
        <w:pStyle w:val="Heading3"/>
      </w:pPr>
      <w:r>
        <w:t>Australia minor use definition</w:t>
      </w:r>
    </w:p>
    <w:p w:rsidR="003212E1" w:rsidRDefault="00DB5AAD" w:rsidP="007226E8">
      <w:pPr>
        <w:pStyle w:val="BodyText"/>
        <w:keepNext/>
        <w:keepLines/>
      </w:pPr>
      <w:r>
        <w:t xml:space="preserve">The </w:t>
      </w:r>
      <w:r w:rsidR="003212E1">
        <w:t>Australian minor use definition is based on the economic return approach. The APVMA has provided a guide for determining minor use in Australia.</w:t>
      </w:r>
      <w:r w:rsidR="003212E1">
        <w:rPr>
          <w:rStyle w:val="FootnoteReference"/>
        </w:rPr>
        <w:footnoteReference w:id="106"/>
      </w:r>
      <w:r w:rsidR="003212E1">
        <w:t xml:space="preserve"> The Agvet Code regulations </w:t>
      </w:r>
      <w:r w:rsidR="0065463A">
        <w:t>define</w:t>
      </w:r>
      <w:r w:rsidR="003212E1">
        <w:t xml:space="preserve"> a minor use:</w:t>
      </w:r>
    </w:p>
    <w:p w:rsidR="003212E1" w:rsidRDefault="003212E1" w:rsidP="007226E8">
      <w:pPr>
        <w:pStyle w:val="Quote"/>
        <w:keepNext/>
        <w:keepLines/>
        <w:rPr>
          <w:shd w:val="clear" w:color="auto" w:fill="FFFFFF"/>
        </w:rPr>
      </w:pPr>
      <w:r>
        <w:rPr>
          <w:shd w:val="clear" w:color="auto" w:fill="FFFFFF"/>
        </w:rPr>
        <w:t>In relation to a chemical product or an active constituent, means a use of the product or constituent that would not produce sufficient economic return to an applicant for registration of the product to meet the cost of registration of the product, or the cost of registration of the product for that use, as the case requires (including, in particular, the cost of providing the data required for that purpose)</w:t>
      </w:r>
    </w:p>
    <w:p w:rsidR="003212E1" w:rsidRPr="00FE73D9" w:rsidRDefault="003212E1" w:rsidP="003212E1">
      <w:pPr>
        <w:pStyle w:val="QuoteSource"/>
      </w:pPr>
      <w:r>
        <w:t>Agricultural and Veterinary Chemicals Code Regulations 1995</w:t>
      </w:r>
    </w:p>
    <w:p w:rsidR="003212E1" w:rsidRPr="005B600A" w:rsidRDefault="003212E1" w:rsidP="003212E1">
      <w:pPr>
        <w:pStyle w:val="BodyText"/>
        <w:rPr>
          <w:lang w:val="en-US"/>
        </w:rPr>
      </w:pPr>
      <w:r>
        <w:rPr>
          <w:lang w:val="en-US"/>
        </w:rPr>
        <w:t xml:space="preserve">The </w:t>
      </w:r>
      <w:r w:rsidR="00272AD9">
        <w:rPr>
          <w:lang w:val="en-US"/>
        </w:rPr>
        <w:t xml:space="preserve">Agvet </w:t>
      </w:r>
      <w:r>
        <w:rPr>
          <w:lang w:val="en-US"/>
        </w:rPr>
        <w:t>Code</w:t>
      </w:r>
      <w:r w:rsidRPr="005B600A">
        <w:rPr>
          <w:lang w:val="en-US"/>
        </w:rPr>
        <w:t xml:space="preserve"> recognise</w:t>
      </w:r>
      <w:r>
        <w:rPr>
          <w:lang w:val="en-US"/>
        </w:rPr>
        <w:t>s</w:t>
      </w:r>
      <w:r w:rsidRPr="005B600A">
        <w:rPr>
          <w:lang w:val="en-US"/>
        </w:rPr>
        <w:t xml:space="preserve"> that a minor use can include:</w:t>
      </w:r>
    </w:p>
    <w:p w:rsidR="003212E1" w:rsidRPr="005B600A" w:rsidRDefault="003212E1" w:rsidP="003212E1">
      <w:pPr>
        <w:pStyle w:val="ListBullet"/>
        <w:rPr>
          <w:lang w:val="en-US"/>
        </w:rPr>
      </w:pPr>
      <w:r w:rsidRPr="005B600A">
        <w:rPr>
          <w:lang w:val="en-US"/>
        </w:rPr>
        <w:t>use on a minor crop, animal or non-crop situation, or</w:t>
      </w:r>
    </w:p>
    <w:p w:rsidR="003212E1" w:rsidRPr="005B600A" w:rsidRDefault="003212E1" w:rsidP="003212E1">
      <w:pPr>
        <w:pStyle w:val="ListBullet"/>
        <w:rPr>
          <w:lang w:val="en-US"/>
        </w:rPr>
      </w:pPr>
      <w:r w:rsidRPr="005B600A">
        <w:rPr>
          <w:lang w:val="en-US"/>
        </w:rPr>
        <w:t>limited use on a major cro</w:t>
      </w:r>
      <w:r>
        <w:rPr>
          <w:lang w:val="en-US"/>
        </w:rPr>
        <w:t>p, animal or non-crop situation.</w:t>
      </w:r>
    </w:p>
    <w:p w:rsidR="003212E1" w:rsidRDefault="003212E1" w:rsidP="003212E1">
      <w:pPr>
        <w:pStyle w:val="BodyText"/>
        <w:rPr>
          <w:lang w:val="en-US"/>
        </w:rPr>
      </w:pPr>
      <w:r w:rsidRPr="005B600A">
        <w:rPr>
          <w:lang w:val="en-US"/>
        </w:rPr>
        <w:t>The APVMA recognises that</w:t>
      </w:r>
      <w:r>
        <w:rPr>
          <w:lang w:val="en-US"/>
        </w:rPr>
        <w:t>,</w:t>
      </w:r>
      <w:r w:rsidRPr="005B600A">
        <w:rPr>
          <w:lang w:val="en-US"/>
        </w:rPr>
        <w:t xml:space="preserve"> whil</w:t>
      </w:r>
      <w:r>
        <w:rPr>
          <w:lang w:val="en-US"/>
        </w:rPr>
        <w:t>e</w:t>
      </w:r>
      <w:r w:rsidRPr="005B600A">
        <w:rPr>
          <w:lang w:val="en-US"/>
        </w:rPr>
        <w:t xml:space="preserve"> the current legislative definition is still relevant, it is nonetheless somewhat difficult </w:t>
      </w:r>
      <w:r w:rsidR="005B6C93">
        <w:rPr>
          <w:lang w:val="en-US"/>
        </w:rPr>
        <w:t xml:space="preserve">to </w:t>
      </w:r>
      <w:r w:rsidR="00AE60C5">
        <w:rPr>
          <w:lang w:val="en-US"/>
        </w:rPr>
        <w:t>regulate</w:t>
      </w:r>
      <w:r w:rsidR="0065463A">
        <w:rPr>
          <w:lang w:val="en-US"/>
        </w:rPr>
        <w:t xml:space="preserve"> </w:t>
      </w:r>
      <w:r w:rsidRPr="005B600A">
        <w:rPr>
          <w:lang w:val="en-US"/>
        </w:rPr>
        <w:t xml:space="preserve">because the </w:t>
      </w:r>
      <w:r w:rsidR="00CE1144">
        <w:rPr>
          <w:lang w:val="en-US"/>
        </w:rPr>
        <w:t>criterion</w:t>
      </w:r>
      <w:r w:rsidR="00CE1144" w:rsidRPr="005B600A">
        <w:rPr>
          <w:lang w:val="en-US"/>
        </w:rPr>
        <w:t xml:space="preserve"> </w:t>
      </w:r>
      <w:r w:rsidRPr="005B600A">
        <w:rPr>
          <w:lang w:val="en-US"/>
        </w:rPr>
        <w:t xml:space="preserve">of “sufficient economic return” is a very subjective concept. </w:t>
      </w:r>
    </w:p>
    <w:p w:rsidR="00234892" w:rsidRDefault="00234892" w:rsidP="00234892">
      <w:pPr>
        <w:pStyle w:val="Heading3"/>
        <w:rPr>
          <w:lang w:val="en-US"/>
        </w:rPr>
      </w:pPr>
      <w:r>
        <w:rPr>
          <w:lang w:val="en-US"/>
        </w:rPr>
        <w:t>European Union minor use definition</w:t>
      </w:r>
    </w:p>
    <w:p w:rsidR="00234892" w:rsidRDefault="00234892" w:rsidP="00234892">
      <w:pPr>
        <w:pStyle w:val="BodyText"/>
      </w:pPr>
      <w:r>
        <w:t>There is no legislative definition in the European Union for major or minor crop species. However, major species were defined by the Committee for Medicinal Products for Veterinary Use (CVMP). All animal species which are not considered major are</w:t>
      </w:r>
      <w:r w:rsidR="0065463A">
        <w:t>,</w:t>
      </w:r>
      <w:r>
        <w:t xml:space="preserve"> as a consequence, classified as minor species. For the purposes of defining minor use policy, </w:t>
      </w:r>
      <w:r w:rsidRPr="003212E1">
        <w:rPr>
          <w:i/>
        </w:rPr>
        <w:t>major species</w:t>
      </w:r>
      <w:r>
        <w:t xml:space="preserve"> have been defined in two groups: </w:t>
      </w:r>
    </w:p>
    <w:p w:rsidR="00234892" w:rsidRDefault="00234892" w:rsidP="00234892">
      <w:pPr>
        <w:pStyle w:val="ListBullet"/>
      </w:pPr>
      <w:r>
        <w:t>Major food-producing animal species include cattle (dairy and meat animals), sheep (meat animals), pigs, chickens (including laying hens) and salmon</w:t>
      </w:r>
      <w:r w:rsidR="0065463A">
        <w:t>, and</w:t>
      </w:r>
    </w:p>
    <w:p w:rsidR="001D4634" w:rsidRDefault="00234892" w:rsidP="001D4634">
      <w:pPr>
        <w:pStyle w:val="ListBullet"/>
      </w:pPr>
      <w:r>
        <w:t xml:space="preserve">Major companion animal species include cats and dogs. </w:t>
      </w:r>
    </w:p>
    <w:p w:rsidR="00916B9D" w:rsidRDefault="00234892" w:rsidP="00234892">
      <w:pPr>
        <w:pStyle w:val="BodyText"/>
      </w:pPr>
      <w:r>
        <w:t>All other animal species are class</w:t>
      </w:r>
      <w:r w:rsidR="00006604">
        <w:t>ified</w:t>
      </w:r>
      <w:r>
        <w:t xml:space="preserve"> as minor species. </w:t>
      </w:r>
      <w:r w:rsidR="00916B9D">
        <w:t>Minor use in a major species is generally considered as the use of veterinary medicinal products for the treatment of diseases that occur infrequently or occur in limited geographical a</w:t>
      </w:r>
      <w:r w:rsidR="003D242D">
        <w:t>reas</w:t>
      </w:r>
      <w:r w:rsidR="00916B9D">
        <w:t xml:space="preserve">. </w:t>
      </w:r>
      <w:r w:rsidR="003D242D">
        <w:t xml:space="preserve">The </w:t>
      </w:r>
      <w:r w:rsidR="00916B9D">
        <w:t>European Medicines Agency (2014)</w:t>
      </w:r>
      <w:r w:rsidR="00916B9D">
        <w:rPr>
          <w:rStyle w:val="FootnoteReference"/>
        </w:rPr>
        <w:footnoteReference w:id="107"/>
      </w:r>
      <w:r w:rsidR="00916B9D">
        <w:t xml:space="preserve"> </w:t>
      </w:r>
      <w:r w:rsidR="003D242D">
        <w:t xml:space="preserve">has </w:t>
      </w:r>
      <w:r w:rsidR="00272AD9">
        <w:t>consider</w:t>
      </w:r>
      <w:r w:rsidR="00221BFE">
        <w:t>ed</w:t>
      </w:r>
      <w:r w:rsidR="00916B9D">
        <w:t xml:space="preserve"> that there is insufficient data in the veterinary domain with respect to the incidence and prevalence of diseases to enable objective cut</w:t>
      </w:r>
      <w:r w:rsidR="00221BFE">
        <w:t>-</w:t>
      </w:r>
      <w:r w:rsidR="00916B9D">
        <w:t>off values to be established below which a disease is considered minor. The</w:t>
      </w:r>
      <w:r w:rsidR="005F389F">
        <w:t>refore</w:t>
      </w:r>
      <w:r w:rsidR="00221BFE">
        <w:t>,</w:t>
      </w:r>
      <w:r w:rsidR="005F389F">
        <w:t xml:space="preserve"> a case</w:t>
      </w:r>
      <w:r w:rsidR="0065463A">
        <w:t>-</w:t>
      </w:r>
      <w:r w:rsidR="005F389F">
        <w:t>by</w:t>
      </w:r>
      <w:r w:rsidR="0065463A">
        <w:t>-</w:t>
      </w:r>
      <w:r w:rsidR="005F389F">
        <w:t xml:space="preserve">case approach </w:t>
      </w:r>
      <w:r w:rsidR="00916B9D">
        <w:t>continue</w:t>
      </w:r>
      <w:r w:rsidR="003D242D">
        <w:t>s</w:t>
      </w:r>
      <w:r w:rsidR="00916B9D">
        <w:t xml:space="preserve"> to be used in classifying a product as Minor Use Minor Species (MUMS). </w:t>
      </w:r>
    </w:p>
    <w:p w:rsidR="00916B9D" w:rsidRDefault="00272AD9" w:rsidP="00916B9D">
      <w:pPr>
        <w:pStyle w:val="BodyText"/>
      </w:pPr>
      <w:r>
        <w:t>Minor use v</w:t>
      </w:r>
      <w:r w:rsidR="00916B9D">
        <w:t>eterinary medicinal product</w:t>
      </w:r>
      <w:r w:rsidR="003D242D">
        <w:t>s</w:t>
      </w:r>
      <w:r w:rsidR="00916B9D">
        <w:t xml:space="preserve"> </w:t>
      </w:r>
      <w:r w:rsidR="003D242D">
        <w:t>are</w:t>
      </w:r>
      <w:r w:rsidR="00916B9D">
        <w:t xml:space="preserve"> </w:t>
      </w:r>
      <w:r w:rsidR="007F0FA5">
        <w:t xml:space="preserve">defined as those that are </w:t>
      </w:r>
      <w:r w:rsidR="00916B9D">
        <w:t xml:space="preserve">limited in size due to </w:t>
      </w:r>
      <w:r w:rsidR="003D242D">
        <w:t>a</w:t>
      </w:r>
      <w:r w:rsidR="00916B9D">
        <w:t xml:space="preserve"> product being indicated for a disease or condition that represents a minor use in a major species or that occurs in a minor species</w:t>
      </w:r>
      <w:r w:rsidR="009B5717">
        <w:t>. T</w:t>
      </w:r>
      <w:r w:rsidR="00916B9D">
        <w:t xml:space="preserve">his </w:t>
      </w:r>
      <w:r w:rsidR="003D242D">
        <w:t xml:space="preserve">minor use </w:t>
      </w:r>
      <w:r w:rsidR="00916B9D">
        <w:t>term</w:t>
      </w:r>
      <w:r w:rsidR="003D242D">
        <w:t>inology</w:t>
      </w:r>
      <w:r w:rsidR="00916B9D">
        <w:t xml:space="preserve"> is retained</w:t>
      </w:r>
      <w:r w:rsidR="003D242D">
        <w:t>,</w:t>
      </w:r>
      <w:r w:rsidR="00916B9D">
        <w:t xml:space="preserve"> as </w:t>
      </w:r>
      <w:r w:rsidR="009B5717">
        <w:t>is</w:t>
      </w:r>
      <w:r w:rsidR="00916B9D">
        <w:t xml:space="preserve"> used in Article 79 of Regulation (EC) No 726/2004 </w:t>
      </w:r>
      <w:r w:rsidR="003D242D">
        <w:t>(</w:t>
      </w:r>
      <w:r w:rsidR="00916B9D">
        <w:t>but is interchangeable with the term MUMS</w:t>
      </w:r>
      <w:r w:rsidR="003D242D">
        <w:t>)</w:t>
      </w:r>
      <w:r w:rsidR="00916B9D">
        <w:t>.</w:t>
      </w:r>
    </w:p>
    <w:p w:rsidR="00473C63" w:rsidRDefault="00473C63" w:rsidP="00473C63">
      <w:pPr>
        <w:pStyle w:val="Heading3"/>
      </w:pPr>
      <w:r>
        <w:t>UK minor use definition</w:t>
      </w:r>
    </w:p>
    <w:p w:rsidR="00473C63" w:rsidRDefault="00473C63" w:rsidP="00473C63">
      <w:pPr>
        <w:pStyle w:val="BodyText"/>
      </w:pPr>
      <w:r>
        <w:t>UK regulat</w:t>
      </w:r>
      <w:r w:rsidR="003D242D">
        <w:t>ions</w:t>
      </w:r>
      <w:r>
        <w:t xml:space="preserve"> define minor uses a</w:t>
      </w:r>
      <w:r w:rsidR="003D242D">
        <w:t>s</w:t>
      </w:r>
      <w:r>
        <w:t xml:space="preserve"> either uses of pesticides on small area cropping</w:t>
      </w:r>
      <w:r w:rsidR="003D242D">
        <w:t>,</w:t>
      </w:r>
      <w:r>
        <w:t xml:space="preserve"> or against infrequent pests, </w:t>
      </w:r>
      <w:r w:rsidR="003D242D">
        <w:t>or</w:t>
      </w:r>
      <w:r>
        <w:t xml:space="preserve"> those </w:t>
      </w:r>
      <w:r w:rsidR="003D242D">
        <w:t xml:space="preserve">uses </w:t>
      </w:r>
      <w:r>
        <w:t>which are too small to warrant sufficient return for manufacturers to develop plant protection products for them.</w:t>
      </w:r>
    </w:p>
    <w:p w:rsidR="00473C63" w:rsidRDefault="00473C63" w:rsidP="00473C63">
      <w:pPr>
        <w:pStyle w:val="Heading3"/>
      </w:pPr>
      <w:r>
        <w:t>US minor use definition</w:t>
      </w:r>
    </w:p>
    <w:p w:rsidR="003D242D" w:rsidRDefault="00473C63" w:rsidP="00473C63">
      <w:pPr>
        <w:pStyle w:val="BodyText"/>
        <w:rPr>
          <w:lang w:val="en-US"/>
        </w:rPr>
      </w:pPr>
      <w:r>
        <w:t>The US minor use definition is based both on risk assessment and economic return principles. The USEPA</w:t>
      </w:r>
      <w:r>
        <w:rPr>
          <w:rStyle w:val="FootnoteReference"/>
        </w:rPr>
        <w:footnoteReference w:id="108"/>
      </w:r>
      <w:r>
        <w:t xml:space="preserve"> </w:t>
      </w:r>
      <w:r w:rsidR="003D242D">
        <w:t xml:space="preserve">considers </w:t>
      </w:r>
      <w:r>
        <w:t>that</w:t>
      </w:r>
      <w:r w:rsidR="003D242D">
        <w:t xml:space="preserve"> t</w:t>
      </w:r>
      <w:r w:rsidR="0002429A">
        <w:rPr>
          <w:lang w:val="en-US"/>
        </w:rPr>
        <w:t xml:space="preserve">he term </w:t>
      </w:r>
      <w:r w:rsidR="001546EF">
        <w:rPr>
          <w:lang w:val="en-US"/>
        </w:rPr>
        <w:t>‘</w:t>
      </w:r>
      <w:r w:rsidR="0002429A">
        <w:rPr>
          <w:lang w:val="en-US"/>
        </w:rPr>
        <w:t>minor use</w:t>
      </w:r>
      <w:r w:rsidR="001546EF">
        <w:rPr>
          <w:lang w:val="en-US"/>
        </w:rPr>
        <w:t>’</w:t>
      </w:r>
      <w:r w:rsidRPr="000F4CA4">
        <w:rPr>
          <w:lang w:val="en-US"/>
        </w:rPr>
        <w:t xml:space="preserve"> means</w:t>
      </w:r>
      <w:r w:rsidR="003D242D">
        <w:rPr>
          <w:lang w:val="en-US"/>
        </w:rPr>
        <w:t>:</w:t>
      </w:r>
    </w:p>
    <w:p w:rsidR="00473C63" w:rsidRPr="000F4CA4" w:rsidRDefault="003D242D" w:rsidP="007226E8">
      <w:pPr>
        <w:pStyle w:val="BodyText"/>
        <w:keepNext/>
        <w:rPr>
          <w:lang w:val="en-US"/>
        </w:rPr>
      </w:pPr>
      <w:r>
        <w:rPr>
          <w:lang w:val="en-US"/>
        </w:rPr>
        <w:t>T</w:t>
      </w:r>
      <w:r w:rsidR="00473C63" w:rsidRPr="000F4CA4">
        <w:rPr>
          <w:lang w:val="en-US"/>
        </w:rPr>
        <w:t>he use of a pesticide on an animal, on a commercial agricultural crop or site, or for the protection of public health where:</w:t>
      </w:r>
    </w:p>
    <w:p w:rsidR="00473C63" w:rsidRPr="00D210AD" w:rsidRDefault="00473C63" w:rsidP="006F0BE7">
      <w:pPr>
        <w:pStyle w:val="ListNumber"/>
        <w:numPr>
          <w:ilvl w:val="0"/>
          <w:numId w:val="38"/>
        </w:numPr>
        <w:rPr>
          <w:lang w:val="en-US"/>
        </w:rPr>
      </w:pPr>
      <w:r w:rsidRPr="00D210AD">
        <w:rPr>
          <w:lang w:val="en-US"/>
        </w:rPr>
        <w:t xml:space="preserve">the total </w:t>
      </w:r>
      <w:r w:rsidR="004864A6" w:rsidRPr="00D210AD">
        <w:rPr>
          <w:lang w:val="en-US"/>
        </w:rPr>
        <w:t>US</w:t>
      </w:r>
      <w:r w:rsidRPr="00D210AD">
        <w:rPr>
          <w:lang w:val="en-US"/>
        </w:rPr>
        <w:t xml:space="preserve"> acreage for the crop is less than 300,000 acres, as determined by the Secretary of Agriculture</w:t>
      </w:r>
      <w:r w:rsidR="00006604">
        <w:rPr>
          <w:lang w:val="en-US"/>
        </w:rPr>
        <w:t>,</w:t>
      </w:r>
      <w:r w:rsidRPr="00D210AD">
        <w:rPr>
          <w:lang w:val="en-US"/>
        </w:rPr>
        <w:t xml:space="preserve"> or</w:t>
      </w:r>
    </w:p>
    <w:p w:rsidR="00473C63" w:rsidRPr="000F4CA4" w:rsidRDefault="003D242D" w:rsidP="00473C63">
      <w:pPr>
        <w:pStyle w:val="ListNumber"/>
        <w:rPr>
          <w:lang w:val="en-US"/>
        </w:rPr>
      </w:pPr>
      <w:r>
        <w:rPr>
          <w:lang w:val="en-US"/>
        </w:rPr>
        <w:t>the US</w:t>
      </w:r>
      <w:r w:rsidR="00473C63" w:rsidRPr="000F4CA4">
        <w:rPr>
          <w:lang w:val="en-US"/>
        </w:rPr>
        <w:t>EPA, in consultation with</w:t>
      </w:r>
      <w:r w:rsidR="001546EF">
        <w:rPr>
          <w:lang w:val="en-US"/>
        </w:rPr>
        <w:t xml:space="preserve"> the</w:t>
      </w:r>
      <w:r w:rsidR="00473C63" w:rsidRPr="000F4CA4">
        <w:rPr>
          <w:lang w:val="en-US"/>
        </w:rPr>
        <w:t xml:space="preserve"> USDA, determines that, based on information provided by an applicant for registration or a registrant, the use does not provide sufficient economic incentive to support the initial registration or continuing registration of a pesticide for such use and</w:t>
      </w:r>
      <w:r w:rsidR="00473C63">
        <w:rPr>
          <w:lang w:val="en-US"/>
        </w:rPr>
        <w:t>:</w:t>
      </w:r>
    </w:p>
    <w:p w:rsidR="00473C63" w:rsidRPr="000F4CA4" w:rsidRDefault="00473C63" w:rsidP="0002429A">
      <w:pPr>
        <w:pStyle w:val="ListBullet"/>
        <w:rPr>
          <w:lang w:val="en-US"/>
        </w:rPr>
      </w:pPr>
      <w:r w:rsidRPr="000F4CA4">
        <w:rPr>
          <w:lang w:val="en-US"/>
        </w:rPr>
        <w:t xml:space="preserve">there are insufficient efficacious </w:t>
      </w:r>
      <w:r w:rsidR="001F101B" w:rsidRPr="000F4CA4">
        <w:rPr>
          <w:lang w:val="en-US"/>
        </w:rPr>
        <w:t xml:space="preserve">registered </w:t>
      </w:r>
      <w:r w:rsidRPr="000F4CA4">
        <w:rPr>
          <w:lang w:val="en-US"/>
        </w:rPr>
        <w:t>alternative</w:t>
      </w:r>
      <w:r w:rsidR="001F101B">
        <w:rPr>
          <w:lang w:val="en-US"/>
        </w:rPr>
        <w:t>s</w:t>
      </w:r>
      <w:r w:rsidRPr="000F4CA4">
        <w:rPr>
          <w:lang w:val="en-US"/>
        </w:rPr>
        <w:t xml:space="preserve"> available for use</w:t>
      </w:r>
    </w:p>
    <w:p w:rsidR="00473C63" w:rsidRPr="000F4CA4" w:rsidRDefault="00473C63" w:rsidP="0002429A">
      <w:pPr>
        <w:pStyle w:val="ListBullet"/>
        <w:rPr>
          <w:lang w:val="en-US"/>
        </w:rPr>
      </w:pPr>
      <w:r w:rsidRPr="000F4CA4">
        <w:rPr>
          <w:lang w:val="en-US"/>
        </w:rPr>
        <w:t>the alternatives to the pesticide use pose greater risks to the environment or human health</w:t>
      </w:r>
    </w:p>
    <w:p w:rsidR="00473C63" w:rsidRPr="000F4CA4" w:rsidRDefault="00473C63" w:rsidP="0002429A">
      <w:pPr>
        <w:pStyle w:val="ListBullet"/>
        <w:rPr>
          <w:lang w:val="en-US"/>
        </w:rPr>
      </w:pPr>
      <w:r w:rsidRPr="000F4CA4">
        <w:rPr>
          <w:lang w:val="en-US"/>
        </w:rPr>
        <w:t>the minor use pesticide plays or will play a significant part in managing pest resistance</w:t>
      </w:r>
      <w:r w:rsidR="003D242D">
        <w:rPr>
          <w:lang w:val="en-US"/>
        </w:rPr>
        <w:t>,</w:t>
      </w:r>
      <w:r w:rsidRPr="000F4CA4">
        <w:rPr>
          <w:lang w:val="en-US"/>
        </w:rPr>
        <w:t xml:space="preserve"> or</w:t>
      </w:r>
    </w:p>
    <w:p w:rsidR="00473C63" w:rsidRPr="000F4CA4" w:rsidRDefault="00473C63" w:rsidP="0002429A">
      <w:pPr>
        <w:pStyle w:val="ListBullet"/>
        <w:rPr>
          <w:lang w:val="en-US"/>
        </w:rPr>
      </w:pPr>
      <w:r w:rsidRPr="000F4CA4">
        <w:rPr>
          <w:lang w:val="en-US"/>
        </w:rPr>
        <w:t>the minor use pesticide plays or will play a significant part in an integrated pest management program. </w:t>
      </w:r>
    </w:p>
    <w:p w:rsidR="00473C63" w:rsidRPr="000F4CA4" w:rsidRDefault="00EB6CC6" w:rsidP="00473C63">
      <w:pPr>
        <w:pStyle w:val="BodyText"/>
        <w:rPr>
          <w:lang w:val="en-US"/>
        </w:rPr>
      </w:pPr>
      <w:r>
        <w:rPr>
          <w:lang w:val="en-US"/>
        </w:rPr>
        <w:t>S</w:t>
      </w:r>
      <w:r w:rsidR="00473C63" w:rsidRPr="000F4CA4">
        <w:rPr>
          <w:lang w:val="en-US"/>
        </w:rPr>
        <w:t>tatus as a minor use</w:t>
      </w:r>
      <w:r>
        <w:rPr>
          <w:lang w:val="en-US"/>
        </w:rPr>
        <w:t xml:space="preserve"> pesticide</w:t>
      </w:r>
      <w:r w:rsidR="00473C63" w:rsidRPr="000F4CA4">
        <w:rPr>
          <w:lang w:val="en-US"/>
        </w:rPr>
        <w:t xml:space="preserve"> continues as long as</w:t>
      </w:r>
      <w:r>
        <w:rPr>
          <w:lang w:val="en-US"/>
        </w:rPr>
        <w:t xml:space="preserve"> the</w:t>
      </w:r>
      <w:r w:rsidR="00473C63" w:rsidRPr="000F4CA4">
        <w:rPr>
          <w:lang w:val="en-US"/>
        </w:rPr>
        <w:t xml:space="preserve"> </w:t>
      </w:r>
      <w:r w:rsidR="00272AD9">
        <w:rPr>
          <w:lang w:val="en-US"/>
        </w:rPr>
        <w:t>US</w:t>
      </w:r>
      <w:r w:rsidR="00473C63" w:rsidRPr="000F4CA4">
        <w:rPr>
          <w:lang w:val="en-US"/>
        </w:rPr>
        <w:t>EPA has not determined that, based on existing data, such use may cause an unreasonable adverse effect on the environment and the use othe</w:t>
      </w:r>
      <w:r w:rsidR="00473C63">
        <w:rPr>
          <w:lang w:val="en-US"/>
        </w:rPr>
        <w:t>rwise qualifies for such status.</w:t>
      </w:r>
    </w:p>
    <w:p w:rsidR="00473C63" w:rsidRDefault="00473C63" w:rsidP="00473C63">
      <w:pPr>
        <w:pStyle w:val="BodyText"/>
        <w:rPr>
          <w:shd w:val="clear" w:color="auto" w:fill="FFFFFF"/>
        </w:rPr>
      </w:pPr>
      <w:r>
        <w:rPr>
          <w:shd w:val="clear" w:color="auto" w:fill="FFFFFF"/>
        </w:rPr>
        <w:t xml:space="preserve">Many fruits and vegetables qualify as minor crops in </w:t>
      </w:r>
      <w:r w:rsidR="002516F8">
        <w:rPr>
          <w:shd w:val="clear" w:color="auto" w:fill="FFFFFF"/>
        </w:rPr>
        <w:t xml:space="preserve">the </w:t>
      </w:r>
      <w:r>
        <w:rPr>
          <w:shd w:val="clear" w:color="auto" w:fill="FFFFFF"/>
        </w:rPr>
        <w:t>US</w:t>
      </w:r>
      <w:r w:rsidR="002516F8">
        <w:rPr>
          <w:shd w:val="clear" w:color="auto" w:fill="FFFFFF"/>
        </w:rPr>
        <w:t>A</w:t>
      </w:r>
      <w:r>
        <w:rPr>
          <w:shd w:val="clear" w:color="auto" w:fill="FFFFFF"/>
        </w:rPr>
        <w:t>. Minor uses also include pesticides applied for control of disease vectors such as mosquitoes, ticks, cockroaches, rodents and disease-causing organisms.</w:t>
      </w:r>
    </w:p>
    <w:p w:rsidR="00E27DED" w:rsidRDefault="00E27DED" w:rsidP="00473C63">
      <w:pPr>
        <w:pStyle w:val="BodyText"/>
        <w:rPr>
          <w:shd w:val="clear" w:color="auto" w:fill="FFFFFF"/>
        </w:rPr>
      </w:pPr>
      <w:r>
        <w:rPr>
          <w:shd w:val="clear" w:color="auto" w:fill="FFFFFF"/>
        </w:rPr>
        <w:t>There are some similarities between the US and Australian definitions of minor use. For example, both include an area of land (acreage) provision.</w:t>
      </w:r>
    </w:p>
    <w:p w:rsidR="00473C63" w:rsidRDefault="00473C63" w:rsidP="00473C63">
      <w:pPr>
        <w:pStyle w:val="Heading3"/>
        <w:rPr>
          <w:shd w:val="clear" w:color="auto" w:fill="FFFFFF"/>
        </w:rPr>
      </w:pPr>
      <w:r>
        <w:rPr>
          <w:shd w:val="clear" w:color="auto" w:fill="FFFFFF"/>
        </w:rPr>
        <w:t>Canada minor use definition</w:t>
      </w:r>
    </w:p>
    <w:p w:rsidR="00473C63" w:rsidRDefault="00473C63" w:rsidP="00473C63">
      <w:pPr>
        <w:pStyle w:val="BodyText"/>
        <w:rPr>
          <w:shd w:val="clear" w:color="auto" w:fill="FFFFFF"/>
        </w:rPr>
      </w:pPr>
      <w:r w:rsidRPr="00170A0A">
        <w:rPr>
          <w:i/>
          <w:shd w:val="clear" w:color="auto" w:fill="FFFFFF"/>
        </w:rPr>
        <w:t>Agriculture and Agri-Food Canada</w:t>
      </w:r>
      <w:r>
        <w:rPr>
          <w:rStyle w:val="FootnoteReference"/>
          <w:i/>
          <w:shd w:val="clear" w:color="auto" w:fill="FFFFFF"/>
        </w:rPr>
        <w:footnoteReference w:id="109"/>
      </w:r>
      <w:r>
        <w:rPr>
          <w:shd w:val="clear" w:color="auto" w:fill="FFFFFF"/>
        </w:rPr>
        <w:t xml:space="preserve"> states that</w:t>
      </w:r>
    </w:p>
    <w:p w:rsidR="00473C63" w:rsidRDefault="00473C63" w:rsidP="00473C63">
      <w:pPr>
        <w:pStyle w:val="Quote"/>
        <w:rPr>
          <w:lang w:val="en-US"/>
        </w:rPr>
      </w:pPr>
      <w:r>
        <w:rPr>
          <w:lang w:val="en-US"/>
        </w:rPr>
        <w:t>“</w:t>
      </w:r>
      <w:r w:rsidRPr="00A83277">
        <w:rPr>
          <w:lang w:val="en-US"/>
        </w:rPr>
        <w:t xml:space="preserve">A </w:t>
      </w:r>
      <w:r>
        <w:rPr>
          <w:lang w:val="en-US"/>
        </w:rPr>
        <w:t>‘</w:t>
      </w:r>
      <w:r w:rsidRPr="00A83277">
        <w:rPr>
          <w:lang w:val="en-US"/>
        </w:rPr>
        <w:t>minor use</w:t>
      </w:r>
      <w:r>
        <w:rPr>
          <w:lang w:val="en-US"/>
        </w:rPr>
        <w:t>’</w:t>
      </w:r>
      <w:r w:rsidRPr="00A83277">
        <w:rPr>
          <w:lang w:val="en-US"/>
        </w:rPr>
        <w:t xml:space="preserve"> pesticide refers to the crop-protection treatments – fungicides, insecticides, and herbicides – usually used on low acreage, high-value crops, or where pest control is only needed on a small portion of the overall crop acreage. These pesticides are usually used in such small quantities that manufacturers find the sales potential is not sufficient for them to seek registration in Canada.</w:t>
      </w:r>
      <w:r>
        <w:rPr>
          <w:lang w:val="en-US"/>
        </w:rPr>
        <w:t xml:space="preserve"> </w:t>
      </w:r>
      <w:r w:rsidRPr="00A83277">
        <w:rPr>
          <w:lang w:val="en-US"/>
        </w:rPr>
        <w:t>Crops grown in small areas include vegetables, fruits, specialty crops, herbs, and spices, as well as nursery and landscape plants and flowers. These are often high-value, and are sometimes called "minor crops" because they are grown on significantly smaller areas of land compared to the large acreages of crop</w:t>
      </w:r>
      <w:r>
        <w:rPr>
          <w:lang w:val="en-US"/>
        </w:rPr>
        <w:t xml:space="preserve">s like corn, soybeans and wheat” </w:t>
      </w:r>
    </w:p>
    <w:p w:rsidR="00473C63" w:rsidRPr="00E25686" w:rsidRDefault="00473C63" w:rsidP="00473C63">
      <w:pPr>
        <w:pStyle w:val="BodyText"/>
        <w:rPr>
          <w:lang w:val="en-US"/>
        </w:rPr>
      </w:pPr>
      <w:r>
        <w:rPr>
          <w:lang w:val="en-US"/>
        </w:rPr>
        <w:t xml:space="preserve">The Canadian definition of minor use </w:t>
      </w:r>
      <w:r w:rsidR="00716DC7">
        <w:rPr>
          <w:lang w:val="en-US"/>
        </w:rPr>
        <w:t xml:space="preserve">is </w:t>
      </w:r>
      <w:r>
        <w:rPr>
          <w:lang w:val="en-US"/>
        </w:rPr>
        <w:t>similar to</w:t>
      </w:r>
      <w:r w:rsidR="00716DC7">
        <w:rPr>
          <w:lang w:val="en-US"/>
        </w:rPr>
        <w:t xml:space="preserve"> that in</w:t>
      </w:r>
      <w:r>
        <w:rPr>
          <w:lang w:val="en-US"/>
        </w:rPr>
        <w:t xml:space="preserve"> the </w:t>
      </w:r>
      <w:r w:rsidR="002516F8">
        <w:rPr>
          <w:lang w:val="en-US"/>
        </w:rPr>
        <w:t>USA</w:t>
      </w:r>
      <w:r w:rsidR="007F0FA5">
        <w:rPr>
          <w:lang w:val="en-US"/>
        </w:rPr>
        <w:t>. H</w:t>
      </w:r>
      <w:r>
        <w:rPr>
          <w:lang w:val="en-US"/>
        </w:rPr>
        <w:t xml:space="preserve">owever, it is interpreted </w:t>
      </w:r>
      <w:r w:rsidR="007F0FA5">
        <w:rPr>
          <w:lang w:val="en-US"/>
        </w:rPr>
        <w:t>to include</w:t>
      </w:r>
      <w:r>
        <w:rPr>
          <w:lang w:val="en-US"/>
        </w:rPr>
        <w:t xml:space="preserve"> pesticide use in high</w:t>
      </w:r>
      <w:r w:rsidR="00006604">
        <w:rPr>
          <w:lang w:val="en-US"/>
        </w:rPr>
        <w:t>-</w:t>
      </w:r>
      <w:r>
        <w:rPr>
          <w:lang w:val="en-US"/>
        </w:rPr>
        <w:t>value, low</w:t>
      </w:r>
      <w:r w:rsidR="00006604">
        <w:rPr>
          <w:lang w:val="en-US"/>
        </w:rPr>
        <w:t>-</w:t>
      </w:r>
      <w:r>
        <w:rPr>
          <w:lang w:val="en-US"/>
        </w:rPr>
        <w:t>acreage crops.</w:t>
      </w:r>
    </w:p>
    <w:p w:rsidR="00916B9D" w:rsidRDefault="003D242D" w:rsidP="00916B9D">
      <w:pPr>
        <w:pStyle w:val="Heading2"/>
      </w:pPr>
      <w:bookmarkStart w:id="156" w:name="_Toc497300852"/>
      <w:r>
        <w:t>I</w:t>
      </w:r>
      <w:r w:rsidR="00916B9D">
        <w:t xml:space="preserve">ncentives </w:t>
      </w:r>
      <w:r>
        <w:t xml:space="preserve">to encourage </w:t>
      </w:r>
      <w:r w:rsidR="00916B9D">
        <w:t>minor use</w:t>
      </w:r>
      <w:r>
        <w:t xml:space="preserve"> registration</w:t>
      </w:r>
      <w:bookmarkEnd w:id="156"/>
    </w:p>
    <w:p w:rsidR="00234892" w:rsidRDefault="00916B9D" w:rsidP="00916B9D">
      <w:pPr>
        <w:pStyle w:val="BodyText"/>
      </w:pPr>
      <w:r>
        <w:t>Key</w:t>
      </w:r>
      <w:r w:rsidR="003D242D">
        <w:t xml:space="preserve"> economic and regulatory</w:t>
      </w:r>
      <w:r>
        <w:t xml:space="preserve"> incentives </w:t>
      </w:r>
      <w:r w:rsidR="003D242D">
        <w:t xml:space="preserve">to encourage </w:t>
      </w:r>
      <w:r>
        <w:t xml:space="preserve">minor use registration are summarised in </w:t>
      </w:r>
      <w:r>
        <w:fldChar w:fldCharType="begin"/>
      </w:r>
      <w:r>
        <w:instrText xml:space="preserve"> REF _Ref484504050 \h </w:instrText>
      </w:r>
      <w:r>
        <w:fldChar w:fldCharType="separate"/>
      </w:r>
      <w:r w:rsidR="0087688C" w:rsidRPr="00FC29C8">
        <w:rPr>
          <w:rStyle w:val="CaptionLabel"/>
        </w:rPr>
        <w:t>Table</w:t>
      </w:r>
      <w:r w:rsidR="0087688C">
        <w:rPr>
          <w:rStyle w:val="CaptionLabel"/>
        </w:rPr>
        <w:t> </w:t>
      </w:r>
      <w:r w:rsidR="0087688C">
        <w:rPr>
          <w:rStyle w:val="CaptionLabel"/>
          <w:noProof/>
        </w:rPr>
        <w:t>6</w:t>
      </w:r>
      <w:r w:rsidR="0087688C">
        <w:rPr>
          <w:rStyle w:val="CaptionLabel"/>
        </w:rPr>
        <w:t>.</w:t>
      </w:r>
      <w:r w:rsidR="0087688C">
        <w:rPr>
          <w:rStyle w:val="CaptionLabel"/>
          <w:noProof/>
        </w:rPr>
        <w:t>1</w:t>
      </w:r>
      <w:r>
        <w:fldChar w:fldCharType="end"/>
      </w:r>
      <w:r>
        <w:t>.</w:t>
      </w:r>
      <w:r w:rsidR="00881F24">
        <w:t xml:space="preserve"> </w:t>
      </w:r>
    </w:p>
    <w:p w:rsidR="00916B9D" w:rsidRDefault="00916B9D" w:rsidP="00BE32CA">
      <w:pPr>
        <w:pStyle w:val="Caption"/>
        <w:spacing w:before="160"/>
        <w:ind w:left="-2127" w:firstLine="0"/>
      </w:pPr>
      <w:bookmarkStart w:id="157" w:name="_Ref484504050"/>
      <w:bookmarkStart w:id="158" w:name="_Toc497132819"/>
      <w:r w:rsidRPr="00FC29C8">
        <w:rPr>
          <w:rStyle w:val="CaptionLabel"/>
        </w:rPr>
        <w:t>Table</w:t>
      </w:r>
      <w:r>
        <w:rPr>
          <w:rStyle w:val="CaptionLabel"/>
        </w:rPr>
        <w:t> </w:t>
      </w:r>
      <w:r w:rsidR="004B55F4">
        <w:rPr>
          <w:rStyle w:val="CaptionLabel"/>
        </w:rPr>
        <w:fldChar w:fldCharType="begin"/>
      </w:r>
      <w:r w:rsidR="004B55F4">
        <w:rPr>
          <w:rStyle w:val="CaptionLabel"/>
        </w:rPr>
        <w:instrText xml:space="preserve"> STYLEREF 1 \s </w:instrText>
      </w:r>
      <w:r w:rsidR="004B55F4">
        <w:rPr>
          <w:rStyle w:val="CaptionLabel"/>
        </w:rPr>
        <w:fldChar w:fldCharType="separate"/>
      </w:r>
      <w:r w:rsidR="001977DE">
        <w:rPr>
          <w:rStyle w:val="CaptionLabel"/>
          <w:noProof/>
        </w:rPr>
        <w:t>6</w:t>
      </w:r>
      <w:r w:rsidR="004B55F4">
        <w:rPr>
          <w:rStyle w:val="CaptionLabel"/>
        </w:rPr>
        <w:fldChar w:fldCharType="end"/>
      </w:r>
      <w:r w:rsidR="004B55F4">
        <w:rPr>
          <w:rStyle w:val="CaptionLabel"/>
        </w:rPr>
        <w:t>.</w:t>
      </w:r>
      <w:r w:rsidR="004B55F4">
        <w:rPr>
          <w:rStyle w:val="CaptionLabel"/>
        </w:rPr>
        <w:fldChar w:fldCharType="begin"/>
      </w:r>
      <w:r w:rsidR="004B55F4">
        <w:rPr>
          <w:rStyle w:val="CaptionLabel"/>
        </w:rPr>
        <w:instrText xml:space="preserve"> SEQ Table \* ARABIC \s 1 </w:instrText>
      </w:r>
      <w:r w:rsidR="004B55F4">
        <w:rPr>
          <w:rStyle w:val="CaptionLabel"/>
        </w:rPr>
        <w:fldChar w:fldCharType="separate"/>
      </w:r>
      <w:r w:rsidR="001977DE">
        <w:rPr>
          <w:rStyle w:val="CaptionLabel"/>
          <w:noProof/>
        </w:rPr>
        <w:t>1</w:t>
      </w:r>
      <w:r w:rsidR="004B55F4">
        <w:rPr>
          <w:rStyle w:val="CaptionLabel"/>
        </w:rPr>
        <w:fldChar w:fldCharType="end"/>
      </w:r>
      <w:bookmarkEnd w:id="157"/>
      <w:r>
        <w:tab/>
        <w:t>Types of incentives for minor use</w:t>
      </w:r>
      <w:bookmarkEnd w:id="158"/>
    </w:p>
    <w:tbl>
      <w:tblPr>
        <w:tblW w:w="10578" w:type="dxa"/>
        <w:tblInd w:w="-2410" w:type="dxa"/>
        <w:tblLayout w:type="fixed"/>
        <w:tblCellMar>
          <w:left w:w="0" w:type="dxa"/>
          <w:bottom w:w="40" w:type="dxa"/>
          <w:right w:w="0" w:type="dxa"/>
        </w:tblCellMar>
        <w:tblLook w:val="0000" w:firstRow="0" w:lastRow="0" w:firstColumn="0" w:lastColumn="0" w:noHBand="0" w:noVBand="0"/>
        <w:tblDescription w:val="table_Std"/>
      </w:tblPr>
      <w:tblGrid>
        <w:gridCol w:w="283"/>
        <w:gridCol w:w="1559"/>
        <w:gridCol w:w="6946"/>
        <w:gridCol w:w="1790"/>
      </w:tblGrid>
      <w:tr w:rsidR="00E86A68" w:rsidTr="00006604">
        <w:trPr>
          <w:cantSplit/>
          <w:tblHeader/>
        </w:trPr>
        <w:tc>
          <w:tcPr>
            <w:tcW w:w="871" w:type="pct"/>
            <w:gridSpan w:val="2"/>
            <w:shd w:val="clear" w:color="auto" w:fill="9D57A6"/>
            <w:tcMar>
              <w:left w:w="454" w:type="dxa"/>
              <w:bottom w:w="0" w:type="dxa"/>
            </w:tcMar>
          </w:tcPr>
          <w:p w:rsidR="00916B9D" w:rsidRDefault="00916B9D" w:rsidP="00BE32CA">
            <w:pPr>
              <w:pStyle w:val="Tablecolumnheadings"/>
              <w:ind w:left="-171"/>
            </w:pPr>
            <w:r>
              <w:t>Incentive type</w:t>
            </w:r>
          </w:p>
        </w:tc>
        <w:tc>
          <w:tcPr>
            <w:tcW w:w="3283" w:type="pct"/>
            <w:shd w:val="clear" w:color="auto" w:fill="9D57A6"/>
            <w:tcMar>
              <w:bottom w:w="0" w:type="dxa"/>
            </w:tcMar>
          </w:tcPr>
          <w:p w:rsidR="00916B9D" w:rsidRDefault="00916B9D" w:rsidP="00C3126D">
            <w:pPr>
              <w:pStyle w:val="Tablecolumnheadings"/>
            </w:pPr>
            <w:r>
              <w:t>Details</w:t>
            </w:r>
          </w:p>
        </w:tc>
        <w:tc>
          <w:tcPr>
            <w:tcW w:w="846" w:type="pct"/>
            <w:shd w:val="clear" w:color="auto" w:fill="9D57A6"/>
            <w:tcMar>
              <w:bottom w:w="0" w:type="dxa"/>
            </w:tcMar>
          </w:tcPr>
          <w:p w:rsidR="00916B9D" w:rsidRDefault="00916B9D" w:rsidP="00C3126D">
            <w:pPr>
              <w:pStyle w:val="Tablecolumnheadings"/>
            </w:pP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nil"/>
            </w:tcBorders>
            <w:shd w:val="clear" w:color="auto" w:fill="DDDDDD"/>
          </w:tcPr>
          <w:p w:rsidR="00916B9D" w:rsidRPr="00BE32CA" w:rsidRDefault="00916B9D" w:rsidP="00C3126D">
            <w:pPr>
              <w:pStyle w:val="Tabletext"/>
              <w:rPr>
                <w:b/>
              </w:rPr>
            </w:pPr>
            <w:r w:rsidRPr="00BE32CA">
              <w:rPr>
                <w:b/>
              </w:rPr>
              <w:t>1. Economic incentives for registrants</w:t>
            </w:r>
          </w:p>
        </w:tc>
      </w:tr>
      <w:tr w:rsidR="00E86A68" w:rsidTr="00E27DED">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Default="00916B9D" w:rsidP="00C3126D">
            <w:pPr>
              <w:pStyle w:val="Tabletext"/>
            </w:pPr>
            <w:r>
              <w:t>Data protection</w:t>
            </w:r>
          </w:p>
        </w:tc>
        <w:tc>
          <w:tcPr>
            <w:tcW w:w="4129" w:type="pct"/>
            <w:gridSpan w:val="2"/>
            <w:shd w:val="clear" w:color="auto" w:fill="auto"/>
          </w:tcPr>
          <w:p w:rsidR="00916B9D" w:rsidRDefault="00234892" w:rsidP="00560A77">
            <w:pPr>
              <w:autoSpaceDE w:val="0"/>
              <w:autoSpaceDN w:val="0"/>
              <w:adjustRightInd w:val="0"/>
              <w:spacing w:after="0" w:line="240" w:lineRule="auto"/>
            </w:pPr>
            <w:r>
              <w:rPr>
                <w:color w:val="000100"/>
                <w:sz w:val="20"/>
                <w:lang w:val="en-US"/>
              </w:rPr>
              <w:t>I</w:t>
            </w:r>
            <w:r w:rsidR="00916B9D" w:rsidRPr="00FC3ED2">
              <w:rPr>
                <w:color w:val="000100"/>
                <w:sz w:val="20"/>
                <w:lang w:val="en-US"/>
              </w:rPr>
              <w:t xml:space="preserve">ncreased periods of data protection </w:t>
            </w:r>
            <w:r w:rsidR="00D02A79">
              <w:rPr>
                <w:color w:val="000100"/>
                <w:sz w:val="20"/>
                <w:lang w:val="en-US"/>
              </w:rPr>
              <w:t xml:space="preserve">of three to five years are provided </w:t>
            </w:r>
            <w:r w:rsidR="00916B9D" w:rsidRPr="00FC3ED2">
              <w:rPr>
                <w:color w:val="000100"/>
                <w:sz w:val="20"/>
                <w:lang w:val="en-US"/>
              </w:rPr>
              <w:t xml:space="preserve">for the registration of minor uses. </w:t>
            </w:r>
            <w:r w:rsidR="00560A77">
              <w:rPr>
                <w:color w:val="000100"/>
                <w:sz w:val="20"/>
                <w:lang w:val="en-US"/>
              </w:rPr>
              <w:t>In some countries</w:t>
            </w:r>
            <w:r w:rsidR="00850319">
              <w:rPr>
                <w:color w:val="000100"/>
                <w:sz w:val="20"/>
                <w:lang w:val="en-US"/>
              </w:rPr>
              <w:t xml:space="preserve"> (but not Australia)</w:t>
            </w:r>
            <w:r w:rsidR="00560A77">
              <w:rPr>
                <w:color w:val="000100"/>
                <w:sz w:val="20"/>
                <w:lang w:val="en-US"/>
              </w:rPr>
              <w:t>, b</w:t>
            </w:r>
            <w:r w:rsidR="00916B9D" w:rsidRPr="00FC3ED2">
              <w:rPr>
                <w:color w:val="000100"/>
                <w:sz w:val="20"/>
                <w:lang w:val="en-US"/>
              </w:rPr>
              <w:t>y registering the minor use, data protection can then be applied (extended) to all registered uses, making the minor use registration more economically attractive by the additional returns provided through exclusivity attained in other major crops on the label</w:t>
            </w:r>
            <w:r w:rsidR="00916B9D">
              <w:rPr>
                <w:color w:val="000100"/>
                <w:sz w:val="20"/>
                <w:lang w:val="en-US"/>
              </w:rPr>
              <w:t>.</w:t>
            </w:r>
            <w:r w:rsidR="00916B9D">
              <w:t xml:space="preserve"> </w:t>
            </w:r>
          </w:p>
        </w:tc>
      </w:tr>
      <w:tr w:rsidR="00E86A68" w:rsidTr="00E27DED">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Default="00916B9D" w:rsidP="00C3126D">
            <w:pPr>
              <w:pStyle w:val="Tabletext"/>
            </w:pPr>
            <w:r>
              <w:t>Expedited reviews</w:t>
            </w:r>
          </w:p>
        </w:tc>
        <w:tc>
          <w:tcPr>
            <w:tcW w:w="4129" w:type="pct"/>
            <w:gridSpan w:val="2"/>
            <w:shd w:val="clear" w:color="auto" w:fill="auto"/>
          </w:tcPr>
          <w:p w:rsidR="00916B9D" w:rsidRDefault="00916B9D" w:rsidP="007F0FA5">
            <w:pPr>
              <w:pStyle w:val="Tabletext"/>
            </w:pPr>
            <w:r w:rsidRPr="00FC3ED2">
              <w:t>In many countries</w:t>
            </w:r>
            <w:r w:rsidR="00006604">
              <w:t>,</w:t>
            </w:r>
            <w:r w:rsidRPr="00FC3ED2">
              <w:t xml:space="preserve"> regulatory assessments of minor uses are subject to the same</w:t>
            </w:r>
            <w:r>
              <w:t xml:space="preserve"> </w:t>
            </w:r>
            <w:r w:rsidRPr="00FC3ED2">
              <w:t xml:space="preserve">assessment timeframes and procedures as other </w:t>
            </w:r>
            <w:r w:rsidR="00676405">
              <w:t>major</w:t>
            </w:r>
            <w:r w:rsidRPr="00FC3ED2">
              <w:t xml:space="preserve"> uses seeking registration. </w:t>
            </w:r>
            <w:r w:rsidR="00676405">
              <w:t>However</w:t>
            </w:r>
            <w:r w:rsidRPr="00FC3ED2">
              <w:t xml:space="preserve"> when</w:t>
            </w:r>
            <w:r>
              <w:t xml:space="preserve"> </w:t>
            </w:r>
            <w:r w:rsidRPr="00FC3ED2">
              <w:t>emergency uses are needed (for both minor uses and major uses)</w:t>
            </w:r>
            <w:r w:rsidR="00272AD9">
              <w:t>,</w:t>
            </w:r>
            <w:r w:rsidRPr="00FC3ED2">
              <w:t xml:space="preserve"> reviews </w:t>
            </w:r>
            <w:r w:rsidR="007F0FA5">
              <w:t>are expedited</w:t>
            </w:r>
            <w:r w:rsidRPr="00FC3ED2">
              <w:t>.</w:t>
            </w:r>
            <w:r>
              <w:t xml:space="preserve"> </w:t>
            </w:r>
            <w:r w:rsidRPr="00FC3ED2">
              <w:t>In these cases only a temporary use approval may be granted, with the ongoing use approval</w:t>
            </w:r>
            <w:r w:rsidR="007F0FA5">
              <w:t>,</w:t>
            </w:r>
            <w:r w:rsidRPr="00FC3ED2">
              <w:t xml:space="preserve"> if</w:t>
            </w:r>
            <w:r>
              <w:t xml:space="preserve"> </w:t>
            </w:r>
            <w:r w:rsidRPr="00FC3ED2">
              <w:t>required</w:t>
            </w:r>
            <w:r w:rsidR="007F0FA5">
              <w:t>,</w:t>
            </w:r>
            <w:r w:rsidRPr="00FC3ED2">
              <w:t xml:space="preserve"> still subject to standard registration procedures</w:t>
            </w:r>
            <w:r w:rsidR="007F0FA5">
              <w:t>.</w:t>
            </w:r>
          </w:p>
        </w:tc>
      </w:tr>
      <w:tr w:rsidR="00E86A68" w:rsidTr="00E27DED">
        <w:tblPrEx>
          <w:tblBorders>
            <w:bottom w:val="single" w:sz="4" w:space="0" w:color="646464"/>
            <w:insideH w:val="single" w:sz="4" w:space="0" w:color="646464"/>
          </w:tblBorders>
        </w:tblPrEx>
        <w:trPr>
          <w:gridBefore w:val="1"/>
          <w:wBefore w:w="134" w:type="pct"/>
          <w:cantSplit/>
        </w:trPr>
        <w:tc>
          <w:tcPr>
            <w:tcW w:w="737" w:type="pct"/>
            <w:tcBorders>
              <w:bottom w:val="single" w:sz="4" w:space="0" w:color="646464"/>
            </w:tcBorders>
            <w:shd w:val="clear" w:color="auto" w:fill="auto"/>
          </w:tcPr>
          <w:p w:rsidR="00916B9D" w:rsidRDefault="00916B9D" w:rsidP="00C3126D">
            <w:pPr>
              <w:pStyle w:val="Tabletext"/>
            </w:pPr>
            <w:r>
              <w:t>Fee reductions or waivers</w:t>
            </w:r>
          </w:p>
        </w:tc>
        <w:tc>
          <w:tcPr>
            <w:tcW w:w="4129" w:type="pct"/>
            <w:gridSpan w:val="2"/>
            <w:tcBorders>
              <w:bottom w:val="single" w:sz="4" w:space="0" w:color="646464"/>
            </w:tcBorders>
            <w:shd w:val="clear" w:color="auto" w:fill="auto"/>
          </w:tcPr>
          <w:p w:rsidR="00916B9D" w:rsidRDefault="00916B9D" w:rsidP="00ED354E">
            <w:pPr>
              <w:pStyle w:val="Tabletext"/>
            </w:pPr>
            <w:r w:rsidRPr="00FC3ED2">
              <w:t>Most countries have implemented fee reductions or waivers to enhance the registration of minor uses</w:t>
            </w:r>
            <w:r w:rsidR="0059257B">
              <w:t>,</w:t>
            </w:r>
            <w:r w:rsidRPr="00FC3ED2">
              <w:t xml:space="preserve"> noting that the economic costs of registering minor uses can be a major factor hindering their approval. Whilst costs of data generation generally far outweigh regulatory assessment costs, these provisions are seen to lessen the overall costs to some extent and are </w:t>
            </w:r>
            <w:r w:rsidR="0085616B">
              <w:t>considered to be</w:t>
            </w:r>
            <w:r w:rsidRPr="00FC3ED2">
              <w:t xml:space="preserve"> government support for minor uses.</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single" w:sz="4" w:space="0" w:color="646464"/>
            </w:tcBorders>
            <w:shd w:val="clear" w:color="auto" w:fill="DDDDDD"/>
          </w:tcPr>
          <w:p w:rsidR="00916B9D" w:rsidRPr="00BE32CA" w:rsidRDefault="00916B9D" w:rsidP="009B5717">
            <w:pPr>
              <w:pStyle w:val="Tabletext"/>
              <w:keepNext/>
              <w:ind w:right="119"/>
              <w:rPr>
                <w:b/>
              </w:rPr>
            </w:pPr>
            <w:r w:rsidRPr="00BE32CA">
              <w:rPr>
                <w:b/>
              </w:rPr>
              <w:t>2. Technical arrangements based on sound science</w:t>
            </w:r>
          </w:p>
        </w:tc>
      </w:tr>
      <w:tr w:rsidR="00E86A68"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Pr="00BE32CA" w:rsidRDefault="00916B9D" w:rsidP="00C3126D">
            <w:pPr>
              <w:pStyle w:val="Tabletext"/>
            </w:pPr>
            <w:r w:rsidRPr="00BE32CA">
              <w:t>Extrapolation and mutually accepted data</w:t>
            </w:r>
          </w:p>
        </w:tc>
        <w:tc>
          <w:tcPr>
            <w:tcW w:w="4129" w:type="pct"/>
            <w:gridSpan w:val="2"/>
            <w:shd w:val="clear" w:color="auto" w:fill="auto"/>
          </w:tcPr>
          <w:p w:rsidR="00916B9D" w:rsidRDefault="00676405" w:rsidP="0085616B">
            <w:pPr>
              <w:pStyle w:val="Tabletext"/>
            </w:pPr>
            <w:r>
              <w:t>For minor uses, m</w:t>
            </w:r>
            <w:r w:rsidR="00916B9D" w:rsidRPr="004123FB">
              <w:t>ost countries utilise the concept of data extrapolation, be that in residues, efficacy</w:t>
            </w:r>
            <w:r w:rsidR="00916B9D">
              <w:t xml:space="preserve"> </w:t>
            </w:r>
            <w:r w:rsidR="00916B9D" w:rsidRPr="004123FB">
              <w:t>and</w:t>
            </w:r>
            <w:r w:rsidR="00793D6C">
              <w:t xml:space="preserve"> </w:t>
            </w:r>
            <w:r w:rsidR="00916B9D" w:rsidRPr="004123FB">
              <w:t>/</w:t>
            </w:r>
            <w:r w:rsidR="00793D6C">
              <w:t xml:space="preserve"> </w:t>
            </w:r>
            <w:r w:rsidR="00916B9D" w:rsidRPr="004123FB">
              <w:t>or crop safety and worker protection (occupational health &amp; safety). In addition, many</w:t>
            </w:r>
            <w:r w:rsidR="00916B9D">
              <w:t xml:space="preserve"> </w:t>
            </w:r>
            <w:r w:rsidR="00916B9D" w:rsidRPr="004123FB">
              <w:t>countries also accept within limitations</w:t>
            </w:r>
            <w:r w:rsidR="00397517">
              <w:t>,</w:t>
            </w:r>
            <w:r w:rsidR="00916B9D" w:rsidRPr="004123FB">
              <w:t xml:space="preserve"> the use of data generated in other regions globally</w:t>
            </w:r>
            <w:r w:rsidR="0085616B">
              <w:t>,</w:t>
            </w:r>
            <w:r w:rsidR="00916B9D" w:rsidRPr="004123FB">
              <w:t xml:space="preserve"> and</w:t>
            </w:r>
            <w:r w:rsidR="00916B9D">
              <w:t xml:space="preserve"> </w:t>
            </w:r>
            <w:r w:rsidR="00916B9D" w:rsidRPr="004123FB">
              <w:t>typically where it can be demonstrated that the data is relevant to the region where use is sought, either by consideration of geography, climate, soil, agronomic growing conditions and a</w:t>
            </w:r>
            <w:r w:rsidR="00916B9D">
              <w:t xml:space="preserve"> </w:t>
            </w:r>
            <w:r w:rsidR="00916B9D" w:rsidRPr="004123FB">
              <w:t>comparable use pattern.</w:t>
            </w:r>
            <w:r w:rsidR="00916B9D">
              <w:t xml:space="preserve"> </w:t>
            </w:r>
          </w:p>
        </w:tc>
      </w:tr>
      <w:tr w:rsidR="00E86A68"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Pr="00BE32CA" w:rsidRDefault="00916B9D" w:rsidP="00C3126D">
            <w:pPr>
              <w:pStyle w:val="Tabletext"/>
            </w:pPr>
            <w:r w:rsidRPr="00BE32CA">
              <w:t>Number of trials</w:t>
            </w:r>
          </w:p>
        </w:tc>
        <w:tc>
          <w:tcPr>
            <w:tcW w:w="4129" w:type="pct"/>
            <w:gridSpan w:val="2"/>
            <w:shd w:val="clear" w:color="auto" w:fill="auto"/>
          </w:tcPr>
          <w:p w:rsidR="00916B9D" w:rsidRDefault="00916B9D" w:rsidP="00397517">
            <w:pPr>
              <w:pStyle w:val="Tabletext"/>
            </w:pPr>
            <w:r w:rsidRPr="004123FB">
              <w:t xml:space="preserve">In addition to extrapolation and use of international data, there </w:t>
            </w:r>
            <w:r w:rsidR="00676405">
              <w:t xml:space="preserve">are </w:t>
            </w:r>
            <w:r w:rsidRPr="004123FB">
              <w:t xml:space="preserve">also </w:t>
            </w:r>
            <w:r w:rsidR="00676405">
              <w:t>fewer</w:t>
            </w:r>
            <w:r w:rsidRPr="004123FB">
              <w:t xml:space="preserve"> trials required for minor uses (or minor crops)</w:t>
            </w:r>
            <w:r w:rsidR="00676405">
              <w:t>. Ge</w:t>
            </w:r>
            <w:r w:rsidRPr="004123FB">
              <w:t>nerally the</w:t>
            </w:r>
            <w:r w:rsidR="00676405">
              <w:t xml:space="preserve">re is a reduction of </w:t>
            </w:r>
            <w:r>
              <w:t>50–</w:t>
            </w:r>
            <w:r w:rsidRPr="004123FB">
              <w:t>75</w:t>
            </w:r>
            <w:r>
              <w:t xml:space="preserve"> per cent</w:t>
            </w:r>
            <w:r w:rsidRPr="004123FB">
              <w:t xml:space="preserve"> </w:t>
            </w:r>
            <w:r w:rsidR="00676405">
              <w:t>i</w:t>
            </w:r>
            <w:r w:rsidRPr="004123FB">
              <w:t xml:space="preserve">n the number of trials required compared </w:t>
            </w:r>
            <w:r w:rsidR="0085616B">
              <w:t>with</w:t>
            </w:r>
            <w:r w:rsidRPr="004123FB">
              <w:t xml:space="preserve"> the registration of a major</w:t>
            </w:r>
            <w:r>
              <w:t xml:space="preserve"> </w:t>
            </w:r>
            <w:r w:rsidRPr="004123FB">
              <w:t>use. This is often a reflection of the fact that the product is evaluated with the normal</w:t>
            </w:r>
            <w:r>
              <w:t xml:space="preserve"> </w:t>
            </w:r>
            <w:r w:rsidRPr="004123FB">
              <w:t>authorisation</w:t>
            </w:r>
            <w:r w:rsidR="00397517">
              <w:t>,</w:t>
            </w:r>
            <w:r w:rsidRPr="004123FB">
              <w:t xml:space="preserve"> and for minor uses it must </w:t>
            </w:r>
            <w:r w:rsidR="00397517">
              <w:t xml:space="preserve">only </w:t>
            </w:r>
            <w:r w:rsidRPr="004123FB">
              <w:t>be proved that they are similar to the uses of the</w:t>
            </w:r>
            <w:r>
              <w:t xml:space="preserve"> </w:t>
            </w:r>
            <w:r w:rsidRPr="004123FB">
              <w:t>basic authorisation. Combining data internationally would more than likely provide a more robust</w:t>
            </w:r>
            <w:r>
              <w:t xml:space="preserve"> </w:t>
            </w:r>
            <w:r w:rsidRPr="004123FB">
              <w:t>data set overall.</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single" w:sz="4" w:space="0" w:color="646464"/>
            </w:tcBorders>
            <w:shd w:val="clear" w:color="auto" w:fill="DDDDDD"/>
          </w:tcPr>
          <w:p w:rsidR="00916B9D" w:rsidRPr="00BE32CA" w:rsidRDefault="00916B9D" w:rsidP="00C3126D">
            <w:pPr>
              <w:pStyle w:val="Tabletext"/>
              <w:rPr>
                <w:b/>
              </w:rPr>
            </w:pPr>
            <w:r w:rsidRPr="00BE32CA">
              <w:rPr>
                <w:b/>
              </w:rPr>
              <w:t>3. Authorisation process arrangements</w:t>
            </w:r>
          </w:p>
        </w:tc>
      </w:tr>
      <w:tr w:rsidR="00E86A68"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Default="00916B9D" w:rsidP="00C3126D">
            <w:pPr>
              <w:pStyle w:val="Tabletext"/>
            </w:pPr>
            <w:r w:rsidRPr="00C9356E">
              <w:t>Third party registrations</w:t>
            </w:r>
          </w:p>
        </w:tc>
        <w:tc>
          <w:tcPr>
            <w:tcW w:w="4129" w:type="pct"/>
            <w:gridSpan w:val="2"/>
            <w:shd w:val="clear" w:color="auto" w:fill="auto"/>
          </w:tcPr>
          <w:p w:rsidR="00916B9D" w:rsidRDefault="00916B9D" w:rsidP="00E27DED">
            <w:pPr>
              <w:pStyle w:val="Tabletext"/>
            </w:pPr>
            <w:r w:rsidRPr="00F116E5">
              <w:t>Standard regulatory procedures require that an application for registration of a new product or new use be submitted by the product manufacturer</w:t>
            </w:r>
            <w:r w:rsidR="00793D6C">
              <w:t xml:space="preserve"> </w:t>
            </w:r>
            <w:r w:rsidRPr="00F116E5">
              <w:t>/</w:t>
            </w:r>
            <w:r w:rsidR="00793D6C">
              <w:t xml:space="preserve"> </w:t>
            </w:r>
            <w:r w:rsidRPr="00F116E5">
              <w:t>registrant. Some countries operate schemes where pers</w:t>
            </w:r>
            <w:r w:rsidR="00397517">
              <w:t>ons other than the registrant (</w:t>
            </w:r>
            <w:r w:rsidRPr="00397517">
              <w:rPr>
                <w:rFonts w:cs="TimesNewRoman,Italic"/>
                <w:iCs/>
              </w:rPr>
              <w:t>third parties</w:t>
            </w:r>
            <w:r w:rsidRPr="00F116E5">
              <w:t>) may seek to have minor uses considered for approval. This may include submissions seeking registration (on-label) or off</w:t>
            </w:r>
            <w:r>
              <w:t>-</w:t>
            </w:r>
            <w:r w:rsidRPr="00F116E5">
              <w:t>label approvals. For registration, third parties may make regulatory submissions that are a</w:t>
            </w:r>
            <w:r>
              <w:t>ssessed by the regulatory agenc</w:t>
            </w:r>
            <w:r w:rsidRPr="00F116E5">
              <w:t>ies and</w:t>
            </w:r>
            <w:r w:rsidR="00397517">
              <w:t>,</w:t>
            </w:r>
            <w:r w:rsidRPr="00F116E5">
              <w:t xml:space="preserve"> if supported, product registrants may then seek to have those uses labelled </w:t>
            </w:r>
            <w:r w:rsidR="00397517">
              <w:t>(</w:t>
            </w:r>
            <w:r w:rsidRPr="00F116E5">
              <w:t>or the third party may maintain the label for the given use</w:t>
            </w:r>
            <w:r w:rsidR="00397517">
              <w:t>)</w:t>
            </w:r>
            <w:r w:rsidRPr="00F116E5">
              <w:t>. In some cases it is a requirement that the registrant must submit their proposed new label at the same time as the third party submission is lodged. For off-label approvals, third parties may also make regulatory submissions for assessment by the regulatory agenc</w:t>
            </w:r>
            <w:r>
              <w:t>ies</w:t>
            </w:r>
            <w:r w:rsidRPr="00F116E5">
              <w:t>. If supported, these approvals are authorised via the issuance of a document separate to the official (or approved) product label, which outlines the approved use pattern</w:t>
            </w:r>
            <w:r w:rsidR="00E27DED">
              <w:t xml:space="preserve">, </w:t>
            </w:r>
            <w:r w:rsidRPr="00F116E5">
              <w:t xml:space="preserve">typically </w:t>
            </w:r>
            <w:r w:rsidR="00E27DED">
              <w:t xml:space="preserve">for </w:t>
            </w:r>
            <w:r w:rsidRPr="00F116E5">
              <w:t>a defined period</w:t>
            </w:r>
            <w:r w:rsidR="00E27DED">
              <w:t>.</w:t>
            </w:r>
          </w:p>
        </w:tc>
      </w:tr>
      <w:tr w:rsidR="00E86A68"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Default="00916B9D" w:rsidP="00C3126D">
            <w:pPr>
              <w:pStyle w:val="Tabletext"/>
            </w:pPr>
            <w:r w:rsidRPr="00C9356E">
              <w:t>Temporary approvals (off-label &amp; emergency schemes)</w:t>
            </w:r>
          </w:p>
        </w:tc>
        <w:tc>
          <w:tcPr>
            <w:tcW w:w="4129" w:type="pct"/>
            <w:gridSpan w:val="2"/>
            <w:shd w:val="clear" w:color="auto" w:fill="auto"/>
          </w:tcPr>
          <w:p w:rsidR="001D4634" w:rsidRDefault="00916B9D" w:rsidP="007F0FA5">
            <w:pPr>
              <w:pStyle w:val="Tabletext"/>
            </w:pPr>
            <w:r w:rsidRPr="00503E8E">
              <w:t>In addition to standard registration procedures, several countries also operate schemes</w:t>
            </w:r>
            <w:r>
              <w:t xml:space="preserve"> </w:t>
            </w:r>
            <w:r w:rsidRPr="00503E8E">
              <w:t>that can allow approvals to be granted for off-label use. These mechanisms are utilised not only</w:t>
            </w:r>
            <w:r>
              <w:t xml:space="preserve"> </w:t>
            </w:r>
            <w:r w:rsidRPr="00503E8E">
              <w:t>for minor uses but also to allow rapid responses to emergency needs.</w:t>
            </w:r>
            <w:r>
              <w:t xml:space="preserve"> </w:t>
            </w:r>
            <w:r w:rsidRPr="00503E8E">
              <w:t>Off-label provisions are provided generally to third parties where the registrant is not</w:t>
            </w:r>
            <w:r>
              <w:t xml:space="preserve"> </w:t>
            </w:r>
            <w:r w:rsidRPr="00503E8E">
              <w:t xml:space="preserve">interested in seeking </w:t>
            </w:r>
            <w:r w:rsidR="007F0FA5">
              <w:t xml:space="preserve">minor use </w:t>
            </w:r>
            <w:r w:rsidRPr="00503E8E">
              <w:t>registration. Approvals granted by these</w:t>
            </w:r>
            <w:r>
              <w:t xml:space="preserve"> </w:t>
            </w:r>
            <w:r w:rsidRPr="00503E8E">
              <w:t>mechanisms are typically time-limited and may in some cases also be temporarily approved</w:t>
            </w:r>
            <w:r w:rsidR="00397517">
              <w:t>,</w:t>
            </w:r>
            <w:r w:rsidRPr="00503E8E">
              <w:t xml:space="preserve"> with</w:t>
            </w:r>
            <w:r>
              <w:t xml:space="preserve"> </w:t>
            </w:r>
            <w:r w:rsidRPr="00503E8E">
              <w:t>requirements on the provision of additional data during the life of the approval.</w:t>
            </w:r>
            <w:r>
              <w:t xml:space="preserve"> </w:t>
            </w:r>
            <w:r w:rsidRPr="00503E8E">
              <w:t>In some cases, temporary approvals may be granted based upon international data alone</w:t>
            </w:r>
            <w:r w:rsidR="00397517">
              <w:t>,</w:t>
            </w:r>
            <w:r>
              <w:t xml:space="preserve"> </w:t>
            </w:r>
            <w:r w:rsidRPr="00503E8E">
              <w:t xml:space="preserve">and </w:t>
            </w:r>
            <w:r w:rsidR="00397517">
              <w:t xml:space="preserve">with a </w:t>
            </w:r>
            <w:r w:rsidRPr="00503E8E">
              <w:t>requirement for local data to be generated during the term of the initial</w:t>
            </w:r>
            <w:r>
              <w:t xml:space="preserve"> </w:t>
            </w:r>
            <w:r w:rsidRPr="00503E8E">
              <w:t xml:space="preserve">approval. </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single" w:sz="4" w:space="0" w:color="646464"/>
            </w:tcBorders>
            <w:shd w:val="clear" w:color="auto" w:fill="DDDDDD"/>
          </w:tcPr>
          <w:p w:rsidR="00916B9D" w:rsidRPr="00BE32CA" w:rsidRDefault="00916B9D" w:rsidP="001D4634">
            <w:pPr>
              <w:pStyle w:val="Tabletext"/>
              <w:keepNext/>
              <w:ind w:right="119"/>
              <w:rPr>
                <w:b/>
              </w:rPr>
            </w:pPr>
            <w:r w:rsidRPr="00BE32CA">
              <w:rPr>
                <w:b/>
              </w:rPr>
              <w:t>4. Research</w:t>
            </w:r>
          </w:p>
        </w:tc>
      </w:tr>
      <w:tr w:rsidR="00E86A68"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Default="00916B9D" w:rsidP="00D210AD">
            <w:pPr>
              <w:pStyle w:val="Tabletext"/>
            </w:pPr>
            <w:r w:rsidRPr="00C9356E">
              <w:t>Data generation assist</w:t>
            </w:r>
            <w:r w:rsidR="00D210AD">
              <w:t>ance</w:t>
            </w:r>
            <w:r w:rsidRPr="00C9356E">
              <w:t xml:space="preserve"> schemes</w:t>
            </w:r>
          </w:p>
        </w:tc>
        <w:tc>
          <w:tcPr>
            <w:tcW w:w="4129" w:type="pct"/>
            <w:gridSpan w:val="2"/>
            <w:shd w:val="clear" w:color="auto" w:fill="auto"/>
          </w:tcPr>
          <w:p w:rsidR="00916B9D" w:rsidRDefault="00916B9D" w:rsidP="007F0FA5">
            <w:pPr>
              <w:pStyle w:val="Tabletext"/>
            </w:pPr>
            <w:r w:rsidRPr="00503E8E">
              <w:t>Several countries have developed dedicated minor use programs that are specifically</w:t>
            </w:r>
            <w:r>
              <w:t xml:space="preserve"> </w:t>
            </w:r>
            <w:r w:rsidRPr="00503E8E">
              <w:t xml:space="preserve">designed to </w:t>
            </w:r>
            <w:r w:rsidR="007F0FA5">
              <w:t>assist</w:t>
            </w:r>
            <w:r w:rsidRPr="00503E8E">
              <w:t xml:space="preserve"> grower groups and registrants in undertaking the necessary data generation</w:t>
            </w:r>
            <w:r>
              <w:t xml:space="preserve"> </w:t>
            </w:r>
            <w:r w:rsidRPr="00503E8E">
              <w:t>and making of regulatory submissions. These program</w:t>
            </w:r>
            <w:r w:rsidR="00397517">
              <w:t>s</w:t>
            </w:r>
            <w:r w:rsidRPr="00503E8E">
              <w:t xml:space="preserve"> may </w:t>
            </w:r>
            <w:r w:rsidR="00397517">
              <w:t xml:space="preserve">rely </w:t>
            </w:r>
            <w:r w:rsidRPr="00503E8E">
              <w:t>on</w:t>
            </w:r>
            <w:r>
              <w:t xml:space="preserve"> </w:t>
            </w:r>
            <w:r w:rsidRPr="00503E8E">
              <w:t>government funding or may contain a level of co-investment between government, growers</w:t>
            </w:r>
            <w:r>
              <w:t xml:space="preserve"> </w:t>
            </w:r>
            <w:r w:rsidRPr="00503E8E">
              <w:t xml:space="preserve">and registrants. Often </w:t>
            </w:r>
            <w:r w:rsidR="00397517">
              <w:t>g</w:t>
            </w:r>
            <w:r w:rsidRPr="00503E8E">
              <w:t>overnment funds are needed to leverage private funds. In some</w:t>
            </w:r>
            <w:r>
              <w:t xml:space="preserve"> </w:t>
            </w:r>
            <w:r w:rsidRPr="00503E8E">
              <w:t>countries</w:t>
            </w:r>
            <w:r w:rsidR="00397517">
              <w:t>,</w:t>
            </w:r>
            <w:r w:rsidRPr="00503E8E">
              <w:t xml:space="preserve"> grower groups have mechanisms </w:t>
            </w:r>
            <w:r w:rsidR="00397517">
              <w:t>to</w:t>
            </w:r>
            <w:r w:rsidRPr="00503E8E">
              <w:t xml:space="preserve"> generate funds through grower levies on</w:t>
            </w:r>
            <w:r>
              <w:t xml:space="preserve"> </w:t>
            </w:r>
            <w:r w:rsidRPr="00503E8E">
              <w:t xml:space="preserve">production levels which in turn </w:t>
            </w:r>
            <w:r w:rsidR="00397517">
              <w:t xml:space="preserve">can be </w:t>
            </w:r>
            <w:r w:rsidRPr="00503E8E">
              <w:t>utilised to invest in various activities relating to research</w:t>
            </w:r>
            <w:r>
              <w:t xml:space="preserve"> </w:t>
            </w:r>
            <w:r w:rsidRPr="00503E8E">
              <w:t>and development including data generation for minor uses.</w:t>
            </w:r>
            <w:r>
              <w:t xml:space="preserve"> </w:t>
            </w:r>
            <w:r w:rsidR="00397517">
              <w:t>These program</w:t>
            </w:r>
            <w:r w:rsidRPr="00503E8E">
              <w:t>s are considered critical and</w:t>
            </w:r>
            <w:r w:rsidR="007F0FA5">
              <w:t>,</w:t>
            </w:r>
            <w:r w:rsidRPr="00503E8E">
              <w:t xml:space="preserve"> in some cases</w:t>
            </w:r>
            <w:r w:rsidR="007F0FA5">
              <w:t>,</w:t>
            </w:r>
            <w:r w:rsidRPr="00503E8E">
              <w:t xml:space="preserve"> may be the only mechanism</w:t>
            </w:r>
            <w:r>
              <w:t xml:space="preserve"> </w:t>
            </w:r>
            <w:r w:rsidRPr="00503E8E">
              <w:t>to drive solutions for many minor uses that are not economically attractive to registrants.</w:t>
            </w:r>
            <w:r w:rsidR="000C3CDB">
              <w:t xml:space="preserve"> </w:t>
            </w:r>
            <w:r w:rsidRPr="00503E8E">
              <w:t>The</w:t>
            </w:r>
            <w:r>
              <w:t xml:space="preserve"> </w:t>
            </w:r>
            <w:r w:rsidRPr="00503E8E">
              <w:t xml:space="preserve">most successfully recognised of these programs is the </w:t>
            </w:r>
            <w:r w:rsidR="00397517">
              <w:t>US</w:t>
            </w:r>
            <w:r w:rsidRPr="00503E8E">
              <w:t xml:space="preserve"> IR-4 Project that has</w:t>
            </w:r>
            <w:r>
              <w:t xml:space="preserve"> </w:t>
            </w:r>
            <w:r w:rsidRPr="00503E8E">
              <w:t>operated since 1963</w:t>
            </w:r>
            <w:r w:rsidR="00272AD9">
              <w:t xml:space="preserve"> (see </w:t>
            </w:r>
            <w:r w:rsidR="00272AD9" w:rsidRPr="00272AD9">
              <w:rPr>
                <w:b/>
              </w:rPr>
              <w:t>Box 6.2</w:t>
            </w:r>
            <w:r w:rsidR="00272AD9">
              <w:t>)</w:t>
            </w:r>
            <w:r w:rsidRPr="00503E8E">
              <w:t>. In that time the program has achieved over 10,000 approvals for use on</w:t>
            </w:r>
            <w:r>
              <w:t xml:space="preserve"> </w:t>
            </w:r>
            <w:r w:rsidRPr="00503E8E">
              <w:t>food crops and another 10,000 on non-food ornamental crops. The IR-4 Project is internationally</w:t>
            </w:r>
            <w:r>
              <w:t xml:space="preserve"> </w:t>
            </w:r>
            <w:r w:rsidRPr="00503E8E">
              <w:t xml:space="preserve">recognised as a model program for other countries seeking </w:t>
            </w:r>
            <w:r w:rsidR="009B5717">
              <w:t xml:space="preserve">to </w:t>
            </w:r>
            <w:r w:rsidRPr="00503E8E">
              <w:t>develop</w:t>
            </w:r>
            <w:r>
              <w:t xml:space="preserve"> </w:t>
            </w:r>
            <w:r w:rsidRPr="00503E8E">
              <w:t xml:space="preserve">national programs, </w:t>
            </w:r>
            <w:r w:rsidR="009B5717">
              <w:t xml:space="preserve">or </w:t>
            </w:r>
            <w:r w:rsidRPr="00503E8E">
              <w:t>in processes of identifying, prioritising and generating data for minor uses.</w:t>
            </w:r>
            <w:r>
              <w:t xml:space="preserve"> </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single" w:sz="4" w:space="0" w:color="646464"/>
            </w:tcBorders>
            <w:shd w:val="clear" w:color="auto" w:fill="DDDDDD"/>
          </w:tcPr>
          <w:p w:rsidR="00916B9D" w:rsidRPr="00BE32CA" w:rsidRDefault="00916B9D" w:rsidP="00C3126D">
            <w:pPr>
              <w:pStyle w:val="Tabletext"/>
              <w:rPr>
                <w:b/>
              </w:rPr>
            </w:pPr>
            <w:r w:rsidRPr="00BE32CA">
              <w:rPr>
                <w:b/>
              </w:rPr>
              <w:t>5. Promotion of safer alternatives</w:t>
            </w:r>
          </w:p>
        </w:tc>
      </w:tr>
      <w:tr w:rsidR="00E86A68" w:rsidRPr="00C9356E"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Pr="00C9356E" w:rsidRDefault="00916B9D" w:rsidP="00C3126D">
            <w:pPr>
              <w:pStyle w:val="Tabletext"/>
            </w:pPr>
            <w:r w:rsidRPr="00C9356E">
              <w:t>Reduced risk incentives</w:t>
            </w:r>
          </w:p>
        </w:tc>
        <w:tc>
          <w:tcPr>
            <w:tcW w:w="4129" w:type="pct"/>
            <w:gridSpan w:val="2"/>
            <w:shd w:val="clear" w:color="auto" w:fill="auto"/>
          </w:tcPr>
          <w:p w:rsidR="00916B9D" w:rsidRDefault="00916B9D" w:rsidP="00397517">
            <w:pPr>
              <w:pStyle w:val="Tabletext"/>
            </w:pPr>
            <w:r>
              <w:t>Some countries provide incentives for the registration of reduced risk pesticides, including biopesticides.</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top w:val="single" w:sz="4" w:space="0" w:color="646464"/>
            </w:tcBorders>
            <w:shd w:val="clear" w:color="auto" w:fill="DDDDDD"/>
          </w:tcPr>
          <w:p w:rsidR="00916B9D" w:rsidRPr="00BE32CA" w:rsidRDefault="00916B9D" w:rsidP="009B5717">
            <w:pPr>
              <w:pStyle w:val="Tabletext"/>
              <w:keepNext/>
              <w:ind w:right="119"/>
              <w:rPr>
                <w:b/>
              </w:rPr>
            </w:pPr>
            <w:r w:rsidRPr="00BE32CA">
              <w:rPr>
                <w:b/>
              </w:rPr>
              <w:t>6. Liability</w:t>
            </w:r>
          </w:p>
        </w:tc>
      </w:tr>
      <w:tr w:rsidR="00E86A68" w:rsidRPr="00C9356E" w:rsidTr="00006604">
        <w:tblPrEx>
          <w:tblBorders>
            <w:bottom w:val="single" w:sz="4" w:space="0" w:color="646464"/>
            <w:insideH w:val="single" w:sz="4" w:space="0" w:color="646464"/>
          </w:tblBorders>
        </w:tblPrEx>
        <w:trPr>
          <w:gridBefore w:val="1"/>
          <w:wBefore w:w="134" w:type="pct"/>
          <w:cantSplit/>
        </w:trPr>
        <w:tc>
          <w:tcPr>
            <w:tcW w:w="737" w:type="pct"/>
            <w:shd w:val="clear" w:color="auto" w:fill="auto"/>
          </w:tcPr>
          <w:p w:rsidR="00916B9D" w:rsidRPr="00C9356E" w:rsidRDefault="00916B9D" w:rsidP="00C3126D">
            <w:pPr>
              <w:pStyle w:val="Tabletext"/>
            </w:pPr>
            <w:r w:rsidRPr="00C9356E">
              <w:t>Liability waivers</w:t>
            </w:r>
            <w:r w:rsidR="00793D6C">
              <w:t xml:space="preserve"> </w:t>
            </w:r>
            <w:r w:rsidRPr="00C9356E">
              <w:t>/</w:t>
            </w:r>
            <w:r w:rsidR="00793D6C">
              <w:t xml:space="preserve"> </w:t>
            </w:r>
            <w:r w:rsidRPr="00C9356E">
              <w:t>disclaimers</w:t>
            </w:r>
          </w:p>
        </w:tc>
        <w:tc>
          <w:tcPr>
            <w:tcW w:w="4129" w:type="pct"/>
            <w:gridSpan w:val="2"/>
            <w:shd w:val="clear" w:color="auto" w:fill="auto"/>
          </w:tcPr>
          <w:p w:rsidR="00916B9D" w:rsidRDefault="00916B9D" w:rsidP="00536741">
            <w:pPr>
              <w:pStyle w:val="Tabletext"/>
            </w:pPr>
            <w:r w:rsidRPr="00161D04">
              <w:t xml:space="preserve">Liability </w:t>
            </w:r>
            <w:r w:rsidR="00397517">
              <w:t xml:space="preserve">arising </w:t>
            </w:r>
            <w:r w:rsidRPr="00161D04">
              <w:t>from the registration of minor uses is an economic disincentive for many</w:t>
            </w:r>
            <w:r>
              <w:t xml:space="preserve"> </w:t>
            </w:r>
            <w:r w:rsidR="00397517">
              <w:t>agvet companies</w:t>
            </w:r>
            <w:r w:rsidRPr="00161D04">
              <w:t xml:space="preserve">, and in some cases </w:t>
            </w:r>
            <w:r w:rsidR="00536741">
              <w:t xml:space="preserve">is </w:t>
            </w:r>
            <w:r w:rsidRPr="00161D04">
              <w:t xml:space="preserve">the leading </w:t>
            </w:r>
            <w:r w:rsidR="00536741">
              <w:t xml:space="preserve">reason for </w:t>
            </w:r>
            <w:r w:rsidRPr="00161D04">
              <w:t>not seeking registration of a</w:t>
            </w:r>
            <w:r>
              <w:t xml:space="preserve"> </w:t>
            </w:r>
            <w:r w:rsidRPr="00161D04">
              <w:t xml:space="preserve">particular use. To alleviate this disincentive, some countries have </w:t>
            </w:r>
            <w:r w:rsidR="00536741">
              <w:t>determined</w:t>
            </w:r>
            <w:r w:rsidRPr="00161D04">
              <w:t xml:space="preserve"> that uses such as third party</w:t>
            </w:r>
            <w:r>
              <w:t xml:space="preserve"> </w:t>
            </w:r>
            <w:r w:rsidRPr="00161D04">
              <w:t>authorisations and off-label uses are at the risk of the end user</w:t>
            </w:r>
            <w:r w:rsidR="00536741">
              <w:t>. C</w:t>
            </w:r>
            <w:r w:rsidRPr="00161D04">
              <w:t>ommonly the</w:t>
            </w:r>
            <w:r>
              <w:t xml:space="preserve"> </w:t>
            </w:r>
            <w:r w:rsidRPr="00161D04">
              <w:t>registrant is still liable for other components of the product such as its quality</w:t>
            </w:r>
            <w:r>
              <w:t xml:space="preserve"> </w:t>
            </w:r>
            <w:r w:rsidRPr="00161D04">
              <w:t>(formulation</w:t>
            </w:r>
            <w:r w:rsidR="00793D6C">
              <w:t xml:space="preserve"> </w:t>
            </w:r>
            <w:r w:rsidRPr="00161D04">
              <w:t>/</w:t>
            </w:r>
            <w:r w:rsidR="00793D6C">
              <w:t xml:space="preserve"> </w:t>
            </w:r>
            <w:r w:rsidRPr="00161D04">
              <w:t xml:space="preserve">composition) and its risks to human health and the environment. </w:t>
            </w:r>
          </w:p>
        </w:tc>
      </w:tr>
      <w:tr w:rsidR="00E86A68" w:rsidTr="00E27DED">
        <w:tblPrEx>
          <w:tblBorders>
            <w:bottom w:val="single" w:sz="4" w:space="0" w:color="646464"/>
            <w:insideH w:val="single" w:sz="4" w:space="0" w:color="646464"/>
          </w:tblBorders>
        </w:tblPrEx>
        <w:trPr>
          <w:gridBefore w:val="1"/>
          <w:wBefore w:w="134" w:type="pct"/>
          <w:cantSplit/>
        </w:trPr>
        <w:tc>
          <w:tcPr>
            <w:tcW w:w="4866" w:type="pct"/>
            <w:gridSpan w:val="3"/>
            <w:tcBorders>
              <w:bottom w:val="single" w:sz="4" w:space="0" w:color="646464"/>
            </w:tcBorders>
            <w:shd w:val="clear" w:color="auto" w:fill="auto"/>
          </w:tcPr>
          <w:p w:rsidR="00916B9D" w:rsidRDefault="00916B9D" w:rsidP="00D02A79">
            <w:pPr>
              <w:pStyle w:val="Source"/>
            </w:pPr>
            <w:r>
              <w:t>Source: OECD 2011, Guidance document on regulatory incentives for the registration of pesticide minor use, Series on pesticides No.</w:t>
            </w:r>
            <w:r w:rsidR="00EB6CC6">
              <w:t xml:space="preserve"> </w:t>
            </w:r>
            <w:r>
              <w:t>63, ENV/JM/MONO(2011)16</w:t>
            </w:r>
          </w:p>
        </w:tc>
      </w:tr>
      <w:tr w:rsidR="00E86A68" w:rsidTr="00E27DED">
        <w:tblPrEx>
          <w:tblBorders>
            <w:bottom w:val="single" w:sz="4" w:space="0" w:color="646464"/>
            <w:insideH w:val="single" w:sz="4" w:space="0" w:color="646464"/>
          </w:tblBorders>
        </w:tblPrEx>
        <w:trPr>
          <w:gridBefore w:val="1"/>
          <w:wBefore w:w="134" w:type="pct"/>
          <w:cantSplit/>
          <w:trHeight w:hRule="exact" w:val="120"/>
        </w:trPr>
        <w:tc>
          <w:tcPr>
            <w:tcW w:w="4866" w:type="pct"/>
            <w:gridSpan w:val="3"/>
            <w:tcBorders>
              <w:top w:val="single" w:sz="4" w:space="0" w:color="646464"/>
              <w:bottom w:val="nil"/>
            </w:tcBorders>
            <w:shd w:val="clear" w:color="auto" w:fill="auto"/>
          </w:tcPr>
          <w:p w:rsidR="00916B9D" w:rsidRDefault="00916B9D" w:rsidP="00C3126D">
            <w:pPr>
              <w:pStyle w:val="spacertbl"/>
            </w:pPr>
          </w:p>
        </w:tc>
      </w:tr>
    </w:tbl>
    <w:p w:rsidR="00DB5AAD" w:rsidRDefault="009B5717" w:rsidP="009B5717">
      <w:pPr>
        <w:pStyle w:val="BodyText"/>
      </w:pPr>
      <w:r>
        <w:t xml:space="preserve">ACIL Allen consultations </w:t>
      </w:r>
      <w:r w:rsidR="00272AD9">
        <w:t xml:space="preserve">with industry </w:t>
      </w:r>
      <w:r>
        <w:t>indicate that the US IR-4 program is considered to be a very attractive way of addressing the minor uses problem as it deals effectively with market failures</w:t>
      </w:r>
      <w:r w:rsidR="00523BDF">
        <w:t>,</w:t>
      </w:r>
      <w:r>
        <w:t xml:space="preserve"> and overcomes genuine barriers to research including cost</w:t>
      </w:r>
      <w:r w:rsidR="00F12C03">
        <w:t>-</w:t>
      </w:r>
      <w:r>
        <w:t xml:space="preserve">effective ways </w:t>
      </w:r>
      <w:r w:rsidR="00523BDF">
        <w:t xml:space="preserve">for applicants to </w:t>
      </w:r>
      <w:r>
        <w:t>collect data</w:t>
      </w:r>
      <w:r w:rsidR="00DB5AAD">
        <w:t xml:space="preserve"> for minor use</w:t>
      </w:r>
      <w:r>
        <w:t xml:space="preserve">. </w:t>
      </w:r>
      <w:r w:rsidR="00DB5AAD">
        <w:t xml:space="preserve">A brief discussion of IR-4 and </w:t>
      </w:r>
      <w:r w:rsidR="000C55E7">
        <w:t xml:space="preserve">its </w:t>
      </w:r>
      <w:r w:rsidR="00DB5AAD">
        <w:t xml:space="preserve">funding model is provided in </w:t>
      </w:r>
      <w:r w:rsidR="00DB5AAD">
        <w:fldChar w:fldCharType="begin"/>
      </w:r>
      <w:r w:rsidR="00DB5AAD">
        <w:instrText xml:space="preserve"> REF _Ref489951737 \h </w:instrText>
      </w:r>
      <w:r w:rsidR="00DB5AAD">
        <w:fldChar w:fldCharType="separate"/>
      </w:r>
      <w:r w:rsidR="0087688C" w:rsidRPr="00AF3F55">
        <w:rPr>
          <w:rStyle w:val="CaptionLabel"/>
        </w:rPr>
        <w:t>Box</w:t>
      </w:r>
      <w:r w:rsidR="0087688C">
        <w:rPr>
          <w:rStyle w:val="CaptionLabel"/>
        </w:rPr>
        <w:t> </w:t>
      </w:r>
      <w:r w:rsidR="0087688C">
        <w:rPr>
          <w:rStyle w:val="CaptionLabel"/>
          <w:noProof/>
        </w:rPr>
        <w:t>6</w:t>
      </w:r>
      <w:r w:rsidR="0087688C" w:rsidRPr="00AF3F55">
        <w:rPr>
          <w:rStyle w:val="CaptionLabel"/>
        </w:rPr>
        <w:t>.</w:t>
      </w:r>
      <w:r w:rsidR="0087688C">
        <w:rPr>
          <w:rStyle w:val="CaptionLabel"/>
          <w:noProof/>
        </w:rPr>
        <w:t>2</w:t>
      </w:r>
      <w:r w:rsidR="00DB5AAD">
        <w:fldChar w:fldCharType="end"/>
      </w:r>
      <w:r w:rsidR="00DB5AAD">
        <w:t>.</w:t>
      </w:r>
    </w:p>
    <w:tbl>
      <w:tblPr>
        <w:tblW w:w="0" w:type="auto"/>
        <w:tblInd w:w="-446" w:type="dxa"/>
        <w:tblLayout w:type="fixed"/>
        <w:tblCellMar>
          <w:left w:w="0" w:type="dxa"/>
          <w:right w:w="0" w:type="dxa"/>
        </w:tblCellMar>
        <w:tblLook w:val="04A0" w:firstRow="1" w:lastRow="0" w:firstColumn="1" w:lastColumn="0" w:noHBand="0" w:noVBand="1"/>
        <w:tblDescription w:val="box_std"/>
      </w:tblPr>
      <w:tblGrid>
        <w:gridCol w:w="8614"/>
      </w:tblGrid>
      <w:tr w:rsidR="00E86A68" w:rsidRPr="00AF3F55" w:rsidTr="00401D90">
        <w:trPr>
          <w:cantSplit/>
        </w:trPr>
        <w:tc>
          <w:tcPr>
            <w:tcW w:w="8614" w:type="dxa"/>
            <w:shd w:val="clear" w:color="auto" w:fill="auto"/>
            <w:tcMar>
              <w:top w:w="160" w:type="dxa"/>
              <w:left w:w="446" w:type="dxa"/>
            </w:tcMar>
          </w:tcPr>
          <w:p w:rsidR="00DB5AAD" w:rsidRPr="00AF3F55" w:rsidRDefault="00DB5AAD" w:rsidP="00DB5AAD">
            <w:pPr>
              <w:pStyle w:val="Caption"/>
            </w:pPr>
            <w:bookmarkStart w:id="159" w:name="_Ref489951737"/>
            <w:bookmarkStart w:id="160" w:name="_Toc497132835"/>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1977DE">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7688C">
              <w:rPr>
                <w:rStyle w:val="CaptionLabel"/>
                <w:noProof/>
              </w:rPr>
              <w:t>2</w:t>
            </w:r>
            <w:r w:rsidRPr="00AF3F55">
              <w:rPr>
                <w:rStyle w:val="CaptionLabel"/>
              </w:rPr>
              <w:fldChar w:fldCharType="end"/>
            </w:r>
            <w:bookmarkEnd w:id="159"/>
            <w:r>
              <w:tab/>
              <w:t>US IR-4 Program</w:t>
            </w:r>
            <w:bookmarkEnd w:id="160"/>
          </w:p>
        </w:tc>
      </w:tr>
      <w:tr w:rsidR="00DB5AAD" w:rsidRPr="00B07121" w:rsidTr="00580CF7">
        <w:trPr>
          <w:cantSplit/>
          <w:trHeight w:hRule="exact" w:val="380"/>
        </w:trPr>
        <w:tc>
          <w:tcPr>
            <w:tcW w:w="8614" w:type="dxa"/>
            <w:shd w:val="clear" w:color="auto" w:fill="E4E0DD"/>
          </w:tcPr>
          <w:p w:rsidR="00DB5AAD" w:rsidRPr="00B07121" w:rsidRDefault="00BE32CA" w:rsidP="00051735">
            <w:pPr>
              <w:pStyle w:val="spacer"/>
            </w:pPr>
            <w:r w:rsidRPr="00B07121">
              <w:rPr>
                <w:noProof/>
                <w:lang w:eastAsia="en-AU"/>
              </w:rPr>
              <mc:AlternateContent>
                <mc:Choice Requires="wps">
                  <w:drawing>
                    <wp:anchor distT="0" distB="0" distL="114300" distR="114300" simplePos="0" relativeHeight="252020736" behindDoc="0" locked="1" layoutInCell="1" allowOverlap="1" wp14:anchorId="0CFBC087" wp14:editId="3115AE98">
                      <wp:simplePos x="0" y="0"/>
                      <wp:positionH relativeFrom="rightMargin">
                        <wp:posOffset>-724535</wp:posOffset>
                      </wp:positionH>
                      <wp:positionV relativeFrom="paragraph">
                        <wp:posOffset>10160</wp:posOffset>
                      </wp:positionV>
                      <wp:extent cx="435600" cy="212400"/>
                      <wp:effectExtent l="0" t="0" r="3175" b="0"/>
                      <wp:wrapNone/>
                      <wp:docPr id="11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F261D2" id="Freeform 5" o:spid="_x0000_s1026" style="position:absolute;margin-left:-57.05pt;margin-top:.8pt;width:34.3pt;height:16.7pt;z-index:25202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" path="m822,r,828l,828,822,xm863,828r823,l1686,,863,828xe" fillcolor="#9d57a6" stroked="f">
                      <v:path arrowok="t" o:connecttype="custom" o:connectlocs="212374,0;212374,212400;0,212400;212374,0;222967,212400;435600,212400;435600,0;222967,212400" o:connectangles="0,0,0,0,0,0,0,0"/>
                      <o:lock v:ext="edit" aspectratio="t" verticies="t"/>
                      <w10:wrap anchorx="margin"/>
                      <w10:anchorlock/>
                    </v:shape>
                  </w:pict>
                </mc:Fallback>
              </mc:AlternateContent>
            </w:r>
            <w:r w:rsidR="00546375">
              <w:rPr>
                <w:noProof/>
                <w:lang w:eastAsia="en-AU"/>
              </w:rPr>
              <mc:AlternateContent>
                <mc:Choice Requires="wps">
                  <w:drawing>
                    <wp:anchor distT="0" distB="0" distL="114300" distR="114300" simplePos="0" relativeHeight="251920384" behindDoc="0" locked="1" layoutInCell="1" allowOverlap="1" wp14:anchorId="5AA9EC58" wp14:editId="43DCC941">
                      <wp:simplePos x="0" y="0"/>
                      <wp:positionH relativeFrom="page">
                        <wp:posOffset>6223635</wp:posOffset>
                      </wp:positionH>
                      <wp:positionV relativeFrom="page">
                        <wp:posOffset>1624965</wp:posOffset>
                      </wp:positionV>
                      <wp:extent cx="436880" cy="213360"/>
                      <wp:effectExtent l="0" t="0" r="1270" b="0"/>
                      <wp:wrapNone/>
                      <wp:docPr id="1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87F7A5" id="Freeform 5" o:spid="_x0000_s1026" style="position:absolute;margin-left:490.05pt;margin-top:127.95pt;width:34.4pt;height:16.8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r w:rsidR="00E86A68" w:rsidTr="00401D90">
        <w:trPr>
          <w:cantSplit/>
        </w:trPr>
        <w:tc>
          <w:tcPr>
            <w:tcW w:w="8614" w:type="dxa"/>
            <w:shd w:val="clear" w:color="auto" w:fill="E4E0DD"/>
            <w:tcMar>
              <w:top w:w="276" w:type="dxa"/>
              <w:bottom w:w="184" w:type="dxa"/>
              <w:right w:w="120" w:type="dxa"/>
            </w:tcMar>
          </w:tcPr>
          <w:p w:rsidR="00DB5AAD" w:rsidRDefault="00DB5AAD" w:rsidP="00DB5AAD">
            <w:pPr>
              <w:pStyle w:val="BoxText"/>
            </w:pPr>
            <w:r w:rsidRPr="00EC4F2E">
              <w:t xml:space="preserve">Interregional Research Project No. 4 (IR-4) is a federally funded program </w:t>
            </w:r>
            <w:r>
              <w:t>(</w:t>
            </w:r>
            <w:r w:rsidRPr="00374B7A">
              <w:t xml:space="preserve">through USDA </w:t>
            </w:r>
            <w:r>
              <w:t>and</w:t>
            </w:r>
            <w:r w:rsidRPr="00374B7A">
              <w:t xml:space="preserve"> Land Grant Universities</w:t>
            </w:r>
            <w:r>
              <w:t xml:space="preserve">) </w:t>
            </w:r>
            <w:r w:rsidRPr="00EC4F2E">
              <w:t xml:space="preserve">established in 1963 to conduct the research necessary for obtaining registrations of pest control agents needed </w:t>
            </w:r>
            <w:r w:rsidR="00272AD9">
              <w:t>for</w:t>
            </w:r>
            <w:r w:rsidRPr="00EC4F2E">
              <w:t xml:space="preserve"> minor crops. IR-4 works with farmers, agricultural scientists, and extension personnel to conduct research and </w:t>
            </w:r>
            <w:r>
              <w:t>submit proposals to US</w:t>
            </w:r>
            <w:r w:rsidRPr="00EC4F2E">
              <w:t>EPA</w:t>
            </w:r>
            <w:r>
              <w:t xml:space="preserve"> regarding</w:t>
            </w:r>
            <w:r w:rsidRPr="00EC4F2E">
              <w:t xml:space="preserve"> tolerances for specific pesticides. The program has grown to include biological pest control agents and </w:t>
            </w:r>
            <w:r>
              <w:t>biochemical</w:t>
            </w:r>
            <w:r w:rsidR="000C55E7">
              <w:t>s</w:t>
            </w:r>
            <w:r>
              <w:t>. The IR-4 Program is headquartered at Rutgers University.</w:t>
            </w:r>
            <w:r>
              <w:rPr>
                <w:rStyle w:val="FootnoteReference"/>
              </w:rPr>
              <w:footnoteReference w:id="110"/>
            </w:r>
          </w:p>
          <w:p w:rsidR="00DB5AAD" w:rsidRDefault="00DB5AAD" w:rsidP="00272AD9">
            <w:pPr>
              <w:pStyle w:val="BoxText"/>
            </w:pPr>
            <w:r>
              <w:t>The economic Impacts of the IR-4 Program was assessed in 2011.</w:t>
            </w:r>
            <w:r>
              <w:rPr>
                <w:rStyle w:val="FootnoteReference"/>
              </w:rPr>
              <w:footnoteReference w:id="111"/>
            </w:r>
            <w:r>
              <w:t>The authors found that the IR-4 Project had been a pivotal resource in providing US residents a plentiful and low-cost array of vegetables, fruits, berries and tree nuts. It found that IR-4 supported 104,650 US jobs and increased annual US gross domestic product by $7.3 billion. The findings supported public investment in the IR-4 Program in alleviating an economic market failure</w:t>
            </w:r>
            <w:r w:rsidR="0059257B">
              <w:t>,</w:t>
            </w:r>
            <w:r>
              <w:t xml:space="preserve"> were the pesticide industry for minor-uses to be left to its own devices.</w:t>
            </w:r>
          </w:p>
        </w:tc>
      </w:tr>
      <w:tr w:rsidR="00E86A68" w:rsidTr="00401D90">
        <w:trPr>
          <w:cantSplit/>
        </w:trPr>
        <w:tc>
          <w:tcPr>
            <w:tcW w:w="8614" w:type="dxa"/>
            <w:shd w:val="clear" w:color="auto" w:fill="auto"/>
            <w:tcMar>
              <w:top w:w="12" w:type="dxa"/>
              <w:left w:w="446" w:type="dxa"/>
              <w:bottom w:w="113" w:type="dxa"/>
            </w:tcMar>
          </w:tcPr>
          <w:p w:rsidR="00DB5AAD" w:rsidRDefault="00DB5AAD" w:rsidP="00051735">
            <w:pPr>
              <w:pStyle w:val="Source"/>
            </w:pPr>
            <w:r>
              <w:t xml:space="preserve">Source: </w:t>
            </w:r>
            <w:r w:rsidR="008435FC">
              <w:t xml:space="preserve">IR-4, undated, accessed on 2 August 2017 at </w:t>
            </w:r>
            <w:hyperlink r:id="rId88" w:history="1">
              <w:r w:rsidR="008435FC" w:rsidRPr="00457B6A">
                <w:rPr>
                  <w:rStyle w:val="Hyperlink"/>
                </w:rPr>
                <w:t>http://ir4.rutgers.edu/</w:t>
              </w:r>
            </w:hyperlink>
          </w:p>
        </w:tc>
      </w:tr>
    </w:tbl>
    <w:p w:rsidR="00CF738B" w:rsidRDefault="00CF738B" w:rsidP="00CF738B">
      <w:pPr>
        <w:pStyle w:val="BodyText"/>
      </w:pPr>
      <w:r>
        <w:t>Liability issues are cited by respondents to the OECD survey</w:t>
      </w:r>
      <w:r>
        <w:rPr>
          <w:rStyle w:val="FootnoteReference"/>
        </w:rPr>
        <w:footnoteReference w:id="112"/>
      </w:r>
      <w:r>
        <w:t xml:space="preserve"> as a barrier to both chemical companies and third parties seeking registration for minor uses. The survey shows that, of the sixteen OECD countries that responded, only Canada had sought to address this issue in any substantive way, although several other countries including the Netherlands, Germany, the UK and the Slova</w:t>
      </w:r>
      <w:r w:rsidR="009B5717">
        <w:t>k</w:t>
      </w:r>
      <w:r>
        <w:t xml:space="preserve"> Republic sought to pass responsibility for any problems arising from off-label of other minor uses to the end user.</w:t>
      </w:r>
    </w:p>
    <w:p w:rsidR="00CF738B" w:rsidRDefault="00CF738B" w:rsidP="00CF738B">
      <w:pPr>
        <w:pStyle w:val="BodyText"/>
      </w:pPr>
      <w:r>
        <w:t>Canada responded that it provides for limitations on liability. The registrant may include a statement on the label and a further statement in the directions for use. Specifically:</w:t>
      </w:r>
    </w:p>
    <w:p w:rsidR="00CF738B" w:rsidRDefault="00F12C03" w:rsidP="00CF738B">
      <w:pPr>
        <w:pStyle w:val="ListBullet"/>
      </w:pPr>
      <w:r>
        <w:t>“</w:t>
      </w:r>
      <w:r w:rsidR="00CF738B">
        <w:t xml:space="preserve">The </w:t>
      </w:r>
      <w:r w:rsidR="009B5717">
        <w:t>directions for use</w:t>
      </w:r>
      <w:r w:rsidR="00CF738B">
        <w:t xml:space="preserve"> for this product for the use(s) described on this </w:t>
      </w:r>
      <w:r>
        <w:t>l</w:t>
      </w:r>
      <w:r w:rsidR="00CF738B">
        <w:t>abel were developed by persons other than (</w:t>
      </w:r>
      <w:r w:rsidR="009B5717">
        <w:t>company name</w:t>
      </w:r>
      <w:r w:rsidR="00CF738B">
        <w:t>) and accepted for registration by Health Canada under the User Requested Minor Use Label Expansion program.</w:t>
      </w:r>
    </w:p>
    <w:p w:rsidR="00CF738B" w:rsidRDefault="00CF738B" w:rsidP="00CF738B">
      <w:pPr>
        <w:pStyle w:val="ListBullet"/>
      </w:pPr>
      <w:r>
        <w:t>(</w:t>
      </w:r>
      <w:r w:rsidR="009B5717" w:rsidRPr="009B5717">
        <w:t>company name</w:t>
      </w:r>
      <w:r w:rsidR="009B5717">
        <w:t xml:space="preserve">) </w:t>
      </w:r>
      <w:r>
        <w:t xml:space="preserve">itself makes no representation or warranty with respect to performance (efficacy) or crop tolerance (phytotoxicity) claims for this product when used on the crop(s) listed on this </w:t>
      </w:r>
      <w:r w:rsidR="009B5717">
        <w:t>l</w:t>
      </w:r>
      <w:r>
        <w:t>abel.</w:t>
      </w:r>
    </w:p>
    <w:p w:rsidR="00CF738B" w:rsidRDefault="00CF738B" w:rsidP="00CF738B">
      <w:pPr>
        <w:pStyle w:val="ListBullet"/>
      </w:pPr>
      <w:r>
        <w:t xml:space="preserve">Accordingly, the </w:t>
      </w:r>
      <w:r w:rsidR="00F12C03">
        <w:t>b</w:t>
      </w:r>
      <w:r>
        <w:t xml:space="preserve">uyer and </w:t>
      </w:r>
      <w:r w:rsidR="00F12C03">
        <w:t>u</w:t>
      </w:r>
      <w:r>
        <w:t>ser assume all risks related to performance and crop tolerance arising, and agree to hold (</w:t>
      </w:r>
      <w:r w:rsidR="009B5717">
        <w:t>company name</w:t>
      </w:r>
      <w:r>
        <w:t xml:space="preserve">) harmless from any claims based on efficacy or phytotoxicity in connection with the use(s) described on this </w:t>
      </w:r>
      <w:r w:rsidR="009B5717">
        <w:t>l</w:t>
      </w:r>
      <w:r>
        <w:t>abel</w:t>
      </w:r>
      <w:r w:rsidR="00F12C03">
        <w:t>”</w:t>
      </w:r>
      <w:r>
        <w:t xml:space="preserve">. </w:t>
      </w:r>
    </w:p>
    <w:p w:rsidR="00CF738B" w:rsidRDefault="00CF738B" w:rsidP="00F12C03">
      <w:pPr>
        <w:pStyle w:val="BodyText"/>
      </w:pPr>
      <w:r>
        <w:t>The Canadian survey response noted that the limit</w:t>
      </w:r>
      <w:r w:rsidR="00F12C03">
        <w:t>-</w:t>
      </w:r>
      <w:r>
        <w:t>of</w:t>
      </w:r>
      <w:r w:rsidR="00F12C03">
        <w:t>-</w:t>
      </w:r>
      <w:r>
        <w:t xml:space="preserve">liability waiver was frequently used but had not, </w:t>
      </w:r>
      <w:r w:rsidR="00895433">
        <w:t>until then</w:t>
      </w:r>
      <w:r>
        <w:t>, been legally tested.</w:t>
      </w:r>
      <w:r w:rsidR="009B5717">
        <w:t xml:space="preserve"> </w:t>
      </w:r>
      <w:r>
        <w:t>Crop</w:t>
      </w:r>
      <w:r w:rsidR="00F12C03">
        <w:t>L</w:t>
      </w:r>
      <w:r>
        <w:t xml:space="preserve">ife International also responded to the </w:t>
      </w:r>
      <w:r w:rsidR="00F12C03">
        <w:t xml:space="preserve">OECD </w:t>
      </w:r>
      <w:r>
        <w:t>survey. They wanted to see liability on the manufacturer restricted and suggested that countries should legislate so that liabilities are shared between the applicant, the regulator and the end user.</w:t>
      </w:r>
      <w:r w:rsidR="009B5717">
        <w:t xml:space="preserve"> </w:t>
      </w:r>
      <w:r>
        <w:t xml:space="preserve">The Australian response </w:t>
      </w:r>
      <w:r w:rsidR="00F12C03">
        <w:t xml:space="preserve">supported </w:t>
      </w:r>
      <w:r>
        <w:t xml:space="preserve">liability limitations, waivers and disclaimer statements on labels </w:t>
      </w:r>
      <w:r w:rsidR="00F12C03">
        <w:t xml:space="preserve">in relation to </w:t>
      </w:r>
      <w:r>
        <w:t>efficacy and crop safety</w:t>
      </w:r>
      <w:r w:rsidR="00F12C03">
        <w:t>,</w:t>
      </w:r>
      <w:r>
        <w:t xml:space="preserve"> where the minor use was a grower</w:t>
      </w:r>
      <w:r w:rsidR="0059257B">
        <w:t>-</w:t>
      </w:r>
      <w:r>
        <w:t>requested registration.</w:t>
      </w:r>
    </w:p>
    <w:p w:rsidR="00CF738B" w:rsidRDefault="00CF738B" w:rsidP="00CF738B">
      <w:pPr>
        <w:pStyle w:val="BodyText"/>
      </w:pPr>
      <w:r>
        <w:t>It is not known what steps have been taken in other countries since th</w:t>
      </w:r>
      <w:r w:rsidR="00F12C03">
        <w:t xml:space="preserve">e OECD survey </w:t>
      </w:r>
      <w:r>
        <w:t xml:space="preserve">to implement this approach. </w:t>
      </w:r>
    </w:p>
    <w:p w:rsidR="00916B9D" w:rsidRDefault="00916B9D" w:rsidP="00916B9D">
      <w:pPr>
        <w:pStyle w:val="Heading2"/>
      </w:pPr>
      <w:bookmarkStart w:id="161" w:name="_Toc497300853"/>
      <w:r>
        <w:t xml:space="preserve">Australian </w:t>
      </w:r>
      <w:r w:rsidR="00FE4FEB">
        <w:t xml:space="preserve">measures to address </w:t>
      </w:r>
      <w:r>
        <w:t>minor use</w:t>
      </w:r>
      <w:r w:rsidR="00FE4FEB">
        <w:t>s</w:t>
      </w:r>
      <w:bookmarkEnd w:id="161"/>
    </w:p>
    <w:p w:rsidR="00916B9D" w:rsidRDefault="00916B9D" w:rsidP="00916B9D">
      <w:pPr>
        <w:pStyle w:val="BodyText"/>
      </w:pPr>
      <w:r>
        <w:t>In response to</w:t>
      </w:r>
      <w:r w:rsidR="00C64955">
        <w:t xml:space="preserve"> </w:t>
      </w:r>
      <w:r>
        <w:t>an industry request, Australia introduced a minor use permit system</w:t>
      </w:r>
      <w:r w:rsidR="00536741">
        <w:t xml:space="preserve"> in 1995 </w:t>
      </w:r>
      <w:r>
        <w:rPr>
          <w:shd w:val="clear" w:color="auto" w:fill="FFFFFF"/>
        </w:rPr>
        <w:t>for uses where no relevant registered products or use patterns exist</w:t>
      </w:r>
      <w:r w:rsidR="006D2677">
        <w:rPr>
          <w:shd w:val="clear" w:color="auto" w:fill="FFFFFF"/>
        </w:rPr>
        <w:t>ed</w:t>
      </w:r>
      <w:r>
        <w:rPr>
          <w:shd w:val="clear" w:color="auto" w:fill="FFFFFF"/>
        </w:rPr>
        <w:t xml:space="preserve"> because registering the use pattern would not produce a</w:t>
      </w:r>
      <w:r w:rsidR="00D13D7C">
        <w:rPr>
          <w:shd w:val="clear" w:color="auto" w:fill="FFFFFF"/>
        </w:rPr>
        <w:t xml:space="preserve"> sufficient</w:t>
      </w:r>
      <w:r>
        <w:rPr>
          <w:shd w:val="clear" w:color="auto" w:fill="FFFFFF"/>
        </w:rPr>
        <w:t xml:space="preserve"> economic return</w:t>
      </w:r>
      <w:r w:rsidR="00536741">
        <w:rPr>
          <w:shd w:val="clear" w:color="auto" w:fill="FFFFFF"/>
        </w:rPr>
        <w:t xml:space="preserve">. </w:t>
      </w:r>
    </w:p>
    <w:p w:rsidR="00916B9D" w:rsidRDefault="00536741" w:rsidP="00916B9D">
      <w:pPr>
        <w:pStyle w:val="BodyText"/>
      </w:pPr>
      <w:r>
        <w:t>F</w:t>
      </w:r>
      <w:r w:rsidR="00916B9D">
        <w:t xml:space="preserve">ive sectors </w:t>
      </w:r>
      <w:r w:rsidR="00A334B5">
        <w:t xml:space="preserve">make up </w:t>
      </w:r>
      <w:r w:rsidR="00916B9D">
        <w:t>the majority of minor use permit applications</w:t>
      </w:r>
      <w:r>
        <w:t>:</w:t>
      </w:r>
      <w:r w:rsidR="00916B9D">
        <w:t xml:space="preserve"> vegetables, fruit and tree, non-crop situations, broadacre crops and forestry. Horticultural crops represent the vast majority of minor use permit applications</w:t>
      </w:r>
      <w:r>
        <w:t xml:space="preserve">, comprising </w:t>
      </w:r>
      <w:r w:rsidR="00916B9D">
        <w:t xml:space="preserve">more than half of all APVMA permit applications. There are currently over 1,000 minor use permits issued by the APVMA. </w:t>
      </w:r>
    </w:p>
    <w:p w:rsidR="00560A77" w:rsidRPr="00560A77" w:rsidRDefault="00560A77" w:rsidP="00560A77">
      <w:pPr>
        <w:pStyle w:val="BodyText"/>
      </w:pPr>
      <w:r w:rsidRPr="00560A77">
        <w:t>To assist in determining whether a proposed use is a ‘minor use’, the APVMA has outlined three criteria in its guidance material that are considered to assess eligibility for a minor use permit.</w:t>
      </w:r>
      <w:r w:rsidR="00E54AD4">
        <w:rPr>
          <w:rStyle w:val="FootnoteReference"/>
        </w:rPr>
        <w:footnoteReference w:id="113"/>
      </w:r>
      <w:r w:rsidRPr="00560A77">
        <w:t xml:space="preserve"> One of the criteria must be satisfied</w:t>
      </w:r>
      <w:r w:rsidR="00272AD9">
        <w:t>,</w:t>
      </w:r>
      <w:r w:rsidRPr="00560A77">
        <w:t xml:space="preserve"> and they are generally considered in the following order:</w:t>
      </w:r>
    </w:p>
    <w:p w:rsidR="00560A77" w:rsidRPr="00560A77" w:rsidRDefault="00560A77" w:rsidP="00272AD9">
      <w:pPr>
        <w:pStyle w:val="ListBullet"/>
      </w:pPr>
      <w:r w:rsidRPr="00560A77">
        <w:t xml:space="preserve">The crop, animal or situation should not be a major use. A list of major uses has been defined </w:t>
      </w:r>
      <w:r w:rsidR="006D2677">
        <w:t xml:space="preserve">for </w:t>
      </w:r>
      <w:r w:rsidRPr="00560A77">
        <w:t>crop, animal or non-crop situations on the basis of:</w:t>
      </w:r>
    </w:p>
    <w:p w:rsidR="00560A77" w:rsidRPr="00560A77" w:rsidRDefault="00560A77" w:rsidP="00272AD9">
      <w:pPr>
        <w:pStyle w:val="ListBullet2"/>
      </w:pPr>
      <w:r w:rsidRPr="00560A77">
        <w:t>Volume of commodity production</w:t>
      </w:r>
    </w:p>
    <w:p w:rsidR="00560A77" w:rsidRPr="00560A77" w:rsidRDefault="00560A77" w:rsidP="00272AD9">
      <w:pPr>
        <w:pStyle w:val="ListBullet2"/>
      </w:pPr>
      <w:r w:rsidRPr="00560A77">
        <w:t>Area under cultivation</w:t>
      </w:r>
    </w:p>
    <w:p w:rsidR="00560A77" w:rsidRPr="00560A77" w:rsidRDefault="00560A77" w:rsidP="00272AD9">
      <w:pPr>
        <w:pStyle w:val="ListBullet2"/>
      </w:pPr>
      <w:r w:rsidRPr="00560A77">
        <w:t>Dietary consumption</w:t>
      </w:r>
    </w:p>
    <w:p w:rsidR="00560A77" w:rsidRPr="00560A77" w:rsidRDefault="00560A77" w:rsidP="00272AD9">
      <w:pPr>
        <w:pStyle w:val="ListBullet2"/>
      </w:pPr>
      <w:r w:rsidRPr="00560A77">
        <w:t>Value of crop or animal</w:t>
      </w:r>
    </w:p>
    <w:p w:rsidR="00560A77" w:rsidRPr="00560A77" w:rsidRDefault="00560A77" w:rsidP="00272AD9">
      <w:pPr>
        <w:pStyle w:val="ListBullet2"/>
      </w:pPr>
      <w:r w:rsidRPr="00560A77">
        <w:t>Export quantities</w:t>
      </w:r>
      <w:r w:rsidR="0059257B">
        <w:t>,</w:t>
      </w:r>
      <w:r w:rsidRPr="00560A77">
        <w:t xml:space="preserve"> or</w:t>
      </w:r>
    </w:p>
    <w:p w:rsidR="00560A77" w:rsidRPr="00560A77" w:rsidRDefault="00560A77" w:rsidP="00272AD9">
      <w:pPr>
        <w:pStyle w:val="ListBullet2"/>
      </w:pPr>
      <w:r w:rsidRPr="00560A77">
        <w:t>Limited use within a major crop, animal or situation</w:t>
      </w:r>
    </w:p>
    <w:p w:rsidR="0059257B" w:rsidRDefault="00E01EFB" w:rsidP="00272AD9">
      <w:pPr>
        <w:pStyle w:val="ListBullet"/>
      </w:pPr>
      <w:r>
        <w:t>The proposed use meets the criteria for a limited use within a major crop, animal or situation. The criteria include:</w:t>
      </w:r>
    </w:p>
    <w:p w:rsidR="00E01EFB" w:rsidRDefault="00E01EFB" w:rsidP="00E01EFB">
      <w:pPr>
        <w:pStyle w:val="ListBullet2"/>
      </w:pPr>
      <w:r>
        <w:t>Less than ten per cent of total crop area, number of animals, or area of situation, or</w:t>
      </w:r>
    </w:p>
    <w:p w:rsidR="00E01EFB" w:rsidRDefault="00E01EFB" w:rsidP="00E01EFB">
      <w:pPr>
        <w:pStyle w:val="ListBullet2"/>
      </w:pPr>
      <w:r>
        <w:t>10,000 hectares.</w:t>
      </w:r>
    </w:p>
    <w:p w:rsidR="00E01EFB" w:rsidRDefault="00E01EFB" w:rsidP="00E01EFB">
      <w:pPr>
        <w:pStyle w:val="ListBullet"/>
        <w:numPr>
          <w:ilvl w:val="0"/>
          <w:numId w:val="0"/>
        </w:numPr>
      </w:pPr>
      <w:r>
        <w:t>Per annum criteria may also be applicable.</w:t>
      </w:r>
    </w:p>
    <w:p w:rsidR="00560A77" w:rsidRPr="00560A77" w:rsidRDefault="00560A77" w:rsidP="00272AD9">
      <w:pPr>
        <w:pStyle w:val="ListBullet"/>
      </w:pPr>
      <w:r w:rsidRPr="00560A77">
        <w:t>Registration would not produce ‘sufficient economic return’</w:t>
      </w:r>
      <w:r w:rsidRPr="00560A77">
        <w:rPr>
          <w:rStyle w:val="FootnoteReference"/>
        </w:rPr>
        <w:footnoteReference w:id="114"/>
      </w:r>
      <w:r w:rsidR="00E54AD4">
        <w:t xml:space="preserve"> where t</w:t>
      </w:r>
      <w:r w:rsidRPr="00560A77">
        <w:t>he applicant must demonstrate that there is insufficient economic return to consider registration of the product and</w:t>
      </w:r>
      <w:r w:rsidR="00793D6C">
        <w:t xml:space="preserve"> </w:t>
      </w:r>
      <w:r w:rsidRPr="00560A77">
        <w:t>/</w:t>
      </w:r>
      <w:r w:rsidR="00793D6C">
        <w:t xml:space="preserve"> </w:t>
      </w:r>
      <w:r w:rsidRPr="00560A77">
        <w:t xml:space="preserve">or use. Applicants must supply full costs and projected incomes associated with a particular use covering a period of no less than three years. This includes investment costs and return on investment. </w:t>
      </w:r>
    </w:p>
    <w:p w:rsidR="00916B9D" w:rsidRDefault="00916B9D" w:rsidP="00916B9D">
      <w:pPr>
        <w:pStyle w:val="BodyText"/>
      </w:pPr>
      <w:r>
        <w:t>Several</w:t>
      </w:r>
      <w:r w:rsidR="001271BC">
        <w:t xml:space="preserve"> </w:t>
      </w:r>
      <w:r>
        <w:t xml:space="preserve">approaches </w:t>
      </w:r>
      <w:r w:rsidR="001271BC">
        <w:t xml:space="preserve">have been </w:t>
      </w:r>
      <w:r>
        <w:t xml:space="preserve">developed to facilitate the registration of </w:t>
      </w:r>
      <w:r w:rsidR="00E54AD4">
        <w:t xml:space="preserve">greater numbers of </w:t>
      </w:r>
      <w:r>
        <w:t>minor use products in Australia</w:t>
      </w:r>
      <w:r w:rsidR="002D7985">
        <w:t>:</w:t>
      </w:r>
    </w:p>
    <w:p w:rsidR="00916B9D" w:rsidRDefault="002D7985" w:rsidP="00916B9D">
      <w:pPr>
        <w:pStyle w:val="ListBullet"/>
      </w:pPr>
      <w:r>
        <w:rPr>
          <w:shd w:val="clear" w:color="auto" w:fill="FFFFFF"/>
        </w:rPr>
        <w:t>When s</w:t>
      </w:r>
      <w:r w:rsidR="00916B9D">
        <w:rPr>
          <w:shd w:val="clear" w:color="auto" w:fill="FFFFFF"/>
        </w:rPr>
        <w:t>ituations arise where chemicals are needed for a use not specified on the label</w:t>
      </w:r>
      <w:r w:rsidR="001271BC">
        <w:rPr>
          <w:shd w:val="clear" w:color="auto" w:fill="FFFFFF"/>
        </w:rPr>
        <w:t xml:space="preserve"> (</w:t>
      </w:r>
      <w:r w:rsidR="00916B9D">
        <w:rPr>
          <w:shd w:val="clear" w:color="auto" w:fill="FFFFFF"/>
        </w:rPr>
        <w:t>off-label uses</w:t>
      </w:r>
      <w:r w:rsidR="001271BC">
        <w:rPr>
          <w:shd w:val="clear" w:color="auto" w:fill="FFFFFF"/>
        </w:rPr>
        <w:t>)</w:t>
      </w:r>
      <w:r>
        <w:rPr>
          <w:shd w:val="clear" w:color="auto" w:fill="FFFFFF"/>
        </w:rPr>
        <w:t>, t</w:t>
      </w:r>
      <w:r w:rsidR="00916B9D">
        <w:rPr>
          <w:shd w:val="clear" w:color="auto" w:fill="FFFFFF"/>
        </w:rPr>
        <w:t>he APVMA considers applications for permits that allow for the legal use of chemicals in ways different from those set out on the product label. In certain circumstances, the limited use of an unregistered chemical may also be allowed by permit.</w:t>
      </w:r>
      <w:r w:rsidR="00916B9D" w:rsidRPr="00503E8E">
        <w:t xml:space="preserve"> Off-label provisions are </w:t>
      </w:r>
      <w:r w:rsidR="00272AD9">
        <w:t xml:space="preserve">generally </w:t>
      </w:r>
      <w:r w:rsidR="00916B9D" w:rsidRPr="00503E8E">
        <w:t>provided to third parties whe</w:t>
      </w:r>
      <w:r w:rsidR="00E54AD4">
        <w:t>n</w:t>
      </w:r>
      <w:r w:rsidR="00916B9D" w:rsidRPr="00503E8E">
        <w:t xml:space="preserve"> the </w:t>
      </w:r>
      <w:r w:rsidR="00E54AD4">
        <w:t xml:space="preserve">original </w:t>
      </w:r>
      <w:r w:rsidR="00916B9D" w:rsidRPr="00503E8E">
        <w:t>registrant is not</w:t>
      </w:r>
      <w:r w:rsidR="00916B9D">
        <w:t xml:space="preserve"> </w:t>
      </w:r>
      <w:r w:rsidR="00916B9D" w:rsidRPr="00503E8E">
        <w:t>interested in seeking registration</w:t>
      </w:r>
      <w:r w:rsidR="00916B9D">
        <w:t>.</w:t>
      </w:r>
    </w:p>
    <w:p w:rsidR="00916B9D" w:rsidRDefault="00916B9D" w:rsidP="00916B9D">
      <w:pPr>
        <w:pStyle w:val="ListBullet"/>
      </w:pPr>
      <w:r>
        <w:t>Enhanced int</w:t>
      </w:r>
      <w:r w:rsidR="00850319">
        <w:t>ernational collaboration includes</w:t>
      </w:r>
      <w:r>
        <w:t xml:space="preserve"> development of equivalent zones for acceptance of international efficacy and residues data.</w:t>
      </w:r>
    </w:p>
    <w:p w:rsidR="00D02A79" w:rsidRDefault="00850319" w:rsidP="00916B9D">
      <w:pPr>
        <w:pStyle w:val="BodyText"/>
      </w:pPr>
      <w:r>
        <w:t xml:space="preserve">Unlike some other countries, </w:t>
      </w:r>
      <w:r w:rsidRPr="00850319">
        <w:t xml:space="preserve">registering </w:t>
      </w:r>
      <w:r>
        <w:t>a</w:t>
      </w:r>
      <w:r w:rsidRPr="00850319">
        <w:t xml:space="preserve"> minor use</w:t>
      </w:r>
      <w:r>
        <w:t xml:space="preserve"> </w:t>
      </w:r>
      <w:r w:rsidR="00D02A79">
        <w:t xml:space="preserve">in Australia </w:t>
      </w:r>
      <w:r>
        <w:t>does not extend d</w:t>
      </w:r>
      <w:r w:rsidR="00272AD9">
        <w:t xml:space="preserve">ata protection to </w:t>
      </w:r>
      <w:r w:rsidRPr="00850319">
        <w:t>all registered uses</w:t>
      </w:r>
      <w:r w:rsidR="00D02A79">
        <w:t xml:space="preserve"> of the product. Data submitted in seeking approval for a minor use is treated in the same way as data submitted for a normal registration</w:t>
      </w:r>
      <w:r w:rsidR="00952F9A">
        <w:t xml:space="preserve">. If the minor use is the only use of the active ingredient, then </w:t>
      </w:r>
      <w:r w:rsidR="00272AD9">
        <w:t xml:space="preserve">data is protected for </w:t>
      </w:r>
      <w:r w:rsidR="00952F9A">
        <w:t xml:space="preserve">10 </w:t>
      </w:r>
      <w:r w:rsidR="00272AD9">
        <w:t>y</w:t>
      </w:r>
      <w:r w:rsidR="00952F9A">
        <w:t>ears. If not (</w:t>
      </w:r>
      <w:r w:rsidR="00272AD9">
        <w:t xml:space="preserve">e.g. </w:t>
      </w:r>
      <w:r w:rsidR="00952F9A">
        <w:t>an existing product) the period is between 3 and 5 years.</w:t>
      </w:r>
    </w:p>
    <w:p w:rsidR="00916B9D" w:rsidRDefault="00D02A79" w:rsidP="00BE32CA">
      <w:pPr>
        <w:pStyle w:val="BodyText"/>
        <w:keepNext/>
        <w:keepLines/>
      </w:pPr>
      <w:r>
        <w:t>T</w:t>
      </w:r>
      <w:r w:rsidR="001271BC">
        <w:t>he k</w:t>
      </w:r>
      <w:r w:rsidR="00916B9D">
        <w:t xml:space="preserve">ey costs of </w:t>
      </w:r>
      <w:r w:rsidR="00916B9D" w:rsidRPr="002D7985">
        <w:rPr>
          <w:i/>
        </w:rPr>
        <w:t>not</w:t>
      </w:r>
      <w:r w:rsidR="00916B9D">
        <w:t xml:space="preserve"> addressing the minor uses include</w:t>
      </w:r>
      <w:r>
        <w:t>:</w:t>
      </w:r>
      <w:r w:rsidR="00916B9D">
        <w:rPr>
          <w:rStyle w:val="FootnoteReference"/>
        </w:rPr>
        <w:footnoteReference w:id="115"/>
      </w:r>
    </w:p>
    <w:p w:rsidR="00916B9D" w:rsidRPr="00580CF7" w:rsidRDefault="001271BC" w:rsidP="00BE32CA">
      <w:pPr>
        <w:pStyle w:val="ListBullet"/>
        <w:keepNext/>
        <w:keepLines/>
      </w:pPr>
      <w:r w:rsidRPr="00580CF7">
        <w:t>Increased i</w:t>
      </w:r>
      <w:r w:rsidR="00916B9D" w:rsidRPr="00580CF7">
        <w:t xml:space="preserve">llegal use of </w:t>
      </w:r>
      <w:r w:rsidR="00EB6CC6" w:rsidRPr="00580CF7">
        <w:t xml:space="preserve">other </w:t>
      </w:r>
      <w:r w:rsidR="00916B9D" w:rsidRPr="00580CF7">
        <w:t>pesticides registered for major uses</w:t>
      </w:r>
      <w:r w:rsidR="00580CF7">
        <w:t xml:space="preserve">, which </w:t>
      </w:r>
      <w:r w:rsidRPr="00580CF7">
        <w:t xml:space="preserve">can result in </w:t>
      </w:r>
      <w:r w:rsidR="00916B9D" w:rsidRPr="00580CF7">
        <w:t>adverse environmental, health and trade effects</w:t>
      </w:r>
      <w:r w:rsidRPr="00580CF7">
        <w:t>, and</w:t>
      </w:r>
    </w:p>
    <w:p w:rsidR="00916B9D" w:rsidRDefault="00916B9D" w:rsidP="00BE32CA">
      <w:pPr>
        <w:pStyle w:val="ListBullet"/>
        <w:keepNext/>
        <w:keepLines/>
      </w:pPr>
      <w:r>
        <w:t>Animosity towards regulators</w:t>
      </w:r>
      <w:r w:rsidR="001271BC">
        <w:t>.</w:t>
      </w:r>
    </w:p>
    <w:p w:rsidR="007370BD" w:rsidRDefault="007370BD" w:rsidP="007370BD">
      <w:pPr>
        <w:pStyle w:val="Heading3"/>
      </w:pPr>
      <w:r>
        <w:t>Minor use funding</w:t>
      </w:r>
    </w:p>
    <w:p w:rsidR="007370BD" w:rsidRDefault="007370BD" w:rsidP="007370BD">
      <w:pPr>
        <w:pStyle w:val="BodyText"/>
      </w:pPr>
      <w:r>
        <w:t>Users and affected industries may form consortia to seek regulatory approvals for off-label uses in the form of minor use permits. The process is described on the APVMA website.</w:t>
      </w:r>
      <w:r>
        <w:rPr>
          <w:rStyle w:val="FootnoteReference"/>
        </w:rPr>
        <w:footnoteReference w:id="116"/>
      </w:r>
      <w:r>
        <w:t xml:space="preserve"> Industry bodies, through their R&amp;D programs, can coordinate the necessary data generation and regulatory submission for a large proportion of minor use permit applications lodged with APVMA. For example:</w:t>
      </w:r>
    </w:p>
    <w:p w:rsidR="007370BD" w:rsidRDefault="007370BD" w:rsidP="007370BD">
      <w:pPr>
        <w:pStyle w:val="ListBullet"/>
      </w:pPr>
      <w:r>
        <w:t xml:space="preserve">Horticulture Innovation Australia is a major organisation which engages with its member industries to identify needs, prioritise projects, and find data generation and make regulatory submissions. The Minor Use Permit Pesticide Program is part of the National Nursery Industry Biosecurity Program funded by Horticulture Innovation Australia Limited using the Australian Nursery Industry levy and </w:t>
      </w:r>
      <w:r w:rsidR="00272AD9">
        <w:t>with support</w:t>
      </w:r>
      <w:r>
        <w:t xml:space="preserve"> from the Australian Government.</w:t>
      </w:r>
      <w:r>
        <w:rPr>
          <w:rStyle w:val="FootnoteReference"/>
        </w:rPr>
        <w:footnoteReference w:id="117"/>
      </w:r>
    </w:p>
    <w:p w:rsidR="007370BD" w:rsidRDefault="007370BD" w:rsidP="007370BD">
      <w:pPr>
        <w:pStyle w:val="ListBullet"/>
      </w:pPr>
      <w:r>
        <w:t>The broadacre grains industry, through the Grains R&amp;D Corporation has also, for number of years, sought to address minor use issues facing Australia’s grain, oilseed and pulse industries through the use of off-label approvals.</w:t>
      </w:r>
    </w:p>
    <w:p w:rsidR="00D210AD" w:rsidRDefault="00D210AD" w:rsidP="00D210AD">
      <w:pPr>
        <w:pStyle w:val="Heading3"/>
      </w:pPr>
      <w:r>
        <w:t>Minor use risk assessment</w:t>
      </w:r>
    </w:p>
    <w:p w:rsidR="00D210AD" w:rsidRDefault="00D210AD" w:rsidP="00D210AD">
      <w:pPr>
        <w:pStyle w:val="BodyText"/>
      </w:pPr>
      <w:r>
        <w:t>In establishing the maximum resid</w:t>
      </w:r>
      <w:r w:rsidR="00381860">
        <w:t>u</w:t>
      </w:r>
      <w:r>
        <w:t>e levels</w:t>
      </w:r>
      <w:r w:rsidR="00560A77">
        <w:t xml:space="preserve"> (MRLs)</w:t>
      </w:r>
      <w:r>
        <w:t xml:space="preserve">, the APVMA states that it considers all available data, including overseas data if available and determined </w:t>
      </w:r>
      <w:r w:rsidR="00381860">
        <w:t xml:space="preserve">to be </w:t>
      </w:r>
      <w:r>
        <w:t>relevant.</w:t>
      </w:r>
      <w:r w:rsidR="00E27DED">
        <w:t xml:space="preserve"> This last point is a significant caveat which may be inhibiting more efficient processing o</w:t>
      </w:r>
      <w:r w:rsidR="006D2677">
        <w:t>f</w:t>
      </w:r>
      <w:r w:rsidR="00E27DED">
        <w:t xml:space="preserve"> minor use proposals.</w:t>
      </w:r>
    </w:p>
    <w:p w:rsidR="00D210AD" w:rsidRDefault="002D7985" w:rsidP="00D210AD">
      <w:pPr>
        <w:pStyle w:val="BodyText"/>
      </w:pPr>
      <w:r>
        <w:t>I</w:t>
      </w:r>
      <w:r w:rsidR="00D210AD">
        <w:t xml:space="preserve">n considering permits for minor uses, </w:t>
      </w:r>
      <w:r>
        <w:t xml:space="preserve">the APVMA </w:t>
      </w:r>
      <w:r w:rsidR="00D210AD">
        <w:t>can extrapolate residue data between like commodities provided that the data is sound and a similar use pattern is being proposed. This allows the APVMA to establish temporary MRLs to enable permits to be issued for interim periods while additional local supporting data is generated, usually over two to three years. The APVMA claims that the level of data requested reflects the minimum required for sound decision making</w:t>
      </w:r>
      <w:r>
        <w:t>,</w:t>
      </w:r>
      <w:r w:rsidR="00D210AD">
        <w:t xml:space="preserve"> while keeping regulatory costs for minor uses to a minimum. The APVMA has developed and published guidelines outlining residue data requirements for new uses.</w:t>
      </w:r>
      <w:r w:rsidR="00E27DED">
        <w:t xml:space="preserve"> Making more use of MRLs determined overseas could be a useful way of reducing costs and improving efficiency.</w:t>
      </w:r>
    </w:p>
    <w:p w:rsidR="00D210AD" w:rsidRPr="00543FAC" w:rsidRDefault="00952F9A" w:rsidP="00D210AD">
      <w:pPr>
        <w:pStyle w:val="BodyText"/>
      </w:pPr>
      <w:r w:rsidRPr="00543FAC">
        <w:t>During the course of this project</w:t>
      </w:r>
      <w:r>
        <w:t>, stakeholders consulted expressed concerns that, when assessing minor use proposals, the APVMA’s environmental assessment looks at the most sensitive Australian species</w:t>
      </w:r>
      <w:r w:rsidR="00E27DED">
        <w:t>, which s</w:t>
      </w:r>
      <w:r>
        <w:t>takeholders consider is not always appropriate (e.g. for products to treat some domestic animals). Bioassays carried out offshore on foreign sensitive species should be acceptable. For minor uses, stakeholders also consider that assessments undertaken by overseas regulators should be adequate and recognition of the outcomes of those assessments should also be accepted by the APVMA. Stakeholders also consider</w:t>
      </w:r>
      <w:r w:rsidR="00381860">
        <w:t>ed</w:t>
      </w:r>
      <w:r>
        <w:t xml:space="preserve"> that there should be separate procedures for companion animals.</w:t>
      </w:r>
    </w:p>
    <w:p w:rsidR="00850319" w:rsidRDefault="00850319" w:rsidP="00850319">
      <w:pPr>
        <w:pStyle w:val="Heading2"/>
      </w:pPr>
      <w:bookmarkStart w:id="162" w:name="_Toc497300854"/>
      <w:r>
        <w:t>Summary comparison of minor use incentives in selected countries</w:t>
      </w:r>
      <w:bookmarkEnd w:id="162"/>
    </w:p>
    <w:p w:rsidR="00B54C87" w:rsidRDefault="00850319" w:rsidP="00B54C87">
      <w:pPr>
        <w:pStyle w:val="BodyText"/>
      </w:pPr>
      <w:r>
        <w:t xml:space="preserve">Countries provide different </w:t>
      </w:r>
      <w:r w:rsidR="00800AEE">
        <w:t xml:space="preserve">incentives </w:t>
      </w:r>
      <w:r>
        <w:t>to register minor use</w:t>
      </w:r>
      <w:r w:rsidR="00952F9A">
        <w:t>s</w:t>
      </w:r>
      <w:r>
        <w:t xml:space="preserve"> of </w:t>
      </w:r>
      <w:r w:rsidR="00952F9A">
        <w:t>agvet</w:t>
      </w:r>
      <w:r>
        <w:t xml:space="preserve"> chemicals. They are compared in </w:t>
      </w:r>
      <w:r>
        <w:fldChar w:fldCharType="begin"/>
      </w:r>
      <w:r>
        <w:instrText xml:space="preserve"> REF _Ref487556372 \h </w:instrText>
      </w:r>
      <w:r>
        <w:fldChar w:fldCharType="separate"/>
      </w:r>
      <w:r w:rsidR="0087688C" w:rsidRPr="00FC29C8">
        <w:rPr>
          <w:rStyle w:val="CaptionLabel"/>
        </w:rPr>
        <w:t>Table</w:t>
      </w:r>
      <w:r w:rsidR="0087688C">
        <w:rPr>
          <w:rStyle w:val="CaptionLabel"/>
        </w:rPr>
        <w:t> </w:t>
      </w:r>
      <w:r w:rsidR="0087688C">
        <w:rPr>
          <w:rStyle w:val="CaptionLabel"/>
          <w:noProof/>
        </w:rPr>
        <w:t>6</w:t>
      </w:r>
      <w:r w:rsidR="0087688C" w:rsidRPr="00FC29C8">
        <w:rPr>
          <w:rStyle w:val="CaptionLabel"/>
        </w:rPr>
        <w:t>.</w:t>
      </w:r>
      <w:r w:rsidR="0087688C">
        <w:rPr>
          <w:rStyle w:val="CaptionLabel"/>
          <w:noProof/>
        </w:rPr>
        <w:t>2</w:t>
      </w:r>
      <w:r>
        <w:fldChar w:fldCharType="end"/>
      </w:r>
      <w:r>
        <w:t xml:space="preserve">. </w:t>
      </w:r>
      <w:r w:rsidR="00B54C87">
        <w:t>In some countries such as Germany, incentives are being used for nearly every minor use approved, and are used extensively for off-label third party uses.</w:t>
      </w:r>
      <w:r w:rsidR="00B54C87">
        <w:rPr>
          <w:rStyle w:val="FootnoteReference"/>
        </w:rPr>
        <w:footnoteReference w:id="118"/>
      </w:r>
      <w:r w:rsidR="00B54C87">
        <w:t xml:space="preserve"> </w:t>
      </w:r>
    </w:p>
    <w:p w:rsidR="00B54C87" w:rsidRDefault="00B54C87" w:rsidP="00B54C87">
      <w:pPr>
        <w:pStyle w:val="BodyText"/>
      </w:pPr>
      <w:r>
        <w:t>In reporting on the results of its survey, the OECD reported that some countries had suggested that minor use solutions needed to be provided in a more timely manner.</w:t>
      </w:r>
      <w:r>
        <w:rPr>
          <w:rStyle w:val="FootnoteReference"/>
        </w:rPr>
        <w:footnoteReference w:id="119"/>
      </w:r>
      <w:r>
        <w:t xml:space="preserve"> Expedited reviews could also make minor uses more economically attractive to registrants, particularly if expedited approval for a major use could be provided when a minor use was included in the same submission.</w:t>
      </w:r>
    </w:p>
    <w:p w:rsidR="00272AD9" w:rsidRDefault="00272AD9" w:rsidP="00272AD9">
      <w:pPr>
        <w:pStyle w:val="BodyText"/>
      </w:pPr>
      <w:r>
        <w:t xml:space="preserve">The OECD noted that fee reductions or waivers provided only a modest incentive, given the other costs involved in providing data for a minor use approval. </w:t>
      </w:r>
    </w:p>
    <w:p w:rsidR="00272AD9" w:rsidRDefault="00272AD9" w:rsidP="00272AD9">
      <w:pPr>
        <w:pStyle w:val="BodyText"/>
      </w:pPr>
      <w:r>
        <w:t>At the time of the OECD survey (2011) the EU had just introduce</w:t>
      </w:r>
      <w:r w:rsidR="00800AEE">
        <w:t>d</w:t>
      </w:r>
      <w:r>
        <w:t xml:space="preserve"> new regulations</w:t>
      </w:r>
      <w:r>
        <w:rPr>
          <w:rStyle w:val="FootnoteReference"/>
        </w:rPr>
        <w:footnoteReference w:id="120"/>
      </w:r>
      <w:r>
        <w:t xml:space="preserve"> on a data protection extension for minor uses. Data protection periods can be extended by three months for each minor extension of use added by the authorisation holder (when submitted within five years of product authorisation). It is not yet clear how successful this measure has been in encouraging the registration of minor uses. </w:t>
      </w:r>
    </w:p>
    <w:p w:rsidR="00850319" w:rsidRDefault="00850319" w:rsidP="00850319">
      <w:pPr>
        <w:pStyle w:val="Caption"/>
        <w:spacing w:before="160"/>
        <w:ind w:left="-1753" w:firstLine="0"/>
      </w:pPr>
      <w:bookmarkStart w:id="163" w:name="_Ref487556372"/>
      <w:bookmarkStart w:id="164" w:name="_Toc497132820"/>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6</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2</w:t>
      </w:r>
      <w:r w:rsidRPr="00FC29C8">
        <w:rPr>
          <w:rStyle w:val="CaptionLabel"/>
        </w:rPr>
        <w:fldChar w:fldCharType="end"/>
      </w:r>
      <w:bookmarkEnd w:id="163"/>
      <w:r>
        <w:tab/>
        <w:t>Minor use incentives in selected countries</w:t>
      </w:r>
      <w:bookmarkEnd w:id="164"/>
    </w:p>
    <w:tbl>
      <w:tblPr>
        <w:tblW w:w="10381"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62"/>
        <w:gridCol w:w="4013"/>
        <w:gridCol w:w="851"/>
        <w:gridCol w:w="733"/>
        <w:gridCol w:w="864"/>
        <w:gridCol w:w="864"/>
        <w:gridCol w:w="864"/>
        <w:gridCol w:w="864"/>
        <w:gridCol w:w="866"/>
      </w:tblGrid>
      <w:tr w:rsidR="00E86A68" w:rsidTr="00A9747C">
        <w:trPr>
          <w:cantSplit/>
          <w:tblHeader/>
        </w:trPr>
        <w:tc>
          <w:tcPr>
            <w:tcW w:w="2155" w:type="pct"/>
            <w:gridSpan w:val="2"/>
            <w:shd w:val="clear" w:color="auto" w:fill="9D57A6"/>
            <w:tcMar>
              <w:left w:w="454" w:type="dxa"/>
              <w:bottom w:w="0" w:type="dxa"/>
            </w:tcMar>
          </w:tcPr>
          <w:p w:rsidR="00850319" w:rsidRDefault="00850319" w:rsidP="00A9747C">
            <w:pPr>
              <w:pStyle w:val="Tablecolumnheadings"/>
            </w:pPr>
            <w:r>
              <w:t>Incentives</w:t>
            </w:r>
          </w:p>
        </w:tc>
        <w:tc>
          <w:tcPr>
            <w:tcW w:w="410" w:type="pct"/>
            <w:shd w:val="clear" w:color="auto" w:fill="9D57A6"/>
            <w:tcMar>
              <w:bottom w:w="0" w:type="dxa"/>
            </w:tcMar>
            <w:vAlign w:val="center"/>
          </w:tcPr>
          <w:p w:rsidR="00850319" w:rsidRDefault="00850319" w:rsidP="00A9747C">
            <w:pPr>
              <w:pStyle w:val="Tablecolumnheadings"/>
              <w:jc w:val="center"/>
            </w:pPr>
            <w:r>
              <w:t>Australia</w:t>
            </w:r>
          </w:p>
        </w:tc>
        <w:tc>
          <w:tcPr>
            <w:tcW w:w="353" w:type="pct"/>
            <w:shd w:val="clear" w:color="auto" w:fill="9D57A6"/>
            <w:tcMar>
              <w:bottom w:w="0" w:type="dxa"/>
            </w:tcMar>
            <w:vAlign w:val="center"/>
          </w:tcPr>
          <w:p w:rsidR="00850319" w:rsidRDefault="00850319" w:rsidP="00A9747C">
            <w:pPr>
              <w:pStyle w:val="Tablecolumnheadings"/>
              <w:jc w:val="center"/>
            </w:pPr>
            <w:r>
              <w:t>EU</w:t>
            </w:r>
          </w:p>
        </w:tc>
        <w:tc>
          <w:tcPr>
            <w:tcW w:w="416" w:type="pct"/>
            <w:shd w:val="clear" w:color="auto" w:fill="9D57A6"/>
            <w:tcMar>
              <w:bottom w:w="0" w:type="dxa"/>
            </w:tcMar>
            <w:vAlign w:val="center"/>
          </w:tcPr>
          <w:p w:rsidR="00850319" w:rsidRDefault="00850319" w:rsidP="00A9747C">
            <w:pPr>
              <w:pStyle w:val="Tablecolumnheadings"/>
              <w:jc w:val="center"/>
            </w:pPr>
            <w:r>
              <w:t>UK</w:t>
            </w:r>
          </w:p>
        </w:tc>
        <w:tc>
          <w:tcPr>
            <w:tcW w:w="416" w:type="pct"/>
            <w:shd w:val="clear" w:color="auto" w:fill="9D57A6"/>
            <w:tcMar>
              <w:bottom w:w="0" w:type="dxa"/>
            </w:tcMar>
            <w:vAlign w:val="center"/>
          </w:tcPr>
          <w:p w:rsidR="00850319" w:rsidRDefault="00850319" w:rsidP="00A9747C">
            <w:pPr>
              <w:pStyle w:val="Tablecolumnheadings"/>
              <w:jc w:val="center"/>
            </w:pPr>
            <w:r>
              <w:t>Germany</w:t>
            </w:r>
          </w:p>
        </w:tc>
        <w:tc>
          <w:tcPr>
            <w:tcW w:w="416" w:type="pct"/>
            <w:shd w:val="clear" w:color="auto" w:fill="9D57A6"/>
            <w:tcMar>
              <w:bottom w:w="0" w:type="dxa"/>
            </w:tcMar>
            <w:vAlign w:val="center"/>
          </w:tcPr>
          <w:p w:rsidR="00850319" w:rsidRDefault="00850319" w:rsidP="00A9747C">
            <w:pPr>
              <w:pStyle w:val="Tablecolumnheadings"/>
              <w:jc w:val="center"/>
            </w:pPr>
            <w:r>
              <w:t>USA</w:t>
            </w:r>
          </w:p>
        </w:tc>
        <w:tc>
          <w:tcPr>
            <w:tcW w:w="416" w:type="pct"/>
            <w:shd w:val="clear" w:color="auto" w:fill="9D57A6"/>
            <w:tcMar>
              <w:bottom w:w="0" w:type="dxa"/>
            </w:tcMar>
            <w:vAlign w:val="center"/>
          </w:tcPr>
          <w:p w:rsidR="00850319" w:rsidRDefault="00850319" w:rsidP="00A9747C">
            <w:pPr>
              <w:pStyle w:val="Tablecolumnheadings"/>
              <w:jc w:val="center"/>
            </w:pPr>
            <w:r>
              <w:t>Canada</w:t>
            </w:r>
          </w:p>
        </w:tc>
        <w:tc>
          <w:tcPr>
            <w:tcW w:w="417" w:type="pct"/>
            <w:shd w:val="clear" w:color="auto" w:fill="9D57A6"/>
            <w:tcMar>
              <w:bottom w:w="0" w:type="dxa"/>
            </w:tcMar>
            <w:vAlign w:val="center"/>
          </w:tcPr>
          <w:p w:rsidR="00850319" w:rsidRDefault="00850319" w:rsidP="00A9747C">
            <w:pPr>
              <w:pStyle w:val="Tablecolumnheadings"/>
              <w:jc w:val="center"/>
            </w:pPr>
            <w:r>
              <w:t>New Zealand</w:t>
            </w:r>
          </w:p>
        </w:tc>
      </w:tr>
      <w:tr w:rsidR="00E86A68" w:rsidTr="00A9747C">
        <w:tblPrEx>
          <w:tblBorders>
            <w:bottom w:val="single" w:sz="4" w:space="0" w:color="646464"/>
            <w:insideH w:val="single" w:sz="4" w:space="0" w:color="646464"/>
          </w:tblBorders>
        </w:tblPrEx>
        <w:trPr>
          <w:gridBefore w:val="1"/>
          <w:wBefore w:w="223" w:type="pct"/>
          <w:cantSplit/>
        </w:trPr>
        <w:tc>
          <w:tcPr>
            <w:tcW w:w="1933" w:type="pct"/>
            <w:tcBorders>
              <w:top w:val="nil"/>
            </w:tcBorders>
            <w:shd w:val="clear" w:color="auto" w:fill="auto"/>
          </w:tcPr>
          <w:p w:rsidR="00850319" w:rsidRDefault="00835BCD" w:rsidP="00850319">
            <w:pPr>
              <w:pStyle w:val="Tabletext"/>
            </w:pPr>
            <w:r>
              <w:t>Data protection</w:t>
            </w:r>
          </w:p>
        </w:tc>
        <w:tc>
          <w:tcPr>
            <w:tcW w:w="410" w:type="pct"/>
            <w:tcBorders>
              <w:top w:val="nil"/>
            </w:tcBorders>
            <w:shd w:val="clear" w:color="auto" w:fill="auto"/>
          </w:tcPr>
          <w:p w:rsidR="00850319" w:rsidRPr="00BE32CA" w:rsidRDefault="00850319" w:rsidP="00A9747C">
            <w:pPr>
              <w:pStyle w:val="Tabletext"/>
              <w:jc w:val="center"/>
              <w:rPr>
                <w:b/>
                <w:color w:val="7030A0"/>
                <w:sz w:val="24"/>
                <w:szCs w:val="24"/>
              </w:rPr>
            </w:pPr>
          </w:p>
        </w:tc>
        <w:tc>
          <w:tcPr>
            <w:tcW w:w="353" w:type="pct"/>
            <w:tcBorders>
              <w:top w:val="nil"/>
            </w:tcBorders>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tcBorders>
              <w:top w:val="nil"/>
            </w:tcBorders>
            <w:shd w:val="clear" w:color="auto" w:fill="auto"/>
          </w:tcPr>
          <w:p w:rsidR="00850319" w:rsidRPr="00BE32CA" w:rsidRDefault="00850319" w:rsidP="00A9747C">
            <w:pPr>
              <w:pStyle w:val="Tabletext"/>
              <w:jc w:val="center"/>
              <w:rPr>
                <w:b/>
                <w:color w:val="7030A0"/>
                <w:sz w:val="24"/>
                <w:szCs w:val="24"/>
              </w:rPr>
            </w:pPr>
          </w:p>
        </w:tc>
        <w:tc>
          <w:tcPr>
            <w:tcW w:w="416" w:type="pct"/>
            <w:tcBorders>
              <w:top w:val="nil"/>
            </w:tcBorders>
            <w:shd w:val="clear" w:color="auto" w:fill="auto"/>
          </w:tcPr>
          <w:p w:rsidR="00850319" w:rsidRPr="00BE32CA" w:rsidRDefault="002D7985" w:rsidP="00A9747C">
            <w:pPr>
              <w:pStyle w:val="Tabletext"/>
              <w:jc w:val="center"/>
              <w:rPr>
                <w:b/>
                <w:color w:val="7030A0"/>
                <w:sz w:val="24"/>
                <w:szCs w:val="24"/>
              </w:rPr>
            </w:pPr>
            <w:r w:rsidRPr="00BE32CA">
              <w:rPr>
                <w:b/>
                <w:color w:val="7030A0"/>
                <w:sz w:val="24"/>
                <w:szCs w:val="24"/>
              </w:rPr>
              <w:t>√</w:t>
            </w:r>
          </w:p>
        </w:tc>
        <w:tc>
          <w:tcPr>
            <w:tcW w:w="416" w:type="pct"/>
            <w:tcBorders>
              <w:top w:val="nil"/>
            </w:tcBorders>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tcBorders>
              <w:top w:val="nil"/>
            </w:tcBorders>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7" w:type="pct"/>
            <w:tcBorders>
              <w:top w:val="nil"/>
            </w:tcBorders>
            <w:shd w:val="clear" w:color="auto" w:fill="auto"/>
          </w:tcPr>
          <w:p w:rsidR="00850319" w:rsidRPr="00BE32CA" w:rsidRDefault="00850319" w:rsidP="00A9747C">
            <w:pPr>
              <w:pStyle w:val="Tabletext"/>
              <w:jc w:val="center"/>
              <w:rPr>
                <w:b/>
                <w:color w:val="7030A0"/>
                <w:sz w:val="24"/>
                <w:szCs w:val="24"/>
              </w:rPr>
            </w:pP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Default="00850319" w:rsidP="00A9747C">
            <w:pPr>
              <w:pStyle w:val="Tabletext"/>
            </w:pPr>
            <w:r>
              <w:t>Expedited reviews (fast track)</w:t>
            </w:r>
          </w:p>
        </w:tc>
        <w:tc>
          <w:tcPr>
            <w:tcW w:w="410" w:type="pct"/>
            <w:shd w:val="clear" w:color="auto" w:fill="auto"/>
          </w:tcPr>
          <w:p w:rsidR="00850319" w:rsidRPr="00BE32CA" w:rsidRDefault="00850319" w:rsidP="00A9747C">
            <w:pPr>
              <w:pStyle w:val="Tabletext"/>
              <w:jc w:val="center"/>
              <w:rPr>
                <w:b/>
                <w:color w:val="7030A0"/>
                <w:sz w:val="24"/>
                <w:szCs w:val="24"/>
              </w:rPr>
            </w:pP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7" w:type="pct"/>
            <w:shd w:val="clear" w:color="auto" w:fill="auto"/>
          </w:tcPr>
          <w:p w:rsidR="00850319" w:rsidRPr="00BE32CA" w:rsidRDefault="00850319" w:rsidP="00A9747C">
            <w:pPr>
              <w:pStyle w:val="Tabletext"/>
              <w:jc w:val="center"/>
              <w:rPr>
                <w:b/>
                <w:color w:val="7030A0"/>
                <w:sz w:val="24"/>
                <w:szCs w:val="24"/>
              </w:rPr>
            </w:pP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Default="00850319" w:rsidP="00A9747C">
            <w:pPr>
              <w:pStyle w:val="Tabletext"/>
            </w:pPr>
            <w:r>
              <w:t>Fee reductions or waivers</w:t>
            </w:r>
          </w:p>
        </w:tc>
        <w:tc>
          <w:tcPr>
            <w:tcW w:w="410" w:type="pct"/>
            <w:shd w:val="clear" w:color="auto" w:fill="auto"/>
          </w:tcPr>
          <w:p w:rsidR="00850319" w:rsidRPr="00BE32CA" w:rsidRDefault="00850319" w:rsidP="00A9747C">
            <w:pPr>
              <w:pStyle w:val="Tabletext"/>
              <w:jc w:val="center"/>
              <w:rPr>
                <w:b/>
                <w:color w:val="7030A0"/>
                <w:sz w:val="24"/>
                <w:szCs w:val="24"/>
              </w:rPr>
            </w:pP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7" w:type="pct"/>
            <w:shd w:val="clear" w:color="auto" w:fill="auto"/>
          </w:tcPr>
          <w:p w:rsidR="00850319" w:rsidRPr="00BE32CA" w:rsidRDefault="00850319" w:rsidP="00A9747C">
            <w:pPr>
              <w:pStyle w:val="Tabletext"/>
              <w:jc w:val="center"/>
              <w:rPr>
                <w:b/>
                <w:color w:val="7030A0"/>
                <w:sz w:val="24"/>
                <w:szCs w:val="24"/>
              </w:rPr>
            </w:pP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Default="00850319" w:rsidP="00A9747C">
            <w:pPr>
              <w:pStyle w:val="Tabletext"/>
            </w:pPr>
            <w:r w:rsidRPr="00C9356E">
              <w:t>Extrapolation and mutually accepted data</w:t>
            </w:r>
          </w:p>
        </w:tc>
        <w:tc>
          <w:tcPr>
            <w:tcW w:w="410"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353"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7"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Default="00850319" w:rsidP="00A9747C">
            <w:pPr>
              <w:pStyle w:val="Tabletext"/>
            </w:pPr>
            <w:r>
              <w:t>Reduced n</w:t>
            </w:r>
            <w:r w:rsidRPr="00C9356E">
              <w:t>umber of trials</w:t>
            </w:r>
          </w:p>
        </w:tc>
        <w:tc>
          <w:tcPr>
            <w:tcW w:w="410"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7"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Pr="00C9356E" w:rsidRDefault="00850319" w:rsidP="00A9747C">
            <w:pPr>
              <w:pStyle w:val="Tabletext"/>
            </w:pPr>
            <w:r w:rsidRPr="00C9356E">
              <w:t>Third party registrations</w:t>
            </w:r>
          </w:p>
        </w:tc>
        <w:tc>
          <w:tcPr>
            <w:tcW w:w="410" w:type="pct"/>
            <w:shd w:val="clear" w:color="auto" w:fill="auto"/>
          </w:tcPr>
          <w:p w:rsidR="00850319" w:rsidRPr="00BE32CA" w:rsidRDefault="00850319" w:rsidP="00A9747C">
            <w:pPr>
              <w:pStyle w:val="Tabletext"/>
              <w:jc w:val="center"/>
              <w:rPr>
                <w:b/>
                <w:color w:val="7030A0"/>
                <w:sz w:val="24"/>
                <w:szCs w:val="24"/>
              </w:rPr>
            </w:pP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7"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Pr="00C9356E" w:rsidRDefault="00850319" w:rsidP="00A9747C">
            <w:pPr>
              <w:pStyle w:val="Tabletext"/>
            </w:pPr>
            <w:r w:rsidRPr="00C9356E">
              <w:t>Temporary approvals (off-label</w:t>
            </w:r>
            <w:r w:rsidR="00793D6C">
              <w:t xml:space="preserve"> </w:t>
            </w:r>
            <w:r>
              <w:t>/</w:t>
            </w:r>
            <w:r w:rsidR="00793D6C">
              <w:t xml:space="preserve"> </w:t>
            </w:r>
            <w:r w:rsidRPr="00C9356E">
              <w:t>emergency schemes)</w:t>
            </w:r>
          </w:p>
        </w:tc>
        <w:tc>
          <w:tcPr>
            <w:tcW w:w="410"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7" w:type="pct"/>
            <w:shd w:val="clear" w:color="auto" w:fill="auto"/>
          </w:tcPr>
          <w:p w:rsidR="00850319" w:rsidRPr="00BE32CA" w:rsidRDefault="00850319" w:rsidP="00A9747C">
            <w:pPr>
              <w:pStyle w:val="Tabletext"/>
              <w:jc w:val="center"/>
              <w:rPr>
                <w:b/>
                <w:color w:val="7030A0"/>
                <w:sz w:val="24"/>
                <w:szCs w:val="24"/>
              </w:rPr>
            </w:pPr>
          </w:p>
        </w:tc>
      </w:tr>
      <w:tr w:rsidR="00E86A68" w:rsidTr="00A9747C">
        <w:tblPrEx>
          <w:tblBorders>
            <w:bottom w:val="single" w:sz="4" w:space="0" w:color="646464"/>
            <w:insideH w:val="single" w:sz="4" w:space="0" w:color="646464"/>
          </w:tblBorders>
        </w:tblPrEx>
        <w:trPr>
          <w:gridBefore w:val="1"/>
          <w:wBefore w:w="223" w:type="pct"/>
          <w:cantSplit/>
        </w:trPr>
        <w:tc>
          <w:tcPr>
            <w:tcW w:w="1933" w:type="pct"/>
            <w:shd w:val="clear" w:color="auto" w:fill="auto"/>
          </w:tcPr>
          <w:p w:rsidR="00850319" w:rsidRPr="00C9356E" w:rsidRDefault="00850319" w:rsidP="00A9747C">
            <w:pPr>
              <w:pStyle w:val="Tabletext"/>
            </w:pPr>
            <w:r w:rsidRPr="00C9356E">
              <w:t>Data generation assist</w:t>
            </w:r>
            <w:r>
              <w:t>ance</w:t>
            </w:r>
            <w:r w:rsidRPr="00C9356E">
              <w:t xml:space="preserve"> schemes</w:t>
            </w:r>
          </w:p>
        </w:tc>
        <w:tc>
          <w:tcPr>
            <w:tcW w:w="410"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353"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6" w:type="pct"/>
            <w:shd w:val="clear" w:color="auto" w:fill="auto"/>
          </w:tcPr>
          <w:p w:rsidR="00850319" w:rsidRPr="00BE32CA" w:rsidRDefault="00850319" w:rsidP="00A9747C">
            <w:pPr>
              <w:pStyle w:val="Tabletext"/>
              <w:jc w:val="center"/>
              <w:rPr>
                <w:b/>
                <w:color w:val="7030A0"/>
                <w:sz w:val="24"/>
                <w:szCs w:val="24"/>
              </w:rPr>
            </w:pPr>
            <w:r w:rsidRPr="00BE32CA">
              <w:rPr>
                <w:b/>
                <w:color w:val="7030A0"/>
                <w:sz w:val="24"/>
                <w:szCs w:val="24"/>
              </w:rPr>
              <w:t>√</w:t>
            </w:r>
          </w:p>
        </w:tc>
        <w:tc>
          <w:tcPr>
            <w:tcW w:w="417" w:type="pct"/>
            <w:shd w:val="clear" w:color="auto" w:fill="auto"/>
          </w:tcPr>
          <w:p w:rsidR="00850319" w:rsidRPr="00BE32CA" w:rsidRDefault="00850319" w:rsidP="00A9747C">
            <w:pPr>
              <w:pStyle w:val="Tabletext"/>
              <w:jc w:val="center"/>
              <w:rPr>
                <w:b/>
                <w:color w:val="7030A0"/>
                <w:sz w:val="24"/>
                <w:szCs w:val="24"/>
              </w:rPr>
            </w:pPr>
          </w:p>
        </w:tc>
      </w:tr>
      <w:tr w:rsidR="00E86A68" w:rsidTr="00A9747C">
        <w:tblPrEx>
          <w:tblBorders>
            <w:bottom w:val="single" w:sz="4" w:space="0" w:color="646464"/>
            <w:insideH w:val="single" w:sz="4" w:space="0" w:color="646464"/>
          </w:tblBorders>
        </w:tblPrEx>
        <w:trPr>
          <w:gridBefore w:val="1"/>
          <w:wBefore w:w="223" w:type="pct"/>
          <w:cantSplit/>
        </w:trPr>
        <w:tc>
          <w:tcPr>
            <w:tcW w:w="4777" w:type="pct"/>
            <w:gridSpan w:val="8"/>
            <w:tcBorders>
              <w:bottom w:val="single" w:sz="4" w:space="0" w:color="646464"/>
            </w:tcBorders>
            <w:shd w:val="clear" w:color="auto" w:fill="auto"/>
          </w:tcPr>
          <w:p w:rsidR="00850319" w:rsidRDefault="00850319" w:rsidP="00A9747C">
            <w:pPr>
              <w:pStyle w:val="Source"/>
            </w:pPr>
            <w:r>
              <w:t>Source: ACIL Allen Review of various documents</w:t>
            </w:r>
          </w:p>
        </w:tc>
      </w:tr>
      <w:tr w:rsidR="00E86A68" w:rsidTr="00A9747C">
        <w:tblPrEx>
          <w:tblBorders>
            <w:bottom w:val="single" w:sz="4" w:space="0" w:color="646464"/>
            <w:insideH w:val="single" w:sz="4" w:space="0" w:color="646464"/>
          </w:tblBorders>
        </w:tblPrEx>
        <w:trPr>
          <w:gridBefore w:val="1"/>
          <w:wBefore w:w="223" w:type="pct"/>
          <w:cantSplit/>
          <w:trHeight w:hRule="exact" w:val="120"/>
        </w:trPr>
        <w:tc>
          <w:tcPr>
            <w:tcW w:w="4777" w:type="pct"/>
            <w:gridSpan w:val="8"/>
            <w:tcBorders>
              <w:top w:val="single" w:sz="4" w:space="0" w:color="646464"/>
              <w:bottom w:val="nil"/>
            </w:tcBorders>
            <w:shd w:val="clear" w:color="auto" w:fill="auto"/>
          </w:tcPr>
          <w:p w:rsidR="00850319" w:rsidRDefault="00850319" w:rsidP="00A9747C">
            <w:pPr>
              <w:pStyle w:val="spacertbl"/>
            </w:pPr>
          </w:p>
        </w:tc>
      </w:tr>
    </w:tbl>
    <w:p w:rsidR="00B54C87" w:rsidRDefault="00B54C87" w:rsidP="0083766E">
      <w:pPr>
        <w:pStyle w:val="BodyText"/>
      </w:pPr>
      <w:r>
        <w:t>The US approach to facilitating access for minor uses through the IR-4 program is probably the most successful measure.</w:t>
      </w:r>
    </w:p>
    <w:p w:rsidR="00C53184" w:rsidRDefault="00C53184" w:rsidP="00C53184">
      <w:pPr>
        <w:pStyle w:val="Heading2"/>
      </w:pPr>
      <w:bookmarkStart w:id="165" w:name="_Toc497300855"/>
      <w:r>
        <w:t>Conclusions</w:t>
      </w:r>
      <w:bookmarkEnd w:id="165"/>
    </w:p>
    <w:p w:rsidR="00756842" w:rsidRDefault="00756842" w:rsidP="00D02A79">
      <w:pPr>
        <w:pStyle w:val="BodyText"/>
      </w:pPr>
      <w:r>
        <w:t>It is difficult to reach conclusions about the relative success of the various measures to encourage minor uses. Theoretically</w:t>
      </w:r>
      <w:r w:rsidR="00952F9A">
        <w:t>,</w:t>
      </w:r>
      <w:r>
        <w:t xml:space="preserve"> there should be a correlation between the incentives offered and the number of minor uses registered</w:t>
      </w:r>
      <w:r w:rsidR="004C0551">
        <w:t xml:space="preserve">. However, each of the national (and EU </w:t>
      </w:r>
      <w:r w:rsidR="00C53184">
        <w:t xml:space="preserve">member </w:t>
      </w:r>
      <w:r w:rsidR="004C0551">
        <w:t xml:space="preserve">country) markets has its own characteristics in terms of market size and barriers to minor use approvals. </w:t>
      </w:r>
    </w:p>
    <w:p w:rsidR="004928CA" w:rsidRDefault="004928CA" w:rsidP="004928CA">
      <w:pPr>
        <w:pStyle w:val="BodyText"/>
      </w:pPr>
      <w:r>
        <w:t>I</w:t>
      </w:r>
      <w:r w:rsidRPr="004928CA">
        <w:t>t has been suggested</w:t>
      </w:r>
      <w:r w:rsidRPr="004928CA">
        <w:rPr>
          <w:rStyle w:val="FootnoteReference"/>
        </w:rPr>
        <w:footnoteReference w:id="121"/>
      </w:r>
      <w:r w:rsidRPr="004928CA">
        <w:t xml:space="preserve"> that Australia is currently missing out on up to 50 per cent of the potential new technologies </w:t>
      </w:r>
      <w:r w:rsidR="00381860">
        <w:t xml:space="preserve">to </w:t>
      </w:r>
      <w:r w:rsidRPr="004928CA">
        <w:t>which competitor</w:t>
      </w:r>
      <w:r>
        <w:t>s</w:t>
      </w:r>
      <w:r w:rsidRPr="004928CA">
        <w:t xml:space="preserve"> in Europe and the USA have access. Comparing the extent of minor use approvals in different countries is complicated by differences </w:t>
      </w:r>
      <w:r w:rsidR="00297EDE">
        <w:t xml:space="preserve">in definition </w:t>
      </w:r>
      <w:r w:rsidRPr="004928CA">
        <w:t xml:space="preserve">between countries </w:t>
      </w:r>
      <w:r w:rsidR="00297EDE">
        <w:t>as to</w:t>
      </w:r>
      <w:r w:rsidR="00297EDE" w:rsidRPr="004928CA">
        <w:t xml:space="preserve"> </w:t>
      </w:r>
      <w:r w:rsidRPr="004928CA">
        <w:t xml:space="preserve">what constitutes a minor use. Even if this problem could be solved, simple comparisons of the numbers of minor uses approved in different countries would be meaningless because of differences in the crops being grown, pest problems being addressed, etc. A </w:t>
      </w:r>
      <w:r>
        <w:t>product</w:t>
      </w:r>
      <w:r w:rsidRPr="004928CA">
        <w:t>-by-</w:t>
      </w:r>
      <w:r>
        <w:t>product</w:t>
      </w:r>
      <w:r w:rsidRPr="004928CA">
        <w:t xml:space="preserve"> comparison would again be very difficult, even if the data were available.</w:t>
      </w:r>
    </w:p>
    <w:p w:rsidR="004928CA" w:rsidRDefault="00B54C87" w:rsidP="004928CA">
      <w:pPr>
        <w:pStyle w:val="BodyText"/>
      </w:pPr>
      <w:r>
        <w:t>Australia c</w:t>
      </w:r>
      <w:r w:rsidR="004928CA">
        <w:t>ould draw on the definitions of minor use in other countries to develop a more detailed definition than the one currently in use.</w:t>
      </w:r>
    </w:p>
    <w:p w:rsidR="004928CA" w:rsidRDefault="00B54C87" w:rsidP="005D39F1">
      <w:pPr>
        <w:pStyle w:val="BodyText"/>
      </w:pPr>
      <w:r>
        <w:t>Australian</w:t>
      </w:r>
      <w:r w:rsidR="00297EDE">
        <w:t xml:space="preserve"> policy</w:t>
      </w:r>
      <w:r>
        <w:t xml:space="preserve"> measures to encourage and assist minor uses have changed over the years. A mix of measures is required and need to be in place for some time before their </w:t>
      </w:r>
      <w:r w:rsidR="00297EDE">
        <w:t xml:space="preserve">effects </w:t>
      </w:r>
      <w:r>
        <w:t xml:space="preserve">can be assessed. </w:t>
      </w:r>
    </w:p>
    <w:p w:rsidR="00916B9D" w:rsidRDefault="00916B9D" w:rsidP="005D39F1">
      <w:pPr>
        <w:pStyle w:val="BodyText"/>
        <w:sectPr w:rsidR="00916B9D" w:rsidSect="00916B9D">
          <w:headerReference w:type="even" r:id="rId89"/>
          <w:headerReference w:type="default" r:id="rId90"/>
          <w:footerReference w:type="even" r:id="rId91"/>
          <w:headerReference w:type="first" r:id="rId92"/>
          <w:footerReference w:type="first" r:id="rId93"/>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916B9D" w:rsidTr="00580CF7">
        <w:trPr>
          <w:trHeight w:hRule="exact" w:val="382"/>
        </w:trPr>
        <w:tc>
          <w:tcPr>
            <w:tcW w:w="4738" w:type="dxa"/>
            <w:shd w:val="clear" w:color="auto" w:fill="9D57A6"/>
          </w:tcPr>
          <w:p w:rsidR="00916B9D" w:rsidRDefault="00546375" w:rsidP="00916B9D">
            <w:pPr>
              <w:pStyle w:val="tagchapterBanner"/>
            </w:pPr>
            <w:r>
              <w:rPr>
                <w:noProof/>
                <w:lang w:eastAsia="en-AU"/>
              </w:rPr>
              <mc:AlternateContent>
                <mc:Choice Requires="wps">
                  <w:drawing>
                    <wp:anchor distT="0" distB="0" distL="114300" distR="114300" simplePos="0" relativeHeight="251922432" behindDoc="0" locked="1" layoutInCell="1" allowOverlap="1" wp14:anchorId="0D4DB660" wp14:editId="795A39F8">
                      <wp:simplePos x="0" y="0"/>
                      <wp:positionH relativeFrom="page">
                        <wp:posOffset>158750</wp:posOffset>
                      </wp:positionH>
                      <wp:positionV relativeFrom="page">
                        <wp:posOffset>6350</wp:posOffset>
                      </wp:positionV>
                      <wp:extent cx="439420" cy="215265"/>
                      <wp:effectExtent l="0" t="0" r="0" b="0"/>
                      <wp:wrapNone/>
                      <wp:docPr id="14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2176C0" id="Freeform 5" o:spid="_x0000_s1026" style="position:absolute;margin-left:12.5pt;margin-top:.5pt;width:34.6pt;height:16.9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c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VGuhX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916B9D" w:rsidRDefault="00916B9D" w:rsidP="00C3126D">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916B9D" w:rsidRPr="0014019A" w:rsidRDefault="004507D4" w:rsidP="008A6B3B">
            <w:pPr>
              <w:pStyle w:val="Heading1"/>
              <w:spacing w:line="240" w:lineRule="auto"/>
            </w:pPr>
            <w:r>
              <w:t>V</w:t>
            </w:r>
            <w:r w:rsidR="00BC4EF6">
              <w:t xml:space="preserve">eterinary </w:t>
            </w:r>
            <w:r w:rsidR="00312E4D">
              <w:t xml:space="preserve">and </w:t>
            </w:r>
            <w:r w:rsidR="00BC4EF6">
              <w:t xml:space="preserve">human pharmaceutical </w:t>
            </w:r>
            <w:r w:rsidR="00312E4D">
              <w:t>arrangement</w:t>
            </w:r>
            <w:r w:rsidR="00176957">
              <w:t>s</w:t>
            </w:r>
            <w:r>
              <w:t xml:space="preserve"> compared</w:t>
            </w:r>
          </w:p>
        </w:tc>
        <w:tc>
          <w:tcPr>
            <w:tcW w:w="3430" w:type="dxa"/>
            <w:shd w:val="clear" w:color="auto" w:fill="9D57A6"/>
            <w:tcMar>
              <w:right w:w="344" w:type="dxa"/>
            </w:tcMar>
          </w:tcPr>
          <w:p w:rsidR="00916B9D" w:rsidRPr="00F5723F" w:rsidRDefault="00221158" w:rsidP="00C3126D">
            <w:pPr>
              <w:pStyle w:val="HeadingChapter"/>
              <w:keepNext/>
            </w:pPr>
            <w:r>
              <w:fldChar w:fldCharType="begin"/>
            </w:r>
            <w:r>
              <w:instrText xml:space="preserve"> SEQ ChptNum\* Arabic \* MERGEFORMAT </w:instrText>
            </w:r>
            <w:r>
              <w:fldChar w:fldCharType="separate"/>
            </w:r>
            <w:bookmarkStart w:id="166" w:name="_Toc497300856"/>
            <w:r w:rsidR="001977DE">
              <w:t>7</w:t>
            </w:r>
            <w:bookmarkEnd w:id="166"/>
            <w:r>
              <w:fldChar w:fldCharType="end"/>
            </w:r>
          </w:p>
        </w:tc>
      </w:tr>
      <w:tr w:rsidR="00E86A68" w:rsidTr="00401D90">
        <w:trPr>
          <w:trHeight w:hRule="exact" w:val="232"/>
        </w:trPr>
        <w:tc>
          <w:tcPr>
            <w:tcW w:w="4738" w:type="dxa"/>
            <w:shd w:val="clear" w:color="auto" w:fill="9D57A6"/>
          </w:tcPr>
          <w:p w:rsidR="00916B9D" w:rsidRDefault="00916B9D" w:rsidP="00C3126D">
            <w:pPr>
              <w:pStyle w:val="Chpt-Context"/>
            </w:pPr>
          </w:p>
        </w:tc>
        <w:tc>
          <w:tcPr>
            <w:tcW w:w="3430" w:type="dxa"/>
            <w:shd w:val="clear" w:color="auto" w:fill="9D57A6"/>
          </w:tcPr>
          <w:p w:rsidR="00916B9D" w:rsidRPr="008A4E3C" w:rsidRDefault="00221158" w:rsidP="00C3126D">
            <w:pPr>
              <w:pStyle w:val="Chpt-Context"/>
            </w:pPr>
            <w:r>
              <w:fldChar w:fldCharType="begin"/>
            </w:r>
            <w:r>
              <w:instrText xml:space="preserve"> STYLEREF  "Heading 1" \l  \* MERGEFORMAT </w:instrText>
            </w:r>
            <w:r>
              <w:fldChar w:fldCharType="separate"/>
            </w:r>
            <w:bookmarkStart w:id="167" w:name="_Toc497300857"/>
            <w:r w:rsidR="0087688C">
              <w:rPr>
                <w:noProof/>
              </w:rPr>
              <w:t>Veterinary and human pharmaceutical arrangements compared</w:t>
            </w:r>
            <w:bookmarkEnd w:id="167"/>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916B9D" w:rsidRDefault="00916B9D" w:rsidP="00C3126D">
            <w:pPr>
              <w:pStyle w:val="spacer"/>
            </w:pPr>
          </w:p>
        </w:tc>
        <w:tc>
          <w:tcPr>
            <w:tcW w:w="3430" w:type="dxa"/>
            <w:tcBorders>
              <w:top w:val="single" w:sz="4" w:space="0" w:color="9D57A6"/>
            </w:tcBorders>
            <w:shd w:val="clear" w:color="auto" w:fill="auto"/>
          </w:tcPr>
          <w:p w:rsidR="00916B9D" w:rsidRDefault="00916B9D" w:rsidP="00C3126D">
            <w:pPr>
              <w:pStyle w:val="spacer"/>
            </w:pPr>
          </w:p>
        </w:tc>
      </w:tr>
    </w:tbl>
    <w:p w:rsidR="0032709D" w:rsidRDefault="0032709D" w:rsidP="0032709D">
      <w:pPr>
        <w:pStyle w:val="BodyText"/>
      </w:pPr>
      <w:r>
        <w:t xml:space="preserve">For the most part, the application of patent law and IP arrangements to veterinary pharmaceuticals parallels the application of laws to human pharmaceuticals, with outcomes dependent on the particular aspects in each case. That said, there are several areas where they differ. These areas include patent term restoration or extensions, data exclusivity, springboarding and evergreening. </w:t>
      </w:r>
      <w:r w:rsidR="004507D4">
        <w:t xml:space="preserve">However, </w:t>
      </w:r>
      <w:r w:rsidR="004507D4" w:rsidRPr="00FC59AE">
        <w:rPr>
          <w:i/>
        </w:rPr>
        <w:t>registration</w:t>
      </w:r>
      <w:r w:rsidR="004507D4">
        <w:t xml:space="preserve"> arrangements for human and veterinary products differ significantly.</w:t>
      </w:r>
    </w:p>
    <w:p w:rsidR="00BC4EF6" w:rsidRDefault="0032709D" w:rsidP="0032709D">
      <w:pPr>
        <w:pStyle w:val="BodyText"/>
      </w:pPr>
      <w:r>
        <w:t xml:space="preserve">This chapter </w:t>
      </w:r>
      <w:r w:rsidR="004507D4">
        <w:t xml:space="preserve">summarises the ways in which registration and </w:t>
      </w:r>
      <w:r>
        <w:t>IP arrangements for veterinary and human pharmaceuticals</w:t>
      </w:r>
      <w:r w:rsidR="004507D4">
        <w:t xml:space="preserve"> differ</w:t>
      </w:r>
      <w:r>
        <w:t xml:space="preserve">. </w:t>
      </w:r>
    </w:p>
    <w:p w:rsidR="00387576" w:rsidRDefault="00387576" w:rsidP="00387576">
      <w:pPr>
        <w:pStyle w:val="Heading2"/>
      </w:pPr>
      <w:bookmarkStart w:id="168" w:name="_Toc497300858"/>
      <w:r>
        <w:t>Legislative frameworks</w:t>
      </w:r>
      <w:bookmarkEnd w:id="168"/>
    </w:p>
    <w:p w:rsidR="0032709D" w:rsidRDefault="0032709D" w:rsidP="0032709D">
      <w:pPr>
        <w:pStyle w:val="BodyText"/>
        <w:rPr>
          <w:lang w:val="en" w:eastAsia="en-AU"/>
        </w:rPr>
      </w:pPr>
      <w:r>
        <w:rPr>
          <w:lang w:val="en" w:eastAsia="en-AU"/>
        </w:rPr>
        <w:t>In Europe and North America,</w:t>
      </w:r>
      <w:r w:rsidRPr="008D01F1">
        <w:rPr>
          <w:lang w:val="en" w:eastAsia="en-AU"/>
        </w:rPr>
        <w:t xml:space="preserve"> veterinary chemical products (veterinary medicines) are regulated by agencies </w:t>
      </w:r>
      <w:r>
        <w:rPr>
          <w:lang w:val="en" w:eastAsia="en-AU"/>
        </w:rPr>
        <w:t xml:space="preserve">responsible for </w:t>
      </w:r>
      <w:r w:rsidRPr="008D01F1">
        <w:rPr>
          <w:lang w:val="en" w:eastAsia="en-AU"/>
        </w:rPr>
        <w:t xml:space="preserve">human medicines. In Australia, </w:t>
      </w:r>
      <w:r>
        <w:rPr>
          <w:lang w:val="en" w:eastAsia="en-AU"/>
        </w:rPr>
        <w:t>however v</w:t>
      </w:r>
      <w:r w:rsidRPr="008D01F1">
        <w:rPr>
          <w:lang w:val="en" w:eastAsia="en-AU"/>
        </w:rPr>
        <w:t xml:space="preserve">eterinary </w:t>
      </w:r>
      <w:r>
        <w:rPr>
          <w:lang w:val="en" w:eastAsia="en-AU"/>
        </w:rPr>
        <w:t>c</w:t>
      </w:r>
      <w:r w:rsidRPr="008D01F1">
        <w:rPr>
          <w:lang w:val="en" w:eastAsia="en-AU"/>
        </w:rPr>
        <w:t xml:space="preserve">hemical </w:t>
      </w:r>
      <w:r>
        <w:rPr>
          <w:lang w:val="en" w:eastAsia="en-AU"/>
        </w:rPr>
        <w:t>p</w:t>
      </w:r>
      <w:r w:rsidRPr="008D01F1">
        <w:rPr>
          <w:lang w:val="en" w:eastAsia="en-AU"/>
        </w:rPr>
        <w:t xml:space="preserve">roducts are defined in the Agvet Code and </w:t>
      </w:r>
      <w:r>
        <w:rPr>
          <w:lang w:val="en" w:eastAsia="en-AU"/>
        </w:rPr>
        <w:t>are regulated by the APVMA.</w:t>
      </w:r>
    </w:p>
    <w:p w:rsidR="00387576" w:rsidRDefault="00387576" w:rsidP="00387576">
      <w:pPr>
        <w:pStyle w:val="Heading3"/>
        <w:rPr>
          <w:lang w:val="en" w:eastAsia="en-AU"/>
        </w:rPr>
      </w:pPr>
      <w:r>
        <w:rPr>
          <w:lang w:val="en" w:eastAsia="en-AU"/>
        </w:rPr>
        <w:t>E</w:t>
      </w:r>
      <w:r w:rsidR="0030022C">
        <w:rPr>
          <w:lang w:val="en" w:eastAsia="en-AU"/>
        </w:rPr>
        <w:t xml:space="preserve">uropean </w:t>
      </w:r>
      <w:r>
        <w:rPr>
          <w:lang w:val="en" w:eastAsia="en-AU"/>
        </w:rPr>
        <w:t>U</w:t>
      </w:r>
      <w:r w:rsidR="0030022C">
        <w:rPr>
          <w:lang w:val="en" w:eastAsia="en-AU"/>
        </w:rPr>
        <w:t>nion</w:t>
      </w:r>
    </w:p>
    <w:p w:rsidR="0032709D" w:rsidRDefault="0032709D" w:rsidP="0032709D">
      <w:pPr>
        <w:pStyle w:val="BodyText"/>
        <w:rPr>
          <w:lang w:val="en" w:eastAsia="en-AU"/>
        </w:rPr>
      </w:pPr>
      <w:r>
        <w:rPr>
          <w:lang w:val="en" w:eastAsia="en-AU"/>
        </w:rPr>
        <w:t>In the European Union, v</w:t>
      </w:r>
      <w:r w:rsidRPr="008D01F1">
        <w:rPr>
          <w:lang w:val="en" w:eastAsia="en-AU"/>
        </w:rPr>
        <w:t>eterinary products are regulated under a number of Directives</w:t>
      </w:r>
      <w:r>
        <w:rPr>
          <w:lang w:val="en" w:eastAsia="en-AU"/>
        </w:rPr>
        <w:t>, which include the following considerations.</w:t>
      </w:r>
      <w:r w:rsidRPr="008D01F1">
        <w:rPr>
          <w:vertAlign w:val="superscript"/>
          <w:lang w:val="en" w:eastAsia="en-AU"/>
        </w:rPr>
        <w:footnoteReference w:id="122"/>
      </w:r>
      <w:r w:rsidRPr="008D01F1">
        <w:rPr>
          <w:lang w:val="en" w:eastAsia="en-AU"/>
        </w:rPr>
        <w:t xml:space="preserve"> </w:t>
      </w:r>
    </w:p>
    <w:p w:rsidR="0032709D" w:rsidRDefault="0032709D" w:rsidP="0032709D">
      <w:pPr>
        <w:pStyle w:val="ListBullet"/>
        <w:rPr>
          <w:lang w:val="en" w:eastAsia="en-AU"/>
        </w:rPr>
      </w:pPr>
      <w:r w:rsidRPr="008D01F1">
        <w:rPr>
          <w:lang w:val="en" w:eastAsia="en-AU"/>
        </w:rPr>
        <w:t>The general data requirements and performance of tests are included in Directive 2009/9/EC (which amends the original Directive 2001/82/EC)</w:t>
      </w:r>
      <w:r w:rsidRPr="008D01F1">
        <w:rPr>
          <w:vertAlign w:val="superscript"/>
          <w:lang w:val="en" w:eastAsia="en-AU"/>
        </w:rPr>
        <w:footnoteReference w:id="123"/>
      </w:r>
      <w:r w:rsidRPr="008D01F1">
        <w:rPr>
          <w:lang w:val="en" w:eastAsia="en-AU"/>
        </w:rPr>
        <w:t xml:space="preserve"> </w:t>
      </w:r>
    </w:p>
    <w:p w:rsidR="0032709D" w:rsidRDefault="0032709D" w:rsidP="0032709D">
      <w:pPr>
        <w:pStyle w:val="ListBullet"/>
        <w:rPr>
          <w:lang w:val="en" w:eastAsia="en-AU"/>
        </w:rPr>
      </w:pPr>
      <w:r w:rsidRPr="008D01F1">
        <w:rPr>
          <w:lang w:val="en" w:eastAsia="en-AU"/>
        </w:rPr>
        <w:t xml:space="preserve">The Directive also provides information to sponsors or </w:t>
      </w:r>
      <w:r>
        <w:rPr>
          <w:lang w:val="en" w:eastAsia="en-AU"/>
        </w:rPr>
        <w:t>a</w:t>
      </w:r>
      <w:r w:rsidRPr="008D01F1">
        <w:rPr>
          <w:lang w:val="en" w:eastAsia="en-AU"/>
        </w:rPr>
        <w:t xml:space="preserve">pplicants on </w:t>
      </w:r>
      <w:r>
        <w:rPr>
          <w:lang w:val="en" w:eastAsia="en-AU"/>
        </w:rPr>
        <w:t xml:space="preserve">the </w:t>
      </w:r>
      <w:r w:rsidRPr="008D01F1">
        <w:rPr>
          <w:lang w:val="en" w:eastAsia="en-AU"/>
        </w:rPr>
        <w:t>presentation and content of the application dossier</w:t>
      </w:r>
      <w:r w:rsidRPr="008D01F1">
        <w:rPr>
          <w:vertAlign w:val="superscript"/>
          <w:lang w:val="en" w:eastAsia="en-AU"/>
        </w:rPr>
        <w:footnoteReference w:id="124"/>
      </w:r>
    </w:p>
    <w:p w:rsidR="0032709D" w:rsidRPr="008D01F1" w:rsidRDefault="0032709D" w:rsidP="0032709D">
      <w:pPr>
        <w:pStyle w:val="ListBullet"/>
        <w:rPr>
          <w:lang w:val="en" w:eastAsia="en-AU"/>
        </w:rPr>
      </w:pPr>
      <w:r>
        <w:rPr>
          <w:lang w:val="en" w:eastAsia="en-AU"/>
        </w:rPr>
        <w:t>M</w:t>
      </w:r>
      <w:r w:rsidRPr="008D01F1">
        <w:rPr>
          <w:lang w:val="en" w:eastAsia="en-AU"/>
        </w:rPr>
        <w:t>onographs or assessments prepared by the European</w:t>
      </w:r>
      <w:r w:rsidR="00FC59AE">
        <w:rPr>
          <w:lang w:val="en" w:eastAsia="en-AU"/>
        </w:rPr>
        <w:t xml:space="preserve"> Medicines Agency (EMA) address</w:t>
      </w:r>
      <w:r w:rsidRPr="008D01F1">
        <w:rPr>
          <w:lang w:val="en" w:eastAsia="en-AU"/>
        </w:rPr>
        <w:t xml:space="preserve"> aspe</w:t>
      </w:r>
      <w:r w:rsidR="00DC1FF4">
        <w:rPr>
          <w:lang w:val="en" w:eastAsia="en-AU"/>
        </w:rPr>
        <w:t>cts as set out in the Directive, and</w:t>
      </w:r>
      <w:r w:rsidRPr="008D01F1">
        <w:rPr>
          <w:lang w:val="en" w:eastAsia="en-AU"/>
        </w:rPr>
        <w:t xml:space="preserve"> </w:t>
      </w:r>
    </w:p>
    <w:p w:rsidR="0032709D" w:rsidRDefault="0032709D" w:rsidP="0032709D">
      <w:pPr>
        <w:pStyle w:val="ListBullet"/>
        <w:rPr>
          <w:lang w:val="en" w:eastAsia="en-AU"/>
        </w:rPr>
      </w:pPr>
      <w:r w:rsidRPr="008D01F1">
        <w:rPr>
          <w:lang w:val="en" w:eastAsia="en-AU"/>
        </w:rPr>
        <w:t>Biocide</w:t>
      </w:r>
      <w:r>
        <w:rPr>
          <w:lang w:val="en" w:eastAsia="en-AU"/>
        </w:rPr>
        <w:t xml:space="preserve"> </w:t>
      </w:r>
      <w:r w:rsidRPr="008D01F1">
        <w:rPr>
          <w:lang w:val="en" w:eastAsia="en-AU"/>
        </w:rPr>
        <w:t>products are regulated by the European Chemicals Agency (ECHA) and legislated und</w:t>
      </w:r>
      <w:r w:rsidR="00DC1FF4">
        <w:rPr>
          <w:lang w:val="en" w:eastAsia="en-AU"/>
        </w:rPr>
        <w:t>er BPR Regulation (EU) 528/2012.</w:t>
      </w:r>
      <w:r w:rsidRPr="008D01F1">
        <w:rPr>
          <w:lang w:val="en" w:eastAsia="en-AU"/>
        </w:rPr>
        <w:t xml:space="preserve"> </w:t>
      </w:r>
    </w:p>
    <w:p w:rsidR="0032709D" w:rsidRDefault="00FC59AE" w:rsidP="0032709D">
      <w:pPr>
        <w:pStyle w:val="BodyText"/>
        <w:rPr>
          <w:lang w:val="en" w:eastAsia="en-AU"/>
        </w:rPr>
      </w:pPr>
      <w:r>
        <w:rPr>
          <w:lang w:val="en" w:eastAsia="en-AU"/>
        </w:rPr>
        <w:t>The u</w:t>
      </w:r>
      <w:r w:rsidR="0032709D">
        <w:rPr>
          <w:lang w:val="en" w:eastAsia="en-AU"/>
        </w:rPr>
        <w:t>se</w:t>
      </w:r>
      <w:r>
        <w:rPr>
          <w:lang w:val="en" w:eastAsia="en-AU"/>
        </w:rPr>
        <w:t xml:space="preserve"> of </w:t>
      </w:r>
      <w:r w:rsidR="0032709D" w:rsidRPr="008D01F1">
        <w:rPr>
          <w:lang w:val="en" w:eastAsia="en-AU"/>
        </w:rPr>
        <w:t>centralised and decentralised procedures within and between E</w:t>
      </w:r>
      <w:r w:rsidR="0032709D">
        <w:rPr>
          <w:lang w:val="en" w:eastAsia="en-AU"/>
        </w:rPr>
        <w:t xml:space="preserve">uropean </w:t>
      </w:r>
      <w:r w:rsidR="0032709D" w:rsidRPr="008D01F1">
        <w:rPr>
          <w:lang w:val="en" w:eastAsia="en-AU"/>
        </w:rPr>
        <w:t>U</w:t>
      </w:r>
      <w:r w:rsidR="0032709D">
        <w:rPr>
          <w:lang w:val="en" w:eastAsia="en-AU"/>
        </w:rPr>
        <w:t>nion</w:t>
      </w:r>
      <w:r w:rsidR="0032709D" w:rsidRPr="008D01F1">
        <w:rPr>
          <w:lang w:val="en" w:eastAsia="en-AU"/>
        </w:rPr>
        <w:t xml:space="preserve"> Member States</w:t>
      </w:r>
      <w:r>
        <w:rPr>
          <w:lang w:val="en" w:eastAsia="en-AU"/>
        </w:rPr>
        <w:t xml:space="preserve"> is unique to the EU</w:t>
      </w:r>
      <w:r w:rsidR="0032709D" w:rsidRPr="008D01F1">
        <w:rPr>
          <w:lang w:val="en" w:eastAsia="en-AU"/>
        </w:rPr>
        <w:t xml:space="preserve">. </w:t>
      </w:r>
    </w:p>
    <w:p w:rsidR="00387576" w:rsidRPr="008D01F1" w:rsidRDefault="001D15A3" w:rsidP="00387576">
      <w:pPr>
        <w:pStyle w:val="Heading3"/>
        <w:rPr>
          <w:lang w:val="en" w:eastAsia="en-AU"/>
        </w:rPr>
      </w:pPr>
      <w:r>
        <w:rPr>
          <w:lang w:val="en" w:eastAsia="en-AU"/>
        </w:rPr>
        <w:t>North America</w:t>
      </w:r>
    </w:p>
    <w:p w:rsidR="00387576" w:rsidRDefault="0032709D" w:rsidP="00387576">
      <w:pPr>
        <w:pStyle w:val="BodyText"/>
        <w:rPr>
          <w:lang w:val="en" w:eastAsia="en-AU"/>
        </w:rPr>
      </w:pPr>
      <w:r>
        <w:rPr>
          <w:lang w:val="en" w:eastAsia="en-AU"/>
        </w:rPr>
        <w:t>I</w:t>
      </w:r>
      <w:r w:rsidRPr="008D01F1">
        <w:rPr>
          <w:lang w:val="en" w:eastAsia="en-AU"/>
        </w:rPr>
        <w:t xml:space="preserve">n </w:t>
      </w:r>
      <w:r>
        <w:rPr>
          <w:lang w:val="en" w:eastAsia="en-AU"/>
        </w:rPr>
        <w:t xml:space="preserve">the </w:t>
      </w:r>
      <w:r w:rsidR="002516F8">
        <w:rPr>
          <w:lang w:val="en" w:eastAsia="en-AU"/>
        </w:rPr>
        <w:t>USA</w:t>
      </w:r>
      <w:r>
        <w:rPr>
          <w:lang w:val="en" w:eastAsia="en-AU"/>
        </w:rPr>
        <w:t>,</w:t>
      </w:r>
      <w:r w:rsidRPr="008D01F1">
        <w:rPr>
          <w:lang w:val="en" w:eastAsia="en-AU"/>
        </w:rPr>
        <w:t xml:space="preserve"> veterinary medicines </w:t>
      </w:r>
      <w:r>
        <w:rPr>
          <w:lang w:val="en" w:eastAsia="en-AU"/>
        </w:rPr>
        <w:t xml:space="preserve">are </w:t>
      </w:r>
      <w:r w:rsidRPr="008D01F1">
        <w:rPr>
          <w:lang w:val="en" w:eastAsia="en-AU"/>
        </w:rPr>
        <w:t>approved by the CVM at the USFDA</w:t>
      </w:r>
      <w:r>
        <w:rPr>
          <w:lang w:val="en" w:eastAsia="en-AU"/>
        </w:rPr>
        <w:t>,</w:t>
      </w:r>
      <w:r w:rsidRPr="008D01F1">
        <w:rPr>
          <w:lang w:val="en" w:eastAsia="en-AU"/>
        </w:rPr>
        <w:t xml:space="preserve"> </w:t>
      </w:r>
      <w:r>
        <w:rPr>
          <w:lang w:val="en" w:eastAsia="en-AU"/>
        </w:rPr>
        <w:t>while veterinary immunobiological products are regulated by the Center for Veterinary Biologics (CVB) at the Animal and Plant Health Inspection Services (APHIS) at the USDA. I</w:t>
      </w:r>
      <w:r w:rsidRPr="008D01F1">
        <w:rPr>
          <w:lang w:val="en" w:eastAsia="en-AU"/>
        </w:rPr>
        <w:t>n Canada</w:t>
      </w:r>
      <w:r>
        <w:rPr>
          <w:lang w:val="en" w:eastAsia="en-AU"/>
        </w:rPr>
        <w:t xml:space="preserve">, veterinary medicines and immunobiologics are regulated </w:t>
      </w:r>
      <w:r w:rsidRPr="008D01F1">
        <w:rPr>
          <w:lang w:val="en" w:eastAsia="en-AU"/>
        </w:rPr>
        <w:t xml:space="preserve">by the VDD at Health Canada. Both </w:t>
      </w:r>
      <w:r>
        <w:rPr>
          <w:lang w:val="en" w:eastAsia="en-AU"/>
        </w:rPr>
        <w:t xml:space="preserve">the CVM and the VDD </w:t>
      </w:r>
      <w:r w:rsidRPr="008D01F1">
        <w:rPr>
          <w:lang w:val="en" w:eastAsia="en-AU"/>
        </w:rPr>
        <w:t xml:space="preserve">operate under food and drug legislation </w:t>
      </w:r>
      <w:r w:rsidR="00381860">
        <w:rPr>
          <w:lang w:val="en" w:eastAsia="en-AU"/>
        </w:rPr>
        <w:t>that</w:t>
      </w:r>
      <w:r w:rsidR="00381860" w:rsidRPr="008D01F1">
        <w:rPr>
          <w:lang w:val="en" w:eastAsia="en-AU"/>
        </w:rPr>
        <w:t xml:space="preserve"> </w:t>
      </w:r>
      <w:r w:rsidRPr="008D01F1">
        <w:rPr>
          <w:lang w:val="en" w:eastAsia="en-AU"/>
        </w:rPr>
        <w:t xml:space="preserve">includes human and veterinary medicines, food, devices and cosmetics. </w:t>
      </w:r>
    </w:p>
    <w:p w:rsidR="00BC4EF6" w:rsidRDefault="00BC4EF6" w:rsidP="00BC4EF6">
      <w:pPr>
        <w:pStyle w:val="Heading2"/>
      </w:pPr>
      <w:bookmarkStart w:id="169" w:name="_Toc497300859"/>
      <w:r>
        <w:t>Patent term restoration or extensions</w:t>
      </w:r>
      <w:bookmarkEnd w:id="169"/>
    </w:p>
    <w:p w:rsidR="003E71EC" w:rsidRDefault="0032709D" w:rsidP="0032709D">
      <w:pPr>
        <w:pStyle w:val="BodyText"/>
      </w:pPr>
      <w:bookmarkStart w:id="170" w:name="_Ref485389771"/>
      <w:r>
        <w:t>The jurisdictions covered in this report</w:t>
      </w:r>
      <w:r w:rsidR="003067B4">
        <w:t xml:space="preserve"> </w:t>
      </w:r>
      <w:r>
        <w:t>—</w:t>
      </w:r>
      <w:r w:rsidR="00800DC7">
        <w:t xml:space="preserve"> </w:t>
      </w:r>
      <w:r>
        <w:t xml:space="preserve">the European Union, UK, </w:t>
      </w:r>
      <w:r w:rsidR="002516F8">
        <w:t>USA</w:t>
      </w:r>
      <w:r>
        <w:t>, Canada</w:t>
      </w:r>
      <w:r w:rsidR="00674F2E">
        <w:t xml:space="preserve">, </w:t>
      </w:r>
      <w:r>
        <w:t>Australia</w:t>
      </w:r>
      <w:r w:rsidR="00381860">
        <w:t>,</w:t>
      </w:r>
      <w:r w:rsidR="00674F2E">
        <w:t xml:space="preserve"> and </w:t>
      </w:r>
      <w:r w:rsidR="00674F2E" w:rsidRPr="00507209">
        <w:t>N</w:t>
      </w:r>
      <w:r w:rsidR="004507D4" w:rsidRPr="00507209">
        <w:t>ew Zealand</w:t>
      </w:r>
      <w:r w:rsidR="00DC1FF4">
        <w:t xml:space="preserve"> </w:t>
      </w:r>
      <w:r>
        <w:t>—</w:t>
      </w:r>
      <w:r w:rsidR="00800DC7">
        <w:t xml:space="preserve"> </w:t>
      </w:r>
      <w:r>
        <w:t xml:space="preserve">provide for a standard patent term of twenty years, and </w:t>
      </w:r>
      <w:r w:rsidRPr="00507209">
        <w:t xml:space="preserve">all of them </w:t>
      </w:r>
      <w:r w:rsidR="00297EDE">
        <w:t>except</w:t>
      </w:r>
      <w:r w:rsidR="000075BB" w:rsidRPr="00507209">
        <w:t xml:space="preserve"> New Zealand</w:t>
      </w:r>
      <w:r w:rsidRPr="000075BB">
        <w:t xml:space="preserve"> </w:t>
      </w:r>
      <w:r>
        <w:t xml:space="preserve">provide for extensions of protection for certain products that are subject to regulatory approval before they can be marketed. </w:t>
      </w:r>
    </w:p>
    <w:p w:rsidR="003E71EC" w:rsidRDefault="0032709D" w:rsidP="0032709D">
      <w:pPr>
        <w:pStyle w:val="BodyText"/>
      </w:pPr>
      <w:r>
        <w:t xml:space="preserve">For the European Union and the UK, SPCs are available that extend the protections of patents for medicinal and plant protection products to cover the period needed for regulatory approval of the product, typically to a maximum of five years. </w:t>
      </w:r>
    </w:p>
    <w:p w:rsidR="00665011" w:rsidRDefault="0032709D" w:rsidP="0032709D">
      <w:pPr>
        <w:pStyle w:val="BodyText"/>
      </w:pPr>
      <w:r>
        <w:t xml:space="preserve">Australia similarly provides for </w:t>
      </w:r>
      <w:r w:rsidR="00272AD9">
        <w:t xml:space="preserve">patent term </w:t>
      </w:r>
      <w:r>
        <w:t>extensions</w:t>
      </w:r>
      <w:r w:rsidR="00FC59AE">
        <w:t xml:space="preserve">, but limited to human </w:t>
      </w:r>
      <w:r>
        <w:t>pharmaceutical substances</w:t>
      </w:r>
      <w:r w:rsidR="00FC59AE">
        <w:t>,</w:t>
      </w:r>
      <w:r>
        <w:t xml:space="preserve"> to account for the period needed for regulatory approval </w:t>
      </w:r>
      <w:r w:rsidR="00665011">
        <w:t>to provide an effective patent life of 15 years</w:t>
      </w:r>
      <w:r>
        <w:t xml:space="preserve">. </w:t>
      </w:r>
    </w:p>
    <w:p w:rsidR="0032709D" w:rsidRDefault="00665011" w:rsidP="0032709D">
      <w:pPr>
        <w:pStyle w:val="BodyText"/>
      </w:pPr>
      <w:r>
        <w:t xml:space="preserve">Under the Comprehensive Economic and Trade Agreement (CETA) with the EU, </w:t>
      </w:r>
      <w:r w:rsidR="0032709D">
        <w:t xml:space="preserve">Canada </w:t>
      </w:r>
      <w:r w:rsidR="004507D4">
        <w:t xml:space="preserve">will </w:t>
      </w:r>
      <w:r w:rsidR="0032709D">
        <w:t>provide patent term extensions of two years for qua</w:t>
      </w:r>
      <w:r>
        <w:t>lifying pharmaceutical products</w:t>
      </w:r>
      <w:r w:rsidR="00FC59AE">
        <w:t xml:space="preserve"> (c.f. five years in the EU)</w:t>
      </w:r>
      <w:r w:rsidR="00835BCD">
        <w:t>.</w:t>
      </w:r>
      <w:r w:rsidR="00835BCD" w:rsidDel="00835BCD">
        <w:t xml:space="preserve"> </w:t>
      </w:r>
      <w:r w:rsidR="00544349" w:rsidRPr="00507209">
        <w:t xml:space="preserve">Patent term extensions are </w:t>
      </w:r>
      <w:r w:rsidR="00FC59AE" w:rsidRPr="00507209">
        <w:t xml:space="preserve">not </w:t>
      </w:r>
      <w:r w:rsidR="00544349" w:rsidRPr="00507209">
        <w:t>available in New Zealand</w:t>
      </w:r>
      <w:r w:rsidR="00544349">
        <w:t>.</w:t>
      </w:r>
    </w:p>
    <w:p w:rsidR="0032709D" w:rsidRDefault="0001061F" w:rsidP="0032709D">
      <w:pPr>
        <w:pStyle w:val="BodyText"/>
      </w:pPr>
      <w:r>
        <w:t xml:space="preserve">As </w:t>
      </w:r>
      <w:r w:rsidR="00272AD9">
        <w:t>noted</w:t>
      </w:r>
      <w:r>
        <w:t xml:space="preserve"> earlier, t</w:t>
      </w:r>
      <w:r w:rsidR="00C55FEC" w:rsidRPr="00316D88">
        <w:t xml:space="preserve">he </w:t>
      </w:r>
      <w:r w:rsidR="00C55FEC">
        <w:t>Productivity Commission</w:t>
      </w:r>
      <w:r w:rsidR="00C55FEC" w:rsidRPr="00316D88">
        <w:t xml:space="preserve"> reported on Intellectual Property Arrangements in 2016</w:t>
      </w:r>
      <w:r w:rsidR="00C55FEC" w:rsidRPr="00316D88">
        <w:rPr>
          <w:rStyle w:val="FootnoteReference"/>
        </w:rPr>
        <w:footnoteReference w:id="125"/>
      </w:r>
      <w:r w:rsidR="00C55FEC" w:rsidRPr="00316D88">
        <w:t>. Medicines</w:t>
      </w:r>
      <w:r w:rsidR="00C55FEC">
        <w:t xml:space="preserve"> Australia</w:t>
      </w:r>
      <w:r w:rsidR="00C55FEC">
        <w:rPr>
          <w:rStyle w:val="FootnoteReference"/>
          <w:rFonts w:ascii="Arial" w:hAnsi="Arial" w:cs="Arial"/>
        </w:rPr>
        <w:footnoteReference w:id="126"/>
      </w:r>
      <w:r w:rsidR="00C55FEC">
        <w:t xml:space="preserve"> </w:t>
      </w:r>
      <w:r w:rsidR="00992DB8">
        <w:t>claimed</w:t>
      </w:r>
      <w:r w:rsidR="00C55FEC">
        <w:t xml:space="preserve"> in its submission to </w:t>
      </w:r>
      <w:r>
        <w:t xml:space="preserve">the </w:t>
      </w:r>
      <w:r w:rsidR="00C55FEC">
        <w:t xml:space="preserve">Productivity Commission inquiry that </w:t>
      </w:r>
      <w:r w:rsidR="00C55FEC" w:rsidRPr="00287FF9">
        <w:t xml:space="preserve">there is a strong case for granting patent term extensions. The average effective patent life for pharmaceutical products </w:t>
      </w:r>
      <w:r w:rsidR="00C55FEC">
        <w:t>with an extension of term</w:t>
      </w:r>
      <w:r w:rsidR="00C55FEC" w:rsidRPr="00287FF9">
        <w:t xml:space="preserve"> in Australia is between </w:t>
      </w:r>
      <w:r w:rsidR="00C55FEC">
        <w:t>13</w:t>
      </w:r>
      <w:r w:rsidR="00C55FEC" w:rsidRPr="00287FF9">
        <w:t xml:space="preserve"> and </w:t>
      </w:r>
      <w:r w:rsidR="00C55FEC">
        <w:t>14</w:t>
      </w:r>
      <w:r w:rsidR="00C55FEC" w:rsidRPr="00287FF9">
        <w:t xml:space="preserve"> years, </w:t>
      </w:r>
      <w:r w:rsidR="00C55FEC">
        <w:t>while the median patent receives 15 years of effective life.</w:t>
      </w:r>
      <w:r w:rsidR="00C55FEC">
        <w:rPr>
          <w:rStyle w:val="FootnoteReference"/>
        </w:rPr>
        <w:footnoteReference w:id="127"/>
      </w:r>
      <w:r w:rsidR="00C55FEC">
        <w:t xml:space="preserve"> </w:t>
      </w:r>
      <w:r w:rsidR="00C55FEC" w:rsidRPr="00287FF9">
        <w:t xml:space="preserve"> </w:t>
      </w:r>
      <w:r w:rsidR="0032709D">
        <w:t>A summary of patent extension</w:t>
      </w:r>
      <w:r w:rsidR="00992DB8">
        <w:t>s is</w:t>
      </w:r>
      <w:r w:rsidR="0032709D">
        <w:t xml:space="preserve"> provided in</w:t>
      </w:r>
      <w:r w:rsidR="003E71EC">
        <w:t xml:space="preserve"> </w:t>
      </w:r>
      <w:r w:rsidR="003E71EC">
        <w:fldChar w:fldCharType="begin"/>
      </w:r>
      <w:r w:rsidR="003E71EC">
        <w:instrText xml:space="preserve"> REF _Ref488221792 \h </w:instrText>
      </w:r>
      <w:r w:rsidR="003E71EC">
        <w:fldChar w:fldCharType="separate"/>
      </w:r>
      <w:r w:rsidR="0087688C" w:rsidRPr="00FC29C8">
        <w:rPr>
          <w:rStyle w:val="CaptionLabel"/>
        </w:rPr>
        <w:t>Table</w:t>
      </w:r>
      <w:r w:rsidR="0087688C">
        <w:rPr>
          <w:rStyle w:val="CaptionLabel"/>
        </w:rPr>
        <w:t> </w:t>
      </w:r>
      <w:r w:rsidR="0087688C">
        <w:rPr>
          <w:rStyle w:val="CaptionLabel"/>
          <w:noProof/>
        </w:rPr>
        <w:t>7</w:t>
      </w:r>
      <w:r w:rsidR="0087688C" w:rsidRPr="00FC29C8">
        <w:rPr>
          <w:rStyle w:val="CaptionLabel"/>
        </w:rPr>
        <w:t>.</w:t>
      </w:r>
      <w:r w:rsidR="0087688C">
        <w:rPr>
          <w:rStyle w:val="CaptionLabel"/>
          <w:noProof/>
        </w:rPr>
        <w:t>1</w:t>
      </w:r>
      <w:r w:rsidR="003E71EC">
        <w:fldChar w:fldCharType="end"/>
      </w:r>
      <w:r w:rsidR="003E71EC">
        <w:t>.</w:t>
      </w:r>
    </w:p>
    <w:p w:rsidR="007F6937" w:rsidRDefault="007F6937" w:rsidP="007F6937">
      <w:pPr>
        <w:pStyle w:val="Caption"/>
        <w:spacing w:before="160"/>
      </w:pPr>
      <w:bookmarkStart w:id="171" w:name="_Ref488221792"/>
      <w:bookmarkStart w:id="172" w:name="_Toc497132821"/>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7</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1</w:t>
      </w:r>
      <w:r w:rsidRPr="00FC29C8">
        <w:rPr>
          <w:rStyle w:val="CaptionLabel"/>
        </w:rPr>
        <w:fldChar w:fldCharType="end"/>
      </w:r>
      <w:bookmarkEnd w:id="170"/>
      <w:bookmarkEnd w:id="171"/>
      <w:r>
        <w:tab/>
        <w:t>Summary of patent extensions</w:t>
      </w:r>
      <w:bookmarkEnd w:id="172"/>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6"/>
        <w:gridCol w:w="1133"/>
        <w:gridCol w:w="1559"/>
        <w:gridCol w:w="2410"/>
        <w:gridCol w:w="1559"/>
        <w:gridCol w:w="1507"/>
      </w:tblGrid>
      <w:tr w:rsidR="00E86A68" w:rsidTr="00E3779A">
        <w:trPr>
          <w:cantSplit/>
          <w:tblHeader/>
        </w:trPr>
        <w:tc>
          <w:tcPr>
            <w:tcW w:w="921" w:type="pct"/>
            <w:gridSpan w:val="2"/>
            <w:shd w:val="clear" w:color="auto" w:fill="9D57A6"/>
            <w:tcMar>
              <w:left w:w="454" w:type="dxa"/>
              <w:bottom w:w="0" w:type="dxa"/>
            </w:tcMar>
          </w:tcPr>
          <w:p w:rsidR="007F6937" w:rsidRDefault="007F6937" w:rsidP="007F6937">
            <w:pPr>
              <w:pStyle w:val="Tablecolumnheadings"/>
            </w:pPr>
            <w:r>
              <w:t>Country</w:t>
            </w:r>
          </w:p>
        </w:tc>
        <w:tc>
          <w:tcPr>
            <w:tcW w:w="904" w:type="pct"/>
            <w:shd w:val="clear" w:color="auto" w:fill="9D57A6"/>
            <w:tcMar>
              <w:bottom w:w="0" w:type="dxa"/>
            </w:tcMar>
          </w:tcPr>
          <w:p w:rsidR="007F6937" w:rsidRDefault="007F6937" w:rsidP="007F6937">
            <w:pPr>
              <w:pStyle w:val="Tablecolumnheadings"/>
            </w:pPr>
            <w:r>
              <w:t>Nature</w:t>
            </w:r>
          </w:p>
        </w:tc>
        <w:tc>
          <w:tcPr>
            <w:tcW w:w="1397" w:type="pct"/>
            <w:shd w:val="clear" w:color="auto" w:fill="9D57A6"/>
            <w:tcMar>
              <w:bottom w:w="0" w:type="dxa"/>
            </w:tcMar>
          </w:tcPr>
          <w:p w:rsidR="007F6937" w:rsidRDefault="007F6937" w:rsidP="007F6937">
            <w:pPr>
              <w:pStyle w:val="Tablecolumnheadings"/>
            </w:pPr>
            <w:r>
              <w:t>Coverage</w:t>
            </w:r>
          </w:p>
        </w:tc>
        <w:tc>
          <w:tcPr>
            <w:tcW w:w="904" w:type="pct"/>
            <w:shd w:val="clear" w:color="auto" w:fill="9D57A6"/>
            <w:tcMar>
              <w:bottom w:w="0" w:type="dxa"/>
            </w:tcMar>
          </w:tcPr>
          <w:p w:rsidR="007F6937" w:rsidRDefault="007F6937" w:rsidP="00E3779A">
            <w:pPr>
              <w:pStyle w:val="Tablecolumnheadings"/>
              <w:jc w:val="center"/>
            </w:pPr>
            <w:r>
              <w:t>Maximum length of extension</w:t>
            </w:r>
            <w:r w:rsidR="00E3779A">
              <w:br/>
            </w:r>
            <w:r w:rsidR="00296B6C">
              <w:t xml:space="preserve"> (years)</w:t>
            </w:r>
          </w:p>
        </w:tc>
        <w:tc>
          <w:tcPr>
            <w:tcW w:w="874" w:type="pct"/>
            <w:shd w:val="clear" w:color="auto" w:fill="9D57A6"/>
            <w:tcMar>
              <w:bottom w:w="0" w:type="dxa"/>
            </w:tcMar>
          </w:tcPr>
          <w:p w:rsidR="007F6937" w:rsidRDefault="007F6937" w:rsidP="00E3779A">
            <w:pPr>
              <w:pStyle w:val="Tablecolumnheadings"/>
              <w:jc w:val="center"/>
            </w:pPr>
            <w:r>
              <w:t>Maximum effective life</w:t>
            </w:r>
            <w:r w:rsidR="00296B6C">
              <w:t xml:space="preserve"> (years)</w:t>
            </w:r>
          </w:p>
        </w:tc>
      </w:tr>
      <w:tr w:rsidR="00E86A68" w:rsidTr="00E3779A">
        <w:tblPrEx>
          <w:tblBorders>
            <w:bottom w:val="single" w:sz="4" w:space="0" w:color="646464"/>
            <w:insideH w:val="single" w:sz="4" w:space="0" w:color="646464"/>
          </w:tblBorders>
        </w:tblPrEx>
        <w:trPr>
          <w:gridBefore w:val="1"/>
          <w:wBefore w:w="264" w:type="pct"/>
          <w:cantSplit/>
        </w:trPr>
        <w:tc>
          <w:tcPr>
            <w:tcW w:w="657" w:type="pct"/>
            <w:tcBorders>
              <w:top w:val="nil"/>
            </w:tcBorders>
            <w:shd w:val="clear" w:color="auto" w:fill="auto"/>
          </w:tcPr>
          <w:p w:rsidR="007F6937" w:rsidRDefault="007F6937" w:rsidP="007F6937">
            <w:pPr>
              <w:pStyle w:val="Tabletext"/>
            </w:pPr>
            <w:r>
              <w:t>Australia</w:t>
            </w:r>
          </w:p>
        </w:tc>
        <w:tc>
          <w:tcPr>
            <w:tcW w:w="904" w:type="pct"/>
            <w:tcBorders>
              <w:top w:val="nil"/>
            </w:tcBorders>
            <w:shd w:val="clear" w:color="auto" w:fill="auto"/>
          </w:tcPr>
          <w:p w:rsidR="007F6937" w:rsidRDefault="007F6937" w:rsidP="007F6937">
            <w:pPr>
              <w:pStyle w:val="Tabletext"/>
            </w:pPr>
            <w:r>
              <w:t>Products claims only (unless R-DNA process used)</w:t>
            </w:r>
          </w:p>
        </w:tc>
        <w:tc>
          <w:tcPr>
            <w:tcW w:w="1397" w:type="pct"/>
            <w:tcBorders>
              <w:top w:val="nil"/>
            </w:tcBorders>
            <w:shd w:val="clear" w:color="auto" w:fill="auto"/>
          </w:tcPr>
          <w:p w:rsidR="007F6937" w:rsidRDefault="007F6937" w:rsidP="007F6937">
            <w:pPr>
              <w:pStyle w:val="Tabletext"/>
            </w:pPr>
            <w:r>
              <w:t>Only human pharmaceuticals</w:t>
            </w:r>
            <w:r w:rsidR="00F62B3F">
              <w:t>, extended only once</w:t>
            </w:r>
          </w:p>
        </w:tc>
        <w:tc>
          <w:tcPr>
            <w:tcW w:w="904" w:type="pct"/>
            <w:tcBorders>
              <w:top w:val="nil"/>
            </w:tcBorders>
            <w:shd w:val="clear" w:color="auto" w:fill="auto"/>
          </w:tcPr>
          <w:p w:rsidR="007F6937" w:rsidRDefault="007F6937" w:rsidP="00E3779A">
            <w:pPr>
              <w:pStyle w:val="Tabletext"/>
              <w:jc w:val="center"/>
            </w:pPr>
            <w:r>
              <w:t>5</w:t>
            </w:r>
          </w:p>
        </w:tc>
        <w:tc>
          <w:tcPr>
            <w:tcW w:w="874" w:type="pct"/>
            <w:tcBorders>
              <w:top w:val="nil"/>
            </w:tcBorders>
            <w:shd w:val="clear" w:color="auto" w:fill="auto"/>
          </w:tcPr>
          <w:p w:rsidR="007F6937" w:rsidRDefault="007F6937" w:rsidP="00E3779A">
            <w:pPr>
              <w:pStyle w:val="Tabletext"/>
              <w:jc w:val="center"/>
            </w:pPr>
            <w:r>
              <w:t>15</w:t>
            </w:r>
          </w:p>
        </w:tc>
      </w:tr>
      <w:tr w:rsidR="00E86A68" w:rsidTr="00E3779A">
        <w:tblPrEx>
          <w:tblBorders>
            <w:bottom w:val="single" w:sz="4" w:space="0" w:color="646464"/>
            <w:insideH w:val="single" w:sz="4" w:space="0" w:color="646464"/>
          </w:tblBorders>
        </w:tblPrEx>
        <w:trPr>
          <w:gridBefore w:val="1"/>
          <w:wBefore w:w="264" w:type="pct"/>
          <w:cantSplit/>
        </w:trPr>
        <w:tc>
          <w:tcPr>
            <w:tcW w:w="657" w:type="pct"/>
            <w:shd w:val="clear" w:color="auto" w:fill="auto"/>
          </w:tcPr>
          <w:p w:rsidR="007F6937" w:rsidRDefault="007F6937" w:rsidP="00296B6C">
            <w:pPr>
              <w:pStyle w:val="Tabletext"/>
            </w:pPr>
            <w:r>
              <w:t>E</w:t>
            </w:r>
            <w:r w:rsidR="00296B6C">
              <w:t>uropean Union</w:t>
            </w:r>
          </w:p>
        </w:tc>
        <w:tc>
          <w:tcPr>
            <w:tcW w:w="904" w:type="pct"/>
            <w:shd w:val="clear" w:color="auto" w:fill="auto"/>
          </w:tcPr>
          <w:p w:rsidR="007F6937" w:rsidRDefault="007F6937" w:rsidP="007F6937">
            <w:pPr>
              <w:pStyle w:val="Tabletext"/>
            </w:pPr>
            <w:r>
              <w:t>Product, process and use claims</w:t>
            </w:r>
          </w:p>
        </w:tc>
        <w:tc>
          <w:tcPr>
            <w:tcW w:w="1397" w:type="pct"/>
            <w:shd w:val="clear" w:color="auto" w:fill="auto"/>
          </w:tcPr>
          <w:p w:rsidR="007F6937" w:rsidRDefault="007F6937" w:rsidP="007F6937">
            <w:pPr>
              <w:pStyle w:val="Tablelistbullet"/>
              <w:numPr>
                <w:ilvl w:val="0"/>
                <w:numId w:val="0"/>
              </w:numPr>
              <w:ind w:left="280" w:hanging="280"/>
            </w:pPr>
            <w:r>
              <w:t>Extends to</w:t>
            </w:r>
          </w:p>
          <w:p w:rsidR="007F6937" w:rsidRDefault="007F6937" w:rsidP="007F6937">
            <w:pPr>
              <w:pStyle w:val="Tablelistbullet"/>
              <w:spacing w:line="240" w:lineRule="auto"/>
            </w:pPr>
            <w:r>
              <w:t>human pharmaceuticals</w:t>
            </w:r>
          </w:p>
          <w:p w:rsidR="007F6937" w:rsidRDefault="007F6937" w:rsidP="007F6937">
            <w:pPr>
              <w:pStyle w:val="Tablelistbullet"/>
              <w:spacing w:line="240" w:lineRule="auto"/>
            </w:pPr>
            <w:r>
              <w:t>veterinary pharmaceuticals</w:t>
            </w:r>
          </w:p>
          <w:p w:rsidR="007F6937" w:rsidRDefault="007F6937" w:rsidP="007F6937">
            <w:pPr>
              <w:pStyle w:val="Tablelistbullet"/>
              <w:spacing w:line="240" w:lineRule="auto"/>
            </w:pPr>
            <w:r>
              <w:t>plant protection products</w:t>
            </w:r>
          </w:p>
        </w:tc>
        <w:tc>
          <w:tcPr>
            <w:tcW w:w="904" w:type="pct"/>
            <w:shd w:val="clear" w:color="auto" w:fill="auto"/>
          </w:tcPr>
          <w:p w:rsidR="007F6937" w:rsidRDefault="007F6937" w:rsidP="00E3779A">
            <w:pPr>
              <w:pStyle w:val="Tabletext"/>
              <w:jc w:val="center"/>
            </w:pPr>
            <w:r>
              <w:t>5</w:t>
            </w:r>
          </w:p>
        </w:tc>
        <w:tc>
          <w:tcPr>
            <w:tcW w:w="874" w:type="pct"/>
            <w:shd w:val="clear" w:color="auto" w:fill="auto"/>
          </w:tcPr>
          <w:p w:rsidR="007F6937" w:rsidRDefault="007F6937" w:rsidP="00E3779A">
            <w:pPr>
              <w:pStyle w:val="Tabletext"/>
              <w:jc w:val="center"/>
            </w:pPr>
            <w:r>
              <w:t>15</w:t>
            </w:r>
          </w:p>
        </w:tc>
      </w:tr>
      <w:tr w:rsidR="00E86A68" w:rsidTr="00E3779A">
        <w:tblPrEx>
          <w:tblBorders>
            <w:bottom w:val="single" w:sz="4" w:space="0" w:color="646464"/>
            <w:insideH w:val="single" w:sz="4" w:space="0" w:color="646464"/>
          </w:tblBorders>
        </w:tblPrEx>
        <w:trPr>
          <w:gridBefore w:val="1"/>
          <w:wBefore w:w="264" w:type="pct"/>
          <w:cantSplit/>
        </w:trPr>
        <w:tc>
          <w:tcPr>
            <w:tcW w:w="657" w:type="pct"/>
            <w:shd w:val="clear" w:color="auto" w:fill="auto"/>
          </w:tcPr>
          <w:p w:rsidR="007F6937" w:rsidRDefault="002516F8" w:rsidP="007F6937">
            <w:pPr>
              <w:pStyle w:val="Tabletext"/>
            </w:pPr>
            <w:r>
              <w:t>USA</w:t>
            </w:r>
          </w:p>
        </w:tc>
        <w:tc>
          <w:tcPr>
            <w:tcW w:w="904" w:type="pct"/>
            <w:shd w:val="clear" w:color="auto" w:fill="auto"/>
          </w:tcPr>
          <w:p w:rsidR="007F6937" w:rsidRDefault="007F6937" w:rsidP="007F6937">
            <w:pPr>
              <w:pStyle w:val="Tabletext"/>
            </w:pPr>
            <w:r>
              <w:t>Product, process and use claims</w:t>
            </w:r>
          </w:p>
        </w:tc>
        <w:tc>
          <w:tcPr>
            <w:tcW w:w="1397" w:type="pct"/>
            <w:shd w:val="clear" w:color="auto" w:fill="auto"/>
          </w:tcPr>
          <w:p w:rsidR="007F6937" w:rsidRDefault="007F6937" w:rsidP="007F6937">
            <w:pPr>
              <w:pStyle w:val="Tablelistbullet"/>
              <w:numPr>
                <w:ilvl w:val="0"/>
                <w:numId w:val="0"/>
              </w:numPr>
              <w:ind w:left="280" w:hanging="280"/>
            </w:pPr>
            <w:r>
              <w:t>Extends to</w:t>
            </w:r>
          </w:p>
          <w:p w:rsidR="007F6937" w:rsidRDefault="007F6937" w:rsidP="007F6937">
            <w:pPr>
              <w:pStyle w:val="Tablelistbullet"/>
              <w:spacing w:line="240" w:lineRule="auto"/>
            </w:pPr>
            <w:r>
              <w:t>human pharmaceuticals</w:t>
            </w:r>
          </w:p>
          <w:p w:rsidR="007F6937" w:rsidRDefault="007F6937" w:rsidP="007F6937">
            <w:pPr>
              <w:pStyle w:val="Tablelistbullet"/>
              <w:spacing w:line="240" w:lineRule="auto"/>
            </w:pPr>
            <w:r>
              <w:t>veterinary pharmaceuticals</w:t>
            </w:r>
          </w:p>
        </w:tc>
        <w:tc>
          <w:tcPr>
            <w:tcW w:w="904" w:type="pct"/>
            <w:shd w:val="clear" w:color="auto" w:fill="auto"/>
          </w:tcPr>
          <w:p w:rsidR="007F6937" w:rsidRDefault="007F6937" w:rsidP="00E3779A">
            <w:pPr>
              <w:pStyle w:val="Tabletext"/>
              <w:jc w:val="center"/>
            </w:pPr>
            <w:r>
              <w:t>5</w:t>
            </w:r>
          </w:p>
        </w:tc>
        <w:tc>
          <w:tcPr>
            <w:tcW w:w="874" w:type="pct"/>
            <w:shd w:val="clear" w:color="auto" w:fill="auto"/>
          </w:tcPr>
          <w:p w:rsidR="007F6937" w:rsidRDefault="007F6937" w:rsidP="00E3779A">
            <w:pPr>
              <w:pStyle w:val="Tabletext"/>
              <w:jc w:val="center"/>
            </w:pPr>
            <w:r>
              <w:t>14</w:t>
            </w:r>
          </w:p>
        </w:tc>
      </w:tr>
      <w:tr w:rsidR="00665011" w:rsidTr="00E3779A">
        <w:tblPrEx>
          <w:tblBorders>
            <w:bottom w:val="single" w:sz="4" w:space="0" w:color="646464"/>
            <w:insideH w:val="single" w:sz="4" w:space="0" w:color="646464"/>
          </w:tblBorders>
        </w:tblPrEx>
        <w:trPr>
          <w:gridBefore w:val="1"/>
          <w:wBefore w:w="264" w:type="pct"/>
          <w:cantSplit/>
        </w:trPr>
        <w:tc>
          <w:tcPr>
            <w:tcW w:w="657" w:type="pct"/>
            <w:shd w:val="clear" w:color="auto" w:fill="auto"/>
          </w:tcPr>
          <w:p w:rsidR="00665011" w:rsidRDefault="00665011" w:rsidP="007F6937">
            <w:pPr>
              <w:pStyle w:val="Tabletext"/>
            </w:pPr>
            <w:r>
              <w:t>C</w:t>
            </w:r>
            <w:r w:rsidRPr="00580CF7">
              <w:t>anada</w:t>
            </w:r>
          </w:p>
        </w:tc>
        <w:tc>
          <w:tcPr>
            <w:tcW w:w="904" w:type="pct"/>
            <w:shd w:val="clear" w:color="auto" w:fill="auto"/>
          </w:tcPr>
          <w:p w:rsidR="00665011" w:rsidRDefault="00665011" w:rsidP="00992DB8">
            <w:pPr>
              <w:pStyle w:val="Tabletext"/>
            </w:pPr>
            <w:r>
              <w:t>Product claims only</w:t>
            </w:r>
          </w:p>
        </w:tc>
        <w:tc>
          <w:tcPr>
            <w:tcW w:w="1397" w:type="pct"/>
            <w:shd w:val="clear" w:color="auto" w:fill="auto"/>
          </w:tcPr>
          <w:p w:rsidR="00665011" w:rsidRDefault="00665011" w:rsidP="00665011">
            <w:pPr>
              <w:pStyle w:val="Tablelistbullet"/>
              <w:numPr>
                <w:ilvl w:val="0"/>
                <w:numId w:val="0"/>
              </w:numPr>
              <w:ind w:left="280" w:hanging="280"/>
            </w:pPr>
            <w:r>
              <w:t>Extends to</w:t>
            </w:r>
          </w:p>
          <w:p w:rsidR="00665011" w:rsidRDefault="00665011" w:rsidP="00665011">
            <w:pPr>
              <w:pStyle w:val="Tablelistbullet"/>
              <w:spacing w:line="240" w:lineRule="auto"/>
            </w:pPr>
            <w:r>
              <w:t>human pharmaceuticals</w:t>
            </w:r>
          </w:p>
          <w:p w:rsidR="00665011" w:rsidRDefault="00665011" w:rsidP="003128A2">
            <w:pPr>
              <w:pStyle w:val="Tablelistbullet"/>
              <w:spacing w:line="240" w:lineRule="auto"/>
            </w:pPr>
            <w:r>
              <w:t>veterinary pharmaceuticals</w:t>
            </w:r>
          </w:p>
        </w:tc>
        <w:tc>
          <w:tcPr>
            <w:tcW w:w="904" w:type="pct"/>
            <w:shd w:val="clear" w:color="auto" w:fill="auto"/>
          </w:tcPr>
          <w:p w:rsidR="00665011" w:rsidRDefault="00665011" w:rsidP="00E3779A">
            <w:pPr>
              <w:pStyle w:val="Tabletext"/>
              <w:jc w:val="center"/>
            </w:pPr>
            <w:r>
              <w:t>2</w:t>
            </w:r>
          </w:p>
        </w:tc>
        <w:tc>
          <w:tcPr>
            <w:tcW w:w="874" w:type="pct"/>
            <w:shd w:val="clear" w:color="auto" w:fill="auto"/>
          </w:tcPr>
          <w:p w:rsidR="00665011" w:rsidRDefault="00665011" w:rsidP="00E3779A">
            <w:pPr>
              <w:pStyle w:val="Tabletext"/>
              <w:jc w:val="center"/>
            </w:pPr>
            <w:r>
              <w:t>10</w:t>
            </w:r>
          </w:p>
        </w:tc>
      </w:tr>
      <w:tr w:rsidR="00E86A68" w:rsidTr="007F6937">
        <w:tblPrEx>
          <w:tblBorders>
            <w:bottom w:val="single" w:sz="4" w:space="0" w:color="646464"/>
            <w:insideH w:val="single" w:sz="4" w:space="0" w:color="646464"/>
          </w:tblBorders>
        </w:tblPrEx>
        <w:trPr>
          <w:gridBefore w:val="1"/>
          <w:wBefore w:w="264" w:type="pct"/>
          <w:cantSplit/>
        </w:trPr>
        <w:tc>
          <w:tcPr>
            <w:tcW w:w="4736" w:type="pct"/>
            <w:gridSpan w:val="5"/>
            <w:tcBorders>
              <w:bottom w:val="single" w:sz="4" w:space="0" w:color="646464"/>
            </w:tcBorders>
            <w:shd w:val="clear" w:color="auto" w:fill="auto"/>
          </w:tcPr>
          <w:p w:rsidR="007F6937" w:rsidRDefault="007F6937" w:rsidP="006918CC">
            <w:pPr>
              <w:pStyle w:val="Source"/>
            </w:pPr>
            <w:r>
              <w:t xml:space="preserve">Source: Updated </w:t>
            </w:r>
            <w:r w:rsidR="006918CC">
              <w:t xml:space="preserve">version </w:t>
            </w:r>
            <w:r>
              <w:t>based on Christie AF et al</w:t>
            </w:r>
            <w:r w:rsidR="006918CC">
              <w:t xml:space="preserve">, </w:t>
            </w:r>
            <w:r>
              <w:t>2002</w:t>
            </w:r>
            <w:r w:rsidR="003E71EC">
              <w:t>, Review of Pharmaceutical Patent Extension and Springboarding Provisions in Various Jurisdictions</w:t>
            </w:r>
            <w:r w:rsidR="006918CC">
              <w:t xml:space="preserve">, accessed on 2 August 2017 at </w:t>
            </w:r>
            <w:hyperlink r:id="rId94" w:history="1">
              <w:r w:rsidR="006918CC" w:rsidRPr="00C73087">
                <w:rPr>
                  <w:rStyle w:val="Hyperlink"/>
                </w:rPr>
                <w:t>http://achristie.com/wp-content/uploads/2011/08/IPRIA-Patent-Extension-Review-2.pdf</w:t>
              </w:r>
            </w:hyperlink>
            <w:r w:rsidR="006918CC">
              <w:t xml:space="preserve"> </w:t>
            </w:r>
            <w:r w:rsidR="003E71EC">
              <w:t>.</w:t>
            </w:r>
          </w:p>
        </w:tc>
      </w:tr>
      <w:tr w:rsidR="00E86A68" w:rsidTr="007F6937">
        <w:tblPrEx>
          <w:tblBorders>
            <w:bottom w:val="single" w:sz="4" w:space="0" w:color="646464"/>
            <w:insideH w:val="single" w:sz="4" w:space="0" w:color="646464"/>
          </w:tblBorders>
        </w:tblPrEx>
        <w:trPr>
          <w:gridBefore w:val="1"/>
          <w:wBefore w:w="264" w:type="pct"/>
          <w:cantSplit/>
          <w:trHeight w:hRule="exact" w:val="120"/>
        </w:trPr>
        <w:tc>
          <w:tcPr>
            <w:tcW w:w="4736" w:type="pct"/>
            <w:gridSpan w:val="5"/>
            <w:tcBorders>
              <w:top w:val="single" w:sz="4" w:space="0" w:color="646464"/>
              <w:bottom w:val="nil"/>
            </w:tcBorders>
            <w:shd w:val="clear" w:color="auto" w:fill="auto"/>
          </w:tcPr>
          <w:p w:rsidR="007F6937" w:rsidRDefault="007F6937" w:rsidP="007F6937">
            <w:pPr>
              <w:pStyle w:val="spacertbl"/>
            </w:pPr>
          </w:p>
        </w:tc>
      </w:tr>
    </w:tbl>
    <w:p w:rsidR="00DC0242" w:rsidRDefault="00DC0242" w:rsidP="00DC0242">
      <w:pPr>
        <w:pStyle w:val="BodyText"/>
      </w:pPr>
      <w:r>
        <w:t>T</w:t>
      </w:r>
      <w:r w:rsidRPr="002046D9">
        <w:t xml:space="preserve">he </w:t>
      </w:r>
      <w:r>
        <w:t>Productivity Commission</w:t>
      </w:r>
      <w:r w:rsidRPr="002046D9">
        <w:t xml:space="preserve"> </w:t>
      </w:r>
      <w:r>
        <w:t xml:space="preserve">noted that extensions of term for human pharmaceuticals </w:t>
      </w:r>
      <w:r w:rsidR="00FC59AE">
        <w:t xml:space="preserve">in Australia </w:t>
      </w:r>
      <w:r>
        <w:t xml:space="preserve">were intended to attract pharmaceutical research and development investment to Australia and to improve incentives for innovation by providing an effective market life for pharmaceuticals more in line with other technologies. The Productivity Commission </w:t>
      </w:r>
      <w:r w:rsidR="006918CC">
        <w:t>considered</w:t>
      </w:r>
      <w:r>
        <w:t xml:space="preserve"> that these arrangements have had little effect on innovation in Australia. It found that “poor targeting means that more than half of new chemical entities approved for sale in Australia enjoy an extension in patent term, and consumers and governments face higher prices for medicines”.</w:t>
      </w:r>
    </w:p>
    <w:p w:rsidR="006B3A87" w:rsidRDefault="004507D4" w:rsidP="003E71EC">
      <w:pPr>
        <w:pStyle w:val="BodyText"/>
      </w:pPr>
      <w:r>
        <w:t xml:space="preserve">For human pharmaceuticals, </w:t>
      </w:r>
      <w:r w:rsidR="006B3A87">
        <w:t>Australia</w:t>
      </w:r>
      <w:r>
        <w:t>n legislation</w:t>
      </w:r>
      <w:r w:rsidR="006B3A87">
        <w:t xml:space="preserve"> aims to provide an effective patent life of fifteen years from the first regulatory approval date to the expiry date of the extension of term, subject to a maximum </w:t>
      </w:r>
      <w:r w:rsidR="007850CE">
        <w:t>twenty</w:t>
      </w:r>
      <w:r w:rsidR="006918CC">
        <w:t>-</w:t>
      </w:r>
      <w:r w:rsidR="007850CE">
        <w:t>five</w:t>
      </w:r>
      <w:r w:rsidR="006B3A87">
        <w:t xml:space="preserve"> year patent term. This is similar to the situation in European Union. </w:t>
      </w:r>
    </w:p>
    <w:p w:rsidR="004507D4" w:rsidRDefault="00823E69" w:rsidP="003E71EC">
      <w:pPr>
        <w:pStyle w:val="BodyText"/>
      </w:pPr>
      <w:r>
        <w:t>In relation to product claims, t</w:t>
      </w:r>
      <w:r w:rsidR="003E71EC">
        <w:t xml:space="preserve">he US extension provisions and the EU extension provisions apply to a broader class of patent claims than the corresponding Australian provisions. In particular, the </w:t>
      </w:r>
      <w:r w:rsidR="002516F8">
        <w:t>US</w:t>
      </w:r>
      <w:r w:rsidR="003E71EC">
        <w:t xml:space="preserve"> extension provisions apply to patents which claim methods of manufacturing or using a ‘product’, in addition to claims to the ‘product’ itself: Similarly, by virtue of the definition of ‘basic patent’ </w:t>
      </w:r>
      <w:r w:rsidR="004507D4">
        <w:t>in</w:t>
      </w:r>
      <w:r w:rsidR="003E71EC">
        <w:t xml:space="preserve"> </w:t>
      </w:r>
      <w:r w:rsidR="00FC59AE">
        <w:t>the EU</w:t>
      </w:r>
      <w:r w:rsidR="003E71EC">
        <w:t xml:space="preserve"> SPC Regulation</w:t>
      </w:r>
      <w:r w:rsidR="004507D4">
        <w:t>s</w:t>
      </w:r>
      <w:r w:rsidR="003E71EC">
        <w:t xml:space="preserve">, applications for </w:t>
      </w:r>
      <w:r w:rsidR="004507D4">
        <w:t xml:space="preserve">extensions through </w:t>
      </w:r>
      <w:r w:rsidR="003E71EC">
        <w:t>SPC</w:t>
      </w:r>
      <w:r w:rsidR="004507D4">
        <w:t>s</w:t>
      </w:r>
      <w:r w:rsidR="003E71EC">
        <w:t xml:space="preserve"> may be made by reference to patents which protect the active ingredient of a medicinal product, a method of producing the active ingredient of a medicinal pr</w:t>
      </w:r>
      <w:r w:rsidR="005300CB">
        <w:t>oduct and an ‘application’ (i.e. </w:t>
      </w:r>
      <w:r w:rsidR="003E71EC">
        <w:t>use) of a medicinal product.</w:t>
      </w:r>
      <w:r w:rsidR="005300CB">
        <w:t xml:space="preserve"> </w:t>
      </w:r>
    </w:p>
    <w:p w:rsidR="00823E69" w:rsidRDefault="003E71EC" w:rsidP="003E71EC">
      <w:pPr>
        <w:pStyle w:val="BodyText"/>
      </w:pPr>
      <w:r>
        <w:t>In contrast, the A</w:t>
      </w:r>
      <w:r w:rsidR="004507D4">
        <w:t xml:space="preserve">ustralian extension provisions </w:t>
      </w:r>
      <w:r>
        <w:t xml:space="preserve">apply </w:t>
      </w:r>
      <w:r w:rsidR="004507D4">
        <w:t xml:space="preserve">only </w:t>
      </w:r>
      <w:r>
        <w:t xml:space="preserve">to ‘product claims’ (claims to the pharmaceutical substance </w:t>
      </w:r>
      <w:r w:rsidRPr="005300CB">
        <w:rPr>
          <w:i/>
        </w:rPr>
        <w:t>per se</w:t>
      </w:r>
      <w:r>
        <w:t>) and do not extend to ‘process’ or ‘use’ claims (methods of manufacturing and use claims respectively), except to the extent that recombinant DNA processes may be subject to patent extensions. The significance of these differences relates to the relationship between the Australian extension provisions and the Australian springboarding provisions</w:t>
      </w:r>
      <w:r w:rsidR="00823E69">
        <w:t xml:space="preserve"> (discussed below)</w:t>
      </w:r>
      <w:r>
        <w:t xml:space="preserve">. </w:t>
      </w:r>
      <w:r w:rsidR="00823E69">
        <w:t xml:space="preserve">In relation to nature of substances covered, in contrast to </w:t>
      </w:r>
      <w:r w:rsidR="004507D4">
        <w:t>A</w:t>
      </w:r>
      <w:r w:rsidR="00823E69">
        <w:t>ustralia</w:t>
      </w:r>
      <w:r w:rsidR="004507D4">
        <w:t xml:space="preserve">, </w:t>
      </w:r>
      <w:r w:rsidR="00823E69">
        <w:t xml:space="preserve">the US extension provisions </w:t>
      </w:r>
      <w:r w:rsidR="004507D4">
        <w:t>cover</w:t>
      </w:r>
      <w:r w:rsidR="00823E69">
        <w:t xml:space="preserve"> the active ingredient of new animal drugs and veterinary biological products. Similarly, in the E</w:t>
      </w:r>
      <w:r w:rsidR="004507D4">
        <w:t>U</w:t>
      </w:r>
      <w:r w:rsidR="00823E69">
        <w:t xml:space="preserve">, </w:t>
      </w:r>
      <w:r w:rsidR="004507D4">
        <w:t xml:space="preserve">extensions through </w:t>
      </w:r>
      <w:r w:rsidR="00823E69">
        <w:t xml:space="preserve">SPCs </w:t>
      </w:r>
      <w:r w:rsidR="004507D4">
        <w:t xml:space="preserve">are available for </w:t>
      </w:r>
      <w:r w:rsidR="00823E69">
        <w:t>substances used for treating and diagnosing disease in animals (and are also available in respect of patented plant protection products</w:t>
      </w:r>
      <w:r w:rsidR="00FC59AE">
        <w:t>)</w:t>
      </w:r>
      <w:r w:rsidR="00823E69">
        <w:t>.</w:t>
      </w:r>
    </w:p>
    <w:p w:rsidR="00CE615D" w:rsidRDefault="00CE615D" w:rsidP="00CE615D">
      <w:pPr>
        <w:pStyle w:val="BodyText"/>
      </w:pPr>
      <w:r>
        <w:t xml:space="preserve">No further extensions beyond the five year term are possible in Australia and </w:t>
      </w:r>
      <w:r w:rsidR="002516F8">
        <w:t>USA</w:t>
      </w:r>
      <w:r>
        <w:t xml:space="preserve">. This is </w:t>
      </w:r>
      <w:r w:rsidR="004507D4">
        <w:t>different to</w:t>
      </w:r>
      <w:r>
        <w:t xml:space="preserve"> the situation in most </w:t>
      </w:r>
      <w:r w:rsidR="00FC59AE">
        <w:t>EU countries,</w:t>
      </w:r>
      <w:r>
        <w:t xml:space="preserve"> which generally allow</w:t>
      </w:r>
      <w:r w:rsidR="00A57302">
        <w:t>s</w:t>
      </w:r>
      <w:r>
        <w:t xml:space="preserve"> for a</w:t>
      </w:r>
      <w:r w:rsidR="004507D4">
        <w:t>n additional</w:t>
      </w:r>
      <w:r>
        <w:t xml:space="preserve"> six month extension of the basic SPC term for paediatric medicines.</w:t>
      </w:r>
      <w:r>
        <w:rPr>
          <w:rStyle w:val="FootnoteReference"/>
        </w:rPr>
        <w:footnoteReference w:id="128"/>
      </w:r>
    </w:p>
    <w:p w:rsidR="00CE615D" w:rsidRDefault="00CE615D" w:rsidP="00CE615D">
      <w:pPr>
        <w:pStyle w:val="BodyText"/>
      </w:pPr>
      <w:r>
        <w:t xml:space="preserve">However, the uniformity in </w:t>
      </w:r>
      <w:r w:rsidRPr="00FC59AE">
        <w:rPr>
          <w:i/>
        </w:rPr>
        <w:t>maximum</w:t>
      </w:r>
      <w:r>
        <w:t xml:space="preserve"> length of extension does not necessarily result in uniform lengths of extension </w:t>
      </w:r>
      <w:r w:rsidR="00DA10C4">
        <w:t xml:space="preserve">(see </w:t>
      </w:r>
      <w:r>
        <w:fldChar w:fldCharType="begin"/>
      </w:r>
      <w:r>
        <w:instrText xml:space="preserve"> REF _Ref488221792 \h </w:instrText>
      </w:r>
      <w:r>
        <w:fldChar w:fldCharType="separate"/>
      </w:r>
      <w:r w:rsidR="0087688C" w:rsidRPr="00FC29C8">
        <w:rPr>
          <w:rStyle w:val="CaptionLabel"/>
        </w:rPr>
        <w:t>Table</w:t>
      </w:r>
      <w:r w:rsidR="0087688C">
        <w:rPr>
          <w:rStyle w:val="CaptionLabel"/>
        </w:rPr>
        <w:t> </w:t>
      </w:r>
      <w:r w:rsidR="0087688C">
        <w:rPr>
          <w:rStyle w:val="CaptionLabel"/>
          <w:noProof/>
        </w:rPr>
        <w:t>7</w:t>
      </w:r>
      <w:r w:rsidR="0087688C" w:rsidRPr="00FC29C8">
        <w:rPr>
          <w:rStyle w:val="CaptionLabel"/>
        </w:rPr>
        <w:t>.</w:t>
      </w:r>
      <w:r w:rsidR="0087688C">
        <w:rPr>
          <w:rStyle w:val="CaptionLabel"/>
          <w:noProof/>
        </w:rPr>
        <w:t>1</w:t>
      </w:r>
      <w:r>
        <w:fldChar w:fldCharType="end"/>
      </w:r>
      <w:r w:rsidR="00DA10C4">
        <w:t>)</w:t>
      </w:r>
      <w:r>
        <w:t xml:space="preserve">. This is due to the use of different frames of reference and different methods </w:t>
      </w:r>
      <w:r w:rsidR="00992DB8">
        <w:t xml:space="preserve">used to </w:t>
      </w:r>
      <w:r>
        <w:t>calculat</w:t>
      </w:r>
      <w:r w:rsidR="00992DB8">
        <w:t>e</w:t>
      </w:r>
      <w:r>
        <w:t xml:space="preserve"> the length of extension.</w:t>
      </w:r>
    </w:p>
    <w:p w:rsidR="00BC4EF6" w:rsidRDefault="00CE615D" w:rsidP="00CE615D">
      <w:pPr>
        <w:pStyle w:val="Heading2"/>
      </w:pPr>
      <w:bookmarkStart w:id="173" w:name="_Toc497300860"/>
      <w:r>
        <w:t>Regulatory data protection</w:t>
      </w:r>
      <w:bookmarkEnd w:id="173"/>
    </w:p>
    <w:p w:rsidR="00BA66B3" w:rsidRDefault="00BA66B3" w:rsidP="00BA66B3">
      <w:pPr>
        <w:pStyle w:val="Heading5"/>
      </w:pPr>
      <w:r>
        <w:t>Australia</w:t>
      </w:r>
    </w:p>
    <w:p w:rsidR="00296B6C" w:rsidRDefault="00296B6C" w:rsidP="00296B6C">
      <w:pPr>
        <w:pStyle w:val="BodyText"/>
      </w:pPr>
      <w:r>
        <w:t xml:space="preserve">In Australia, the commercialisation of human pharmaceuticals and </w:t>
      </w:r>
      <w:r w:rsidR="00C55FEC">
        <w:t xml:space="preserve">veterinary </w:t>
      </w:r>
      <w:r>
        <w:t xml:space="preserve">chemical products involves obtaining regulatory and marketing approval based on proof of safety, quality and efficacy. </w:t>
      </w:r>
      <w:r w:rsidR="000B309A">
        <w:t>T</w:t>
      </w:r>
      <w:r>
        <w:t>he T</w:t>
      </w:r>
      <w:r w:rsidR="006918CC">
        <w:t>herapeutic Goods Administration (T</w:t>
      </w:r>
      <w:r>
        <w:t>GA</w:t>
      </w:r>
      <w:r w:rsidR="006918CC">
        <w:t>)</w:t>
      </w:r>
      <w:r>
        <w:t xml:space="preserve"> </w:t>
      </w:r>
      <w:r w:rsidR="000B309A">
        <w:t xml:space="preserve">has responsibility </w:t>
      </w:r>
      <w:r>
        <w:t>for human pharmaceuticals and the APVMA for agvet chemicals.</w:t>
      </w:r>
    </w:p>
    <w:p w:rsidR="00296B6C" w:rsidRDefault="000B309A" w:rsidP="00296B6C">
      <w:pPr>
        <w:pStyle w:val="BodyText"/>
      </w:pPr>
      <w:r>
        <w:t>For human pharmaceuticals, t</w:t>
      </w:r>
      <w:r w:rsidR="00296B6C">
        <w:t xml:space="preserve">he data exclusivity regime is set out in section 25A of the </w:t>
      </w:r>
      <w:r w:rsidR="00296B6C">
        <w:rPr>
          <w:i/>
          <w:iCs/>
        </w:rPr>
        <w:t xml:space="preserve">Therapeutic Goods Act </w:t>
      </w:r>
      <w:r w:rsidR="00296B6C">
        <w:t xml:space="preserve">1989, which provides that ‘protected information’ about other therapeutic goods may not be used when evaluating a new therapeutic good for registration. </w:t>
      </w:r>
    </w:p>
    <w:p w:rsidR="00296B6C" w:rsidRDefault="00296B6C" w:rsidP="00296B6C">
      <w:pPr>
        <w:pStyle w:val="BodyText"/>
      </w:pPr>
      <w:r>
        <w:t>Under section 25A, ‘protected information’ is referred to as information</w:t>
      </w:r>
      <w:r w:rsidR="006918CC">
        <w:t xml:space="preserve">, </w:t>
      </w:r>
      <w:r>
        <w:t>not in the public domain</w:t>
      </w:r>
      <w:r w:rsidR="006918CC">
        <w:t>,</w:t>
      </w:r>
      <w:r>
        <w:t xml:space="preserve"> about an active component relating to an application to register therapeutic goods. Section 25A(3) of the TGA Act defines an ‘active component’ as a substance that is, or one of the substances that together are primarily responsible for the biological or other effect identifying the goods as therapeutic goods. The prohibition </w:t>
      </w:r>
      <w:r w:rsidR="00FC59AE">
        <w:t xml:space="preserve">on the use of this data </w:t>
      </w:r>
      <w:r>
        <w:t xml:space="preserve">lasts five years from the date the therapeutic goods were first registered. However, the prohibition applies </w:t>
      </w:r>
      <w:r w:rsidR="00DA10C4">
        <w:t xml:space="preserve">only </w:t>
      </w:r>
      <w:r>
        <w:t>where there are no other therapeutic goods ‘consisting of or containing’ the same active component already on the register.</w:t>
      </w:r>
    </w:p>
    <w:p w:rsidR="00296B6C" w:rsidRDefault="00C85219" w:rsidP="00BA66B3">
      <w:pPr>
        <w:pStyle w:val="BodyText"/>
        <w:rPr>
          <w:lang w:val="en-US"/>
        </w:rPr>
      </w:pPr>
      <w:r>
        <w:rPr>
          <w:lang w:val="en-US"/>
        </w:rPr>
        <w:t>For h</w:t>
      </w:r>
      <w:r w:rsidR="00296B6C" w:rsidRPr="0008017A">
        <w:rPr>
          <w:lang w:val="en-US"/>
        </w:rPr>
        <w:t>uman pharmaceuticals</w:t>
      </w:r>
      <w:r>
        <w:rPr>
          <w:lang w:val="en-US"/>
        </w:rPr>
        <w:t xml:space="preserve">, </w:t>
      </w:r>
      <w:r w:rsidR="00296B6C" w:rsidRPr="0008017A">
        <w:rPr>
          <w:b/>
          <w:lang w:val="en-US"/>
        </w:rPr>
        <w:t>five years</w:t>
      </w:r>
      <w:r w:rsidR="00296B6C" w:rsidRPr="0008017A">
        <w:rPr>
          <w:lang w:val="en-US"/>
        </w:rPr>
        <w:t xml:space="preserve"> </w:t>
      </w:r>
      <w:r w:rsidR="00BA66B3">
        <w:rPr>
          <w:lang w:val="en-US"/>
        </w:rPr>
        <w:t xml:space="preserve">of data protection </w:t>
      </w:r>
      <w:r>
        <w:rPr>
          <w:lang w:val="en-US"/>
        </w:rPr>
        <w:t xml:space="preserve">is provided </w:t>
      </w:r>
      <w:r w:rsidR="00296B6C" w:rsidRPr="0008017A">
        <w:rPr>
          <w:lang w:val="en-US"/>
        </w:rPr>
        <w:t>for therapeutic goods c</w:t>
      </w:r>
      <w:r>
        <w:rPr>
          <w:lang w:val="en-US"/>
        </w:rPr>
        <w:t>ontaining a new active component</w:t>
      </w:r>
      <w:r w:rsidR="00296B6C" w:rsidRPr="0008017A">
        <w:rPr>
          <w:lang w:val="en-US"/>
        </w:rPr>
        <w:t xml:space="preserve"> where no other therapeutic goods consisting of</w:t>
      </w:r>
      <w:r>
        <w:rPr>
          <w:lang w:val="en-US"/>
        </w:rPr>
        <w:t>,</w:t>
      </w:r>
      <w:r w:rsidR="00296B6C" w:rsidRPr="0008017A">
        <w:rPr>
          <w:lang w:val="en-US"/>
        </w:rPr>
        <w:t xml:space="preserve"> or containing that active </w:t>
      </w:r>
      <w:r>
        <w:rPr>
          <w:lang w:val="en-US"/>
        </w:rPr>
        <w:t>component</w:t>
      </w:r>
      <w:r w:rsidR="00296B6C" w:rsidRPr="0008017A">
        <w:rPr>
          <w:lang w:val="en-US"/>
        </w:rPr>
        <w:t xml:space="preserve"> were included in the </w:t>
      </w:r>
      <w:r w:rsidR="006918CC">
        <w:t>Australian Register of Therapeutic Goods</w:t>
      </w:r>
      <w:r w:rsidR="00296B6C" w:rsidRPr="0008017A">
        <w:rPr>
          <w:lang w:val="en-US"/>
        </w:rPr>
        <w:t>. An “active component</w:t>
      </w:r>
      <w:r w:rsidR="00296B6C">
        <w:rPr>
          <w:lang w:val="en-US"/>
        </w:rPr>
        <w:t>” is</w:t>
      </w:r>
      <w:r w:rsidR="00296B6C" w:rsidRPr="0008017A">
        <w:rPr>
          <w:lang w:val="en-US"/>
        </w:rPr>
        <w:t xml:space="preserve"> defined as a substance that is, or substances that together are, primarily responsible for the biological or other effect identifying the goods as therapeutic goods.</w:t>
      </w:r>
      <w:r w:rsidR="00BA66B3">
        <w:rPr>
          <w:lang w:val="en-US"/>
        </w:rPr>
        <w:t xml:space="preserve"> D</w:t>
      </w:r>
      <w:r w:rsidR="00296B6C" w:rsidRPr="0008017A">
        <w:rPr>
          <w:lang w:val="en-US"/>
        </w:rPr>
        <w:t xml:space="preserve">ata </w:t>
      </w:r>
      <w:r w:rsidR="008A6B3B">
        <w:rPr>
          <w:lang w:val="en-US"/>
        </w:rPr>
        <w:t>exclusivity</w:t>
      </w:r>
      <w:r w:rsidR="0071487B">
        <w:rPr>
          <w:lang w:val="en-US"/>
        </w:rPr>
        <w:t xml:space="preserve"> or</w:t>
      </w:r>
      <w:r w:rsidR="008A6B3B">
        <w:rPr>
          <w:lang w:val="en-US"/>
        </w:rPr>
        <w:t xml:space="preserve"> </w:t>
      </w:r>
      <w:r w:rsidR="00071314">
        <w:rPr>
          <w:lang w:val="en-US"/>
        </w:rPr>
        <w:t>protection</w:t>
      </w:r>
      <w:r w:rsidR="00296B6C" w:rsidRPr="0008017A">
        <w:rPr>
          <w:lang w:val="en-US"/>
        </w:rPr>
        <w:t xml:space="preserve"> is not provided for new dosage forms, routes of administration, indications or combinations with other active ingredients.</w:t>
      </w:r>
    </w:p>
    <w:p w:rsidR="00727481" w:rsidRDefault="00BA66B3" w:rsidP="00BA66B3">
      <w:pPr>
        <w:pStyle w:val="BodyText"/>
        <w:rPr>
          <w:lang w:val="en-US"/>
        </w:rPr>
      </w:pPr>
      <w:r>
        <w:rPr>
          <w:lang w:val="en-US"/>
        </w:rPr>
        <w:t xml:space="preserve">In contrast to the arrangements for human therapeutics, </w:t>
      </w:r>
      <w:r w:rsidR="00C55FEC">
        <w:rPr>
          <w:lang w:val="en-US"/>
        </w:rPr>
        <w:t>veterinary chemical</w:t>
      </w:r>
      <w:r w:rsidR="00296B6C" w:rsidRPr="0008017A">
        <w:rPr>
          <w:lang w:val="en-US"/>
        </w:rPr>
        <w:t xml:space="preserve"> products</w:t>
      </w:r>
      <w:r>
        <w:rPr>
          <w:lang w:val="en-US"/>
        </w:rPr>
        <w:t xml:space="preserve"> get </w:t>
      </w:r>
      <w:r w:rsidR="00296B6C" w:rsidRPr="0008017A">
        <w:rPr>
          <w:lang w:val="en-US"/>
        </w:rPr>
        <w:t xml:space="preserve">up to </w:t>
      </w:r>
      <w:r w:rsidR="00296B6C">
        <w:rPr>
          <w:b/>
          <w:lang w:val="en-US"/>
        </w:rPr>
        <w:t>1</w:t>
      </w:r>
      <w:r w:rsidR="00C55FEC">
        <w:rPr>
          <w:b/>
          <w:lang w:val="en-US"/>
        </w:rPr>
        <w:t>0</w:t>
      </w:r>
      <w:r w:rsidR="006918CC">
        <w:rPr>
          <w:b/>
          <w:lang w:val="en-US"/>
        </w:rPr>
        <w:t> </w:t>
      </w:r>
      <w:r w:rsidR="00296B6C" w:rsidRPr="0008017A">
        <w:rPr>
          <w:b/>
          <w:lang w:val="en-US"/>
        </w:rPr>
        <w:t>years</w:t>
      </w:r>
      <w:r w:rsidR="00296B6C" w:rsidRPr="0008017A">
        <w:rPr>
          <w:lang w:val="en-US"/>
        </w:rPr>
        <w:t xml:space="preserve"> </w:t>
      </w:r>
      <w:r>
        <w:rPr>
          <w:lang w:val="en-US"/>
        </w:rPr>
        <w:t xml:space="preserve">data protection </w:t>
      </w:r>
      <w:r w:rsidR="00296B6C" w:rsidRPr="0008017A">
        <w:rPr>
          <w:lang w:val="en-US"/>
        </w:rPr>
        <w:t xml:space="preserve">in relation to an application to register a new active constituent (i.e. an active constituent that was not a previously endorsed active constituent at the time of registration), or a product containing a new active constituent, where that product has been accepted for evaluation before the active had been </w:t>
      </w:r>
      <w:r w:rsidR="00296B6C">
        <w:rPr>
          <w:lang w:val="en-US"/>
        </w:rPr>
        <w:t>approved</w:t>
      </w:r>
      <w:r>
        <w:rPr>
          <w:lang w:val="en-US"/>
        </w:rPr>
        <w:t xml:space="preserve">. </w:t>
      </w:r>
    </w:p>
    <w:p w:rsidR="00296B6C" w:rsidRDefault="00296B6C" w:rsidP="00BA66B3">
      <w:pPr>
        <w:pStyle w:val="BodyText"/>
        <w:rPr>
          <w:lang w:val="en-US"/>
        </w:rPr>
      </w:pPr>
      <w:r>
        <w:rPr>
          <w:lang w:val="en-US"/>
        </w:rPr>
        <w:t xml:space="preserve">The exclusivity periods apply to confidential information provided under the Act or Agvet Code in support of the application for the registration of a product. The period of data </w:t>
      </w:r>
      <w:r w:rsidR="008A6B3B">
        <w:rPr>
          <w:lang w:val="en-US"/>
        </w:rPr>
        <w:t xml:space="preserve">protection </w:t>
      </w:r>
      <w:r>
        <w:rPr>
          <w:lang w:val="en-US"/>
        </w:rPr>
        <w:t xml:space="preserve">commences from the date on which the new product is registered under the Act. The effect is that generic competitors </w:t>
      </w:r>
      <w:r w:rsidR="00C85219">
        <w:rPr>
          <w:lang w:val="en-US"/>
        </w:rPr>
        <w:t>are</w:t>
      </w:r>
      <w:r>
        <w:rPr>
          <w:lang w:val="en-US"/>
        </w:rPr>
        <w:t xml:space="preserve"> blocked for the period of exclusivity from using an innovator company's data in support of their own application for approval of an equivalent product.</w:t>
      </w:r>
    </w:p>
    <w:p w:rsidR="00BF6BBC" w:rsidRPr="00BF6BBC" w:rsidRDefault="00BF6BBC" w:rsidP="00793D6C">
      <w:pPr>
        <w:pStyle w:val="Heading5"/>
      </w:pPr>
      <w:r w:rsidRPr="00BF6BBC">
        <w:t>EU</w:t>
      </w:r>
    </w:p>
    <w:p w:rsidR="00A54BAE" w:rsidRDefault="00FA3681" w:rsidP="00C85219">
      <w:pPr>
        <w:pStyle w:val="BodyText"/>
        <w:rPr>
          <w:rFonts w:cs="Arial"/>
          <w:shd w:val="clear" w:color="auto" w:fill="FFFFFF"/>
        </w:rPr>
      </w:pPr>
      <w:r w:rsidRPr="00C85219">
        <w:t>The EU</w:t>
      </w:r>
      <w:r w:rsidR="0048735F">
        <w:t xml:space="preserve">’s </w:t>
      </w:r>
      <w:r w:rsidRPr="00C85219">
        <w:t>pharmaceutical legislation and data exclusivity system for original medicines</w:t>
      </w:r>
      <w:r w:rsidR="0048735F">
        <w:t xml:space="preserve"> provides </w:t>
      </w:r>
      <w:r w:rsidRPr="00C85219">
        <w:t xml:space="preserve">a period of data </w:t>
      </w:r>
      <w:r w:rsidR="00071314">
        <w:t>protection</w:t>
      </w:r>
      <w:r w:rsidR="00071314" w:rsidRPr="00C85219">
        <w:t xml:space="preserve"> </w:t>
      </w:r>
      <w:r w:rsidRPr="00C85219">
        <w:t>of 8 years (protecting against filing of a generic application), and then an additional 2 year exclusivity provision (protecting against marketing of the generic)</w:t>
      </w:r>
      <w:r w:rsidR="00617B6C" w:rsidRPr="00C85219">
        <w:t xml:space="preserve"> for marketing authorisation applications made </w:t>
      </w:r>
      <w:r w:rsidR="0048735F">
        <w:t xml:space="preserve">since </w:t>
      </w:r>
      <w:r w:rsidR="00617B6C" w:rsidRPr="00C85219">
        <w:t>November 2005</w:t>
      </w:r>
      <w:r w:rsidRPr="00C85219">
        <w:t xml:space="preserve">. </w:t>
      </w:r>
      <w:r w:rsidR="00617B6C" w:rsidRPr="00C85219">
        <w:rPr>
          <w:rFonts w:cs="Arial"/>
          <w:shd w:val="clear" w:color="auto" w:fill="FFFFFF"/>
        </w:rPr>
        <w:t>This is the period of time during which a generic company may not market an equivalent generic version of the originator's pharmaceutical product (although their application for authorisation may be processed during this period, such that they are in a position to market their product on the expiry of this additional 2 year period)</w:t>
      </w:r>
      <w:r w:rsidR="00717323" w:rsidRPr="00C85219">
        <w:rPr>
          <w:rFonts w:cs="Arial"/>
          <w:shd w:val="clear" w:color="auto" w:fill="FFFFFF"/>
        </w:rPr>
        <w:t xml:space="preserve">. </w:t>
      </w:r>
    </w:p>
    <w:p w:rsidR="00717323" w:rsidRPr="00C85219" w:rsidRDefault="00717323" w:rsidP="00C85219">
      <w:pPr>
        <w:pStyle w:val="BodyText"/>
      </w:pPr>
      <w:r w:rsidRPr="00C85219">
        <w:rPr>
          <w:lang w:val="en-US"/>
        </w:rPr>
        <w:t>An additional year may be obtained in a number of circumstances, such as where the innovator company is granted a marketing authorisation for a significant new indication for the relevant medicinal product. In such situation</w:t>
      </w:r>
      <w:r w:rsidR="00A54BAE">
        <w:rPr>
          <w:lang w:val="en-US"/>
        </w:rPr>
        <w:t>s,</w:t>
      </w:r>
      <w:r w:rsidRPr="00C85219">
        <w:rPr>
          <w:lang w:val="en-US"/>
        </w:rPr>
        <w:t xml:space="preserve"> the generic company can o</w:t>
      </w:r>
      <w:r w:rsidR="0048735F">
        <w:rPr>
          <w:lang w:val="en-US"/>
        </w:rPr>
        <w:t>nly market their product after eleven</w:t>
      </w:r>
      <w:r w:rsidRPr="00C85219">
        <w:rPr>
          <w:lang w:val="en-US"/>
        </w:rPr>
        <w:t xml:space="preserve"> years from the grant of the innovator company's marketing authorisation</w:t>
      </w:r>
      <w:r w:rsidR="00ED354E">
        <w:rPr>
          <w:lang w:val="en-US"/>
        </w:rPr>
        <w:t>.</w:t>
      </w:r>
    </w:p>
    <w:p w:rsidR="00BF6BBC" w:rsidRDefault="00FA3681" w:rsidP="00FA3681">
      <w:pPr>
        <w:pStyle w:val="BodyText"/>
      </w:pPr>
      <w:r>
        <w:t xml:space="preserve">This effective </w:t>
      </w:r>
      <w:r w:rsidR="0071487B">
        <w:t>10</w:t>
      </w:r>
      <w:r>
        <w:t xml:space="preserve">-year exclusivity period can be extended by an additional one year if, during the first eight years of those ten years, the marketing </w:t>
      </w:r>
      <w:r w:rsidR="0064164D">
        <w:t>authoris</w:t>
      </w:r>
      <w:r>
        <w:t xml:space="preserve">ation holder obtains an </w:t>
      </w:r>
      <w:r w:rsidR="0064164D">
        <w:t>authoris</w:t>
      </w:r>
      <w:r>
        <w:t xml:space="preserve">ation for one or more new therapeutic indications which are held to bring a significant clinical benefit in comparison </w:t>
      </w:r>
      <w:r w:rsidR="0048735F">
        <w:t>to</w:t>
      </w:r>
      <w:r>
        <w:t xml:space="preserve"> existing therapies. This is referred to as the </w:t>
      </w:r>
      <w:r w:rsidR="00A54BAE">
        <w:t>‘</w:t>
      </w:r>
      <w:r>
        <w:t>8+2+1 formula</w:t>
      </w:r>
      <w:r w:rsidR="00A54BAE">
        <w:t>’</w:t>
      </w:r>
      <w:r>
        <w:t xml:space="preserve"> and is applicable in all EU and EEA Member States for innovative products. </w:t>
      </w:r>
      <w:r w:rsidR="0048735F">
        <w:t>Before 2005,</w:t>
      </w:r>
      <w:r w:rsidR="00617B6C">
        <w:t xml:space="preserve"> data exclusivity lasted up to 10 years.</w:t>
      </w:r>
    </w:p>
    <w:p w:rsidR="00717323" w:rsidRDefault="00717323" w:rsidP="00717323">
      <w:pPr>
        <w:pStyle w:val="BodyText"/>
        <w:rPr>
          <w:lang w:val="en-US"/>
        </w:rPr>
      </w:pPr>
      <w:r>
        <w:rPr>
          <w:shd w:val="clear" w:color="auto" w:fill="FFFFFF"/>
        </w:rPr>
        <w:t>For marketing authorisation applications made before November 2005, the period of data exclusivity varie</w:t>
      </w:r>
      <w:r w:rsidR="0048735F">
        <w:rPr>
          <w:shd w:val="clear" w:color="auto" w:fill="FFFFFF"/>
        </w:rPr>
        <w:t>d</w:t>
      </w:r>
      <w:r>
        <w:rPr>
          <w:shd w:val="clear" w:color="auto" w:fill="FFFFFF"/>
        </w:rPr>
        <w:t xml:space="preserve"> </w:t>
      </w:r>
      <w:r w:rsidR="0048735F">
        <w:rPr>
          <w:shd w:val="clear" w:color="auto" w:fill="FFFFFF"/>
        </w:rPr>
        <w:t xml:space="preserve">between </w:t>
      </w:r>
      <w:r>
        <w:rPr>
          <w:shd w:val="clear" w:color="auto" w:fill="FFFFFF"/>
        </w:rPr>
        <w:t xml:space="preserve">EU member </w:t>
      </w:r>
      <w:r w:rsidR="0048735F">
        <w:rPr>
          <w:shd w:val="clear" w:color="auto" w:fill="FFFFFF"/>
        </w:rPr>
        <w:t>countries</w:t>
      </w:r>
      <w:r w:rsidR="00A54BAE">
        <w:rPr>
          <w:shd w:val="clear" w:color="auto" w:fill="FFFFFF"/>
        </w:rPr>
        <w:t xml:space="preserve"> </w:t>
      </w:r>
      <w:r w:rsidR="0048735F">
        <w:rPr>
          <w:shd w:val="clear" w:color="auto" w:fill="FFFFFF"/>
        </w:rPr>
        <w:t>—</w:t>
      </w:r>
      <w:r w:rsidR="00A54BAE">
        <w:rPr>
          <w:shd w:val="clear" w:color="auto" w:fill="FFFFFF"/>
        </w:rPr>
        <w:t xml:space="preserve"> </w:t>
      </w:r>
      <w:r w:rsidR="0048735F">
        <w:rPr>
          <w:shd w:val="clear" w:color="auto" w:fill="FFFFFF"/>
        </w:rPr>
        <w:t xml:space="preserve">it was </w:t>
      </w:r>
      <w:r>
        <w:rPr>
          <w:shd w:val="clear" w:color="auto" w:fill="FFFFFF"/>
        </w:rPr>
        <w:t>either 6 years or 10 years.</w:t>
      </w:r>
    </w:p>
    <w:p w:rsidR="00FA3681" w:rsidRPr="00CA1C51" w:rsidRDefault="00FA3681" w:rsidP="00FA3681">
      <w:pPr>
        <w:pStyle w:val="BodyText"/>
      </w:pPr>
      <w:r>
        <w:t>As noted earlier, for new veterinary chemicals, EU provides a data protection of 10 years</w:t>
      </w:r>
      <w:r w:rsidR="0048735F">
        <w:t xml:space="preserve">, with an </w:t>
      </w:r>
      <w:r w:rsidRPr="00CA1C51">
        <w:t xml:space="preserve">additional year for </w:t>
      </w:r>
      <w:r w:rsidR="0048735F">
        <w:t xml:space="preserve">applications to use already </w:t>
      </w:r>
      <w:r w:rsidRPr="00CA1C51">
        <w:t>authorised product</w:t>
      </w:r>
      <w:r w:rsidR="0048735F">
        <w:t>s</w:t>
      </w:r>
      <w:r w:rsidRPr="00CA1C51">
        <w:t xml:space="preserve"> </w:t>
      </w:r>
      <w:r w:rsidR="0048735F">
        <w:t>for</w:t>
      </w:r>
      <w:r w:rsidRPr="00CA1C51">
        <w:t xml:space="preserve"> other species, up to maximum of 18 years</w:t>
      </w:r>
      <w:r w:rsidR="00984FC3">
        <w:t>.</w:t>
      </w:r>
    </w:p>
    <w:p w:rsidR="00BA66B3" w:rsidRDefault="00BA66B3" w:rsidP="00BA66B3">
      <w:pPr>
        <w:pStyle w:val="Heading5"/>
      </w:pPr>
      <w:r>
        <w:t>USA</w:t>
      </w:r>
    </w:p>
    <w:p w:rsidR="00296B6C" w:rsidRDefault="00296B6C" w:rsidP="00296B6C">
      <w:pPr>
        <w:pStyle w:val="BodyText"/>
      </w:pPr>
      <w:r>
        <w:t xml:space="preserve">In the </w:t>
      </w:r>
      <w:r w:rsidR="002516F8">
        <w:t>USA</w:t>
      </w:r>
      <w:r>
        <w:t xml:space="preserve">, through the Hatch-Waxman </w:t>
      </w:r>
      <w:r w:rsidR="0048735F">
        <w:t>Act</w:t>
      </w:r>
      <w:r>
        <w:t xml:space="preserve">, generic </w:t>
      </w:r>
      <w:r w:rsidR="0048735F">
        <w:t>manufacturers</w:t>
      </w:r>
      <w:r>
        <w:t xml:space="preserve"> were given the benefit of earlier entry possibilities in exchange for pioneer companies able to retrieve some of the years of valuable patent life </w:t>
      </w:r>
      <w:r w:rsidR="0048735F">
        <w:t>lost</w:t>
      </w:r>
      <w:r>
        <w:t xml:space="preserve"> due to the regulatory approval process.</w:t>
      </w:r>
      <w:r w:rsidR="00BA66B3">
        <w:t xml:space="preserve"> More specifically:</w:t>
      </w:r>
    </w:p>
    <w:p w:rsidR="00296B6C" w:rsidRDefault="002516F8" w:rsidP="00296B6C">
      <w:pPr>
        <w:pStyle w:val="ListBullet"/>
      </w:pPr>
      <w:r>
        <w:t>Under US</w:t>
      </w:r>
      <w:r w:rsidR="00296B6C">
        <w:t xml:space="preserve"> patent law there is an option for </w:t>
      </w:r>
      <w:r w:rsidR="0001061F">
        <w:t xml:space="preserve">the </w:t>
      </w:r>
      <w:r w:rsidR="00296B6C">
        <w:t>patentee to take its patent term extension for a food producing animal indication even if a companion animal indication is approved first. This is only for the first approved use</w:t>
      </w:r>
      <w:r w:rsidR="00A54BAE">
        <w:t xml:space="preserve"> </w:t>
      </w:r>
      <w:r w:rsidR="0048735F">
        <w:t>—</w:t>
      </w:r>
      <w:r w:rsidR="00A54BAE">
        <w:t xml:space="preserve"> </w:t>
      </w:r>
      <w:r w:rsidR="0048735F">
        <w:t>n</w:t>
      </w:r>
      <w:r w:rsidR="00296B6C">
        <w:t>o such extensions exists for human pharmaceutical patents</w:t>
      </w:r>
    </w:p>
    <w:p w:rsidR="00296B6C" w:rsidRDefault="00296B6C" w:rsidP="00296B6C">
      <w:pPr>
        <w:pStyle w:val="ListBullet"/>
      </w:pPr>
      <w:r>
        <w:t>Genetically engineered animal drugs are excluded from patent term restoration</w:t>
      </w:r>
      <w:r w:rsidR="00A54BAE">
        <w:t xml:space="preserve"> </w:t>
      </w:r>
      <w:r w:rsidR="0048735F">
        <w:t>—</w:t>
      </w:r>
      <w:r w:rsidR="00A54BAE">
        <w:t xml:space="preserve"> </w:t>
      </w:r>
      <w:r>
        <w:t>there is no such exclusion in the case of human therapeutics</w:t>
      </w:r>
    </w:p>
    <w:p w:rsidR="00296B6C" w:rsidRDefault="00296B6C" w:rsidP="00296B6C">
      <w:pPr>
        <w:pStyle w:val="ListBullet"/>
      </w:pPr>
      <w:r>
        <w:t xml:space="preserve">Genetically engineered animal drugs are excluded from safe harbour provisions in the </w:t>
      </w:r>
      <w:r w:rsidR="002516F8">
        <w:t>USA</w:t>
      </w:r>
      <w:r>
        <w:t>. There is no such exclusion in the case of human therapeutics</w:t>
      </w:r>
    </w:p>
    <w:p w:rsidR="00296B6C" w:rsidRDefault="00296B6C" w:rsidP="00296B6C">
      <w:pPr>
        <w:pStyle w:val="ListBullet"/>
      </w:pPr>
      <w:r>
        <w:t xml:space="preserve">In general, the second patent term restoration for same active ingredient is prohibited in the </w:t>
      </w:r>
      <w:r w:rsidR="002516F8">
        <w:t>USA</w:t>
      </w:r>
      <w:r>
        <w:t xml:space="preserve"> for animal drugs</w:t>
      </w:r>
      <w:r w:rsidR="0048735F">
        <w:t xml:space="preserve">, </w:t>
      </w:r>
      <w:r>
        <w:t xml:space="preserve">but </w:t>
      </w:r>
      <w:r w:rsidR="0048735F">
        <w:t>not</w:t>
      </w:r>
      <w:r>
        <w:t xml:space="preserve"> for human drugs</w:t>
      </w:r>
    </w:p>
    <w:p w:rsidR="00296B6C" w:rsidRDefault="00296B6C" w:rsidP="00296B6C">
      <w:pPr>
        <w:pStyle w:val="ListBullet"/>
      </w:pPr>
      <w:r>
        <w:t xml:space="preserve">Unlike human drugs, there is no paediatric exclusivity for animal drugs in the </w:t>
      </w:r>
      <w:r w:rsidR="002516F8">
        <w:t>USA, and</w:t>
      </w:r>
    </w:p>
    <w:p w:rsidR="00BF6BBC" w:rsidRDefault="00296B6C" w:rsidP="00296B6C">
      <w:pPr>
        <w:pStyle w:val="ListBullet"/>
      </w:pPr>
      <w:r>
        <w:t>Orphan drug status–for rar</w:t>
      </w:r>
      <w:r w:rsidR="0048735F">
        <w:t>e</w:t>
      </w:r>
      <w:r>
        <w:t xml:space="preserve"> diseases–can be obtained under the US </w:t>
      </w:r>
      <w:r w:rsidRPr="009C535C">
        <w:rPr>
          <w:i/>
        </w:rPr>
        <w:t>Orphan Drug Act</w:t>
      </w:r>
      <w:r>
        <w:t>, where the holder is entitled to several specified benefits. This does not extend to animal drugs. However, animal drugs meeting certain criteria have the possibility to obtain so called Minor Use</w:t>
      </w:r>
      <w:r w:rsidR="00793D6C">
        <w:t xml:space="preserve"> </w:t>
      </w:r>
      <w:r>
        <w:t>/</w:t>
      </w:r>
      <w:r w:rsidR="00793D6C">
        <w:t xml:space="preserve"> </w:t>
      </w:r>
      <w:r>
        <w:t>Minor Species (MUMS) designation</w:t>
      </w:r>
      <w:r w:rsidR="0048735F">
        <w:t>,</w:t>
      </w:r>
      <w:r>
        <w:t xml:space="preserve"> which provides seven years exclusivity for that indication. </w:t>
      </w:r>
    </w:p>
    <w:p w:rsidR="00EC3B8A" w:rsidRDefault="00EC3B8A" w:rsidP="00EC3B8A">
      <w:pPr>
        <w:pStyle w:val="BodyText"/>
      </w:pPr>
      <w:r>
        <w:t>The length of time that FDA grants new drug exclusivity depends on the type of exclusivity. Hatch Waxman exclusivity (5-year, 3-year, and 180-day) is described in 21 C.F.R. 314.108.</w:t>
      </w:r>
      <w:r>
        <w:rPr>
          <w:rStyle w:val="FootnoteReference"/>
        </w:rPr>
        <w:footnoteReference w:id="129"/>
      </w:r>
      <w:r>
        <w:t xml:space="preserve"> There are four types of exclusivity that fall under the NDA statutory requirements</w:t>
      </w:r>
      <w:r w:rsidR="00A54BAE">
        <w:t>:</w:t>
      </w:r>
    </w:p>
    <w:p w:rsidR="00EC3B8A" w:rsidRDefault="00EC3B8A" w:rsidP="00EC3B8A">
      <w:pPr>
        <w:pStyle w:val="ListBullet"/>
      </w:pPr>
      <w:r>
        <w:t>Orphan Drug Exclusivity — 7 years</w:t>
      </w:r>
    </w:p>
    <w:p w:rsidR="00EC3B8A" w:rsidRDefault="00EC3B8A" w:rsidP="00EC3B8A">
      <w:pPr>
        <w:pStyle w:val="ListBullet"/>
      </w:pPr>
      <w:r>
        <w:t>New Chemical Exclusivity — 5 years</w:t>
      </w:r>
    </w:p>
    <w:p w:rsidR="00EC3B8A" w:rsidRDefault="00EC3B8A" w:rsidP="00EC3B8A">
      <w:pPr>
        <w:pStyle w:val="ListBullet"/>
      </w:pPr>
      <w:r>
        <w:t>Other Exclusivity — 3 years</w:t>
      </w:r>
      <w:r w:rsidR="00A54BAE">
        <w:t>, and</w:t>
      </w:r>
    </w:p>
    <w:p w:rsidR="00EC3B8A" w:rsidRDefault="00EC3B8A" w:rsidP="00EC3B8A">
      <w:pPr>
        <w:pStyle w:val="ListBullet"/>
      </w:pPr>
      <w:r>
        <w:t xml:space="preserve">Paediatric Exclusivity </w:t>
      </w:r>
      <w:r w:rsidR="00A54BAE">
        <w:t>—</w:t>
      </w:r>
      <w:r>
        <w:t xml:space="preserve"> 6 months</w:t>
      </w:r>
      <w:r w:rsidR="00A54BAE">
        <w:t>.</w:t>
      </w:r>
    </w:p>
    <w:p w:rsidR="00EC3B8A" w:rsidRDefault="00EC3B8A" w:rsidP="00EC3B8A">
      <w:pPr>
        <w:pStyle w:val="BodyText"/>
      </w:pPr>
      <w:r>
        <w:t xml:space="preserve">As noted earlier, </w:t>
      </w:r>
      <w:r w:rsidR="00FE71C0">
        <w:t>veterinary</w:t>
      </w:r>
      <w:r>
        <w:t xml:space="preserve"> chemicals </w:t>
      </w:r>
      <w:r w:rsidR="00FE71C0">
        <w:t>follow similar data protection periods</w:t>
      </w:r>
      <w:r w:rsidR="00A54BAE">
        <w:t xml:space="preserve"> </w:t>
      </w:r>
      <w:r w:rsidR="006918CC">
        <w:t>—</w:t>
      </w:r>
      <w:r w:rsidR="00A54BAE">
        <w:t xml:space="preserve"> </w:t>
      </w:r>
      <w:r w:rsidR="006918CC">
        <w:t>o</w:t>
      </w:r>
      <w:r w:rsidR="00FE71C0" w:rsidRPr="00003311">
        <w:t xml:space="preserve">rphan </w:t>
      </w:r>
      <w:r w:rsidR="00FE71C0">
        <w:t xml:space="preserve">veterinary </w:t>
      </w:r>
      <w:r w:rsidR="00FE71C0" w:rsidRPr="00003311">
        <w:t xml:space="preserve">drug exclusivity for 7 years, new chemical entity exclusivity for 5 years, general antibiotic incentives now </w:t>
      </w:r>
      <w:r w:rsidR="006918CC">
        <w:t xml:space="preserve">provided with </w:t>
      </w:r>
      <w:r w:rsidR="00FE71C0" w:rsidRPr="00003311">
        <w:t>exclusivity</w:t>
      </w:r>
      <w:r w:rsidR="00FE71C0">
        <w:t xml:space="preserve"> for</w:t>
      </w:r>
      <w:r w:rsidR="00FE71C0" w:rsidRPr="00003311">
        <w:t xml:space="preserve"> 5 years</w:t>
      </w:r>
      <w:r w:rsidR="00FE71C0">
        <w:t xml:space="preserve">, </w:t>
      </w:r>
      <w:r w:rsidR="006918CC">
        <w:t xml:space="preserve">and </w:t>
      </w:r>
      <w:r w:rsidR="00FE71C0">
        <w:t xml:space="preserve">new clinical investigation </w:t>
      </w:r>
      <w:r w:rsidR="006918CC">
        <w:t xml:space="preserve">given </w:t>
      </w:r>
      <w:r w:rsidR="00FE71C0">
        <w:t>exclusivity for 3 years.</w:t>
      </w:r>
    </w:p>
    <w:p w:rsidR="00BC4EF6" w:rsidRDefault="00BF6BBC" w:rsidP="0048735F">
      <w:pPr>
        <w:pStyle w:val="Heading5"/>
      </w:pPr>
      <w:r>
        <w:t>Canada</w:t>
      </w:r>
    </w:p>
    <w:p w:rsidR="00BF6BBC" w:rsidRDefault="00D839CE" w:rsidP="00D839CE">
      <w:pPr>
        <w:pStyle w:val="BodyText"/>
      </w:pPr>
      <w:r>
        <w:rPr>
          <w:shd w:val="clear" w:color="auto" w:fill="FFFFFF"/>
        </w:rPr>
        <w:t xml:space="preserve">Canada currently provides eight years of data protection for an innovator drug. This applies to both biologics and conventional small molecule pharmaceuticals. This </w:t>
      </w:r>
      <w:r w:rsidR="006918CC">
        <w:rPr>
          <w:shd w:val="clear" w:color="auto" w:fill="FFFFFF"/>
        </w:rPr>
        <w:t xml:space="preserve">same </w:t>
      </w:r>
      <w:r>
        <w:rPr>
          <w:shd w:val="clear" w:color="auto" w:fill="FFFFFF"/>
        </w:rPr>
        <w:t xml:space="preserve">time period </w:t>
      </w:r>
      <w:r w:rsidR="006918CC">
        <w:rPr>
          <w:shd w:val="clear" w:color="auto" w:fill="FFFFFF"/>
        </w:rPr>
        <w:t>applies to</w:t>
      </w:r>
      <w:r>
        <w:rPr>
          <w:shd w:val="clear" w:color="auto" w:fill="FFFFFF"/>
        </w:rPr>
        <w:t xml:space="preserve"> veterinary </w:t>
      </w:r>
      <w:r w:rsidR="00717323">
        <w:rPr>
          <w:shd w:val="clear" w:color="auto" w:fill="FFFFFF"/>
        </w:rPr>
        <w:t>pharmaceuticals</w:t>
      </w:r>
      <w:r>
        <w:rPr>
          <w:shd w:val="clear" w:color="auto" w:fill="FFFFFF"/>
        </w:rPr>
        <w:t>.</w:t>
      </w:r>
    </w:p>
    <w:p w:rsidR="005E3322" w:rsidRDefault="005E3322" w:rsidP="007C3D1E">
      <w:pPr>
        <w:pStyle w:val="Heading5"/>
      </w:pPr>
      <w:r>
        <w:t>N</w:t>
      </w:r>
      <w:r w:rsidR="0048735F">
        <w:t>ew Zealand</w:t>
      </w:r>
    </w:p>
    <w:p w:rsidR="005E3322" w:rsidRDefault="005E3322" w:rsidP="005E3322">
      <w:pPr>
        <w:pStyle w:val="BodyText"/>
        <w:rPr>
          <w:shd w:val="clear" w:color="auto" w:fill="FFFFFF"/>
        </w:rPr>
      </w:pPr>
      <w:r>
        <w:rPr>
          <w:shd w:val="clear" w:color="auto" w:fill="FFFFFF"/>
        </w:rPr>
        <w:t>New Zealand provides a data protection period of 5 years for new human pharmaceutical products. Data protection is not available for data relating to new uses or new formulations of known active ingredients for human pharmaceutical products.</w:t>
      </w:r>
    </w:p>
    <w:p w:rsidR="005E3322" w:rsidRDefault="005E3322" w:rsidP="005E3322">
      <w:pPr>
        <w:pStyle w:val="BodyText"/>
      </w:pPr>
      <w:r>
        <w:rPr>
          <w:shd w:val="clear" w:color="auto" w:fill="FFFFFF"/>
        </w:rPr>
        <w:t xml:space="preserve">Similar to </w:t>
      </w:r>
      <w:r w:rsidR="00FA3681">
        <w:rPr>
          <w:shd w:val="clear" w:color="auto" w:fill="FFFFFF"/>
        </w:rPr>
        <w:t>Australia, N</w:t>
      </w:r>
      <w:r w:rsidR="007C3D1E">
        <w:rPr>
          <w:shd w:val="clear" w:color="auto" w:fill="FFFFFF"/>
        </w:rPr>
        <w:t xml:space="preserve">ew </w:t>
      </w:r>
      <w:r w:rsidR="00FA3681">
        <w:rPr>
          <w:shd w:val="clear" w:color="auto" w:fill="FFFFFF"/>
        </w:rPr>
        <w:t>Z</w:t>
      </w:r>
      <w:r w:rsidR="007C3D1E">
        <w:rPr>
          <w:shd w:val="clear" w:color="auto" w:fill="FFFFFF"/>
        </w:rPr>
        <w:t>ealand</w:t>
      </w:r>
      <w:r w:rsidR="00FA3681">
        <w:rPr>
          <w:shd w:val="clear" w:color="auto" w:fill="FFFFFF"/>
        </w:rPr>
        <w:t xml:space="preserve"> provides a data protection of 10 years for new veterinary chemical products as discussed earlier in th</w:t>
      </w:r>
      <w:r w:rsidR="007C3D1E">
        <w:rPr>
          <w:shd w:val="clear" w:color="auto" w:fill="FFFFFF"/>
        </w:rPr>
        <w:t>is</w:t>
      </w:r>
      <w:r w:rsidR="00FA3681">
        <w:rPr>
          <w:shd w:val="clear" w:color="auto" w:fill="FFFFFF"/>
        </w:rPr>
        <w:t xml:space="preserve"> report.</w:t>
      </w:r>
    </w:p>
    <w:p w:rsidR="00BF6BBC" w:rsidRDefault="00BF6BBC" w:rsidP="00BF6BBC">
      <w:pPr>
        <w:pStyle w:val="ListBullet"/>
        <w:numPr>
          <w:ilvl w:val="0"/>
          <w:numId w:val="0"/>
        </w:numPr>
      </w:pPr>
      <w:r>
        <w:t xml:space="preserve">A comparison of regulated data protection period for human and veterinary pharmaceuticals are provided in </w:t>
      </w:r>
      <w:r w:rsidR="007C3D1E">
        <w:fldChar w:fldCharType="begin"/>
      </w:r>
      <w:r w:rsidR="007C3D1E">
        <w:instrText xml:space="preserve"> REF _Ref488610374 \h </w:instrText>
      </w:r>
      <w:r w:rsidR="007C3D1E">
        <w:fldChar w:fldCharType="separate"/>
      </w:r>
      <w:r w:rsidR="0087688C" w:rsidRPr="00FC29C8">
        <w:rPr>
          <w:rStyle w:val="CaptionLabel"/>
        </w:rPr>
        <w:t>Table</w:t>
      </w:r>
      <w:r w:rsidR="0087688C">
        <w:rPr>
          <w:rStyle w:val="CaptionLabel"/>
        </w:rPr>
        <w:t> </w:t>
      </w:r>
      <w:r w:rsidR="0087688C">
        <w:rPr>
          <w:rStyle w:val="CaptionLabel"/>
          <w:noProof/>
        </w:rPr>
        <w:t>7</w:t>
      </w:r>
      <w:r w:rsidR="0087688C" w:rsidRPr="00FC29C8">
        <w:rPr>
          <w:rStyle w:val="CaptionLabel"/>
        </w:rPr>
        <w:t>.</w:t>
      </w:r>
      <w:r w:rsidR="0087688C">
        <w:rPr>
          <w:rStyle w:val="CaptionLabel"/>
          <w:noProof/>
        </w:rPr>
        <w:t>2</w:t>
      </w:r>
      <w:r w:rsidR="007C3D1E">
        <w:fldChar w:fldCharType="end"/>
      </w:r>
      <w:r>
        <w:t>. As noted, the data protection period for human and veterinary pharmaceuticals differ</w:t>
      </w:r>
      <w:r w:rsidR="000F638F">
        <w:t xml:space="preserve"> and t</w:t>
      </w:r>
      <w:r>
        <w:t>here are number of reasons for the differences. Some of them include:</w:t>
      </w:r>
    </w:p>
    <w:p w:rsidR="00BF6BBC" w:rsidRDefault="00BF6BBC" w:rsidP="00B04120">
      <w:pPr>
        <w:pStyle w:val="ListBullet"/>
      </w:pPr>
      <w:r>
        <w:t>Ethics</w:t>
      </w:r>
      <w:r w:rsidR="00A54BAE">
        <w:t xml:space="preserve"> </w:t>
      </w:r>
      <w:r>
        <w:t>—</w:t>
      </w:r>
      <w:r w:rsidR="00A54BAE">
        <w:t xml:space="preserve"> </w:t>
      </w:r>
      <w:r>
        <w:t>it is considered unethical under the Declaration of Helsinki to undertake duplicative clinical trials on humans in different countries</w:t>
      </w:r>
      <w:r w:rsidR="00B04120">
        <w:rPr>
          <w:rStyle w:val="FootnoteReference"/>
        </w:rPr>
        <w:footnoteReference w:id="130"/>
      </w:r>
    </w:p>
    <w:p w:rsidR="00BF6BBC" w:rsidRDefault="00BF6BBC" w:rsidP="00B04120">
      <w:pPr>
        <w:pStyle w:val="ListBullet"/>
      </w:pPr>
      <w:r>
        <w:t>Number of species</w:t>
      </w:r>
    </w:p>
    <w:p w:rsidR="00B04120" w:rsidRDefault="00B04120" w:rsidP="00B04120">
      <w:pPr>
        <w:pStyle w:val="ListBullet"/>
      </w:pPr>
      <w:r>
        <w:t>Relative R&amp;D costs and risks</w:t>
      </w:r>
      <w:r w:rsidR="006918CC">
        <w:t>, and</w:t>
      </w:r>
    </w:p>
    <w:p w:rsidR="00B04120" w:rsidRDefault="00B04120" w:rsidP="00B04120">
      <w:pPr>
        <w:pStyle w:val="ListBullet"/>
      </w:pPr>
      <w:r>
        <w:t>Others</w:t>
      </w:r>
      <w:r w:rsidR="006918CC">
        <w:t>.</w:t>
      </w:r>
    </w:p>
    <w:p w:rsidR="007C3D1E" w:rsidRDefault="00B04120" w:rsidP="007C3D1E">
      <w:pPr>
        <w:pStyle w:val="BodyText"/>
      </w:pPr>
      <w:r>
        <w:t xml:space="preserve">From </w:t>
      </w:r>
      <w:r w:rsidR="0001061F">
        <w:t xml:space="preserve">an </w:t>
      </w:r>
      <w:r>
        <w:t xml:space="preserve">economic perspective, industries where the R&amp;D process is costly and risky need longer data protection periods to realise </w:t>
      </w:r>
      <w:r w:rsidR="0001061F">
        <w:t xml:space="preserve">the </w:t>
      </w:r>
      <w:r>
        <w:t xml:space="preserve">benefits of new products compared to those industries where innovation is easier and relatively less costly. </w:t>
      </w:r>
    </w:p>
    <w:p w:rsidR="00B54C87" w:rsidRDefault="00B54C87" w:rsidP="007C3D1E">
      <w:pPr>
        <w:pStyle w:val="BodyText"/>
      </w:pPr>
    </w:p>
    <w:p w:rsidR="00B54C87" w:rsidRDefault="00B54C87" w:rsidP="007C3D1E">
      <w:pPr>
        <w:pStyle w:val="BodyText"/>
      </w:pPr>
    </w:p>
    <w:p w:rsidR="00B54C87" w:rsidRDefault="00B54C87" w:rsidP="007C3D1E">
      <w:pPr>
        <w:pStyle w:val="BodyText"/>
      </w:pPr>
    </w:p>
    <w:p w:rsidR="004071A8" w:rsidRDefault="004071A8" w:rsidP="006F3A54">
      <w:pPr>
        <w:pStyle w:val="Caption"/>
        <w:spacing w:before="160"/>
      </w:pPr>
      <w:bookmarkStart w:id="174" w:name="_Ref488610374"/>
      <w:bookmarkStart w:id="175" w:name="_Toc497132822"/>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7</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2</w:t>
      </w:r>
      <w:r w:rsidRPr="00FC29C8">
        <w:rPr>
          <w:rStyle w:val="CaptionLabel"/>
        </w:rPr>
        <w:fldChar w:fldCharType="end"/>
      </w:r>
      <w:bookmarkEnd w:id="174"/>
      <w:r>
        <w:tab/>
      </w:r>
      <w:r w:rsidR="006F3A54">
        <w:t xml:space="preserve">Data protection for new </w:t>
      </w:r>
      <w:r w:rsidR="00A3184A">
        <w:t xml:space="preserve">pharMAceutical </w:t>
      </w:r>
      <w:r w:rsidR="006F3A54">
        <w:t>products</w:t>
      </w:r>
      <w:bookmarkEnd w:id="175"/>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1561"/>
        <w:gridCol w:w="3118"/>
        <w:gridCol w:w="3490"/>
      </w:tblGrid>
      <w:tr w:rsidR="00E86A68" w:rsidTr="007C3D1E">
        <w:trPr>
          <w:cantSplit/>
          <w:tblHeader/>
        </w:trPr>
        <w:tc>
          <w:tcPr>
            <w:tcW w:w="1168" w:type="pct"/>
            <w:gridSpan w:val="2"/>
            <w:shd w:val="clear" w:color="auto" w:fill="9D57A6"/>
            <w:tcMar>
              <w:left w:w="454" w:type="dxa"/>
              <w:bottom w:w="0" w:type="dxa"/>
            </w:tcMar>
          </w:tcPr>
          <w:p w:rsidR="004071A8" w:rsidRDefault="006F3A54" w:rsidP="006F3A54">
            <w:pPr>
              <w:pStyle w:val="Tablecolumnheadings"/>
            </w:pPr>
            <w:r>
              <w:t>Country</w:t>
            </w:r>
          </w:p>
        </w:tc>
        <w:tc>
          <w:tcPr>
            <w:tcW w:w="1808" w:type="pct"/>
            <w:shd w:val="clear" w:color="auto" w:fill="9D57A6"/>
            <w:tcMar>
              <w:bottom w:w="0" w:type="dxa"/>
            </w:tcMar>
          </w:tcPr>
          <w:p w:rsidR="004071A8" w:rsidRDefault="006F3A54" w:rsidP="006F3A54">
            <w:pPr>
              <w:pStyle w:val="Tablecolumnheadings"/>
            </w:pPr>
            <w:r>
              <w:t>Human pharmaceuticals</w:t>
            </w:r>
          </w:p>
        </w:tc>
        <w:tc>
          <w:tcPr>
            <w:tcW w:w="2024" w:type="pct"/>
            <w:shd w:val="clear" w:color="auto" w:fill="9D57A6"/>
            <w:tcMar>
              <w:bottom w:w="0" w:type="dxa"/>
            </w:tcMar>
          </w:tcPr>
          <w:p w:rsidR="004071A8" w:rsidRDefault="006F3A54" w:rsidP="006F3A54">
            <w:pPr>
              <w:pStyle w:val="Tablecolumnheadings"/>
            </w:pPr>
            <w:r>
              <w:t>Veterinary pharmaceuticals</w:t>
            </w:r>
          </w:p>
        </w:tc>
      </w:tr>
      <w:tr w:rsidR="00E86A68" w:rsidTr="007C3D1E">
        <w:tblPrEx>
          <w:tblBorders>
            <w:bottom w:val="single" w:sz="4" w:space="0" w:color="646464"/>
            <w:insideH w:val="single" w:sz="4" w:space="0" w:color="646464"/>
          </w:tblBorders>
        </w:tblPrEx>
        <w:trPr>
          <w:gridBefore w:val="1"/>
          <w:wBefore w:w="263" w:type="pct"/>
          <w:cantSplit/>
        </w:trPr>
        <w:tc>
          <w:tcPr>
            <w:tcW w:w="905" w:type="pct"/>
            <w:tcBorders>
              <w:top w:val="nil"/>
            </w:tcBorders>
            <w:shd w:val="clear" w:color="auto" w:fill="auto"/>
          </w:tcPr>
          <w:p w:rsidR="004071A8" w:rsidRPr="00E3779A" w:rsidRDefault="006F3A54" w:rsidP="006F3A54">
            <w:pPr>
              <w:pStyle w:val="Tabletext"/>
              <w:rPr>
                <w:b/>
              </w:rPr>
            </w:pPr>
            <w:r w:rsidRPr="00E3779A">
              <w:rPr>
                <w:b/>
              </w:rPr>
              <w:t>Australia</w:t>
            </w:r>
          </w:p>
        </w:tc>
        <w:tc>
          <w:tcPr>
            <w:tcW w:w="1808" w:type="pct"/>
            <w:tcBorders>
              <w:top w:val="nil"/>
            </w:tcBorders>
            <w:shd w:val="clear" w:color="auto" w:fill="auto"/>
          </w:tcPr>
          <w:p w:rsidR="004071A8" w:rsidRDefault="006F3A54" w:rsidP="006F3A54">
            <w:pPr>
              <w:pStyle w:val="Tabletext"/>
            </w:pPr>
            <w:r>
              <w:t>5 years</w:t>
            </w:r>
          </w:p>
        </w:tc>
        <w:tc>
          <w:tcPr>
            <w:tcW w:w="2024" w:type="pct"/>
            <w:tcBorders>
              <w:top w:val="nil"/>
            </w:tcBorders>
            <w:shd w:val="clear" w:color="auto" w:fill="auto"/>
          </w:tcPr>
          <w:p w:rsidR="004071A8" w:rsidRDefault="006F3A54" w:rsidP="006F3A54">
            <w:pPr>
              <w:pStyle w:val="Tabletext"/>
            </w:pPr>
            <w:r>
              <w:t>10 years</w:t>
            </w:r>
          </w:p>
        </w:tc>
      </w:tr>
      <w:tr w:rsidR="00E86A68" w:rsidTr="007C3D1E">
        <w:tblPrEx>
          <w:tblBorders>
            <w:bottom w:val="single" w:sz="4" w:space="0" w:color="646464"/>
            <w:insideH w:val="single" w:sz="4" w:space="0" w:color="646464"/>
          </w:tblBorders>
        </w:tblPrEx>
        <w:trPr>
          <w:gridBefore w:val="1"/>
          <w:wBefore w:w="263" w:type="pct"/>
          <w:cantSplit/>
        </w:trPr>
        <w:tc>
          <w:tcPr>
            <w:tcW w:w="905" w:type="pct"/>
            <w:shd w:val="clear" w:color="auto" w:fill="auto"/>
          </w:tcPr>
          <w:p w:rsidR="004071A8" w:rsidRPr="00E3779A" w:rsidRDefault="006F3A54" w:rsidP="006F3A54">
            <w:pPr>
              <w:pStyle w:val="Tabletext"/>
              <w:rPr>
                <w:b/>
              </w:rPr>
            </w:pPr>
            <w:r w:rsidRPr="00E3779A">
              <w:rPr>
                <w:b/>
              </w:rPr>
              <w:t>EU</w:t>
            </w:r>
          </w:p>
        </w:tc>
        <w:tc>
          <w:tcPr>
            <w:tcW w:w="1808" w:type="pct"/>
            <w:shd w:val="clear" w:color="auto" w:fill="auto"/>
          </w:tcPr>
          <w:p w:rsidR="004071A8" w:rsidRDefault="006F3A54" w:rsidP="006F3A54">
            <w:pPr>
              <w:pStyle w:val="Tabletext"/>
            </w:pPr>
            <w:r>
              <w:t>8+2+1 years</w:t>
            </w:r>
          </w:p>
        </w:tc>
        <w:tc>
          <w:tcPr>
            <w:tcW w:w="2024" w:type="pct"/>
            <w:shd w:val="clear" w:color="auto" w:fill="auto"/>
          </w:tcPr>
          <w:p w:rsidR="004071A8" w:rsidRDefault="006F3A54" w:rsidP="006F3A54">
            <w:pPr>
              <w:pStyle w:val="Tabletext"/>
            </w:pPr>
            <w:r>
              <w:t>10+1 years</w:t>
            </w:r>
          </w:p>
        </w:tc>
      </w:tr>
      <w:tr w:rsidR="00E86A68" w:rsidTr="007C3D1E">
        <w:tblPrEx>
          <w:tblBorders>
            <w:bottom w:val="single" w:sz="4" w:space="0" w:color="646464"/>
            <w:insideH w:val="single" w:sz="4" w:space="0" w:color="646464"/>
          </w:tblBorders>
        </w:tblPrEx>
        <w:trPr>
          <w:gridBefore w:val="1"/>
          <w:wBefore w:w="263" w:type="pct"/>
          <w:cantSplit/>
        </w:trPr>
        <w:tc>
          <w:tcPr>
            <w:tcW w:w="905" w:type="pct"/>
            <w:shd w:val="clear" w:color="auto" w:fill="auto"/>
          </w:tcPr>
          <w:p w:rsidR="004071A8" w:rsidRPr="00E3779A" w:rsidRDefault="006F3A54" w:rsidP="006F3A54">
            <w:pPr>
              <w:pStyle w:val="Tabletext"/>
              <w:rPr>
                <w:b/>
              </w:rPr>
            </w:pPr>
            <w:r w:rsidRPr="00E3779A">
              <w:rPr>
                <w:b/>
              </w:rPr>
              <w:t>USA</w:t>
            </w:r>
          </w:p>
        </w:tc>
        <w:tc>
          <w:tcPr>
            <w:tcW w:w="1808" w:type="pct"/>
            <w:shd w:val="clear" w:color="auto" w:fill="auto"/>
          </w:tcPr>
          <w:p w:rsidR="004071A8" w:rsidRDefault="006F3A54" w:rsidP="006F3A54">
            <w:pPr>
              <w:pStyle w:val="Tabletext"/>
            </w:pPr>
            <w:r w:rsidRPr="00003311">
              <w:t>Orphan drug exclusivity for 7 years, new chemical entity exclusivity for 5 years</w:t>
            </w:r>
            <w:r>
              <w:t>, new clinical investigation exclusivity for 3 years and paediatric exclusivity for 6 months.</w:t>
            </w:r>
          </w:p>
        </w:tc>
        <w:tc>
          <w:tcPr>
            <w:tcW w:w="2024" w:type="pct"/>
            <w:shd w:val="clear" w:color="auto" w:fill="auto"/>
          </w:tcPr>
          <w:p w:rsidR="004071A8" w:rsidRDefault="006F3A54" w:rsidP="006F3A54">
            <w:pPr>
              <w:pStyle w:val="Tabletext"/>
            </w:pPr>
            <w:r w:rsidRPr="00003311">
              <w:t>Orphan drug exclusivity for 7 years, new chemical entity exclusivity for 5 years, general antibiotic incentives now exclusivity</w:t>
            </w:r>
            <w:r>
              <w:t xml:space="preserve"> for</w:t>
            </w:r>
            <w:r w:rsidRPr="00003311">
              <w:t xml:space="preserve"> 5 years</w:t>
            </w:r>
            <w:r>
              <w:t>, new clinical investigation exclusivity for 3 years.</w:t>
            </w:r>
          </w:p>
        </w:tc>
      </w:tr>
      <w:tr w:rsidR="00E86A68" w:rsidTr="007C3D1E">
        <w:tblPrEx>
          <w:tblBorders>
            <w:bottom w:val="single" w:sz="4" w:space="0" w:color="646464"/>
            <w:insideH w:val="single" w:sz="4" w:space="0" w:color="646464"/>
          </w:tblBorders>
        </w:tblPrEx>
        <w:trPr>
          <w:gridBefore w:val="1"/>
          <w:wBefore w:w="263" w:type="pct"/>
          <w:cantSplit/>
        </w:trPr>
        <w:tc>
          <w:tcPr>
            <w:tcW w:w="905" w:type="pct"/>
            <w:shd w:val="clear" w:color="auto" w:fill="auto"/>
          </w:tcPr>
          <w:p w:rsidR="004071A8" w:rsidRPr="00E3779A" w:rsidRDefault="006F3A54" w:rsidP="006F3A54">
            <w:pPr>
              <w:pStyle w:val="Tabletext"/>
              <w:rPr>
                <w:b/>
              </w:rPr>
            </w:pPr>
            <w:r w:rsidRPr="00E3779A">
              <w:rPr>
                <w:b/>
              </w:rPr>
              <w:t>Canada</w:t>
            </w:r>
          </w:p>
        </w:tc>
        <w:tc>
          <w:tcPr>
            <w:tcW w:w="1808" w:type="pct"/>
            <w:shd w:val="clear" w:color="auto" w:fill="auto"/>
          </w:tcPr>
          <w:p w:rsidR="004071A8" w:rsidRDefault="006F3A54" w:rsidP="006F3A54">
            <w:pPr>
              <w:pStyle w:val="Tabletext"/>
            </w:pPr>
            <w:r>
              <w:t>8 years</w:t>
            </w:r>
          </w:p>
        </w:tc>
        <w:tc>
          <w:tcPr>
            <w:tcW w:w="2024" w:type="pct"/>
            <w:shd w:val="clear" w:color="auto" w:fill="auto"/>
          </w:tcPr>
          <w:p w:rsidR="004071A8" w:rsidRDefault="006F3A54" w:rsidP="006F3A54">
            <w:pPr>
              <w:pStyle w:val="Tabletext"/>
            </w:pPr>
            <w:r>
              <w:t>8 years</w:t>
            </w:r>
          </w:p>
        </w:tc>
      </w:tr>
      <w:tr w:rsidR="00E86A68" w:rsidTr="007C3D1E">
        <w:tblPrEx>
          <w:tblBorders>
            <w:bottom w:val="single" w:sz="4" w:space="0" w:color="646464"/>
            <w:insideH w:val="single" w:sz="4" w:space="0" w:color="646464"/>
          </w:tblBorders>
        </w:tblPrEx>
        <w:trPr>
          <w:gridBefore w:val="1"/>
          <w:wBefore w:w="263" w:type="pct"/>
          <w:cantSplit/>
        </w:trPr>
        <w:tc>
          <w:tcPr>
            <w:tcW w:w="905" w:type="pct"/>
            <w:shd w:val="clear" w:color="auto" w:fill="auto"/>
          </w:tcPr>
          <w:p w:rsidR="004071A8" w:rsidRPr="00E3779A" w:rsidRDefault="006F3A54" w:rsidP="0077196A">
            <w:pPr>
              <w:pStyle w:val="Tabletext"/>
              <w:rPr>
                <w:b/>
              </w:rPr>
            </w:pPr>
            <w:r w:rsidRPr="00E3779A">
              <w:rPr>
                <w:b/>
              </w:rPr>
              <w:t>New Zealand</w:t>
            </w:r>
          </w:p>
        </w:tc>
        <w:tc>
          <w:tcPr>
            <w:tcW w:w="1808" w:type="pct"/>
            <w:shd w:val="clear" w:color="auto" w:fill="auto"/>
          </w:tcPr>
          <w:p w:rsidR="004071A8" w:rsidRDefault="006F3A54" w:rsidP="0077196A">
            <w:pPr>
              <w:pStyle w:val="Tabletext"/>
            </w:pPr>
            <w:r>
              <w:t>5 years</w:t>
            </w:r>
          </w:p>
        </w:tc>
        <w:tc>
          <w:tcPr>
            <w:tcW w:w="2024" w:type="pct"/>
            <w:shd w:val="clear" w:color="auto" w:fill="auto"/>
          </w:tcPr>
          <w:p w:rsidR="004071A8" w:rsidRDefault="006F3A54" w:rsidP="0077196A">
            <w:pPr>
              <w:pStyle w:val="Tabletext"/>
            </w:pPr>
            <w:r>
              <w:t>10 years</w:t>
            </w:r>
          </w:p>
        </w:tc>
      </w:tr>
      <w:tr w:rsidR="00E86A68" w:rsidTr="006F3A54">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4071A8" w:rsidRDefault="004071A8" w:rsidP="006F3A54">
            <w:pPr>
              <w:pStyle w:val="Source"/>
            </w:pPr>
            <w:r>
              <w:t xml:space="preserve">Source: </w:t>
            </w:r>
            <w:r w:rsidR="006F3A54">
              <w:t>Various sources</w:t>
            </w:r>
          </w:p>
        </w:tc>
      </w:tr>
      <w:tr w:rsidR="00E86A68" w:rsidTr="006F3A54">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top w:val="single" w:sz="4" w:space="0" w:color="646464"/>
              <w:bottom w:val="nil"/>
            </w:tcBorders>
            <w:shd w:val="clear" w:color="auto" w:fill="auto"/>
          </w:tcPr>
          <w:p w:rsidR="004071A8" w:rsidRDefault="004071A8" w:rsidP="006F3A54">
            <w:pPr>
              <w:pStyle w:val="spacertbl"/>
            </w:pPr>
          </w:p>
        </w:tc>
      </w:tr>
    </w:tbl>
    <w:p w:rsidR="00BC4EF6" w:rsidRDefault="00FC715F" w:rsidP="00FC715F">
      <w:pPr>
        <w:pStyle w:val="Heading2"/>
      </w:pPr>
      <w:bookmarkStart w:id="176" w:name="_Ref488159439"/>
      <w:bookmarkStart w:id="177" w:name="_Toc497300861"/>
      <w:r>
        <w:t>S</w:t>
      </w:r>
      <w:r w:rsidR="00BC4EF6">
        <w:t>pringboarding</w:t>
      </w:r>
      <w:bookmarkEnd w:id="176"/>
      <w:bookmarkEnd w:id="177"/>
    </w:p>
    <w:p w:rsidR="00EC32CB" w:rsidRDefault="006174A9" w:rsidP="00BC4EF6">
      <w:pPr>
        <w:pStyle w:val="ListBullet"/>
        <w:numPr>
          <w:ilvl w:val="0"/>
          <w:numId w:val="0"/>
        </w:numPr>
      </w:pPr>
      <w:r>
        <w:t>Chapter 3 discuss</w:t>
      </w:r>
      <w:r w:rsidR="009C5863">
        <w:t>ed</w:t>
      </w:r>
      <w:r>
        <w:t xml:space="preserve"> springboarding in relation to agvet products. This section compares springboarding provisions in selected countries.</w:t>
      </w:r>
      <w:r w:rsidR="00044DD1">
        <w:t xml:space="preserve"> </w:t>
      </w:r>
      <w:r w:rsidR="00C55FEC">
        <w:t xml:space="preserve">The </w:t>
      </w:r>
      <w:r w:rsidR="002516F8">
        <w:t>US</w:t>
      </w:r>
      <w:r w:rsidR="00C55FEC">
        <w:t xml:space="preserve">, </w:t>
      </w:r>
      <w:r w:rsidR="00296B6C">
        <w:t>Canadian</w:t>
      </w:r>
      <w:r w:rsidR="00C55FEC">
        <w:t xml:space="preserve"> and Australian</w:t>
      </w:r>
      <w:r w:rsidR="00296B6C">
        <w:t xml:space="preserve"> legislation permits the use of springboarding</w:t>
      </w:r>
      <w:r w:rsidR="00C55FEC">
        <w:t xml:space="preserve"> for human </w:t>
      </w:r>
      <w:r w:rsidR="009C5863">
        <w:t xml:space="preserve">and veterinary </w:t>
      </w:r>
      <w:r w:rsidR="00C55FEC">
        <w:t>pharmaceuticals</w:t>
      </w:r>
      <w:r w:rsidR="00296B6C">
        <w:t>.</w:t>
      </w:r>
      <w:r w:rsidR="00AF1827">
        <w:t xml:space="preserve"> </w:t>
      </w:r>
      <w:r w:rsidR="00AC2040">
        <w:t>The EU allows springboarding</w:t>
      </w:r>
      <w:r w:rsidR="006264F3">
        <w:t>,</w:t>
      </w:r>
      <w:r w:rsidR="00AC2040">
        <w:t xml:space="preserve"> however</w:t>
      </w:r>
      <w:r w:rsidR="006264F3">
        <w:t>,</w:t>
      </w:r>
      <w:r w:rsidR="00AC2040">
        <w:t xml:space="preserve"> the scope and timing of the exemption varies between countries. </w:t>
      </w:r>
      <w:r w:rsidR="00296B6C">
        <w:t xml:space="preserve">A summary of springboarding provisions </w:t>
      </w:r>
      <w:r w:rsidR="00D75D87">
        <w:t xml:space="preserve">in selected countries </w:t>
      </w:r>
      <w:r w:rsidR="006677A3">
        <w:t xml:space="preserve">is </w:t>
      </w:r>
      <w:r w:rsidR="00296B6C">
        <w:t xml:space="preserve">provided in </w:t>
      </w:r>
      <w:r w:rsidR="00296B6C">
        <w:fldChar w:fldCharType="begin"/>
      </w:r>
      <w:r w:rsidR="00296B6C">
        <w:instrText xml:space="preserve"> REF _Ref485390047 \h </w:instrText>
      </w:r>
      <w:r w:rsidR="00296B6C">
        <w:fldChar w:fldCharType="separate"/>
      </w:r>
      <w:r w:rsidR="0087688C" w:rsidRPr="00FC29C8">
        <w:rPr>
          <w:rStyle w:val="CaptionLabel"/>
        </w:rPr>
        <w:t>Table</w:t>
      </w:r>
      <w:r w:rsidR="0087688C">
        <w:rPr>
          <w:rStyle w:val="CaptionLabel"/>
        </w:rPr>
        <w:t> </w:t>
      </w:r>
      <w:r w:rsidR="0087688C">
        <w:rPr>
          <w:rStyle w:val="CaptionLabel"/>
          <w:noProof/>
        </w:rPr>
        <w:t>7</w:t>
      </w:r>
      <w:r w:rsidR="0087688C" w:rsidRPr="00FC29C8">
        <w:rPr>
          <w:rStyle w:val="CaptionLabel"/>
        </w:rPr>
        <w:t>.</w:t>
      </w:r>
      <w:r w:rsidR="0087688C">
        <w:rPr>
          <w:rStyle w:val="CaptionLabel"/>
          <w:noProof/>
        </w:rPr>
        <w:t>3</w:t>
      </w:r>
      <w:r w:rsidR="00296B6C">
        <w:fldChar w:fldCharType="end"/>
      </w:r>
      <w:r w:rsidR="00296B6C">
        <w:t>.</w:t>
      </w:r>
    </w:p>
    <w:p w:rsidR="00C46CD5" w:rsidRDefault="00C46CD5" w:rsidP="00E3779A">
      <w:pPr>
        <w:pStyle w:val="Caption"/>
        <w:spacing w:before="160"/>
        <w:ind w:left="-2268" w:hanging="142"/>
      </w:pPr>
      <w:bookmarkStart w:id="178" w:name="_Ref485390047"/>
      <w:bookmarkStart w:id="179" w:name="_Toc497132823"/>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1977DE">
        <w:rPr>
          <w:rStyle w:val="CaptionLabel"/>
          <w:noProof/>
        </w:rPr>
        <w:t>7</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1977DE">
        <w:rPr>
          <w:rStyle w:val="CaptionLabel"/>
          <w:noProof/>
        </w:rPr>
        <w:t>3</w:t>
      </w:r>
      <w:r w:rsidRPr="00FC29C8">
        <w:rPr>
          <w:rStyle w:val="CaptionLabel"/>
        </w:rPr>
        <w:fldChar w:fldCharType="end"/>
      </w:r>
      <w:bookmarkEnd w:id="178"/>
      <w:r>
        <w:tab/>
        <w:t>Springboarding provisions</w:t>
      </w:r>
      <w:bookmarkEnd w:id="179"/>
    </w:p>
    <w:tbl>
      <w:tblPr>
        <w:tblW w:w="10774" w:type="dxa"/>
        <w:tblInd w:w="-2552" w:type="dxa"/>
        <w:tblLayout w:type="fixed"/>
        <w:tblCellMar>
          <w:left w:w="0" w:type="dxa"/>
          <w:bottom w:w="40" w:type="dxa"/>
          <w:right w:w="0" w:type="dxa"/>
        </w:tblCellMar>
        <w:tblLook w:val="0000" w:firstRow="0" w:lastRow="0" w:firstColumn="0" w:lastColumn="0" w:noHBand="0" w:noVBand="0"/>
        <w:tblDescription w:val="table_Std"/>
      </w:tblPr>
      <w:tblGrid>
        <w:gridCol w:w="140"/>
        <w:gridCol w:w="1136"/>
        <w:gridCol w:w="569"/>
        <w:gridCol w:w="140"/>
        <w:gridCol w:w="851"/>
        <w:gridCol w:w="142"/>
        <w:gridCol w:w="1842"/>
        <w:gridCol w:w="1560"/>
        <w:gridCol w:w="4394"/>
      </w:tblGrid>
      <w:tr w:rsidR="00E86A68" w:rsidTr="00E3779A">
        <w:trPr>
          <w:cantSplit/>
          <w:tblHeader/>
        </w:trPr>
        <w:tc>
          <w:tcPr>
            <w:tcW w:w="592" w:type="pct"/>
            <w:gridSpan w:val="2"/>
            <w:shd w:val="clear" w:color="auto" w:fill="9D57A6"/>
            <w:tcMar>
              <w:left w:w="454" w:type="dxa"/>
              <w:bottom w:w="0" w:type="dxa"/>
            </w:tcMar>
          </w:tcPr>
          <w:p w:rsidR="00C46CD5" w:rsidRDefault="00C23F76" w:rsidP="00E3779A">
            <w:pPr>
              <w:pStyle w:val="Tablecolumnheadings"/>
              <w:ind w:left="-312"/>
            </w:pPr>
            <w:r>
              <w:t>Country</w:t>
            </w:r>
          </w:p>
        </w:tc>
        <w:tc>
          <w:tcPr>
            <w:tcW w:w="329" w:type="pct"/>
            <w:gridSpan w:val="2"/>
            <w:shd w:val="clear" w:color="auto" w:fill="9D57A6"/>
            <w:tcMar>
              <w:bottom w:w="0" w:type="dxa"/>
            </w:tcMar>
          </w:tcPr>
          <w:p w:rsidR="00C46CD5" w:rsidRDefault="009E7FDF" w:rsidP="00044DD1">
            <w:pPr>
              <w:pStyle w:val="Tablecolumnheadings"/>
            </w:pPr>
            <w:r>
              <w:t>H</w:t>
            </w:r>
            <w:r w:rsidR="00C23F76">
              <w:t>uman</w:t>
            </w:r>
          </w:p>
        </w:tc>
        <w:tc>
          <w:tcPr>
            <w:tcW w:w="461" w:type="pct"/>
            <w:gridSpan w:val="2"/>
            <w:shd w:val="clear" w:color="auto" w:fill="9D57A6"/>
            <w:tcMar>
              <w:bottom w:w="0" w:type="dxa"/>
            </w:tcMar>
          </w:tcPr>
          <w:p w:rsidR="00C46CD5" w:rsidRDefault="009E7FDF" w:rsidP="009E7FDF">
            <w:pPr>
              <w:pStyle w:val="Tablecolumnheadings"/>
            </w:pPr>
            <w:r>
              <w:t>V</w:t>
            </w:r>
            <w:r w:rsidR="00C23F76">
              <w:t xml:space="preserve">eterinary </w:t>
            </w:r>
          </w:p>
        </w:tc>
        <w:tc>
          <w:tcPr>
            <w:tcW w:w="855" w:type="pct"/>
            <w:shd w:val="clear" w:color="auto" w:fill="9D57A6"/>
            <w:tcMar>
              <w:bottom w:w="0" w:type="dxa"/>
            </w:tcMar>
          </w:tcPr>
          <w:p w:rsidR="00C46CD5" w:rsidRDefault="00C23F76" w:rsidP="00C46CD5">
            <w:pPr>
              <w:pStyle w:val="Tablecolumnheadings"/>
            </w:pPr>
            <w:r>
              <w:t>Timing</w:t>
            </w:r>
          </w:p>
        </w:tc>
        <w:tc>
          <w:tcPr>
            <w:tcW w:w="724" w:type="pct"/>
            <w:shd w:val="clear" w:color="auto" w:fill="9D57A6"/>
            <w:tcMar>
              <w:bottom w:w="0" w:type="dxa"/>
            </w:tcMar>
          </w:tcPr>
          <w:p w:rsidR="00C46CD5" w:rsidRDefault="00C23F76" w:rsidP="00C46CD5">
            <w:pPr>
              <w:pStyle w:val="Tablecolumnheadings"/>
            </w:pPr>
            <w:r>
              <w:t>Type of patent</w:t>
            </w:r>
          </w:p>
        </w:tc>
        <w:tc>
          <w:tcPr>
            <w:tcW w:w="2039" w:type="pct"/>
            <w:shd w:val="clear" w:color="auto" w:fill="9D57A6"/>
            <w:tcMar>
              <w:bottom w:w="0" w:type="dxa"/>
            </w:tcMar>
          </w:tcPr>
          <w:p w:rsidR="00C46CD5" w:rsidRDefault="00C23F76" w:rsidP="00C46CD5">
            <w:pPr>
              <w:pStyle w:val="Tablecolumnheadings"/>
            </w:pPr>
            <w:r>
              <w:t>Purpose of use</w:t>
            </w:r>
          </w:p>
        </w:tc>
      </w:tr>
      <w:tr w:rsidR="00044DD1" w:rsidTr="00E3779A">
        <w:tblPrEx>
          <w:tblBorders>
            <w:bottom w:val="single" w:sz="4" w:space="0" w:color="646464"/>
            <w:insideH w:val="single" w:sz="4" w:space="0" w:color="646464"/>
          </w:tblBorders>
        </w:tblPrEx>
        <w:trPr>
          <w:gridBefore w:val="1"/>
          <w:wBefore w:w="65" w:type="pct"/>
          <w:cantSplit/>
        </w:trPr>
        <w:tc>
          <w:tcPr>
            <w:tcW w:w="527" w:type="pct"/>
            <w:tcBorders>
              <w:top w:val="nil"/>
            </w:tcBorders>
            <w:shd w:val="clear" w:color="auto" w:fill="auto"/>
          </w:tcPr>
          <w:p w:rsidR="00C46CD5" w:rsidRPr="00E3779A" w:rsidRDefault="00C23F76" w:rsidP="009E7FDF">
            <w:pPr>
              <w:pStyle w:val="Tabletext"/>
              <w:rPr>
                <w:b/>
              </w:rPr>
            </w:pPr>
            <w:r w:rsidRPr="00E3779A">
              <w:rPr>
                <w:b/>
              </w:rPr>
              <w:t>Australia</w:t>
            </w:r>
          </w:p>
        </w:tc>
        <w:tc>
          <w:tcPr>
            <w:tcW w:w="264" w:type="pct"/>
            <w:tcBorders>
              <w:top w:val="nil"/>
            </w:tcBorders>
            <w:shd w:val="clear" w:color="auto" w:fill="auto"/>
          </w:tcPr>
          <w:p w:rsidR="00C46CD5" w:rsidRDefault="00C23F76" w:rsidP="009E7FDF">
            <w:pPr>
              <w:pStyle w:val="Tabletext"/>
            </w:pPr>
            <w:r>
              <w:t>Yes</w:t>
            </w:r>
          </w:p>
        </w:tc>
        <w:tc>
          <w:tcPr>
            <w:tcW w:w="460" w:type="pct"/>
            <w:gridSpan w:val="2"/>
            <w:tcBorders>
              <w:top w:val="nil"/>
            </w:tcBorders>
            <w:shd w:val="clear" w:color="auto" w:fill="auto"/>
          </w:tcPr>
          <w:p w:rsidR="00C46CD5" w:rsidRDefault="00840829" w:rsidP="009E7FDF">
            <w:pPr>
              <w:pStyle w:val="Tabletext"/>
            </w:pPr>
            <w:r>
              <w:t>Yes</w:t>
            </w:r>
          </w:p>
        </w:tc>
        <w:tc>
          <w:tcPr>
            <w:tcW w:w="921" w:type="pct"/>
            <w:gridSpan w:val="2"/>
            <w:tcBorders>
              <w:top w:val="nil"/>
            </w:tcBorders>
            <w:shd w:val="clear" w:color="auto" w:fill="auto"/>
          </w:tcPr>
          <w:p w:rsidR="00C46CD5" w:rsidRDefault="00AF1827" w:rsidP="00AF1827">
            <w:pPr>
              <w:pStyle w:val="Tabletext"/>
            </w:pPr>
            <w:r>
              <w:t>At any time during the patent term</w:t>
            </w:r>
            <w:r w:rsidR="00544349">
              <w:t xml:space="preserve"> and patent extension term</w:t>
            </w:r>
            <w:r>
              <w:t xml:space="preserve"> </w:t>
            </w:r>
          </w:p>
        </w:tc>
        <w:tc>
          <w:tcPr>
            <w:tcW w:w="724" w:type="pct"/>
            <w:tcBorders>
              <w:top w:val="nil"/>
            </w:tcBorders>
            <w:shd w:val="clear" w:color="auto" w:fill="auto"/>
          </w:tcPr>
          <w:p w:rsidR="00786FEE" w:rsidRDefault="001059B8" w:rsidP="00CB3A11">
            <w:pPr>
              <w:pStyle w:val="Tabletext"/>
            </w:pPr>
            <w:r>
              <w:t>Since 2012, a</w:t>
            </w:r>
            <w:r w:rsidR="00786FEE">
              <w:t>ny technolog</w:t>
            </w:r>
            <w:r>
              <w:t xml:space="preserve">y </w:t>
            </w:r>
          </w:p>
          <w:p w:rsidR="00C46CD5" w:rsidRDefault="00C46CD5" w:rsidP="00B614FD">
            <w:pPr>
              <w:pStyle w:val="Tabletext"/>
            </w:pPr>
          </w:p>
        </w:tc>
        <w:tc>
          <w:tcPr>
            <w:tcW w:w="2039" w:type="pct"/>
            <w:tcBorders>
              <w:top w:val="nil"/>
            </w:tcBorders>
            <w:shd w:val="clear" w:color="auto" w:fill="auto"/>
          </w:tcPr>
          <w:p w:rsidR="00C46CD5" w:rsidRDefault="002735B2" w:rsidP="0012708F">
            <w:pPr>
              <w:pStyle w:val="Tabletext"/>
            </w:pPr>
            <w:r>
              <w:t>Sole</w:t>
            </w:r>
            <w:r w:rsidR="00EB2148">
              <w:t>l</w:t>
            </w:r>
            <w:r>
              <w:t>y for</w:t>
            </w:r>
            <w:r w:rsidR="00F81C43">
              <w:t xml:space="preserve"> or in connection with obtaining an approval required by a Commonwealth, State or Territory law to exploit a product, method or process</w:t>
            </w:r>
          </w:p>
        </w:tc>
      </w:tr>
      <w:tr w:rsidR="00E86A68" w:rsidTr="00E3779A">
        <w:tblPrEx>
          <w:tblBorders>
            <w:bottom w:val="single" w:sz="4" w:space="0" w:color="646464"/>
            <w:insideH w:val="single" w:sz="4" w:space="0" w:color="646464"/>
          </w:tblBorders>
        </w:tblPrEx>
        <w:trPr>
          <w:gridBefore w:val="1"/>
          <w:wBefore w:w="65" w:type="pct"/>
          <w:cantSplit/>
        </w:trPr>
        <w:tc>
          <w:tcPr>
            <w:tcW w:w="527" w:type="pct"/>
            <w:shd w:val="clear" w:color="auto" w:fill="auto"/>
          </w:tcPr>
          <w:p w:rsidR="00C46CD5" w:rsidRPr="00E3779A" w:rsidRDefault="002516F8" w:rsidP="00C23F76">
            <w:pPr>
              <w:pStyle w:val="Tabletext"/>
              <w:rPr>
                <w:b/>
              </w:rPr>
            </w:pPr>
            <w:r w:rsidRPr="00E3779A">
              <w:rPr>
                <w:b/>
              </w:rPr>
              <w:t>USA</w:t>
            </w:r>
          </w:p>
        </w:tc>
        <w:tc>
          <w:tcPr>
            <w:tcW w:w="264" w:type="pct"/>
            <w:shd w:val="clear" w:color="auto" w:fill="auto"/>
          </w:tcPr>
          <w:p w:rsidR="00C46CD5" w:rsidRDefault="00C23F76" w:rsidP="00C23F76">
            <w:pPr>
              <w:pStyle w:val="Tabletext"/>
            </w:pPr>
            <w:r>
              <w:t>Yes</w:t>
            </w:r>
          </w:p>
        </w:tc>
        <w:tc>
          <w:tcPr>
            <w:tcW w:w="460" w:type="pct"/>
            <w:gridSpan w:val="2"/>
            <w:shd w:val="clear" w:color="auto" w:fill="auto"/>
          </w:tcPr>
          <w:p w:rsidR="00C46CD5" w:rsidRDefault="00C23F76" w:rsidP="00C23F76">
            <w:pPr>
              <w:pStyle w:val="Tabletext"/>
            </w:pPr>
            <w:r>
              <w:t>Yes</w:t>
            </w:r>
            <w:r w:rsidR="00AF1827">
              <w:t>, except certain new animal drugs</w:t>
            </w:r>
          </w:p>
        </w:tc>
        <w:tc>
          <w:tcPr>
            <w:tcW w:w="921" w:type="pct"/>
            <w:gridSpan w:val="2"/>
            <w:shd w:val="clear" w:color="auto" w:fill="auto"/>
          </w:tcPr>
          <w:p w:rsidR="00C46CD5" w:rsidRDefault="00C23F76" w:rsidP="00C23F76">
            <w:pPr>
              <w:pStyle w:val="Tabletext"/>
            </w:pPr>
            <w:r>
              <w:t>At any time during the patent term</w:t>
            </w:r>
            <w:r w:rsidR="00AF1827">
              <w:t xml:space="preserve"> and not apply during the patent extension period</w:t>
            </w:r>
          </w:p>
        </w:tc>
        <w:tc>
          <w:tcPr>
            <w:tcW w:w="724" w:type="pct"/>
            <w:shd w:val="clear" w:color="auto" w:fill="auto"/>
          </w:tcPr>
          <w:p w:rsidR="00C46CD5" w:rsidRDefault="00C23F76" w:rsidP="00C23F76">
            <w:pPr>
              <w:pStyle w:val="Tabletext"/>
            </w:pPr>
            <w:r>
              <w:t>Any patent</w:t>
            </w:r>
          </w:p>
        </w:tc>
        <w:tc>
          <w:tcPr>
            <w:tcW w:w="2039" w:type="pct"/>
            <w:shd w:val="clear" w:color="auto" w:fill="auto"/>
          </w:tcPr>
          <w:p w:rsidR="00C46CD5" w:rsidRDefault="00C23F76" w:rsidP="00C23F76">
            <w:pPr>
              <w:pStyle w:val="Tabletext"/>
            </w:pPr>
            <w:r>
              <w:t xml:space="preserve">Solely for uses reasonably related to the development and submission of information under a Federal law that regulates the manufacture, use of sale of human drugs or veterinary biological products </w:t>
            </w:r>
          </w:p>
        </w:tc>
      </w:tr>
      <w:tr w:rsidR="00E86A68" w:rsidTr="00E3779A">
        <w:tblPrEx>
          <w:tblBorders>
            <w:bottom w:val="single" w:sz="4" w:space="0" w:color="646464"/>
            <w:insideH w:val="single" w:sz="4" w:space="0" w:color="646464"/>
          </w:tblBorders>
        </w:tblPrEx>
        <w:trPr>
          <w:gridBefore w:val="1"/>
          <w:wBefore w:w="65" w:type="pct"/>
          <w:cantSplit/>
        </w:trPr>
        <w:tc>
          <w:tcPr>
            <w:tcW w:w="527" w:type="pct"/>
            <w:shd w:val="clear" w:color="auto" w:fill="auto"/>
          </w:tcPr>
          <w:p w:rsidR="009E7FDF" w:rsidRPr="00E3779A" w:rsidRDefault="009E7FDF" w:rsidP="009E7FDF">
            <w:pPr>
              <w:pStyle w:val="Tabletext"/>
              <w:rPr>
                <w:b/>
              </w:rPr>
            </w:pPr>
            <w:r w:rsidRPr="00E3779A">
              <w:rPr>
                <w:b/>
              </w:rPr>
              <w:t>Canada</w:t>
            </w:r>
          </w:p>
        </w:tc>
        <w:tc>
          <w:tcPr>
            <w:tcW w:w="264" w:type="pct"/>
            <w:shd w:val="clear" w:color="auto" w:fill="auto"/>
          </w:tcPr>
          <w:p w:rsidR="009E7FDF" w:rsidRDefault="009E7FDF" w:rsidP="009E7FDF">
            <w:pPr>
              <w:pStyle w:val="Tabletext"/>
            </w:pPr>
            <w:r>
              <w:t>Yes</w:t>
            </w:r>
          </w:p>
        </w:tc>
        <w:tc>
          <w:tcPr>
            <w:tcW w:w="460" w:type="pct"/>
            <w:gridSpan w:val="2"/>
            <w:shd w:val="clear" w:color="auto" w:fill="auto"/>
          </w:tcPr>
          <w:p w:rsidR="009E7FDF" w:rsidRDefault="009E7FDF" w:rsidP="009E7FDF">
            <w:pPr>
              <w:pStyle w:val="Tabletext"/>
            </w:pPr>
            <w:r>
              <w:t>Yes</w:t>
            </w:r>
          </w:p>
        </w:tc>
        <w:tc>
          <w:tcPr>
            <w:tcW w:w="921" w:type="pct"/>
            <w:gridSpan w:val="2"/>
            <w:shd w:val="clear" w:color="auto" w:fill="auto"/>
          </w:tcPr>
          <w:p w:rsidR="009E7FDF" w:rsidRDefault="009E7FDF" w:rsidP="009E7FDF">
            <w:pPr>
              <w:pStyle w:val="Tabletext"/>
            </w:pPr>
            <w:r>
              <w:t>At any time during the patent term</w:t>
            </w:r>
          </w:p>
        </w:tc>
        <w:tc>
          <w:tcPr>
            <w:tcW w:w="724" w:type="pct"/>
            <w:shd w:val="clear" w:color="auto" w:fill="auto"/>
          </w:tcPr>
          <w:p w:rsidR="009E7FDF" w:rsidRDefault="009E7FDF" w:rsidP="009E7FDF">
            <w:pPr>
              <w:pStyle w:val="Tabletext"/>
            </w:pPr>
            <w:r>
              <w:t>Any patent</w:t>
            </w:r>
          </w:p>
        </w:tc>
        <w:tc>
          <w:tcPr>
            <w:tcW w:w="2039" w:type="pct"/>
            <w:shd w:val="clear" w:color="auto" w:fill="auto"/>
          </w:tcPr>
          <w:p w:rsidR="009E7FDF" w:rsidRDefault="009E7FDF" w:rsidP="009E7FDF">
            <w:pPr>
              <w:pStyle w:val="Tabletext"/>
            </w:pPr>
            <w:r>
              <w:t>Solely for uses reasonably related to the development and submission of information required under any law of Canada, a province or a country other than Canada that regulates the manufacture, construction, use or sale of any product</w:t>
            </w:r>
          </w:p>
        </w:tc>
      </w:tr>
      <w:tr w:rsidR="00E86A68" w:rsidTr="00E3779A">
        <w:tblPrEx>
          <w:tblBorders>
            <w:bottom w:val="single" w:sz="4" w:space="0" w:color="646464"/>
            <w:insideH w:val="single" w:sz="4" w:space="0" w:color="646464"/>
          </w:tblBorders>
        </w:tblPrEx>
        <w:trPr>
          <w:gridBefore w:val="1"/>
          <w:wBefore w:w="65" w:type="pct"/>
          <w:cantSplit/>
        </w:trPr>
        <w:tc>
          <w:tcPr>
            <w:tcW w:w="527" w:type="pct"/>
            <w:shd w:val="clear" w:color="auto" w:fill="auto"/>
          </w:tcPr>
          <w:p w:rsidR="00544349" w:rsidRPr="00E3779A" w:rsidRDefault="00544349" w:rsidP="00544349">
            <w:pPr>
              <w:pStyle w:val="Tabletext"/>
              <w:rPr>
                <w:b/>
              </w:rPr>
            </w:pPr>
            <w:r w:rsidRPr="00E3779A">
              <w:rPr>
                <w:b/>
              </w:rPr>
              <w:t>New Zealand</w:t>
            </w:r>
          </w:p>
        </w:tc>
        <w:tc>
          <w:tcPr>
            <w:tcW w:w="264" w:type="pct"/>
            <w:shd w:val="clear" w:color="auto" w:fill="auto"/>
          </w:tcPr>
          <w:p w:rsidR="00544349" w:rsidRDefault="00544349" w:rsidP="00544349">
            <w:pPr>
              <w:pStyle w:val="Tabletext"/>
            </w:pPr>
            <w:r>
              <w:t>Yes</w:t>
            </w:r>
          </w:p>
        </w:tc>
        <w:tc>
          <w:tcPr>
            <w:tcW w:w="460" w:type="pct"/>
            <w:gridSpan w:val="2"/>
            <w:shd w:val="clear" w:color="auto" w:fill="auto"/>
          </w:tcPr>
          <w:p w:rsidR="00544349" w:rsidRDefault="00544349" w:rsidP="00544349">
            <w:pPr>
              <w:pStyle w:val="Tabletext"/>
            </w:pPr>
            <w:r>
              <w:t>Yes</w:t>
            </w:r>
          </w:p>
        </w:tc>
        <w:tc>
          <w:tcPr>
            <w:tcW w:w="921" w:type="pct"/>
            <w:gridSpan w:val="2"/>
            <w:shd w:val="clear" w:color="auto" w:fill="auto"/>
          </w:tcPr>
          <w:p w:rsidR="00544349" w:rsidRDefault="00544349" w:rsidP="007C3D1E">
            <w:pPr>
              <w:pStyle w:val="Tabletext"/>
            </w:pPr>
            <w:r>
              <w:t xml:space="preserve">At any time during the patent term, patent extensions are </w:t>
            </w:r>
            <w:r w:rsidR="007C3D1E">
              <w:t xml:space="preserve">not </w:t>
            </w:r>
            <w:r>
              <w:t>available in N</w:t>
            </w:r>
            <w:r w:rsidR="00DA10C4">
              <w:t>ew Zealand</w:t>
            </w:r>
          </w:p>
        </w:tc>
        <w:tc>
          <w:tcPr>
            <w:tcW w:w="724" w:type="pct"/>
            <w:shd w:val="clear" w:color="auto" w:fill="auto"/>
          </w:tcPr>
          <w:p w:rsidR="00544349" w:rsidRDefault="00544349" w:rsidP="00544349">
            <w:pPr>
              <w:pStyle w:val="Tabletext"/>
            </w:pPr>
            <w:r>
              <w:t>Any patent</w:t>
            </w:r>
          </w:p>
        </w:tc>
        <w:tc>
          <w:tcPr>
            <w:tcW w:w="2039" w:type="pct"/>
            <w:shd w:val="clear" w:color="auto" w:fill="auto"/>
          </w:tcPr>
          <w:p w:rsidR="00544349" w:rsidRDefault="00544349" w:rsidP="00544349">
            <w:pPr>
              <w:pStyle w:val="Tabletext"/>
            </w:pPr>
          </w:p>
        </w:tc>
      </w:tr>
      <w:tr w:rsidR="00E86A68" w:rsidTr="00BA66B3">
        <w:tblPrEx>
          <w:tblBorders>
            <w:bottom w:val="single" w:sz="4" w:space="0" w:color="646464"/>
            <w:insideH w:val="single" w:sz="4" w:space="0" w:color="646464"/>
          </w:tblBorders>
        </w:tblPrEx>
        <w:trPr>
          <w:gridBefore w:val="1"/>
          <w:wBefore w:w="65" w:type="pct"/>
          <w:cantSplit/>
        </w:trPr>
        <w:tc>
          <w:tcPr>
            <w:tcW w:w="4935" w:type="pct"/>
            <w:gridSpan w:val="8"/>
            <w:tcBorders>
              <w:bottom w:val="single" w:sz="4" w:space="0" w:color="646464"/>
            </w:tcBorders>
            <w:shd w:val="clear" w:color="auto" w:fill="auto"/>
          </w:tcPr>
          <w:p w:rsidR="00C46CD5" w:rsidRDefault="00C46CD5" w:rsidP="00C46CD5">
            <w:pPr>
              <w:pStyle w:val="Source"/>
            </w:pPr>
            <w:r>
              <w:t xml:space="preserve">Source: </w:t>
            </w:r>
            <w:r w:rsidR="005035AB">
              <w:t>Updated bas</w:t>
            </w:r>
            <w:r w:rsidR="009F2213">
              <w:t xml:space="preserve">ed on Christie A F et al (2002), Allens (2006) </w:t>
            </w:r>
            <w:r w:rsidR="005035AB">
              <w:t>and Pizzeys (2009)</w:t>
            </w:r>
          </w:p>
        </w:tc>
      </w:tr>
      <w:tr w:rsidR="00E86A68" w:rsidTr="00BA66B3">
        <w:tblPrEx>
          <w:tblBorders>
            <w:bottom w:val="single" w:sz="4" w:space="0" w:color="646464"/>
            <w:insideH w:val="single" w:sz="4" w:space="0" w:color="646464"/>
          </w:tblBorders>
        </w:tblPrEx>
        <w:trPr>
          <w:gridBefore w:val="1"/>
          <w:wBefore w:w="65" w:type="pct"/>
          <w:cantSplit/>
          <w:trHeight w:hRule="exact" w:val="120"/>
        </w:trPr>
        <w:tc>
          <w:tcPr>
            <w:tcW w:w="4935" w:type="pct"/>
            <w:gridSpan w:val="8"/>
            <w:tcBorders>
              <w:top w:val="single" w:sz="4" w:space="0" w:color="646464"/>
              <w:bottom w:val="nil"/>
            </w:tcBorders>
            <w:shd w:val="clear" w:color="auto" w:fill="auto"/>
          </w:tcPr>
          <w:p w:rsidR="00C46CD5" w:rsidRDefault="00C46CD5" w:rsidP="00C46CD5">
            <w:pPr>
              <w:pStyle w:val="spacertbl"/>
            </w:pPr>
          </w:p>
        </w:tc>
      </w:tr>
    </w:tbl>
    <w:p w:rsidR="00B54C87" w:rsidRDefault="00B54C87" w:rsidP="00B54C87">
      <w:pPr>
        <w:pStyle w:val="ListBullet"/>
        <w:numPr>
          <w:ilvl w:val="0"/>
          <w:numId w:val="0"/>
        </w:numPr>
      </w:pPr>
      <w:r>
        <w:t>In the USA</w:t>
      </w:r>
      <w:r w:rsidR="00D278F1">
        <w:t>, New Zealand</w:t>
      </w:r>
      <w:r>
        <w:t xml:space="preserve"> and Canada, springboarding is allowed at any time during the patent term for any type of patent. In Australia, springboarding</w:t>
      </w:r>
      <w:r w:rsidR="00D05D5C">
        <w:t xml:space="preserve"> </w:t>
      </w:r>
      <w:r w:rsidR="003E471F">
        <w:t>can occur at any time during the patent or patent extension term. In 2012, springboarding became possible in Australia for all technologies</w:t>
      </w:r>
      <w:r w:rsidR="009D42F0">
        <w:t xml:space="preserve"> where regulatory approval is required</w:t>
      </w:r>
      <w:r w:rsidR="003E471F">
        <w:t>.</w:t>
      </w:r>
    </w:p>
    <w:p w:rsidR="00A70BBF" w:rsidRDefault="00111EDD" w:rsidP="009F2213">
      <w:pPr>
        <w:pStyle w:val="BodyText"/>
      </w:pPr>
      <w:r>
        <w:t xml:space="preserve">Australia, Canada and </w:t>
      </w:r>
      <w:r w:rsidR="009F2213" w:rsidRPr="00530DAA">
        <w:t xml:space="preserve">New Zealand allow </w:t>
      </w:r>
      <w:r w:rsidR="00D278F1">
        <w:t xml:space="preserve">springboarding in relation to </w:t>
      </w:r>
      <w:r w:rsidR="009F2213" w:rsidRPr="00530DAA">
        <w:t xml:space="preserve">any patent for the purposes of obtaining </w:t>
      </w:r>
      <w:r w:rsidR="00D278F1">
        <w:t xml:space="preserve">domestic </w:t>
      </w:r>
      <w:r w:rsidR="009F2213" w:rsidRPr="00530DAA">
        <w:t>or foreign regulatory approval. In the U</w:t>
      </w:r>
      <w:r w:rsidR="007C3D1E">
        <w:t>SA</w:t>
      </w:r>
      <w:r w:rsidR="009F2213" w:rsidRPr="00530DAA">
        <w:t xml:space="preserve">, springboarding is permitted only in relation to obtaining domestic regulatory approval for both pharmaceuticals and veterinary medicinal products. </w:t>
      </w:r>
    </w:p>
    <w:p w:rsidR="002F3BAA" w:rsidRDefault="009F2213" w:rsidP="009F2213">
      <w:pPr>
        <w:pStyle w:val="BodyText"/>
      </w:pPr>
      <w:r>
        <w:t>Overall</w:t>
      </w:r>
      <w:r w:rsidRPr="00530DAA">
        <w:t xml:space="preserve">, the </w:t>
      </w:r>
      <w:r>
        <w:t xml:space="preserve">springboard provisions in selected countries are </w:t>
      </w:r>
      <w:r w:rsidRPr="00530DAA">
        <w:t>consistent</w:t>
      </w:r>
      <w:r w:rsidR="00A54BAE">
        <w:t xml:space="preserve"> </w:t>
      </w:r>
      <w:r w:rsidR="00BA66B3">
        <w:t>—</w:t>
      </w:r>
      <w:r w:rsidR="00A54BAE">
        <w:t xml:space="preserve"> </w:t>
      </w:r>
      <w:r w:rsidRPr="00530DAA">
        <w:t>springboarding is only allowed in connection with obtaining regulatory approval of a generic version of the patented product. Use of a patent</w:t>
      </w:r>
      <w:r w:rsidR="00A131DB">
        <w:t>ed</w:t>
      </w:r>
      <w:r w:rsidRPr="00530DAA">
        <w:t xml:space="preserve"> product beyond this purpose may constitute patent infringement</w:t>
      </w:r>
      <w:r>
        <w:t>.</w:t>
      </w:r>
    </w:p>
    <w:p w:rsidR="00BA66B3" w:rsidRDefault="00BA66B3" w:rsidP="00BA66B3">
      <w:pPr>
        <w:pStyle w:val="Heading2"/>
      </w:pPr>
      <w:bookmarkStart w:id="180" w:name="_Toc497300862"/>
      <w:r>
        <w:t>Conclusions</w:t>
      </w:r>
      <w:bookmarkEnd w:id="180"/>
    </w:p>
    <w:p w:rsidR="00BA66B3" w:rsidRDefault="00BA66B3" w:rsidP="009F2213">
      <w:pPr>
        <w:pStyle w:val="BodyText"/>
      </w:pPr>
      <w:r>
        <w:t xml:space="preserve">The major differences between the </w:t>
      </w:r>
      <w:r w:rsidR="00DA10C4">
        <w:t xml:space="preserve">registration and supporting </w:t>
      </w:r>
      <w:r>
        <w:t xml:space="preserve">IP arrangements for human and veterinary products </w:t>
      </w:r>
      <w:r w:rsidR="00DA10C4">
        <w:t>lie in:</w:t>
      </w:r>
    </w:p>
    <w:p w:rsidR="00DA10C4" w:rsidRDefault="006E7439" w:rsidP="00DA10C4">
      <w:pPr>
        <w:pStyle w:val="ListBullet"/>
      </w:pPr>
      <w:r w:rsidRPr="006E7439">
        <w:rPr>
          <w:b/>
        </w:rPr>
        <w:t>Administrative responsibility</w:t>
      </w:r>
      <w:r>
        <w:t xml:space="preserve">: </w:t>
      </w:r>
      <w:r w:rsidR="00DA10C4">
        <w:t xml:space="preserve">The </w:t>
      </w:r>
      <w:r w:rsidR="009C30A7">
        <w:t xml:space="preserve">international </w:t>
      </w:r>
      <w:r w:rsidR="00DA10C4">
        <w:t>agencies responsible for veterinary product regulation are generally also responsible for the regulation of human pharmaceuticals</w:t>
      </w:r>
      <w:r w:rsidR="00A54BAE">
        <w:t>.</w:t>
      </w:r>
    </w:p>
    <w:p w:rsidR="00DA10C4" w:rsidRDefault="006E7439" w:rsidP="00DA10C4">
      <w:pPr>
        <w:pStyle w:val="ListBullet"/>
      </w:pPr>
      <w:r w:rsidRPr="006E7439">
        <w:rPr>
          <w:b/>
        </w:rPr>
        <w:t>Patent extensions</w:t>
      </w:r>
      <w:r>
        <w:t xml:space="preserve">: </w:t>
      </w:r>
      <w:r w:rsidR="00DA10C4">
        <w:t xml:space="preserve">The EU, USA and Canada allow patent extensions for </w:t>
      </w:r>
      <w:r w:rsidR="003D37F8">
        <w:t xml:space="preserve">both </w:t>
      </w:r>
      <w:r w:rsidR="00DA10C4">
        <w:t xml:space="preserve">veterinary </w:t>
      </w:r>
      <w:r>
        <w:t xml:space="preserve">and human </w:t>
      </w:r>
      <w:r w:rsidR="00DA10C4">
        <w:t>pharmaceuticals</w:t>
      </w:r>
      <w:r>
        <w:t xml:space="preserve"> (albeit in different ways)</w:t>
      </w:r>
      <w:r w:rsidR="00A54BAE">
        <w:t xml:space="preserve"> </w:t>
      </w:r>
      <w:r w:rsidR="00DA10C4">
        <w:t>—</w:t>
      </w:r>
      <w:r w:rsidR="00A54BAE">
        <w:t xml:space="preserve"> </w:t>
      </w:r>
      <w:r w:rsidR="00DA10C4">
        <w:t>Australia and New Zealand do not</w:t>
      </w:r>
      <w:r w:rsidR="00A54BAE">
        <w:t>.</w:t>
      </w:r>
    </w:p>
    <w:p w:rsidR="00DA10C4" w:rsidRDefault="006E7439" w:rsidP="006918CC">
      <w:pPr>
        <w:pStyle w:val="ListBullet2"/>
      </w:pPr>
      <w:r>
        <w:t>The EU allow</w:t>
      </w:r>
      <w:r w:rsidR="00EF7BE9">
        <w:t>s</w:t>
      </w:r>
      <w:r>
        <w:t xml:space="preserve"> patent extensions for plant protection products</w:t>
      </w:r>
      <w:r w:rsidR="00A54BAE">
        <w:t xml:space="preserve"> </w:t>
      </w:r>
      <w:r>
        <w:t>—</w:t>
      </w:r>
      <w:r w:rsidR="00A54BAE">
        <w:t xml:space="preserve"> </w:t>
      </w:r>
      <w:r w:rsidR="00EF7BE9">
        <w:t xml:space="preserve">Canada, </w:t>
      </w:r>
      <w:r>
        <w:t>Australia, the USA and New Zealand do not</w:t>
      </w:r>
    </w:p>
    <w:p w:rsidR="006E7439" w:rsidRDefault="006E7439" w:rsidP="006918CC">
      <w:pPr>
        <w:pStyle w:val="ListBullet2"/>
      </w:pPr>
      <w:r>
        <w:t>Canada’s patent extensions are less generous than those provided by the USA, EU and Australia</w:t>
      </w:r>
    </w:p>
    <w:p w:rsidR="006E7439" w:rsidRPr="007C3D1E" w:rsidRDefault="006E7439" w:rsidP="00DA10C4">
      <w:pPr>
        <w:pStyle w:val="ListBullet"/>
      </w:pPr>
      <w:r w:rsidRPr="007C3D1E">
        <w:rPr>
          <w:b/>
        </w:rPr>
        <w:t>Regulatory data protection</w:t>
      </w:r>
      <w:r w:rsidRPr="007C3D1E">
        <w:t>:</w:t>
      </w:r>
      <w:r w:rsidR="00F231EF" w:rsidRPr="007C3D1E">
        <w:t xml:space="preserve"> </w:t>
      </w:r>
      <w:r w:rsidR="000B309A" w:rsidRPr="007C3D1E">
        <w:t xml:space="preserve">For agvet products, </w:t>
      </w:r>
      <w:r w:rsidR="00F231EF" w:rsidRPr="007C3D1E">
        <w:t>Australia provides 10 years of data exclusivity from the date of registration.</w:t>
      </w:r>
      <w:r w:rsidR="000B309A" w:rsidRPr="007C3D1E">
        <w:t xml:space="preserve"> For human pharmaceuticals the data protection period is 5 years. </w:t>
      </w:r>
    </w:p>
    <w:p w:rsidR="000B309A" w:rsidRPr="007C3D1E" w:rsidRDefault="000B309A" w:rsidP="006918CC">
      <w:pPr>
        <w:pStyle w:val="ListBullet2"/>
      </w:pPr>
      <w:r w:rsidRPr="007C3D1E">
        <w:t xml:space="preserve">In the EU, pharmaceutical products generally receive </w:t>
      </w:r>
      <w:r w:rsidR="006F3A54" w:rsidRPr="007C3D1E">
        <w:t xml:space="preserve">8+2+1 </w:t>
      </w:r>
      <w:r w:rsidRPr="007C3D1E">
        <w:t xml:space="preserve">year data protection while agvet </w:t>
      </w:r>
      <w:r w:rsidR="007C3D1E">
        <w:t xml:space="preserve">products </w:t>
      </w:r>
      <w:r w:rsidRPr="007C3D1E">
        <w:t xml:space="preserve">receive </w:t>
      </w:r>
      <w:r w:rsidR="006F3A54" w:rsidRPr="007C3D1E">
        <w:t>10+1 year data protection.</w:t>
      </w:r>
    </w:p>
    <w:p w:rsidR="006E7439" w:rsidRPr="007C3D1E" w:rsidRDefault="000B309A" w:rsidP="006918CC">
      <w:pPr>
        <w:pStyle w:val="ListBullet2"/>
      </w:pPr>
      <w:r w:rsidRPr="007C3D1E">
        <w:t xml:space="preserve">In the USA pharmaceuticals can receive 5 or </w:t>
      </w:r>
      <w:r w:rsidR="006F3A54" w:rsidRPr="007C3D1E">
        <w:t xml:space="preserve">7 </w:t>
      </w:r>
      <w:r w:rsidRPr="007C3D1E">
        <w:t>years of data protection</w:t>
      </w:r>
    </w:p>
    <w:p w:rsidR="00E64691" w:rsidRPr="007C3D1E" w:rsidRDefault="00E64691" w:rsidP="006918CC">
      <w:pPr>
        <w:pStyle w:val="ListBullet2"/>
      </w:pPr>
      <w:r w:rsidRPr="007C3D1E">
        <w:t>In Canada</w:t>
      </w:r>
      <w:r w:rsidR="006F3A54" w:rsidRPr="007C3D1E">
        <w:t xml:space="preserve"> pharmaceuticals can receive 8 years of data protection</w:t>
      </w:r>
    </w:p>
    <w:p w:rsidR="00E64691" w:rsidRPr="007C3D1E" w:rsidRDefault="00E64691" w:rsidP="006918CC">
      <w:pPr>
        <w:pStyle w:val="ListBullet2"/>
      </w:pPr>
      <w:r w:rsidRPr="007C3D1E">
        <w:t>In New Zealand</w:t>
      </w:r>
      <w:r w:rsidR="006F3A54" w:rsidRPr="007C3D1E">
        <w:t xml:space="preserve">, 10 years of data exclusivity </w:t>
      </w:r>
      <w:r w:rsidR="007C3D1E">
        <w:t xml:space="preserve">is provided for agvet products </w:t>
      </w:r>
      <w:r w:rsidR="006F3A54" w:rsidRPr="007C3D1E">
        <w:t xml:space="preserve">from the date of registration. For human pharmaceuticals the data protection period is 5 years, </w:t>
      </w:r>
      <w:r w:rsidR="00110B20">
        <w:t xml:space="preserve">equivalent </w:t>
      </w:r>
      <w:r w:rsidR="006F3A54" w:rsidRPr="007C3D1E">
        <w:t xml:space="preserve">to the Australian data </w:t>
      </w:r>
      <w:r w:rsidR="00D970A6">
        <w:t xml:space="preserve">protection </w:t>
      </w:r>
      <w:r w:rsidR="00287D3B">
        <w:t>period</w:t>
      </w:r>
      <w:r w:rsidR="006F3A54" w:rsidRPr="007C3D1E">
        <w:t>.</w:t>
      </w:r>
    </w:p>
    <w:p w:rsidR="00E64691" w:rsidRDefault="00044DD1" w:rsidP="00DA10C4">
      <w:pPr>
        <w:pStyle w:val="ListBullet"/>
      </w:pPr>
      <w:r w:rsidRPr="00044DD1">
        <w:rPr>
          <w:b/>
        </w:rPr>
        <w:t>Springboarding</w:t>
      </w:r>
      <w:r>
        <w:t>: Australia, New Zealand and Canada allow springboarding for both human pharmaceutical and veterinary products, as does the USA (with some exceptions). The EU allow</w:t>
      </w:r>
      <w:r w:rsidR="00AC2040">
        <w:t>s</w:t>
      </w:r>
      <w:r>
        <w:t xml:space="preserve"> springboarding</w:t>
      </w:r>
      <w:r w:rsidR="002261BB">
        <w:t>,</w:t>
      </w:r>
      <w:r w:rsidR="00AC2040">
        <w:t xml:space="preserve"> however the details vary between countries</w:t>
      </w:r>
      <w:r>
        <w:t>.</w:t>
      </w:r>
    </w:p>
    <w:p w:rsidR="00044DD1" w:rsidRDefault="00965410" w:rsidP="00044DD1">
      <w:pPr>
        <w:pStyle w:val="BodyText"/>
      </w:pPr>
      <w:r>
        <w:t>It is difficult to draw conclusions from the above comparisons. Given that the EU and the USA are both large markets with significant agvet and human pharmaceutical manufacturing activity, their regulatory practices are likely to be influenced by the factors</w:t>
      </w:r>
      <w:r w:rsidR="006918CC">
        <w:t xml:space="preserve"> listed immediately above</w:t>
      </w:r>
      <w:r>
        <w:t xml:space="preserve">. Canada may be the most relevant comparator, but regulatory practices </w:t>
      </w:r>
      <w:r w:rsidR="007C3D1E">
        <w:t xml:space="preserve">in Canada </w:t>
      </w:r>
      <w:r>
        <w:t>appear to be influenced by its US neighbour.</w:t>
      </w:r>
      <w:r w:rsidR="007C3D1E">
        <w:t xml:space="preserve"> New Zealand and Australia are </w:t>
      </w:r>
      <w:r>
        <w:t>somewhat different.</w:t>
      </w:r>
    </w:p>
    <w:p w:rsidR="0097731D" w:rsidRDefault="0097731D" w:rsidP="0097731D">
      <w:pPr>
        <w:pStyle w:val="BodyText"/>
      </w:pPr>
      <w:r>
        <w:t xml:space="preserve">Australia’s </w:t>
      </w:r>
      <w:r w:rsidRPr="0097731D">
        <w:t xml:space="preserve">springboarding provisions </w:t>
      </w:r>
      <w:r w:rsidR="003D37F8">
        <w:t xml:space="preserve">for </w:t>
      </w:r>
      <w:r w:rsidR="00520DD1">
        <w:t>ag</w:t>
      </w:r>
      <w:r w:rsidR="003D37F8">
        <w:t>vet products</w:t>
      </w:r>
      <w:r w:rsidRPr="0097731D">
        <w:t xml:space="preserve"> have been in place for </w:t>
      </w:r>
      <w:r w:rsidR="00A54BAE">
        <w:t xml:space="preserve">only </w:t>
      </w:r>
      <w:r w:rsidRPr="0097731D">
        <w:t xml:space="preserve">a few years and it may take more time before their </w:t>
      </w:r>
      <w:r>
        <w:t xml:space="preserve">impact on </w:t>
      </w:r>
      <w:r w:rsidRPr="0097731D">
        <w:t>encouraging generics can be seen.</w:t>
      </w:r>
    </w:p>
    <w:p w:rsidR="0097731D" w:rsidRPr="00044DD1" w:rsidRDefault="0097731D" w:rsidP="00044DD1">
      <w:pPr>
        <w:pStyle w:val="BodyText"/>
      </w:pPr>
    </w:p>
    <w:p w:rsidR="002F3BAA" w:rsidRDefault="002F3BAA" w:rsidP="00F1413A">
      <w:pPr>
        <w:pStyle w:val="BodyText"/>
      </w:pPr>
    </w:p>
    <w:p w:rsidR="002F3BAA" w:rsidRDefault="002F3BAA" w:rsidP="00F1413A">
      <w:pPr>
        <w:pStyle w:val="BodyText"/>
        <w:sectPr w:rsidR="002F3BAA" w:rsidSect="002F3BAA">
          <w:headerReference w:type="even" r:id="rId95"/>
          <w:headerReference w:type="default" r:id="rId96"/>
          <w:footerReference w:type="even" r:id="rId97"/>
          <w:headerReference w:type="first" r:id="rId98"/>
          <w:footerReference w:type="first" r:id="rId99"/>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
      </w:tblPr>
      <w:tblGrid>
        <w:gridCol w:w="4738"/>
        <w:gridCol w:w="3430"/>
      </w:tblGrid>
      <w:tr w:rsidR="002F3BAA" w:rsidTr="00D92760">
        <w:trPr>
          <w:trHeight w:hRule="exact" w:val="382"/>
        </w:trPr>
        <w:tc>
          <w:tcPr>
            <w:tcW w:w="4738" w:type="dxa"/>
            <w:shd w:val="clear" w:color="auto" w:fill="9D57A6"/>
          </w:tcPr>
          <w:p w:rsidR="002F3BAA" w:rsidRDefault="00546375" w:rsidP="00F1413A">
            <w:pPr>
              <w:pStyle w:val="tagchapterBanner"/>
            </w:pPr>
            <w:r>
              <w:rPr>
                <w:noProof/>
                <w:lang w:eastAsia="en-AU"/>
              </w:rPr>
              <mc:AlternateContent>
                <mc:Choice Requires="wps">
                  <w:drawing>
                    <wp:anchor distT="0" distB="0" distL="114300" distR="114300" simplePos="0" relativeHeight="251924480" behindDoc="0" locked="1" layoutInCell="1" allowOverlap="1" wp14:anchorId="05421CC8" wp14:editId="5456CE77">
                      <wp:simplePos x="0" y="0"/>
                      <wp:positionH relativeFrom="page">
                        <wp:posOffset>158750</wp:posOffset>
                      </wp:positionH>
                      <wp:positionV relativeFrom="page">
                        <wp:posOffset>6350</wp:posOffset>
                      </wp:positionV>
                      <wp:extent cx="439420" cy="215265"/>
                      <wp:effectExtent l="0" t="0" r="0" b="0"/>
                      <wp:wrapNone/>
                      <wp:docPr id="14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72339E" id="Freeform 5" o:spid="_x0000_s1026" style="position:absolute;margin-left:12.5pt;margin-top:.5pt;width:34.6pt;height:16.9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Tc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dlE3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2F3BAA" w:rsidRDefault="002F3BAA" w:rsidP="00F1413A">
            <w:pPr>
              <w:pStyle w:val="spacer"/>
            </w:pPr>
          </w:p>
        </w:tc>
      </w:tr>
      <w:tr w:rsidR="00E86A68" w:rsidRPr="003D3CD2" w:rsidTr="00401D90">
        <w:trPr>
          <w:trHeight w:hRule="exact" w:val="3665"/>
        </w:trPr>
        <w:tc>
          <w:tcPr>
            <w:tcW w:w="4738" w:type="dxa"/>
            <w:shd w:val="clear" w:color="auto" w:fill="9D57A6"/>
            <w:tcMar>
              <w:left w:w="0" w:type="dxa"/>
              <w:bottom w:w="0" w:type="dxa"/>
            </w:tcMar>
            <w:vAlign w:val="bottom"/>
          </w:tcPr>
          <w:p w:rsidR="002F3BAA" w:rsidRPr="0014019A" w:rsidRDefault="007A3FE9" w:rsidP="008A6B3B">
            <w:pPr>
              <w:pStyle w:val="Heading1"/>
              <w:spacing w:line="240" w:lineRule="auto"/>
            </w:pPr>
            <w:r>
              <w:t>Policy considerations</w:t>
            </w:r>
          </w:p>
        </w:tc>
        <w:tc>
          <w:tcPr>
            <w:tcW w:w="3430" w:type="dxa"/>
            <w:shd w:val="clear" w:color="auto" w:fill="9D57A6"/>
            <w:tcMar>
              <w:right w:w="344" w:type="dxa"/>
            </w:tcMar>
          </w:tcPr>
          <w:p w:rsidR="002F3BAA" w:rsidRPr="00F5723F" w:rsidRDefault="00221158" w:rsidP="00F1413A">
            <w:pPr>
              <w:pStyle w:val="HeadingChapter"/>
              <w:keepNext/>
            </w:pPr>
            <w:r>
              <w:fldChar w:fldCharType="begin"/>
            </w:r>
            <w:r>
              <w:instrText xml:space="preserve"> SEQ ChptNum\* Arabic \* MERGEFORMAT </w:instrText>
            </w:r>
            <w:r>
              <w:fldChar w:fldCharType="separate"/>
            </w:r>
            <w:bookmarkStart w:id="181" w:name="_Toc497300863"/>
            <w:r w:rsidR="001977DE">
              <w:t>8</w:t>
            </w:r>
            <w:bookmarkEnd w:id="181"/>
            <w:r>
              <w:fldChar w:fldCharType="end"/>
            </w:r>
          </w:p>
        </w:tc>
      </w:tr>
      <w:tr w:rsidR="00E86A68" w:rsidTr="00401D90">
        <w:trPr>
          <w:trHeight w:hRule="exact" w:val="232"/>
        </w:trPr>
        <w:tc>
          <w:tcPr>
            <w:tcW w:w="4738" w:type="dxa"/>
            <w:shd w:val="clear" w:color="auto" w:fill="9D57A6"/>
          </w:tcPr>
          <w:p w:rsidR="002F3BAA" w:rsidRDefault="002F3BAA" w:rsidP="00F1413A">
            <w:pPr>
              <w:pStyle w:val="Chpt-Context"/>
            </w:pPr>
          </w:p>
        </w:tc>
        <w:tc>
          <w:tcPr>
            <w:tcW w:w="3430" w:type="dxa"/>
            <w:shd w:val="clear" w:color="auto" w:fill="9D57A6"/>
          </w:tcPr>
          <w:p w:rsidR="002F3BAA" w:rsidRPr="008A4E3C" w:rsidRDefault="00221158" w:rsidP="00F1413A">
            <w:pPr>
              <w:pStyle w:val="Chpt-Context"/>
            </w:pPr>
            <w:r>
              <w:fldChar w:fldCharType="begin"/>
            </w:r>
            <w:r>
              <w:instrText xml:space="preserve"> STYLEREF  "Heading 1" \l  \* MERGEFORMAT </w:instrText>
            </w:r>
            <w:r>
              <w:fldChar w:fldCharType="separate"/>
            </w:r>
            <w:bookmarkStart w:id="182" w:name="_Toc497300864"/>
            <w:r w:rsidR="0087688C">
              <w:rPr>
                <w:noProof/>
              </w:rPr>
              <w:t>Policy considerations</w:t>
            </w:r>
            <w:bookmarkEnd w:id="182"/>
            <w:r>
              <w:rPr>
                <w:noProof/>
              </w:rPr>
              <w:fldChar w:fldCharType="end"/>
            </w:r>
          </w:p>
        </w:tc>
      </w:tr>
      <w:tr w:rsidR="00E86A68" w:rsidTr="00401D90">
        <w:trPr>
          <w:trHeight w:hRule="exact" w:val="228"/>
        </w:trPr>
        <w:tc>
          <w:tcPr>
            <w:tcW w:w="4738" w:type="dxa"/>
            <w:tcBorders>
              <w:top w:val="single" w:sz="4" w:space="0" w:color="9D57A6"/>
            </w:tcBorders>
            <w:shd w:val="clear" w:color="auto" w:fill="auto"/>
          </w:tcPr>
          <w:p w:rsidR="002F3BAA" w:rsidRDefault="002F3BAA" w:rsidP="00F1413A">
            <w:pPr>
              <w:pStyle w:val="spacer"/>
            </w:pPr>
          </w:p>
        </w:tc>
        <w:tc>
          <w:tcPr>
            <w:tcW w:w="3430" w:type="dxa"/>
            <w:tcBorders>
              <w:top w:val="single" w:sz="4" w:space="0" w:color="9D57A6"/>
            </w:tcBorders>
            <w:shd w:val="clear" w:color="auto" w:fill="auto"/>
          </w:tcPr>
          <w:p w:rsidR="002F3BAA" w:rsidRDefault="002F3BAA" w:rsidP="00F1413A">
            <w:pPr>
              <w:pStyle w:val="spacer"/>
            </w:pPr>
          </w:p>
        </w:tc>
      </w:tr>
    </w:tbl>
    <w:p w:rsidR="00A018B7" w:rsidRDefault="00A018B7" w:rsidP="00A018B7">
      <w:r>
        <w:t xml:space="preserve">This report </w:t>
      </w:r>
      <w:r w:rsidR="00581CE8">
        <w:t>examine</w:t>
      </w:r>
      <w:r w:rsidR="00192036">
        <w:t>s</w:t>
      </w:r>
      <w:r w:rsidR="00581CE8">
        <w:t xml:space="preserve"> </w:t>
      </w:r>
      <w:r>
        <w:t>how Australian agvet product registration processes, IP</w:t>
      </w:r>
      <w:r w:rsidR="00C41E35">
        <w:t>,</w:t>
      </w:r>
      <w:r>
        <w:t xml:space="preserve"> data protection</w:t>
      </w:r>
      <w:r w:rsidR="00C41E35">
        <w:t xml:space="preserve"> and CCI</w:t>
      </w:r>
      <w:r>
        <w:t xml:space="preserve"> arrangements compare with tho</w:t>
      </w:r>
      <w:r w:rsidR="00581CE8">
        <w:t xml:space="preserve">se in selected OECD countries. </w:t>
      </w:r>
      <w:r w:rsidR="009A4747">
        <w:t xml:space="preserve">Registration </w:t>
      </w:r>
      <w:r>
        <w:t xml:space="preserve">processes and </w:t>
      </w:r>
      <w:r w:rsidR="009A4747">
        <w:t xml:space="preserve">related </w:t>
      </w:r>
      <w:r>
        <w:t xml:space="preserve">arrangements have a significant impact on the competitiveness of Australia’s agriculture sector. </w:t>
      </w:r>
      <w:r w:rsidR="006918CC">
        <w:t xml:space="preserve">One </w:t>
      </w:r>
      <w:r>
        <w:t xml:space="preserve">major objective of this project </w:t>
      </w:r>
      <w:r w:rsidR="00192036">
        <w:t xml:space="preserve">is </w:t>
      </w:r>
      <w:r>
        <w:t>to p</w:t>
      </w:r>
      <w:r w:rsidRPr="00201BDE">
        <w:t xml:space="preserve">ropose policy options to improve Australian agricultural producers’ access, through registration by the APVMA, to innovative agvet chemicals while also supporting access to generic </w:t>
      </w:r>
      <w:r w:rsidR="00581CE8">
        <w:t>products</w:t>
      </w:r>
      <w:r w:rsidRPr="00201BDE">
        <w:t>.</w:t>
      </w:r>
    </w:p>
    <w:p w:rsidR="00A018B7" w:rsidRPr="003A0D04" w:rsidRDefault="00A018B7" w:rsidP="00A018B7">
      <w:r w:rsidRPr="003A0D04">
        <w:t xml:space="preserve">Agriculture is an important pillar of Australia’s economy and, as such, it needs good access to both high quality innovative and </w:t>
      </w:r>
      <w:r>
        <w:t>generic agvet chemical products</w:t>
      </w:r>
      <w:r w:rsidRPr="003A0D04">
        <w:t xml:space="preserve">. The Australian Government is committed to reforming agvet regulation to ensure farmers get access to these agvet chemicals to support agricultural profitability and sustainability. </w:t>
      </w:r>
    </w:p>
    <w:p w:rsidR="00A018B7" w:rsidRPr="003A0D04" w:rsidRDefault="00581CE8" w:rsidP="00A018B7">
      <w:r>
        <w:t>T</w:t>
      </w:r>
      <w:r w:rsidR="00A018B7" w:rsidRPr="003A0D04">
        <w:t xml:space="preserve">he study has </w:t>
      </w:r>
      <w:r>
        <w:t xml:space="preserve">taken account of the very small size of </w:t>
      </w:r>
      <w:r w:rsidR="00A018B7" w:rsidRPr="003A0D04">
        <w:t xml:space="preserve">Australia’s agvet chemical </w:t>
      </w:r>
      <w:r w:rsidR="00DE1D49">
        <w:t xml:space="preserve">mark — </w:t>
      </w:r>
      <w:r w:rsidR="009A4747">
        <w:t>1</w:t>
      </w:r>
      <w:r w:rsidR="00A018B7" w:rsidRPr="003A0D04">
        <w:t>.5 per cent of the global market. The small size of the Australian agvet chemical market means it provide</w:t>
      </w:r>
      <w:r w:rsidR="00A018B7">
        <w:t>s</w:t>
      </w:r>
      <w:r w:rsidR="00A018B7" w:rsidRPr="003A0D04">
        <w:t xml:space="preserve"> </w:t>
      </w:r>
      <w:r w:rsidR="00A018B7">
        <w:t xml:space="preserve">relatively small </w:t>
      </w:r>
      <w:r w:rsidR="00A018B7" w:rsidRPr="003A0D04">
        <w:t xml:space="preserve">returns to manufacturers, which are predominantly from </w:t>
      </w:r>
      <w:r w:rsidR="00A018B7">
        <w:t xml:space="preserve">Europe and </w:t>
      </w:r>
      <w:r w:rsidR="00A018B7" w:rsidRPr="003A0D04">
        <w:t>the US</w:t>
      </w:r>
      <w:r>
        <w:t>A</w:t>
      </w:r>
      <w:r w:rsidR="00A018B7" w:rsidRPr="003A0D04">
        <w:t xml:space="preserve"> </w:t>
      </w:r>
      <w:r w:rsidR="00A018B7">
        <w:t>a</w:t>
      </w:r>
      <w:r w:rsidR="00A018B7" w:rsidRPr="003A0D04">
        <w:t>nd focused on th</w:t>
      </w:r>
      <w:r w:rsidR="00A018B7">
        <w:t xml:space="preserve">ose </w:t>
      </w:r>
      <w:r w:rsidR="00A018B7" w:rsidRPr="003A0D04">
        <w:t>much larger markets.</w:t>
      </w:r>
      <w:r w:rsidR="00A018B7">
        <w:t xml:space="preserve"> Ne</w:t>
      </w:r>
      <w:r w:rsidR="00A018B7" w:rsidRPr="003A0D04">
        <w:t xml:space="preserve">arly half of Australia’s pesticides are imported. Veterinary </w:t>
      </w:r>
      <w:r>
        <w:t xml:space="preserve">products </w:t>
      </w:r>
      <w:r w:rsidR="00A018B7" w:rsidRPr="003A0D04">
        <w:t>are much less import dependent, but across both sectors the value of imports is rising.</w:t>
      </w:r>
      <w:r w:rsidR="00A018B7">
        <w:t xml:space="preserve"> All agvet chemical products, whether domestically produced or imported, must be assessed and registered by the APVMA before they can be made available to Australian farmers.</w:t>
      </w:r>
    </w:p>
    <w:p w:rsidR="0097731D" w:rsidRDefault="0097731D" w:rsidP="0097731D">
      <w:pPr>
        <w:pStyle w:val="BodyText"/>
      </w:pPr>
      <w:r>
        <w:t>In regulating agvet products, Australia needs to both:</w:t>
      </w:r>
    </w:p>
    <w:p w:rsidR="0097731D" w:rsidRDefault="0097731D" w:rsidP="0097731D">
      <w:pPr>
        <w:pStyle w:val="ListBullet"/>
      </w:pPr>
      <w:r>
        <w:t xml:space="preserve">Ensure that original product manufacturers are encouraged to register their products in Australia and </w:t>
      </w:r>
      <w:r w:rsidR="00C41E35">
        <w:t xml:space="preserve">at </w:t>
      </w:r>
      <w:r>
        <w:t>an early stage in product life cycles, and</w:t>
      </w:r>
    </w:p>
    <w:p w:rsidR="0097731D" w:rsidRDefault="0097731D" w:rsidP="0097731D">
      <w:pPr>
        <w:pStyle w:val="ListBullet"/>
      </w:pPr>
      <w:r>
        <w:t xml:space="preserve">Provide generic manufacturers with the opportunity to enter the Australian market soon after </w:t>
      </w:r>
      <w:r w:rsidR="00C41E35">
        <w:t xml:space="preserve">patent </w:t>
      </w:r>
      <w:r>
        <w:t>protection for the original product has lapsed</w:t>
      </w:r>
      <w:r w:rsidR="00C41E35">
        <w:t>.</w:t>
      </w:r>
    </w:p>
    <w:p w:rsidR="00721194" w:rsidRDefault="00A018B7" w:rsidP="00721194">
      <w:pPr>
        <w:pStyle w:val="BodyText"/>
      </w:pPr>
      <w:r>
        <w:t>It is clear from the preceding chapters and analysis, and previous reviews and stakeholder inputs that</w:t>
      </w:r>
      <w:r w:rsidR="00DE1D49">
        <w:t>,</w:t>
      </w:r>
      <w:r>
        <w:t xml:space="preserve"> </w:t>
      </w:r>
      <w:r w:rsidR="00DA56B1">
        <w:t xml:space="preserve">while </w:t>
      </w:r>
      <w:r>
        <w:t xml:space="preserve">there are </w:t>
      </w:r>
      <w:r w:rsidR="006918CC">
        <w:t xml:space="preserve">some </w:t>
      </w:r>
      <w:r>
        <w:t>areas of Australian agvet regulation that are internationally competitive</w:t>
      </w:r>
      <w:r w:rsidR="00DA56B1">
        <w:t xml:space="preserve">, </w:t>
      </w:r>
      <w:r w:rsidR="00581CE8">
        <w:t xml:space="preserve">there are </w:t>
      </w:r>
      <w:r>
        <w:t xml:space="preserve">other areas that are in need of targeted reform. </w:t>
      </w:r>
      <w:bookmarkStart w:id="183" w:name="_Toc488650233"/>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E3779A" w:rsidRPr="0022286A" w:rsidTr="00E3779A">
        <w:trPr>
          <w:cantSplit/>
        </w:trPr>
        <w:tc>
          <w:tcPr>
            <w:tcW w:w="8614" w:type="dxa"/>
            <w:shd w:val="clear" w:color="auto" w:fill="auto"/>
            <w:tcMar>
              <w:top w:w="160" w:type="dxa"/>
              <w:left w:w="446" w:type="dxa"/>
            </w:tcMar>
          </w:tcPr>
          <w:p w:rsidR="00E3779A" w:rsidRPr="0022286A" w:rsidRDefault="00E3779A" w:rsidP="00E3779A">
            <w:pPr>
              <w:pStyle w:val="Caption"/>
            </w:pPr>
            <w:r w:rsidRPr="0022286A">
              <w:rPr>
                <w:rStyle w:val="CaptionLabel"/>
              </w:rPr>
              <w:t>Key</w:t>
            </w:r>
            <w:r>
              <w:rPr>
                <w:rStyle w:val="CaptionLabel"/>
              </w:rPr>
              <w:t> </w:t>
            </w:r>
            <w:r w:rsidRPr="0022286A">
              <w:rPr>
                <w:rStyle w:val="CaptionLabel"/>
              </w:rPr>
              <w:t>Finding</w:t>
            </w:r>
            <w:r>
              <w:rPr>
                <w:rStyle w:val="CaptionLabel"/>
              </w:rPr>
              <w:t> </w:t>
            </w:r>
            <w:r w:rsidRPr="0022286A">
              <w:rPr>
                <w:rStyle w:val="CaptionLabel"/>
              </w:rPr>
              <w:fldChar w:fldCharType="begin"/>
            </w:r>
            <w:r w:rsidRPr="0022286A">
              <w:rPr>
                <w:rStyle w:val="CaptionLabel"/>
              </w:rPr>
              <w:instrText xml:space="preserve"> SEQ Key_Finding \* ARABIC </w:instrText>
            </w:r>
            <w:r w:rsidRPr="0022286A">
              <w:rPr>
                <w:rStyle w:val="CaptionLabel"/>
              </w:rPr>
              <w:fldChar w:fldCharType="separate"/>
            </w:r>
            <w:r w:rsidR="0087688C">
              <w:rPr>
                <w:rStyle w:val="CaptionLabel"/>
                <w:noProof/>
              </w:rPr>
              <w:t>1</w:t>
            </w:r>
            <w:r w:rsidRPr="0022286A">
              <w:rPr>
                <w:rStyle w:val="CaptionLabel"/>
              </w:rPr>
              <w:fldChar w:fldCharType="end"/>
            </w:r>
            <w:r>
              <w:tab/>
              <w:t>An internationally competitive agvet regulatory system</w:t>
            </w:r>
          </w:p>
        </w:tc>
      </w:tr>
      <w:tr w:rsidR="00E3779A" w:rsidTr="00E3779A">
        <w:trPr>
          <w:cantSplit/>
        </w:trPr>
        <w:tc>
          <w:tcPr>
            <w:tcW w:w="8614" w:type="dxa"/>
            <w:shd w:val="clear" w:color="auto" w:fill="E4E0DD"/>
            <w:tcMar>
              <w:top w:w="276" w:type="dxa"/>
              <w:bottom w:w="0" w:type="dxa"/>
              <w:right w:w="120" w:type="dxa"/>
            </w:tcMar>
          </w:tcPr>
          <w:p w:rsidR="00E3779A" w:rsidRDefault="00E3779A" w:rsidP="00166815">
            <w:pPr>
              <w:pStyle w:val="BoxText"/>
            </w:pPr>
            <w:r>
              <w:t xml:space="preserve">In order for Australia’s agriculture sector to be internationally competitive, </w:t>
            </w:r>
            <w:r w:rsidRPr="009A4747">
              <w:t>fast access to agvet chemicals</w:t>
            </w:r>
            <w:r>
              <w:t xml:space="preserve"> is essential. To achieve this, t</w:t>
            </w:r>
            <w:r w:rsidRPr="009A4747">
              <w:t>he relevant regulation needs to be internationally competitive in relation to costs, administrative hurdles, application processing time, intellectual property and data protection, and incentives.</w:t>
            </w:r>
            <w:r>
              <w:t xml:space="preserve"> Overall, the analysis has found that Australia’s arrangements are internationally competitive in </w:t>
            </w:r>
            <w:r w:rsidR="0021563F">
              <w:t>s</w:t>
            </w:r>
            <w:r w:rsidR="00166815">
              <w:t xml:space="preserve">everal of </w:t>
            </w:r>
            <w:r>
              <w:t>these areas.</w:t>
            </w:r>
          </w:p>
        </w:tc>
      </w:tr>
      <w:tr w:rsidR="00E3779A" w:rsidRPr="008B3E19" w:rsidTr="00E3779A">
        <w:trPr>
          <w:cantSplit/>
          <w:trHeight w:hRule="exact" w:val="376"/>
        </w:trPr>
        <w:tc>
          <w:tcPr>
            <w:tcW w:w="8614" w:type="dxa"/>
            <w:shd w:val="clear" w:color="auto" w:fill="E4E0DD"/>
            <w:tcMar>
              <w:top w:w="0" w:type="dxa"/>
              <w:bottom w:w="0" w:type="dxa"/>
              <w:right w:w="0" w:type="dxa"/>
            </w:tcMar>
          </w:tcPr>
          <w:p w:rsidR="00E3779A" w:rsidRPr="008B3E19" w:rsidRDefault="00E3779A" w:rsidP="004C7363">
            <w:pPr>
              <w:pStyle w:val="spacer"/>
            </w:pPr>
          </w:p>
        </w:tc>
      </w:tr>
      <w:tr w:rsidR="00E3779A" w:rsidRPr="008B3E19" w:rsidTr="00E3779A">
        <w:trPr>
          <w:cantSplit/>
          <w:trHeight w:hRule="exact" w:val="180"/>
        </w:trPr>
        <w:tc>
          <w:tcPr>
            <w:tcW w:w="8614" w:type="dxa"/>
            <w:shd w:val="clear" w:color="auto" w:fill="auto"/>
            <w:tcMar>
              <w:top w:w="0" w:type="dxa"/>
              <w:left w:w="446" w:type="dxa"/>
              <w:bottom w:w="0" w:type="dxa"/>
            </w:tcMar>
          </w:tcPr>
          <w:p w:rsidR="00E3779A" w:rsidRPr="008B3E19" w:rsidRDefault="00E3779A" w:rsidP="004C7363">
            <w:pPr>
              <w:pStyle w:val="spacertbl"/>
            </w:pPr>
            <w:r w:rsidRPr="008B3E19">
              <w:rPr>
                <w:noProof/>
                <w:lang w:eastAsia="en-AU"/>
              </w:rPr>
              <mc:AlternateContent>
                <mc:Choice Requires="wps">
                  <w:drawing>
                    <wp:anchor distT="0" distB="0" distL="114300" distR="114300" simplePos="0" relativeHeight="252022784" behindDoc="0" locked="1" layoutInCell="1" allowOverlap="1" wp14:anchorId="7D5699B8" wp14:editId="7E5412D6">
                      <wp:simplePos x="0" y="0"/>
                      <wp:positionH relativeFrom="rightMargin">
                        <wp:posOffset>-772795</wp:posOffset>
                      </wp:positionH>
                      <wp:positionV relativeFrom="page">
                        <wp:posOffset>-237490</wp:posOffset>
                      </wp:positionV>
                      <wp:extent cx="436880" cy="213360"/>
                      <wp:effectExtent l="0" t="0" r="1270" b="0"/>
                      <wp:wrapNone/>
                      <wp:docPr id="4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FA4A91" id="Freeform 5" o:spid="_x0000_s1026" style="position:absolute;margin-left:-60.85pt;margin-top:-18.7pt;width:34.4pt;height:16.8pt;z-index:25202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PuWDSXsDAADB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E3779A" w:rsidRDefault="00E3779A" w:rsidP="004C7363">
      <w:pPr>
        <w:pStyle w:val="BodyText"/>
      </w:pPr>
    </w:p>
    <w:p w:rsidR="00721194" w:rsidRDefault="00721194" w:rsidP="00721194">
      <w:pPr>
        <w:pStyle w:val="Heading2"/>
      </w:pPr>
      <w:bookmarkStart w:id="184" w:name="_Toc497300865"/>
      <w:r w:rsidRPr="000F602A">
        <w:t>IP</w:t>
      </w:r>
      <w:r>
        <w:t>,</w:t>
      </w:r>
      <w:r w:rsidRPr="000F602A">
        <w:t xml:space="preserve"> data </w:t>
      </w:r>
      <w:bookmarkEnd w:id="183"/>
      <w:r>
        <w:t>protection, CCI and minor uses</w:t>
      </w:r>
      <w:bookmarkEnd w:id="184"/>
    </w:p>
    <w:p w:rsidR="00721194" w:rsidRDefault="00721194" w:rsidP="00721194">
      <w:r>
        <w:t xml:space="preserve">IP, data protection, CCI and minor uses are </w:t>
      </w:r>
      <w:r w:rsidR="006918CC">
        <w:t xml:space="preserve">some </w:t>
      </w:r>
      <w:r>
        <w:t xml:space="preserve">key </w:t>
      </w:r>
      <w:r w:rsidR="006918CC">
        <w:t>matters</w:t>
      </w:r>
      <w:r>
        <w:t xml:space="preserve"> that this project was asked to examine. </w:t>
      </w:r>
      <w:r w:rsidRPr="00987069">
        <w:t xml:space="preserve">Australia’s </w:t>
      </w:r>
      <w:r>
        <w:t>IP and data protection arrangements have been reviewed by the Productivity Commission (2016)</w:t>
      </w:r>
      <w:r w:rsidR="006918CC">
        <w:t>. O</w:t>
      </w:r>
      <w:r>
        <w:t>ther organisations</w:t>
      </w:r>
      <w:r w:rsidR="001A548F">
        <w:t xml:space="preserve"> h</w:t>
      </w:r>
      <w:r>
        <w:t>ave made numerous submissions</w:t>
      </w:r>
      <w:r w:rsidR="001A548F">
        <w:t xml:space="preserve"> on these matters</w:t>
      </w:r>
      <w:r>
        <w:t xml:space="preserve"> to government reviews over the past decade. </w:t>
      </w:r>
      <w:r w:rsidRPr="00067284">
        <w:t>Th</w:t>
      </w:r>
      <w:r>
        <w:t xml:space="preserve">is </w:t>
      </w:r>
      <w:r w:rsidRPr="00067284">
        <w:t>study has found that Australia’s agvet chemical regulation</w:t>
      </w:r>
      <w:r w:rsidR="00DE1D49">
        <w:t xml:space="preserve"> </w:t>
      </w:r>
      <w:r>
        <w:t>—</w:t>
      </w:r>
      <w:r w:rsidR="00DE1D49">
        <w:t xml:space="preserve"> </w:t>
      </w:r>
      <w:r w:rsidRPr="00067284">
        <w:t>as it relates to intellectual property and data protection</w:t>
      </w:r>
      <w:r w:rsidR="00DE1D49">
        <w:t xml:space="preserve"> </w:t>
      </w:r>
      <w:r>
        <w:t>—</w:t>
      </w:r>
      <w:r w:rsidR="00DE1D49">
        <w:t xml:space="preserve"> </w:t>
      </w:r>
      <w:r w:rsidRPr="00067284">
        <w:t>is comparable to, and competitive with that provided by the EU, the US, Canada and New Zealand.</w:t>
      </w:r>
      <w:r>
        <w:t xml:space="preserve"> As highlighted in previous chapters, </w:t>
      </w:r>
      <w:r w:rsidR="006918CC" w:rsidRPr="00067284">
        <w:t xml:space="preserve">patent protection </w:t>
      </w:r>
      <w:r>
        <w:t>a</w:t>
      </w:r>
      <w:r w:rsidRPr="00067284">
        <w:t xml:space="preserve">cross these nations </w:t>
      </w:r>
      <w:r w:rsidR="006918CC">
        <w:t>lasts for twenty</w:t>
      </w:r>
      <w:r w:rsidRPr="00067284">
        <w:t xml:space="preserve"> years and regulatory data protection for new active ingredients stands at 10 years. While there are some differences in the extent of data protection available for minor uses, which in part reflects the variety of ways in which this issue is addressed, Australia’s </w:t>
      </w:r>
      <w:r w:rsidR="001A548F">
        <w:t xml:space="preserve">IP and data protection </w:t>
      </w:r>
      <w:r w:rsidRPr="00067284">
        <w:t>arrangements are generally appropriate</w:t>
      </w:r>
      <w:r>
        <w:t xml:space="preserve"> for our market.</w:t>
      </w:r>
      <w:r w:rsidRPr="00067284">
        <w:t xml:space="preserve"> </w:t>
      </w:r>
    </w:p>
    <w:p w:rsidR="008812B7" w:rsidRDefault="008812B7" w:rsidP="008812B7">
      <w:r>
        <w:t xml:space="preserve">Increasing the patent term for agvet products is sometimes suggested as an indirect </w:t>
      </w:r>
      <w:r w:rsidR="006918CC">
        <w:t>incentive to</w:t>
      </w:r>
      <w:r>
        <w:t xml:space="preserve"> increas</w:t>
      </w:r>
      <w:r w:rsidR="006918CC">
        <w:t>e</w:t>
      </w:r>
      <w:r>
        <w:t xml:space="preserve"> Australian registrations of innovative, new agvet chemicals. US Hatch-Waxman type legislation in relation to extensions of term to compensate agvet chemical manufacturers for regulatory and patent approval delays would increase the complexity of the system, have no impact on regulatory delays within the APVMA and would increase costs for agricultural producers. There is no reason to believe that such legislation would increase the numbers of new agvet products being registered in Australia. Furthermore, the Australian Patent Office performs well by comparison with its counterparts in major OECD countries, so delays in patent approvals are not an issue. </w:t>
      </w:r>
    </w:p>
    <w:p w:rsidR="008812B7" w:rsidRDefault="008812B7" w:rsidP="008812B7">
      <w:r>
        <w:t>When it comes to patent term extensions, agvet products are different to human pharmaceuticals because, in Australia, the Government sets the price and meets most of the cost of human pharmaceuticals. Decisions on patent terms for human pharmaceuticals are determined by factors which do not apply to agvet products. Arguments for agvet patent term extensions sometimes refer to the need to encourage R&amp;D. Australia provides incentives for business R&amp;D and assistance to growers through the Rural R&amp;D Corporations.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AB2314" w:rsidRPr="0022286A" w:rsidTr="00AB2314">
        <w:trPr>
          <w:cantSplit/>
        </w:trPr>
        <w:tc>
          <w:tcPr>
            <w:tcW w:w="8614" w:type="dxa"/>
            <w:shd w:val="clear" w:color="auto" w:fill="auto"/>
            <w:tcMar>
              <w:top w:w="160" w:type="dxa"/>
              <w:left w:w="446" w:type="dxa"/>
            </w:tcMar>
          </w:tcPr>
          <w:p w:rsidR="00AB2314" w:rsidRPr="0022286A" w:rsidRDefault="00AB2314" w:rsidP="004C7363">
            <w:pPr>
              <w:pStyle w:val="Caption"/>
            </w:pPr>
            <w:r w:rsidRPr="0022286A">
              <w:rPr>
                <w:rStyle w:val="CaptionLabel"/>
              </w:rPr>
              <w:t>Key</w:t>
            </w:r>
            <w:r>
              <w:rPr>
                <w:rStyle w:val="CaptionLabel"/>
              </w:rPr>
              <w:t> </w:t>
            </w:r>
            <w:r w:rsidRPr="0022286A">
              <w:rPr>
                <w:rStyle w:val="CaptionLabel"/>
              </w:rPr>
              <w:t>Finding</w:t>
            </w:r>
            <w:r>
              <w:rPr>
                <w:rStyle w:val="CaptionLabel"/>
              </w:rPr>
              <w:t> </w:t>
            </w:r>
            <w:r w:rsidRPr="0022286A">
              <w:rPr>
                <w:rStyle w:val="CaptionLabel"/>
              </w:rPr>
              <w:fldChar w:fldCharType="begin"/>
            </w:r>
            <w:r w:rsidRPr="0022286A">
              <w:rPr>
                <w:rStyle w:val="CaptionLabel"/>
              </w:rPr>
              <w:instrText xml:space="preserve"> SEQ Key_Finding \* ARABIC </w:instrText>
            </w:r>
            <w:r w:rsidRPr="0022286A">
              <w:rPr>
                <w:rStyle w:val="CaptionLabel"/>
              </w:rPr>
              <w:fldChar w:fldCharType="separate"/>
            </w:r>
            <w:r w:rsidR="0087688C">
              <w:rPr>
                <w:rStyle w:val="CaptionLabel"/>
                <w:noProof/>
              </w:rPr>
              <w:t>2</w:t>
            </w:r>
            <w:r w:rsidRPr="0022286A">
              <w:rPr>
                <w:rStyle w:val="CaptionLabel"/>
              </w:rPr>
              <w:fldChar w:fldCharType="end"/>
            </w:r>
            <w:r>
              <w:tab/>
              <w:t>Australia’s agvet IP and data protection arrangements</w:t>
            </w:r>
          </w:p>
        </w:tc>
      </w:tr>
      <w:tr w:rsidR="00AB2314" w:rsidTr="00AB2314">
        <w:trPr>
          <w:cantSplit/>
        </w:trPr>
        <w:tc>
          <w:tcPr>
            <w:tcW w:w="8614" w:type="dxa"/>
            <w:shd w:val="clear" w:color="auto" w:fill="E4E0DD"/>
            <w:tcMar>
              <w:top w:w="276" w:type="dxa"/>
              <w:bottom w:w="0" w:type="dxa"/>
              <w:right w:w="120" w:type="dxa"/>
            </w:tcMar>
          </w:tcPr>
          <w:p w:rsidR="00AB2314" w:rsidRDefault="00AB2314" w:rsidP="004C7363">
            <w:pPr>
              <w:pStyle w:val="BoxText"/>
            </w:pPr>
            <w:r w:rsidRPr="00067284">
              <w:t xml:space="preserve">Australia’s </w:t>
            </w:r>
            <w:r>
              <w:t xml:space="preserve">agvet IP and data protection </w:t>
            </w:r>
            <w:r w:rsidRPr="00067284">
              <w:t>arrangements are generally appropriate</w:t>
            </w:r>
            <w:r>
              <w:t xml:space="preserve"> and </w:t>
            </w:r>
            <w:r w:rsidRPr="00067284">
              <w:t>comparable to, and competitive with</w:t>
            </w:r>
            <w:r>
              <w:t>,</w:t>
            </w:r>
            <w:r w:rsidRPr="00067284">
              <w:t xml:space="preserve"> th</w:t>
            </w:r>
            <w:r>
              <w:t xml:space="preserve">ose in the </w:t>
            </w:r>
            <w:r w:rsidRPr="00067284">
              <w:t>EU, the US</w:t>
            </w:r>
            <w:r w:rsidR="0021563F">
              <w:t>A</w:t>
            </w:r>
            <w:r w:rsidRPr="00067284">
              <w:t>, Canada and New Zealand.</w:t>
            </w:r>
            <w:r>
              <w:t xml:space="preserve"> There is no compelling case for change.</w:t>
            </w:r>
          </w:p>
        </w:tc>
      </w:tr>
      <w:tr w:rsidR="00AB2314" w:rsidRPr="008B3E19" w:rsidTr="00AB2314">
        <w:trPr>
          <w:cantSplit/>
          <w:trHeight w:hRule="exact" w:val="376"/>
        </w:trPr>
        <w:tc>
          <w:tcPr>
            <w:tcW w:w="8614" w:type="dxa"/>
            <w:shd w:val="clear" w:color="auto" w:fill="E4E0DD"/>
            <w:tcMar>
              <w:top w:w="0" w:type="dxa"/>
              <w:bottom w:w="0" w:type="dxa"/>
              <w:right w:w="0" w:type="dxa"/>
            </w:tcMar>
          </w:tcPr>
          <w:p w:rsidR="00AB2314" w:rsidRPr="008B3E19" w:rsidRDefault="00AB2314" w:rsidP="004C7363">
            <w:pPr>
              <w:pStyle w:val="spacer"/>
            </w:pPr>
          </w:p>
        </w:tc>
      </w:tr>
      <w:tr w:rsidR="00AB2314" w:rsidRPr="008B3E19" w:rsidTr="00AB2314">
        <w:trPr>
          <w:cantSplit/>
          <w:trHeight w:hRule="exact" w:val="180"/>
        </w:trPr>
        <w:tc>
          <w:tcPr>
            <w:tcW w:w="8614" w:type="dxa"/>
            <w:shd w:val="clear" w:color="auto" w:fill="auto"/>
            <w:tcMar>
              <w:top w:w="0" w:type="dxa"/>
              <w:left w:w="446" w:type="dxa"/>
              <w:bottom w:w="0" w:type="dxa"/>
            </w:tcMar>
          </w:tcPr>
          <w:p w:rsidR="00AB2314" w:rsidRPr="008B3E19" w:rsidRDefault="00AB2314" w:rsidP="004C7363">
            <w:pPr>
              <w:pStyle w:val="spacertbl"/>
            </w:pPr>
          </w:p>
        </w:tc>
      </w:tr>
    </w:tbl>
    <w:p w:rsidR="001A548F" w:rsidRPr="001A548F" w:rsidRDefault="001A548F" w:rsidP="001A548F">
      <w:pPr>
        <w:pStyle w:val="Heading5"/>
      </w:pPr>
      <w:r w:rsidRPr="001A548F">
        <w:t>C</w:t>
      </w:r>
      <w:r w:rsidR="008C7B87">
        <w:t>onfidential commercial information</w:t>
      </w:r>
    </w:p>
    <w:p w:rsidR="00177578" w:rsidRDefault="00DA56B1" w:rsidP="00177578">
      <w:pPr>
        <w:pStyle w:val="BodyText"/>
      </w:pPr>
      <w:r>
        <w:t>T</w:t>
      </w:r>
      <w:r w:rsidR="009A4747">
        <w:t>here is a need t</w:t>
      </w:r>
      <w:r w:rsidR="00177578">
        <w:t>o clarify CCI</w:t>
      </w:r>
      <w:r>
        <w:t xml:space="preserve"> in Australia</w:t>
      </w:r>
      <w:r w:rsidR="009A4747">
        <w:t>. T</w:t>
      </w:r>
      <w:r w:rsidR="00177578">
        <w:t>he practices in other countries suggest the following approach:</w:t>
      </w:r>
    </w:p>
    <w:p w:rsidR="00177578" w:rsidRDefault="00177578" w:rsidP="00177578">
      <w:pPr>
        <w:pStyle w:val="ListBullet"/>
      </w:pPr>
      <w:r>
        <w:t xml:space="preserve">Define a list </w:t>
      </w:r>
      <w:r w:rsidR="00192036">
        <w:t xml:space="preserve">of </w:t>
      </w:r>
      <w:r>
        <w:t xml:space="preserve">categories of information which will be treated as CCI. These would include manufacturing processes and trade secrets. See </w:t>
      </w:r>
      <w:r w:rsidR="009A4747">
        <w:t>the</w:t>
      </w:r>
      <w:r>
        <w:t xml:space="preserve"> analysis </w:t>
      </w:r>
      <w:r w:rsidR="009A4747">
        <w:t xml:space="preserve">of CCI in other countries </w:t>
      </w:r>
      <w:r>
        <w:t xml:space="preserve">and the documents referenced </w:t>
      </w:r>
      <w:r w:rsidR="009A4747">
        <w:t xml:space="preserve">for what should be included in </w:t>
      </w:r>
      <w:r>
        <w:t>this list.</w:t>
      </w:r>
    </w:p>
    <w:p w:rsidR="00177578" w:rsidRDefault="00177578" w:rsidP="00177578">
      <w:pPr>
        <w:pStyle w:val="ListBullet"/>
      </w:pPr>
      <w:r>
        <w:t>Define a second list of categories of information and data which will not be treated as CCI. This includes name and structure of active ingredients and test results. Again, other countries have already developed such lists.</w:t>
      </w:r>
    </w:p>
    <w:p w:rsidR="00177578" w:rsidRDefault="00177578" w:rsidP="00177578">
      <w:pPr>
        <w:pStyle w:val="ListBullet"/>
      </w:pPr>
      <w:r>
        <w:t xml:space="preserve">Allow a third category where an applicant may seek to have information or data not falling in the two areas defined above classified as CCI. The applicant would have to make a case for this categorisation. The APVMA would apply a set of </w:t>
      </w:r>
      <w:r w:rsidR="009A4747">
        <w:t xml:space="preserve">published </w:t>
      </w:r>
      <w:r>
        <w:t xml:space="preserve">criteria in deciding whether to accept the proposed classification, appealable through the Administrative Appeals Tribunal. </w:t>
      </w:r>
    </w:p>
    <w:tbl>
      <w:tblPr>
        <w:tblW w:w="0" w:type="auto"/>
        <w:tblInd w:w="-446" w:type="dxa"/>
        <w:tblLayout w:type="fixed"/>
        <w:tblCellMar>
          <w:left w:w="0" w:type="dxa"/>
          <w:right w:w="0" w:type="dxa"/>
        </w:tblCellMar>
        <w:tblLook w:val="04A0" w:firstRow="1" w:lastRow="0" w:firstColumn="1" w:lastColumn="0" w:noHBand="0" w:noVBand="1"/>
        <w:tblDescription w:val="tbl_prt_hBox-Std"/>
      </w:tblPr>
      <w:tblGrid>
        <w:gridCol w:w="8614"/>
      </w:tblGrid>
      <w:tr w:rsidR="00E86A68" w:rsidRPr="0022286A" w:rsidTr="00401D90">
        <w:trPr>
          <w:cantSplit/>
        </w:trPr>
        <w:tc>
          <w:tcPr>
            <w:tcW w:w="8614" w:type="dxa"/>
            <w:shd w:val="clear" w:color="auto" w:fill="auto"/>
            <w:tcMar>
              <w:top w:w="160" w:type="dxa"/>
              <w:left w:w="446" w:type="dxa"/>
            </w:tcMar>
          </w:tcPr>
          <w:p w:rsidR="009A4747" w:rsidRPr="0022286A" w:rsidRDefault="009A4747" w:rsidP="009A4747">
            <w:pPr>
              <w:pStyle w:val="Caption"/>
            </w:pPr>
            <w:r w:rsidRPr="0022286A">
              <w:rPr>
                <w:rStyle w:val="CaptionLabel"/>
              </w:rPr>
              <w:t>Key</w:t>
            </w:r>
            <w:r>
              <w:rPr>
                <w:rStyle w:val="CaptionLabel"/>
              </w:rPr>
              <w:t> </w:t>
            </w:r>
            <w:r w:rsidRPr="0022286A">
              <w:rPr>
                <w:rStyle w:val="CaptionLabel"/>
              </w:rPr>
              <w:t>Finding</w:t>
            </w:r>
            <w:r>
              <w:rPr>
                <w:rStyle w:val="CaptionLabel"/>
              </w:rPr>
              <w:t> </w:t>
            </w:r>
            <w:r w:rsidRPr="0022286A">
              <w:rPr>
                <w:rStyle w:val="CaptionLabel"/>
              </w:rPr>
              <w:fldChar w:fldCharType="begin"/>
            </w:r>
            <w:r w:rsidRPr="0022286A">
              <w:rPr>
                <w:rStyle w:val="CaptionLabel"/>
              </w:rPr>
              <w:instrText xml:space="preserve"> SEQ Key_Finding \* ARABIC </w:instrText>
            </w:r>
            <w:r w:rsidRPr="0022286A">
              <w:rPr>
                <w:rStyle w:val="CaptionLabel"/>
              </w:rPr>
              <w:fldChar w:fldCharType="separate"/>
            </w:r>
            <w:r w:rsidR="0087688C">
              <w:rPr>
                <w:rStyle w:val="CaptionLabel"/>
                <w:noProof/>
              </w:rPr>
              <w:t>3</w:t>
            </w:r>
            <w:r w:rsidRPr="0022286A">
              <w:rPr>
                <w:rStyle w:val="CaptionLabel"/>
              </w:rPr>
              <w:fldChar w:fldCharType="end"/>
            </w:r>
            <w:r>
              <w:tab/>
              <w:t>Clarify</w:t>
            </w:r>
            <w:r w:rsidR="008812B7">
              <w:t>ing</w:t>
            </w:r>
            <w:r>
              <w:t xml:space="preserve"> CCI</w:t>
            </w:r>
          </w:p>
        </w:tc>
      </w:tr>
      <w:tr w:rsidR="00E86A68" w:rsidTr="00401D90">
        <w:trPr>
          <w:cantSplit/>
        </w:trPr>
        <w:tc>
          <w:tcPr>
            <w:tcW w:w="8614" w:type="dxa"/>
            <w:shd w:val="clear" w:color="auto" w:fill="E4E0DD"/>
            <w:tcMar>
              <w:top w:w="276" w:type="dxa"/>
              <w:bottom w:w="0" w:type="dxa"/>
              <w:right w:w="120" w:type="dxa"/>
            </w:tcMar>
          </w:tcPr>
          <w:p w:rsidR="009A4747" w:rsidRDefault="009A4747" w:rsidP="00DA56B1">
            <w:pPr>
              <w:pStyle w:val="BoxText"/>
            </w:pPr>
            <w:r>
              <w:t xml:space="preserve">There is a case for adopting an approach to </w:t>
            </w:r>
            <w:r w:rsidR="0097731D">
              <w:t xml:space="preserve">defining </w:t>
            </w:r>
            <w:r>
              <w:t>CCI based on th</w:t>
            </w:r>
            <w:r w:rsidR="0097731D">
              <w:t xml:space="preserve">e approach </w:t>
            </w:r>
            <w:r>
              <w:t xml:space="preserve">used in </w:t>
            </w:r>
            <w:r w:rsidR="0097731D">
              <w:t xml:space="preserve">some </w:t>
            </w:r>
            <w:r>
              <w:t xml:space="preserve">other countries where some information and data </w:t>
            </w:r>
            <w:r w:rsidR="0097731D">
              <w:t xml:space="preserve">is </w:t>
            </w:r>
            <w:r>
              <w:t xml:space="preserve">automatically </w:t>
            </w:r>
            <w:r w:rsidR="00DA56B1">
              <w:t xml:space="preserve">categorised as CCI and some </w:t>
            </w:r>
            <w:r>
              <w:t xml:space="preserve">categorised as not CCI. </w:t>
            </w:r>
          </w:p>
        </w:tc>
      </w:tr>
      <w:tr w:rsidR="00E86A68" w:rsidRPr="008B3E19" w:rsidTr="00401D90">
        <w:trPr>
          <w:cantSplit/>
          <w:trHeight w:hRule="exact" w:val="376"/>
        </w:trPr>
        <w:tc>
          <w:tcPr>
            <w:tcW w:w="8614" w:type="dxa"/>
            <w:shd w:val="clear" w:color="auto" w:fill="E4E0DD"/>
            <w:tcMar>
              <w:top w:w="0" w:type="dxa"/>
              <w:bottom w:w="0" w:type="dxa"/>
              <w:right w:w="0" w:type="dxa"/>
            </w:tcMar>
          </w:tcPr>
          <w:p w:rsidR="009A4747" w:rsidRPr="008B3E19" w:rsidRDefault="00AB2314" w:rsidP="009A4747">
            <w:pPr>
              <w:pStyle w:val="spacer"/>
            </w:pPr>
            <w:r w:rsidRPr="008B3E19">
              <w:rPr>
                <w:noProof/>
                <w:lang w:eastAsia="en-AU"/>
              </w:rPr>
              <mc:AlternateContent>
                <mc:Choice Requires="wps">
                  <w:drawing>
                    <wp:anchor distT="0" distB="0" distL="114300" distR="114300" simplePos="0" relativeHeight="252024832" behindDoc="0" locked="1" layoutInCell="1" allowOverlap="1" wp14:anchorId="2B326972" wp14:editId="4803F263">
                      <wp:simplePos x="0" y="0"/>
                      <wp:positionH relativeFrom="rightMargin">
                        <wp:posOffset>-605155</wp:posOffset>
                      </wp:positionH>
                      <wp:positionV relativeFrom="paragraph">
                        <wp:posOffset>-3175</wp:posOffset>
                      </wp:positionV>
                      <wp:extent cx="434975" cy="212090"/>
                      <wp:effectExtent l="0" t="0" r="3175" b="0"/>
                      <wp:wrapNone/>
                      <wp:docPr id="11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4975" cy="21209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70D0CC" id="Freeform 5" o:spid="_x0000_s1026" style="position:absolute;margin-left:-47.65pt;margin-top:-.25pt;width:34.25pt;height:16.7pt;z-index:25202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" path="m822,r,828l,828,822,xm863,828r823,l1686,,863,828xe" fillcolor="#ffaf3a" stroked="f">
                      <v:path arrowok="t" o:connecttype="custom" o:connectlocs="212070,0;212070,212090;0,212090;212070,0;222647,212090;434975,212090;434975,0;222647,212090" o:connectangles="0,0,0,0,0,0,0,0"/>
                      <o:lock v:ext="edit" aspectratio="t" verticies="t"/>
                      <w10:wrap anchorx="margin"/>
                      <w10:anchorlock/>
                    </v:shape>
                  </w:pict>
                </mc:Fallback>
              </mc:AlternateContent>
            </w:r>
          </w:p>
        </w:tc>
      </w:tr>
      <w:tr w:rsidR="009A4747" w:rsidRPr="008B3E19" w:rsidTr="00D43FBB">
        <w:trPr>
          <w:cantSplit/>
          <w:trHeight w:hRule="exact" w:val="180"/>
        </w:trPr>
        <w:tc>
          <w:tcPr>
            <w:tcW w:w="8614" w:type="dxa"/>
            <w:shd w:val="clear" w:color="auto" w:fill="auto"/>
            <w:tcMar>
              <w:top w:w="0" w:type="dxa"/>
              <w:left w:w="446" w:type="dxa"/>
              <w:bottom w:w="0" w:type="dxa"/>
            </w:tcMar>
          </w:tcPr>
          <w:p w:rsidR="009A4747" w:rsidRPr="008B3E19" w:rsidRDefault="00546375" w:rsidP="009A4747">
            <w:pPr>
              <w:pStyle w:val="spacertbl"/>
            </w:pPr>
            <w:r>
              <w:rPr>
                <w:noProof/>
                <w:lang w:eastAsia="en-AU"/>
              </w:rPr>
              <mc:AlternateContent>
                <mc:Choice Requires="wps">
                  <w:drawing>
                    <wp:anchor distT="0" distB="0" distL="114300" distR="114300" simplePos="0" relativeHeight="251930624" behindDoc="0" locked="1" layoutInCell="1" allowOverlap="1" wp14:anchorId="3A0795E3" wp14:editId="500E03F3">
                      <wp:simplePos x="0" y="0"/>
                      <wp:positionH relativeFrom="page">
                        <wp:posOffset>6223635</wp:posOffset>
                      </wp:positionH>
                      <wp:positionV relativeFrom="page">
                        <wp:posOffset>1503045</wp:posOffset>
                      </wp:positionV>
                      <wp:extent cx="436880" cy="213360"/>
                      <wp:effectExtent l="0" t="0" r="1270" b="0"/>
                      <wp:wrapNone/>
                      <wp:docPr id="1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1B81BB" id="Freeform 5" o:spid="_x0000_s1026" style="position:absolute;margin-left:490.05pt;margin-top:118.35pt;width:34.4pt;height:16.8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bl>
    <w:p w:rsidR="001A548F" w:rsidRDefault="001A548F" w:rsidP="001A548F">
      <w:pPr>
        <w:pStyle w:val="Heading5"/>
      </w:pPr>
      <w:r>
        <w:t>Minor uses</w:t>
      </w:r>
    </w:p>
    <w:p w:rsidR="00721194" w:rsidRDefault="00721194" w:rsidP="00721194">
      <w:r>
        <w:t xml:space="preserve">For minor uses, </w:t>
      </w:r>
      <w:r w:rsidRPr="00987962">
        <w:t xml:space="preserve">Australia provided extensions </w:t>
      </w:r>
      <w:r w:rsidR="00CF7DFA" w:rsidRPr="00987962">
        <w:t xml:space="preserve">until 2014 </w:t>
      </w:r>
      <w:r w:rsidRPr="00987962">
        <w:t xml:space="preserve">to data </w:t>
      </w:r>
      <w:r>
        <w:t>protection</w:t>
      </w:r>
      <w:r w:rsidRPr="00987962">
        <w:t xml:space="preserve"> for registration of minor uses. This provision was removed because </w:t>
      </w:r>
      <w:r>
        <w:t xml:space="preserve">there was no take-up of it and </w:t>
      </w:r>
      <w:r w:rsidRPr="00987962">
        <w:t>it was considered to have been ineffective. However</w:t>
      </w:r>
      <w:r>
        <w:t>,</w:t>
      </w:r>
      <w:r w:rsidRPr="00987962">
        <w:t xml:space="preserve"> there are a number of factors which influence minor use registration</w:t>
      </w:r>
      <w:r w:rsidR="001A548F">
        <w:t xml:space="preserve"> including small market size, the costs of trials and testing and liability concerns.</w:t>
      </w:r>
      <w:r>
        <w:t xml:space="preserve"> </w:t>
      </w:r>
    </w:p>
    <w:p w:rsidR="00721194" w:rsidRDefault="001A548F" w:rsidP="00721194">
      <w:r>
        <w:t xml:space="preserve">As </w:t>
      </w:r>
      <w:r w:rsidR="006918CC">
        <w:t>c</w:t>
      </w:r>
      <w:r>
        <w:t xml:space="preserve">hapter 6 shows, securing agvet products for minor uses is a problem even for large countries such as the USA. </w:t>
      </w:r>
      <w:r w:rsidR="008C7B87">
        <w:t xml:space="preserve">What that </w:t>
      </w:r>
      <w:r w:rsidR="00EA406A">
        <w:t>c</w:t>
      </w:r>
      <w:r w:rsidR="008C7B87">
        <w:t>hapter shows is that no country relies on just one measure to address the minor uses problem. Options for Australia include re-introducing</w:t>
      </w:r>
      <w:r w:rsidR="00721194">
        <w:t xml:space="preserve"> </w:t>
      </w:r>
      <w:r w:rsidR="008C7B87">
        <w:t xml:space="preserve">data protection </w:t>
      </w:r>
      <w:r w:rsidR="00721194">
        <w:t xml:space="preserve">extensions but </w:t>
      </w:r>
      <w:r w:rsidR="008C7B87">
        <w:t xml:space="preserve">with greater targeting, such as </w:t>
      </w:r>
      <w:r w:rsidR="00721194" w:rsidRPr="00987962">
        <w:t>limiting the</w:t>
      </w:r>
      <w:r w:rsidR="00721194">
        <w:t>ir</w:t>
      </w:r>
      <w:r w:rsidR="00721194" w:rsidRPr="00987962">
        <w:t xml:space="preserve"> availability to applications lodged within the first few years after the original approval</w:t>
      </w:r>
      <w:r w:rsidR="009373F0">
        <w:t xml:space="preserve">. This </w:t>
      </w:r>
      <w:r w:rsidR="00721194" w:rsidRPr="00987962">
        <w:t xml:space="preserve">might encourage more minor uses to be sought at the time of initial registration (as in the USA). </w:t>
      </w:r>
    </w:p>
    <w:p w:rsidR="00721194" w:rsidRDefault="00EA406A" w:rsidP="00721194">
      <w:r>
        <w:t xml:space="preserve">Based on the research </w:t>
      </w:r>
      <w:r w:rsidR="00CF7DFA">
        <w:t>undertaken</w:t>
      </w:r>
      <w:r>
        <w:t xml:space="preserve"> for this report, t</w:t>
      </w:r>
      <w:r w:rsidR="001A548F" w:rsidRPr="00987962">
        <w:t>he APVMA</w:t>
      </w:r>
      <w:r w:rsidR="001A548F">
        <w:t xml:space="preserve">’s </w:t>
      </w:r>
      <w:r w:rsidR="001A548F" w:rsidRPr="00987962">
        <w:t>assessment process</w:t>
      </w:r>
      <w:r w:rsidR="001A548F">
        <w:t>es</w:t>
      </w:r>
      <w:r w:rsidR="001A548F" w:rsidRPr="00987962">
        <w:t xml:space="preserve"> for minor use</w:t>
      </w:r>
      <w:r w:rsidR="001A548F">
        <w:t>s</w:t>
      </w:r>
      <w:r w:rsidR="001A548F" w:rsidRPr="00987962">
        <w:t xml:space="preserve"> </w:t>
      </w:r>
      <w:r w:rsidR="001A548F">
        <w:t xml:space="preserve">seem to be </w:t>
      </w:r>
      <w:r w:rsidR="001A548F" w:rsidRPr="00987962">
        <w:t>as detailed and time consuming as for a major use</w:t>
      </w:r>
      <w:r>
        <w:t>,</w:t>
      </w:r>
      <w:r w:rsidR="001A548F" w:rsidRPr="00987962">
        <w:t xml:space="preserve"> even though the risks and hazards are </w:t>
      </w:r>
      <w:r w:rsidR="001A548F">
        <w:t xml:space="preserve">often </w:t>
      </w:r>
      <w:r w:rsidR="001A548F" w:rsidRPr="00987962">
        <w:t>significantly lower</w:t>
      </w:r>
      <w:r w:rsidR="001A548F">
        <w:t>. More specifically, t</w:t>
      </w:r>
      <w:r w:rsidR="001A548F" w:rsidRPr="001A548F">
        <w:t xml:space="preserve">he APVMA </w:t>
      </w:r>
      <w:r w:rsidR="001A548F">
        <w:t xml:space="preserve">appears to </w:t>
      </w:r>
      <w:r w:rsidR="001A548F" w:rsidRPr="001A548F">
        <w:t>appl</w:t>
      </w:r>
      <w:r w:rsidR="001A548F">
        <w:t>y</w:t>
      </w:r>
      <w:r w:rsidR="001A548F" w:rsidRPr="001A548F">
        <w:t xml:space="preserve"> the same effort to permits as for registrations</w:t>
      </w:r>
      <w:r w:rsidR="001A548F">
        <w:t>.</w:t>
      </w:r>
      <w:r w:rsidR="001A548F" w:rsidRPr="001A548F">
        <w:t xml:space="preserve"> </w:t>
      </w:r>
      <w:r w:rsidR="00721194">
        <w:t xml:space="preserve">Stakeholder organisations complain that the costs involved in obtaining APVMA permits for minor uses are too high and that the process is too slow. Data requirements for these uses could be reduced in many cases </w:t>
      </w:r>
      <w:r w:rsidR="009A4747">
        <w:t>because they are also low risk.</w:t>
      </w:r>
      <w:r w:rsidR="00721194">
        <w:t xml:space="preserve"> </w:t>
      </w:r>
    </w:p>
    <w:p w:rsidR="00721194" w:rsidRDefault="00721194" w:rsidP="00721194">
      <w:r>
        <w:t>The Commonwealth Government</w:t>
      </w:r>
      <w:r w:rsidR="00297DB7">
        <w:t>-</w:t>
      </w:r>
      <w:r w:rsidR="008C7B87">
        <w:t xml:space="preserve">funded program providing grants to support organisations preparing the case </w:t>
      </w:r>
      <w:r>
        <w:t>for minor use registrations</w:t>
      </w:r>
      <w:r w:rsidR="008C7B87">
        <w:t xml:space="preserve"> draws on a very successful US model (IR-4) and is supported by </w:t>
      </w:r>
      <w:r>
        <w:t>stakeholders</w:t>
      </w:r>
      <w:r w:rsidR="008C7B87">
        <w:t xml:space="preserve">. This program </w:t>
      </w:r>
      <w:r>
        <w:t>should continue with additional funding</w:t>
      </w:r>
      <w:r w:rsidR="008C7B87">
        <w:t xml:space="preserve"> (t</w:t>
      </w:r>
      <w:r>
        <w:t>he need for this support appears to exceed the resources that are available</w:t>
      </w:r>
      <w:r w:rsidR="008C7B87">
        <w:t>)</w:t>
      </w:r>
      <w:r>
        <w:t>.</w:t>
      </w:r>
    </w:p>
    <w:p w:rsidR="008C7B87" w:rsidRDefault="008C7B87" w:rsidP="008C7B87">
      <w:pPr>
        <w:pStyle w:val="BodyText"/>
      </w:pPr>
      <w:r>
        <w:t>The incentives to new agvet product manufacturers for early registration of minor uses could take the form of SPCs (as in Europe), or reduced fees</w:t>
      </w:r>
      <w:r w:rsidR="006918CC">
        <w:t xml:space="preserve"> </w:t>
      </w:r>
      <w:r>
        <w:t>/</w:t>
      </w:r>
      <w:r w:rsidR="006918CC">
        <w:t xml:space="preserve"> </w:t>
      </w:r>
      <w:r>
        <w:t>levies in relation to the minor uses. These incentives could be structured so as to be limited to minor uses included in the original approval application, or sought during a short period (five years) after the original application is lodged. Of course, if this were to delay approval of the original application</w:t>
      </w:r>
      <w:r w:rsidR="006918CC">
        <w:t>,</w:t>
      </w:r>
      <w:r>
        <w:t xml:space="preserve"> any incentive effect would be negated.</w:t>
      </w:r>
    </w:p>
    <w:p w:rsidR="009A4747" w:rsidRDefault="006918CC" w:rsidP="008C7B87">
      <w:pPr>
        <w:pStyle w:val="BodyText"/>
      </w:pPr>
      <w:r>
        <w:t>An</w:t>
      </w:r>
      <w:r w:rsidR="008C7B87">
        <w:t xml:space="preserve">other measure to encourage minor uses which could be considered is limiting the liability of the manufacturers in the way that Canada has done, through disclaimers on the label and </w:t>
      </w:r>
      <w:r>
        <w:t xml:space="preserve">in the instructions for </w:t>
      </w:r>
      <w:r w:rsidR="008C7B87">
        <w:t>use. However this approach would need to be examined in the context of Australian Consumer Law</w:t>
      </w:r>
      <w:r w:rsidR="00DA56B1">
        <w:t xml:space="preserve"> and other relevant </w:t>
      </w:r>
      <w:r>
        <w:t xml:space="preserve">Australian </w:t>
      </w:r>
      <w:r w:rsidR="00DA56B1">
        <w:t>legislation</w:t>
      </w:r>
      <w:r w:rsidR="008C7B87">
        <w:t>, which is different to that in Canada.</w:t>
      </w:r>
    </w:p>
    <w:p w:rsidR="00DA56B1" w:rsidRDefault="00DA56B1" w:rsidP="00DA56B1">
      <w:pPr>
        <w:pStyle w:val="BodyText"/>
      </w:pPr>
      <w:r>
        <w:t>The analysis presented in this report suggests that the best strategy for Australia is to provide a regulatory approach where there is certainty about the requirements of the regulator and which is at least as fast as competitors such as Canada and involves total costs that are less than Canada and the USA.</w:t>
      </w:r>
    </w:p>
    <w:tbl>
      <w:tblPr>
        <w:tblW w:w="0" w:type="auto"/>
        <w:tblInd w:w="-446" w:type="dxa"/>
        <w:tblLayout w:type="fixed"/>
        <w:tblCellMar>
          <w:left w:w="0" w:type="dxa"/>
          <w:right w:w="0" w:type="dxa"/>
        </w:tblCellMar>
        <w:tblLook w:val="04A0" w:firstRow="1" w:lastRow="0" w:firstColumn="1" w:lastColumn="0" w:noHBand="0" w:noVBand="1"/>
        <w:tblDescription w:val="tbl_prt_hBox-Std"/>
      </w:tblPr>
      <w:tblGrid>
        <w:gridCol w:w="8614"/>
      </w:tblGrid>
      <w:tr w:rsidR="00E86A68" w:rsidRPr="0022286A" w:rsidTr="00401D90">
        <w:trPr>
          <w:cantSplit/>
        </w:trPr>
        <w:tc>
          <w:tcPr>
            <w:tcW w:w="8614" w:type="dxa"/>
            <w:shd w:val="clear" w:color="auto" w:fill="auto"/>
            <w:tcMar>
              <w:top w:w="160" w:type="dxa"/>
              <w:left w:w="446" w:type="dxa"/>
            </w:tcMar>
          </w:tcPr>
          <w:p w:rsidR="0095321D" w:rsidRPr="0022286A" w:rsidRDefault="0095321D" w:rsidP="0095321D">
            <w:pPr>
              <w:pStyle w:val="Caption"/>
            </w:pPr>
            <w:r w:rsidRPr="0022286A">
              <w:rPr>
                <w:rStyle w:val="CaptionLabel"/>
              </w:rPr>
              <w:t>Key</w:t>
            </w:r>
            <w:r>
              <w:rPr>
                <w:rStyle w:val="CaptionLabel"/>
              </w:rPr>
              <w:t> </w:t>
            </w:r>
            <w:r w:rsidRPr="0022286A">
              <w:rPr>
                <w:rStyle w:val="CaptionLabel"/>
              </w:rPr>
              <w:t>Finding</w:t>
            </w:r>
            <w:r>
              <w:rPr>
                <w:rStyle w:val="CaptionLabel"/>
              </w:rPr>
              <w:t> </w:t>
            </w:r>
            <w:r w:rsidRPr="0022286A">
              <w:rPr>
                <w:rStyle w:val="CaptionLabel"/>
              </w:rPr>
              <w:fldChar w:fldCharType="begin"/>
            </w:r>
            <w:r w:rsidRPr="0022286A">
              <w:rPr>
                <w:rStyle w:val="CaptionLabel"/>
              </w:rPr>
              <w:instrText xml:space="preserve"> SEQ Key_Finding \* ARABIC </w:instrText>
            </w:r>
            <w:r w:rsidRPr="0022286A">
              <w:rPr>
                <w:rStyle w:val="CaptionLabel"/>
              </w:rPr>
              <w:fldChar w:fldCharType="separate"/>
            </w:r>
            <w:r w:rsidR="0087688C">
              <w:rPr>
                <w:rStyle w:val="CaptionLabel"/>
                <w:noProof/>
              </w:rPr>
              <w:t>4</w:t>
            </w:r>
            <w:r w:rsidRPr="0022286A">
              <w:rPr>
                <w:rStyle w:val="CaptionLabel"/>
              </w:rPr>
              <w:fldChar w:fldCharType="end"/>
            </w:r>
            <w:r>
              <w:tab/>
              <w:t>Incentives for minor uses</w:t>
            </w:r>
          </w:p>
        </w:tc>
      </w:tr>
      <w:tr w:rsidR="00E86A68" w:rsidTr="00401D90">
        <w:trPr>
          <w:cantSplit/>
        </w:trPr>
        <w:tc>
          <w:tcPr>
            <w:tcW w:w="8614" w:type="dxa"/>
            <w:shd w:val="clear" w:color="auto" w:fill="E4E0DD"/>
            <w:tcMar>
              <w:top w:w="276" w:type="dxa"/>
              <w:bottom w:w="0" w:type="dxa"/>
              <w:right w:w="120" w:type="dxa"/>
            </w:tcMar>
          </w:tcPr>
          <w:p w:rsidR="0095321D" w:rsidRDefault="009470B4" w:rsidP="0095321D">
            <w:pPr>
              <w:pStyle w:val="BoxText"/>
            </w:pPr>
            <w:r>
              <w:t>A mix of</w:t>
            </w:r>
            <w:r w:rsidR="0095321D">
              <w:t xml:space="preserve"> measures are needed to facilitate access to agvet products for minor uses:</w:t>
            </w:r>
          </w:p>
          <w:p w:rsidR="0095321D" w:rsidRDefault="0095321D" w:rsidP="0095321D">
            <w:pPr>
              <w:pStyle w:val="BoxListBullet"/>
            </w:pPr>
            <w:r>
              <w:t>The Government’s program to assist the process of obtaining registration and permits for minor uses should continue</w:t>
            </w:r>
          </w:p>
          <w:p w:rsidR="0095321D" w:rsidRDefault="0095321D" w:rsidP="0095321D">
            <w:pPr>
              <w:pStyle w:val="BoxListBullet"/>
            </w:pPr>
            <w:r>
              <w:t>Adopting the Canadian approach to limiting liability of manufacturers in relation to minor uses should be explored</w:t>
            </w:r>
            <w:r w:rsidR="00297DB7">
              <w:t>,</w:t>
            </w:r>
          </w:p>
          <w:p w:rsidR="0095321D" w:rsidRDefault="0095321D" w:rsidP="0095321D">
            <w:pPr>
              <w:pStyle w:val="BoxListBullet"/>
            </w:pPr>
            <w:r>
              <w:t>Minor use registration and permits should be fast-tracked by the APVMA</w:t>
            </w:r>
            <w:r w:rsidR="009373F0">
              <w:t>.</w:t>
            </w:r>
            <w:r>
              <w:t xml:space="preserve"> </w:t>
            </w:r>
          </w:p>
        </w:tc>
      </w:tr>
      <w:tr w:rsidR="00E86A68" w:rsidRPr="008B3E19" w:rsidTr="00401D90">
        <w:trPr>
          <w:cantSplit/>
          <w:trHeight w:hRule="exact" w:val="376"/>
        </w:trPr>
        <w:tc>
          <w:tcPr>
            <w:tcW w:w="8614" w:type="dxa"/>
            <w:shd w:val="clear" w:color="auto" w:fill="E4E0DD"/>
            <w:tcMar>
              <w:top w:w="0" w:type="dxa"/>
              <w:bottom w:w="0" w:type="dxa"/>
              <w:right w:w="0" w:type="dxa"/>
            </w:tcMar>
          </w:tcPr>
          <w:p w:rsidR="0095321D" w:rsidRPr="008B3E19" w:rsidRDefault="00AB2314" w:rsidP="00AB2314">
            <w:pPr>
              <w:pStyle w:val="spacer"/>
              <w:tabs>
                <w:tab w:val="left" w:pos="6981"/>
              </w:tabs>
            </w:pPr>
            <w:r>
              <w:tab/>
            </w:r>
            <w:r w:rsidRPr="008B3E19">
              <w:rPr>
                <w:noProof/>
                <w:lang w:eastAsia="en-AU"/>
              </w:rPr>
              <mc:AlternateContent>
                <mc:Choice Requires="wps">
                  <w:drawing>
                    <wp:anchor distT="0" distB="0" distL="114300" distR="114300" simplePos="0" relativeHeight="252026880" behindDoc="0" locked="1" layoutInCell="1" allowOverlap="1" wp14:anchorId="2B326972" wp14:editId="4803F263">
                      <wp:simplePos x="0" y="0"/>
                      <wp:positionH relativeFrom="rightMargin">
                        <wp:posOffset>-601345</wp:posOffset>
                      </wp:positionH>
                      <wp:positionV relativeFrom="page">
                        <wp:posOffset>-635</wp:posOffset>
                      </wp:positionV>
                      <wp:extent cx="435600" cy="212400"/>
                      <wp:effectExtent l="0" t="0" r="3175" b="0"/>
                      <wp:wrapNone/>
                      <wp:docPr id="1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BB73DD" id="Freeform 5" o:spid="_x0000_s1026" style="position:absolute;margin-left:-47.35pt;margin-top:-.05pt;width:34.3pt;height:16.7pt;z-index:252026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" path="m822,r,828l,828,822,xm863,828r823,l1686,,863,828xe" fillcolor="#ffaf3a" stroked="f">
                      <v:path arrowok="t" o:connecttype="custom" o:connectlocs="212374,0;212374,212400;0,212400;212374,0;222967,212400;435600,212400;435600,0;222967,212400" o:connectangles="0,0,0,0,0,0,0,0"/>
                      <o:lock v:ext="edit" aspectratio="t" verticies="t"/>
                      <w10:wrap anchorx="margin" anchory="page"/>
                      <w10:anchorlock/>
                    </v:shape>
                  </w:pict>
                </mc:Fallback>
              </mc:AlternateContent>
            </w:r>
          </w:p>
        </w:tc>
      </w:tr>
      <w:tr w:rsidR="0095321D" w:rsidRPr="008B3E19" w:rsidTr="00D43FBB">
        <w:trPr>
          <w:cantSplit/>
          <w:trHeight w:hRule="exact" w:val="180"/>
        </w:trPr>
        <w:tc>
          <w:tcPr>
            <w:tcW w:w="8614" w:type="dxa"/>
            <w:shd w:val="clear" w:color="auto" w:fill="auto"/>
            <w:tcMar>
              <w:top w:w="0" w:type="dxa"/>
              <w:left w:w="446" w:type="dxa"/>
              <w:bottom w:w="0" w:type="dxa"/>
            </w:tcMar>
          </w:tcPr>
          <w:p w:rsidR="00AB2314" w:rsidRDefault="00546375" w:rsidP="00DA56B1">
            <w:pPr>
              <w:pStyle w:val="spacertbl"/>
            </w:pPr>
            <w:r>
              <w:rPr>
                <w:noProof/>
                <w:lang w:eastAsia="en-AU"/>
              </w:rPr>
              <mc:AlternateContent>
                <mc:Choice Requires="wps">
                  <w:drawing>
                    <wp:anchor distT="0" distB="0" distL="114300" distR="114300" simplePos="0" relativeHeight="251932672" behindDoc="0" locked="1" layoutInCell="1" allowOverlap="1" wp14:anchorId="1F96CC6B" wp14:editId="772CE070">
                      <wp:simplePos x="0" y="0"/>
                      <wp:positionH relativeFrom="page">
                        <wp:posOffset>6223635</wp:posOffset>
                      </wp:positionH>
                      <wp:positionV relativeFrom="page">
                        <wp:posOffset>9435465</wp:posOffset>
                      </wp:positionV>
                      <wp:extent cx="436880" cy="213360"/>
                      <wp:effectExtent l="0" t="0" r="1270" b="0"/>
                      <wp:wrapNone/>
                      <wp:docPr id="1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605809" id="Freeform 5" o:spid="_x0000_s1026" style="position:absolute;margin-left:490.05pt;margin-top:742.95pt;width:34.4pt;height:16.8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p w:rsidR="00AB2314" w:rsidRPr="00AB2314" w:rsidRDefault="00AB2314" w:rsidP="00AB2314"/>
          <w:p w:rsidR="0095321D" w:rsidRPr="00AB2314" w:rsidRDefault="00AB2314" w:rsidP="00AB2314">
            <w:pPr>
              <w:tabs>
                <w:tab w:val="left" w:pos="3594"/>
              </w:tabs>
            </w:pPr>
            <w:r>
              <w:tab/>
            </w:r>
          </w:p>
        </w:tc>
      </w:tr>
    </w:tbl>
    <w:p w:rsidR="00721194" w:rsidRDefault="00721194" w:rsidP="00721194">
      <w:pPr>
        <w:pStyle w:val="Heading2"/>
      </w:pPr>
      <w:bookmarkStart w:id="185" w:name="_Toc488650235"/>
      <w:bookmarkStart w:id="186" w:name="_Toc497300866"/>
      <w:r>
        <w:t>Registration processes</w:t>
      </w:r>
      <w:bookmarkEnd w:id="185"/>
      <w:bookmarkEnd w:id="186"/>
      <w:r>
        <w:t xml:space="preserve"> </w:t>
      </w:r>
    </w:p>
    <w:p w:rsidR="00721194" w:rsidRDefault="00721194" w:rsidP="00721194">
      <w:r>
        <w:t>Agvet chemical registration arrangements were also overviewed across the selected countries to help contextualise associated IP and data protection provisions and, more broadly, to facilitate consideration of ways to improve Australian registration rates for innovative agvet chemicals while supporting access to generics. The outcome of this overview and analysis is a</w:t>
      </w:r>
      <w:r w:rsidR="005877AE">
        <w:t xml:space="preserve"> strong</w:t>
      </w:r>
      <w:r>
        <w:t xml:space="preserve"> sense that elements of Australia’s agvet regulatory framework, particularly the time taken and complexity of local assessment and registration processes</w:t>
      </w:r>
      <w:r w:rsidR="009373F0">
        <w:t>,</w:t>
      </w:r>
      <w:r>
        <w:t xml:space="preserve"> are not </w:t>
      </w:r>
      <w:r w:rsidR="00133F6B">
        <w:t xml:space="preserve">always </w:t>
      </w:r>
      <w:r>
        <w:t>internationally competitive</w:t>
      </w:r>
      <w:r w:rsidR="006A4757">
        <w:t>.</w:t>
      </w:r>
      <w:r>
        <w:t xml:space="preserve"> </w:t>
      </w:r>
    </w:p>
    <w:p w:rsidR="00721194" w:rsidRDefault="00721194" w:rsidP="00721194">
      <w:r>
        <w:t xml:space="preserve">This </w:t>
      </w:r>
      <w:r w:rsidR="00A14C93">
        <w:t>conclusion</w:t>
      </w:r>
      <w:r>
        <w:t xml:space="preserve"> echoes the recent Productivity Commission inquiry, which observed that the regulation of agvet chemicals has been subject to numerous reviews, and subsequent reforms, but </w:t>
      </w:r>
      <w:r w:rsidR="00133F6B">
        <w:t xml:space="preserve">that </w:t>
      </w:r>
      <w:r>
        <w:t>concerns remain. The concerns are primarily about unnecessarily lengthy, complex and duplicative registration procedures.</w:t>
      </w:r>
      <w:r>
        <w:rPr>
          <w:rStyle w:val="FootnoteReference"/>
        </w:rPr>
        <w:footnoteReference w:id="131"/>
      </w:r>
    </w:p>
    <w:p w:rsidR="00721194" w:rsidRDefault="00721194" w:rsidP="00DA56B1">
      <w:pPr>
        <w:pStyle w:val="BodyText"/>
      </w:pPr>
      <w:r>
        <w:t>The Commission recommended that the APVMA increase its use of international assessments and decisions for products already registered by trusted comparable regulators overseas.</w:t>
      </w:r>
      <w:r w:rsidR="00DA56B1">
        <w:t xml:space="preserve"> </w:t>
      </w:r>
      <w:r w:rsidR="00F83D1C" w:rsidRPr="00F83D1C">
        <w:t xml:space="preserve">While </w:t>
      </w:r>
      <w:r w:rsidR="00297DB7">
        <w:t xml:space="preserve">it is </w:t>
      </w:r>
      <w:r w:rsidR="00F83D1C" w:rsidRPr="00F83D1C">
        <w:t>note</w:t>
      </w:r>
      <w:r w:rsidR="00297DB7">
        <w:t>d</w:t>
      </w:r>
      <w:r w:rsidR="00F83D1C" w:rsidRPr="00F83D1C">
        <w:t xml:space="preserve"> that the APVMA is seeking to make operational improvements,</w:t>
      </w:r>
      <w:r w:rsidR="00F83D1C">
        <w:t xml:space="preserve"> </w:t>
      </w:r>
      <w:r>
        <w:t xml:space="preserve">the evidence </w:t>
      </w:r>
      <w:r w:rsidR="00DA56B1">
        <w:t>examined</w:t>
      </w:r>
      <w:r>
        <w:t xml:space="preserve"> in the preparation of this report supports the findings published </w:t>
      </w:r>
      <w:r w:rsidR="009373F0">
        <w:t xml:space="preserve">by </w:t>
      </w:r>
      <w:r>
        <w:t xml:space="preserve">the Productivity Commission in 2016. </w:t>
      </w:r>
      <w:r w:rsidR="00F43EB6">
        <w:t xml:space="preserve">Delays in registration </w:t>
      </w:r>
      <w:r>
        <w:t>directly affect the ability of suppliers of agvet chemical products to obtain a commercial return in the Australian market within patent terms, with flow-on impacts including some overseas companies starting to bypass the Australian market.</w:t>
      </w:r>
      <w:r w:rsidRPr="00093C94">
        <w:t xml:space="preserve"> </w:t>
      </w:r>
      <w:r w:rsidR="00F83D1C" w:rsidRPr="00F83D1C">
        <w:t xml:space="preserve">In </w:t>
      </w:r>
      <w:r w:rsidR="006F7E2F">
        <w:t>ACIL Allen’s</w:t>
      </w:r>
      <w:r w:rsidR="00F83D1C" w:rsidRPr="00F83D1C">
        <w:t xml:space="preserve"> opinion, </w:t>
      </w:r>
      <w:r w:rsidR="00AF58E8">
        <w:t>t</w:t>
      </w:r>
      <w:r>
        <w:t>hese issues are strong disincentives to registering agvet chemicals in Australia and should be addressed.</w:t>
      </w:r>
    </w:p>
    <w:p w:rsidR="00D16C34" w:rsidRDefault="00D16C34" w:rsidP="00D16C34">
      <w:pPr>
        <w:pStyle w:val="BodyText"/>
      </w:pPr>
      <w:r>
        <w:t>Acceptance of hazard data from one or more internationally recognised regulators which draw on best practice standards (e.g. USA or the European Union) should be considered to meet aspects of the APVMA requirements. The Therapeutic Goods Administration appears to be well ahead of the APVMA in this regard.</w:t>
      </w:r>
      <w:r>
        <w:rPr>
          <w:rStyle w:val="FootnoteReference"/>
        </w:rPr>
        <w:footnoteReference w:id="132"/>
      </w:r>
      <w:r>
        <w:t xml:space="preserve"> If </w:t>
      </w:r>
      <w:r w:rsidR="00BC2856">
        <w:t xml:space="preserve">the </w:t>
      </w:r>
      <w:r>
        <w:t>APVMA consider</w:t>
      </w:r>
      <w:r w:rsidR="00BC2856">
        <w:t>s</w:t>
      </w:r>
      <w:r>
        <w:t xml:space="preserve"> that legislative action is needed to protect decisions based on the acceptance of such data, then the legislation should be amended. </w:t>
      </w:r>
    </w:p>
    <w:tbl>
      <w:tblPr>
        <w:tblW w:w="0" w:type="auto"/>
        <w:tblInd w:w="-446" w:type="dxa"/>
        <w:tblLayout w:type="fixed"/>
        <w:tblCellMar>
          <w:left w:w="0" w:type="dxa"/>
          <w:right w:w="0" w:type="dxa"/>
        </w:tblCellMar>
        <w:tblLook w:val="04A0" w:firstRow="1" w:lastRow="0" w:firstColumn="1" w:lastColumn="0" w:noHBand="0" w:noVBand="1"/>
        <w:tblDescription w:val="tbl_prt_hBox-Std"/>
      </w:tblPr>
      <w:tblGrid>
        <w:gridCol w:w="8614"/>
      </w:tblGrid>
      <w:tr w:rsidR="00E86A68" w:rsidRPr="0022286A" w:rsidTr="00401D90">
        <w:trPr>
          <w:cantSplit/>
        </w:trPr>
        <w:tc>
          <w:tcPr>
            <w:tcW w:w="8614" w:type="dxa"/>
            <w:shd w:val="clear" w:color="auto" w:fill="auto"/>
            <w:tcMar>
              <w:top w:w="160" w:type="dxa"/>
              <w:left w:w="446" w:type="dxa"/>
            </w:tcMar>
          </w:tcPr>
          <w:p w:rsidR="006E2AAF" w:rsidRPr="0022286A" w:rsidRDefault="006E2AAF" w:rsidP="006E2AAF">
            <w:pPr>
              <w:pStyle w:val="Caption"/>
            </w:pPr>
            <w:r w:rsidRPr="0022286A">
              <w:rPr>
                <w:rStyle w:val="CaptionLabel"/>
              </w:rPr>
              <w:t>Key</w:t>
            </w:r>
            <w:r>
              <w:rPr>
                <w:rStyle w:val="CaptionLabel"/>
              </w:rPr>
              <w:t> </w:t>
            </w:r>
            <w:r w:rsidRPr="0022286A">
              <w:rPr>
                <w:rStyle w:val="CaptionLabel"/>
              </w:rPr>
              <w:t>Finding</w:t>
            </w:r>
            <w:r>
              <w:rPr>
                <w:rStyle w:val="CaptionLabel"/>
              </w:rPr>
              <w:t> </w:t>
            </w:r>
            <w:r w:rsidRPr="0022286A">
              <w:rPr>
                <w:rStyle w:val="CaptionLabel"/>
              </w:rPr>
              <w:fldChar w:fldCharType="begin"/>
            </w:r>
            <w:r w:rsidRPr="0022286A">
              <w:rPr>
                <w:rStyle w:val="CaptionLabel"/>
              </w:rPr>
              <w:instrText xml:space="preserve"> SEQ Key_Finding \* ARABIC </w:instrText>
            </w:r>
            <w:r w:rsidRPr="0022286A">
              <w:rPr>
                <w:rStyle w:val="CaptionLabel"/>
              </w:rPr>
              <w:fldChar w:fldCharType="separate"/>
            </w:r>
            <w:r w:rsidR="0087688C">
              <w:rPr>
                <w:rStyle w:val="CaptionLabel"/>
                <w:noProof/>
              </w:rPr>
              <w:t>5</w:t>
            </w:r>
            <w:r w:rsidRPr="0022286A">
              <w:rPr>
                <w:rStyle w:val="CaptionLabel"/>
              </w:rPr>
              <w:fldChar w:fldCharType="end"/>
            </w:r>
            <w:r>
              <w:tab/>
              <w:t>using data and assessments from overseas regulators</w:t>
            </w:r>
          </w:p>
        </w:tc>
      </w:tr>
      <w:tr w:rsidR="006E2AAF" w:rsidTr="00D43FBB">
        <w:trPr>
          <w:cantSplit/>
        </w:trPr>
        <w:tc>
          <w:tcPr>
            <w:tcW w:w="8614" w:type="dxa"/>
            <w:shd w:val="clear" w:color="auto" w:fill="E4E0DD"/>
            <w:tcMar>
              <w:top w:w="276" w:type="dxa"/>
              <w:bottom w:w="0" w:type="dxa"/>
              <w:right w:w="120" w:type="dxa"/>
            </w:tcMar>
          </w:tcPr>
          <w:p w:rsidR="006E2AAF" w:rsidRDefault="006E2AAF" w:rsidP="006E2AAF">
            <w:pPr>
              <w:pStyle w:val="BoxText"/>
            </w:pPr>
            <w:r>
              <w:t xml:space="preserve">There is scope for the APVMA to make greater use of data, analyses and assessments undertaken for / by trusted overseas regulators. This information should be requested from applicants and should </w:t>
            </w:r>
            <w:r w:rsidR="00D16C34">
              <w:t xml:space="preserve">be used to </w:t>
            </w:r>
            <w:r>
              <w:t>expedite Australian approval processes.</w:t>
            </w:r>
          </w:p>
        </w:tc>
      </w:tr>
      <w:tr w:rsidR="006E2AAF" w:rsidRPr="008B3E19" w:rsidTr="00D43FBB">
        <w:trPr>
          <w:cantSplit/>
          <w:trHeight w:hRule="exact" w:val="376"/>
        </w:trPr>
        <w:tc>
          <w:tcPr>
            <w:tcW w:w="8614" w:type="dxa"/>
            <w:shd w:val="clear" w:color="auto" w:fill="E4E0DD"/>
            <w:tcMar>
              <w:top w:w="0" w:type="dxa"/>
              <w:bottom w:w="0" w:type="dxa"/>
              <w:right w:w="0" w:type="dxa"/>
            </w:tcMar>
          </w:tcPr>
          <w:p w:rsidR="006E2AAF" w:rsidRPr="008B3E19" w:rsidRDefault="00AB2314" w:rsidP="00784A1E">
            <w:pPr>
              <w:pStyle w:val="spacer"/>
            </w:pPr>
            <w:r w:rsidRPr="008B3E19">
              <w:rPr>
                <w:noProof/>
                <w:lang w:eastAsia="en-AU"/>
              </w:rPr>
              <mc:AlternateContent>
                <mc:Choice Requires="wps">
                  <w:drawing>
                    <wp:anchor distT="0" distB="0" distL="114300" distR="114300" simplePos="0" relativeHeight="252028928" behindDoc="0" locked="1" layoutInCell="1" allowOverlap="1" wp14:anchorId="2B326972" wp14:editId="4803F263">
                      <wp:simplePos x="0" y="0"/>
                      <wp:positionH relativeFrom="rightMargin">
                        <wp:posOffset>-622300</wp:posOffset>
                      </wp:positionH>
                      <wp:positionV relativeFrom="paragraph">
                        <wp:posOffset>-14605</wp:posOffset>
                      </wp:positionV>
                      <wp:extent cx="435600" cy="212400"/>
                      <wp:effectExtent l="0" t="0" r="3175" b="0"/>
                      <wp:wrapNone/>
                      <wp:docPr id="11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5600" cy="21240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D2F88A" id="Freeform 5" o:spid="_x0000_s1026" style="position:absolute;margin-left:-49pt;margin-top:-1.15pt;width:34.3pt;height:16.7pt;z-index:25202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" path="m822,r,828l,828,822,xm863,828r823,l1686,,863,828xe" fillcolor="#ffaf3a" stroked="f">
                      <v:path arrowok="t" o:connecttype="custom" o:connectlocs="212374,0;212374,212400;0,212400;212374,0;222967,212400;435600,212400;435600,0;222967,212400" o:connectangles="0,0,0,0,0,0,0,0"/>
                      <o:lock v:ext="edit" aspectratio="t" verticies="t"/>
                      <w10:wrap anchorx="margin"/>
                      <w10:anchorlock/>
                    </v:shape>
                  </w:pict>
                </mc:Fallback>
              </mc:AlternateContent>
            </w:r>
          </w:p>
        </w:tc>
      </w:tr>
      <w:tr w:rsidR="006E2AAF" w:rsidRPr="008B3E19" w:rsidTr="00D43FBB">
        <w:trPr>
          <w:cantSplit/>
          <w:trHeight w:hRule="exact" w:val="180"/>
        </w:trPr>
        <w:tc>
          <w:tcPr>
            <w:tcW w:w="8614" w:type="dxa"/>
            <w:shd w:val="clear" w:color="auto" w:fill="auto"/>
            <w:tcMar>
              <w:top w:w="0" w:type="dxa"/>
              <w:left w:w="446" w:type="dxa"/>
              <w:bottom w:w="0" w:type="dxa"/>
            </w:tcMar>
          </w:tcPr>
          <w:p w:rsidR="006E2AAF" w:rsidRPr="008B3E19" w:rsidRDefault="00546375" w:rsidP="00784A1E">
            <w:pPr>
              <w:pStyle w:val="spacertbl"/>
            </w:pPr>
            <w:r>
              <w:rPr>
                <w:noProof/>
                <w:lang w:eastAsia="en-AU"/>
              </w:rPr>
              <mc:AlternateContent>
                <mc:Choice Requires="wps">
                  <w:drawing>
                    <wp:anchor distT="0" distB="0" distL="114300" distR="114300" simplePos="0" relativeHeight="251934720" behindDoc="0" locked="1" layoutInCell="1" allowOverlap="1" wp14:anchorId="73155EDE" wp14:editId="15E56D54">
                      <wp:simplePos x="0" y="0"/>
                      <wp:positionH relativeFrom="page">
                        <wp:posOffset>6223635</wp:posOffset>
                      </wp:positionH>
                      <wp:positionV relativeFrom="page">
                        <wp:posOffset>5956300</wp:posOffset>
                      </wp:positionV>
                      <wp:extent cx="436880" cy="213360"/>
                      <wp:effectExtent l="0" t="0" r="1270" b="0"/>
                      <wp:wrapNone/>
                      <wp:docPr id="1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5C66A9" id="Freeform 5" o:spid="_x0000_s1026" style="position:absolute;margin-left:490.05pt;margin-top:469pt;width:34.4pt;height:16.8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QAfQMAAMIJAAAOAAAAZHJzL2Uyb0RvYy54bWysVsFu4zYQvRfoPxA6Fmhk2Y7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page" anchory="page"/>
                      <w10:anchorlock/>
                    </v:shape>
                  </w:pict>
                </mc:Fallback>
              </mc:AlternateContent>
            </w:r>
          </w:p>
        </w:tc>
      </w:tr>
    </w:tbl>
    <w:p w:rsidR="00721194" w:rsidRDefault="00DA56B1" w:rsidP="00721194">
      <w:pPr>
        <w:pStyle w:val="BodyText"/>
      </w:pPr>
      <w:r>
        <w:t>R</w:t>
      </w:r>
      <w:r w:rsidR="00721194">
        <w:t>egulatory delays could be reduced by the APVMA focusing more of its limited resources on high-risk products</w:t>
      </w:r>
      <w:r>
        <w:t>,</w:t>
      </w:r>
      <w:r w:rsidR="00721194">
        <w:t xml:space="preserve"> and simplifying procedures for low</w:t>
      </w:r>
      <w:r>
        <w:t>-</w:t>
      </w:r>
      <w:r w:rsidR="00721194">
        <w:t>risk products</w:t>
      </w:r>
      <w:r>
        <w:t xml:space="preserve"> as has been done in Canada </w:t>
      </w:r>
      <w:r w:rsidR="003A1623">
        <w:t xml:space="preserve">and the USA </w:t>
      </w:r>
      <w:r>
        <w:t xml:space="preserve">(see </w:t>
      </w:r>
      <w:r w:rsidR="00A14C93">
        <w:fldChar w:fldCharType="begin"/>
      </w:r>
      <w:r w:rsidR="00A14C93">
        <w:instrText xml:space="preserve"> REF _Ref485061127 \h </w:instrText>
      </w:r>
      <w:r w:rsidR="00A14C93">
        <w:fldChar w:fldCharType="separate"/>
      </w:r>
      <w:r w:rsidR="0087688C" w:rsidRPr="00FC29C8">
        <w:rPr>
          <w:rStyle w:val="CaptionLabel"/>
        </w:rPr>
        <w:t>Table</w:t>
      </w:r>
      <w:r w:rsidR="0087688C">
        <w:rPr>
          <w:rStyle w:val="CaptionLabel"/>
        </w:rPr>
        <w:t> </w:t>
      </w:r>
      <w:r w:rsidR="0087688C">
        <w:rPr>
          <w:rStyle w:val="CaptionLabel"/>
          <w:noProof/>
        </w:rPr>
        <w:t>4</w:t>
      </w:r>
      <w:r w:rsidR="0087688C">
        <w:rPr>
          <w:rStyle w:val="CaptionLabel"/>
        </w:rPr>
        <w:t>.</w:t>
      </w:r>
      <w:r w:rsidR="0087688C">
        <w:rPr>
          <w:rStyle w:val="CaptionLabel"/>
          <w:noProof/>
        </w:rPr>
        <w:t>1</w:t>
      </w:r>
      <w:r w:rsidR="00A14C93">
        <w:fldChar w:fldCharType="end"/>
      </w:r>
      <w:r w:rsidR="00A14C93">
        <w:t>)</w:t>
      </w:r>
      <w:r>
        <w:t xml:space="preserve"> and the UK</w:t>
      </w:r>
      <w:r w:rsidR="00A14C93">
        <w:t xml:space="preserve"> (see </w:t>
      </w:r>
      <w:r w:rsidR="00A14C93">
        <w:fldChar w:fldCharType="begin"/>
      </w:r>
      <w:r w:rsidR="00A14C93">
        <w:instrText xml:space="preserve"> REF _Ref485302096 \h </w:instrText>
      </w:r>
      <w:r w:rsidR="00A14C93">
        <w:fldChar w:fldCharType="separate"/>
      </w:r>
      <w:r w:rsidR="0087688C" w:rsidRPr="00FC29C8">
        <w:rPr>
          <w:rStyle w:val="CaptionLabel"/>
        </w:rPr>
        <w:t>Table</w:t>
      </w:r>
      <w:r w:rsidR="0087688C">
        <w:rPr>
          <w:rStyle w:val="CaptionLabel"/>
        </w:rPr>
        <w:t> </w:t>
      </w:r>
      <w:r w:rsidR="0087688C">
        <w:rPr>
          <w:rStyle w:val="CaptionLabel"/>
          <w:noProof/>
        </w:rPr>
        <w:t>5</w:t>
      </w:r>
      <w:r w:rsidR="0087688C">
        <w:rPr>
          <w:rStyle w:val="CaptionLabel"/>
        </w:rPr>
        <w:t>.</w:t>
      </w:r>
      <w:r w:rsidR="0087688C">
        <w:rPr>
          <w:rStyle w:val="CaptionLabel"/>
          <w:noProof/>
        </w:rPr>
        <w:t>3</w:t>
      </w:r>
      <w:r w:rsidR="00A14C93">
        <w:fldChar w:fldCharType="end"/>
      </w:r>
      <w:r w:rsidR="00A14C93">
        <w:t>)</w:t>
      </w:r>
      <w:r w:rsidR="00721194">
        <w:t xml:space="preserve">. In relation to APVMA processes, </w:t>
      </w:r>
      <w:r w:rsidR="00A14C93">
        <w:t xml:space="preserve">minor actions </w:t>
      </w:r>
      <w:r w:rsidR="00721194">
        <w:t>such as updating applicant details in APVMA systems</w:t>
      </w:r>
      <w:r w:rsidR="00A14C93">
        <w:t xml:space="preserve"> could be better managed through </w:t>
      </w:r>
      <w:r w:rsidR="00721194">
        <w:t xml:space="preserve">a self-service </w:t>
      </w:r>
      <w:r w:rsidR="00D16C34">
        <w:t xml:space="preserve">web-based </w:t>
      </w:r>
      <w:r w:rsidR="00721194">
        <w:t>approach</w:t>
      </w:r>
      <w:r w:rsidR="00A14C93">
        <w:t xml:space="preserve">, </w:t>
      </w:r>
      <w:r w:rsidR="00721194">
        <w:t>reduc</w:t>
      </w:r>
      <w:r w:rsidR="00A14C93">
        <w:t>ing</w:t>
      </w:r>
      <w:r w:rsidR="00721194">
        <w:t xml:space="preserve"> time delays and administrative burden being placed on all parties involved. </w:t>
      </w:r>
    </w:p>
    <w:p w:rsidR="00721194" w:rsidRDefault="00721194" w:rsidP="00721194">
      <w:r>
        <w:t xml:space="preserve">The more efficient processing of low risk agvet product proposals would provide immediate gains and </w:t>
      </w:r>
      <w:r w:rsidR="0070735D">
        <w:t>allow</w:t>
      </w:r>
      <w:r>
        <w:t xml:space="preserve"> the APVMA to focus more of its efforts in areas where more detailed attention is justified</w:t>
      </w:r>
      <w:r w:rsidR="00A14C93">
        <w:t xml:space="preserve">, consistent with the Productivity Commission’s </w:t>
      </w:r>
      <w:r w:rsidR="0070735D">
        <w:t>2016 comments on fit-for-purpose regulation</w:t>
      </w:r>
      <w:r>
        <w:t xml:space="preserve">. There is a strong case for bringing Australian handling of low risk proposals into line with some of the best practices in other countries, described in this report. </w:t>
      </w:r>
    </w:p>
    <w:p w:rsidR="00721194" w:rsidRDefault="00721194" w:rsidP="00721194">
      <w:r>
        <w:t xml:space="preserve">Procedural changes are needed to </w:t>
      </w:r>
      <w:r w:rsidR="00C31FF5">
        <w:t>achieve faster throughput and</w:t>
      </w:r>
      <w:r>
        <w:t xml:space="preserve"> to accelerate the processing of applications for companion animals, golf course chemicals, household and anti</w:t>
      </w:r>
      <w:r w:rsidR="00C223E2">
        <w:t>-</w:t>
      </w:r>
      <w:r>
        <w:t>fouling chemicals. This aligns with the concept of responsive regulation. Some work on simplifying low risk proposals has already been done</w:t>
      </w:r>
      <w:r w:rsidR="00883E8F">
        <w:t xml:space="preserve"> by the regulator</w:t>
      </w:r>
      <w:r>
        <w:t>, but this needs to be provided with additional resources and accelerated.</w:t>
      </w:r>
    </w:p>
    <w:p w:rsidR="00721194" w:rsidRDefault="00721194" w:rsidP="00721194">
      <w:r>
        <w:t>The APVMA should accelerate the development of “standards”</w:t>
      </w:r>
      <w:r>
        <w:rPr>
          <w:rStyle w:val="FootnoteReference"/>
        </w:rPr>
        <w:footnoteReference w:id="133"/>
      </w:r>
      <w:r>
        <w:t xml:space="preserve"> (in particular, standard application forms for some categories such as for anti-fouling paints). These need to be simpler, shorter and more widely applicable than the example</w:t>
      </w:r>
      <w:r w:rsidR="00D16C34">
        <w:t xml:space="preserve"> provided to ACIL Allen</w:t>
      </w:r>
      <w:r>
        <w:t xml:space="preserve">. If designed appropriately, these standards have the potential to reduce the time and cost involved in securing approvals for low risk products. </w:t>
      </w:r>
    </w:p>
    <w:p w:rsidR="00721194" w:rsidRDefault="00721194" w:rsidP="00721194">
      <w:r>
        <w:t>Self-assessment of some low risk product categories should be permitted. Relevant categories would include consumer products which are not going to be used on farm crops or food animals. When a product approved for crop use (or golf course use) is reformulated for home garden use, self-assessment could be appropriate.</w:t>
      </w:r>
    </w:p>
    <w:p w:rsidR="00721194" w:rsidRDefault="00C31FF5" w:rsidP="00721194">
      <w:r>
        <w:t xml:space="preserve">In </w:t>
      </w:r>
      <w:r w:rsidR="006F7E2F">
        <w:t xml:space="preserve">ACIL Allen’s </w:t>
      </w:r>
      <w:r>
        <w:t>opinion, t</w:t>
      </w:r>
      <w:r w:rsidR="00721194">
        <w:t xml:space="preserve">here is a culture within </w:t>
      </w:r>
      <w:r w:rsidR="00BC2856">
        <w:t xml:space="preserve">the </w:t>
      </w:r>
      <w:r w:rsidR="00721194">
        <w:t xml:space="preserve">APVMA to avoid rather than manage risks. </w:t>
      </w:r>
      <w:r w:rsidR="00297DB7">
        <w:t xml:space="preserve">The project team </w:t>
      </w:r>
      <w:r w:rsidR="00721194">
        <w:t>heard many examples during consultations about the unwillingness of staff to tolerate any risk associated with an application. This approach is sub-optimal and contrary to effective regulation. It can lead to significant demands for additional Australian data and to reviews of data that has been previously reviewed and accepted by North American and / or European regulators. Organisations consulted for this project all agree that this is unnecessary, inefficient and time consuming. There is a need to scale the level of regulatory effort to the level of risk as noted above.</w:t>
      </w:r>
    </w:p>
    <w:p w:rsidR="00721194" w:rsidRDefault="00B6500B" w:rsidP="00721194">
      <w:r>
        <w:t xml:space="preserve">It is </w:t>
      </w:r>
      <w:r w:rsidR="006F7E2F">
        <w:t>ACIL Allen’s</w:t>
      </w:r>
      <w:r>
        <w:t xml:space="preserve"> view that </w:t>
      </w:r>
      <w:r w:rsidR="00721194">
        <w:t xml:space="preserve">APVMA staff need assurance that where no uniquely Australian issue is evident, they can and should rely on data and </w:t>
      </w:r>
      <w:r w:rsidR="00804760">
        <w:t xml:space="preserve">data </w:t>
      </w:r>
      <w:r w:rsidR="00721194">
        <w:t>assessments by US and European regulators</w:t>
      </w:r>
      <w:r w:rsidR="00BC2856">
        <w:t>.</w:t>
      </w:r>
      <w:r w:rsidR="00721194">
        <w:t xml:space="preserve"> In particular, hazard assessments involving toxicity, effectiveness and chemical data should not be reassessed.</w:t>
      </w:r>
    </w:p>
    <w:p w:rsidR="00721194" w:rsidRDefault="00721194" w:rsidP="00721194">
      <w:r>
        <w:t xml:space="preserve">Commonwealth committees </w:t>
      </w:r>
      <w:r w:rsidR="00297DB7">
        <w:t xml:space="preserve">which have a role in the assessment process </w:t>
      </w:r>
      <w:r>
        <w:t>(e.g. the Advisory Committee on Chemicals Scheduling and the Advisory Committee on Medicines Scheduling</w:t>
      </w:r>
      <w:r w:rsidR="00297DB7">
        <w:t>,</w:t>
      </w:r>
      <w:r>
        <w:t xml:space="preserve"> which meet only three times </w:t>
      </w:r>
      <w:r w:rsidR="00A3019E">
        <w:t xml:space="preserve">each </w:t>
      </w:r>
      <w:r>
        <w:t xml:space="preserve">per annum) need to meet more often. The current schedule </w:t>
      </w:r>
      <w:r w:rsidR="00D16C34">
        <w:t xml:space="preserve">appears to be </w:t>
      </w:r>
      <w:r>
        <w:t>a source of unnecessary delays</w:t>
      </w:r>
      <w:r w:rsidR="00D16C34">
        <w:t>,</w:t>
      </w:r>
      <w:r>
        <w:t xml:space="preserve"> impacting on the time taken by </w:t>
      </w:r>
      <w:r w:rsidR="00BC2856">
        <w:t xml:space="preserve">the </w:t>
      </w:r>
      <w:r>
        <w:t>APVMA to assess agvet products</w:t>
      </w:r>
      <w:r w:rsidR="008D7A0A">
        <w:t>, although early engagement with the scheduling process</w:t>
      </w:r>
      <w:r w:rsidR="00670F18">
        <w:t xml:space="preserve"> </w:t>
      </w:r>
      <w:r w:rsidR="00E93628">
        <w:t>is possible</w:t>
      </w:r>
      <w:r>
        <w:t xml:space="preserve">. Agvet companies should be able to submit material directly (as do pharmaceutical companies) to these Committees. </w:t>
      </w:r>
    </w:p>
    <w:p w:rsidR="00721194" w:rsidRDefault="00721194" w:rsidP="00721194">
      <w:r>
        <w:t>ACIL Allen understand</w:t>
      </w:r>
      <w:r w:rsidR="0024738E">
        <w:t>s</w:t>
      </w:r>
      <w:r>
        <w:t xml:space="preserve"> that crop grouping is another area in which the APVMA has been undertaking work that could result in savings of time and effort. Work on crop grouping needs to be completed and implemented so that </w:t>
      </w:r>
      <w:r w:rsidR="00BC2856">
        <w:t xml:space="preserve">the </w:t>
      </w:r>
      <w:r>
        <w:t xml:space="preserve">APVMA practices in this area align with those internationally. </w:t>
      </w:r>
    </w:p>
    <w:p w:rsidR="00721194" w:rsidRDefault="00721194" w:rsidP="00721194">
      <w:r>
        <w:t>APVMA import consents should not be required for an unapproved active or an unregistered product where this is for use under an APVMA permit, or for use under the direction of a veterinary surgeon. Importers undertaking these activities could, if necessary, be required to lodge details on the APVMA website.</w:t>
      </w:r>
    </w:p>
    <w:p w:rsidR="002F1F9D" w:rsidRDefault="006B5480" w:rsidP="00721194">
      <w:pPr>
        <w:pStyle w:val="Heading2"/>
        <w:rPr>
          <w:lang w:val="en-US"/>
        </w:rPr>
      </w:pPr>
      <w:bookmarkStart w:id="187" w:name="_Toc497300867"/>
      <w:r>
        <w:rPr>
          <w:lang w:val="en-US"/>
        </w:rPr>
        <w:t>Other considerations</w:t>
      </w:r>
      <w:bookmarkEnd w:id="187"/>
    </w:p>
    <w:p w:rsidR="00FA55A8" w:rsidRDefault="00FA55A8" w:rsidP="00FA55A8">
      <w:pPr>
        <w:pStyle w:val="Heading5"/>
      </w:pPr>
      <w:r>
        <w:t>Legislation and regulation</w:t>
      </w:r>
    </w:p>
    <w:p w:rsidR="00DA56B1" w:rsidRPr="00DA56B1" w:rsidRDefault="00DA56B1" w:rsidP="00DA56B1">
      <w:r w:rsidRPr="00DA56B1">
        <w:t>As noted in the introduction of this report, the Productivity Commission has pointed out</w:t>
      </w:r>
      <w:r w:rsidR="00BC2856">
        <w:t xml:space="preserve"> that</w:t>
      </w:r>
      <w:r w:rsidRPr="00DA56B1">
        <w:t xml:space="preserve"> regulation should be fit-for purpose. It should be:</w:t>
      </w:r>
    </w:p>
    <w:p w:rsidR="00DA56B1" w:rsidRPr="00DA56B1" w:rsidRDefault="00DE5C34" w:rsidP="00DA56B1">
      <w:pPr>
        <w:pStyle w:val="ListBullet"/>
      </w:pPr>
      <w:r>
        <w:rPr>
          <w:b/>
        </w:rPr>
        <w:t>t</w:t>
      </w:r>
      <w:r w:rsidR="00DA56B1" w:rsidRPr="00DA56B1">
        <w:rPr>
          <w:b/>
        </w:rPr>
        <w:t>argeted</w:t>
      </w:r>
      <w:r>
        <w:rPr>
          <w:b/>
        </w:rPr>
        <w:t xml:space="preserve"> </w:t>
      </w:r>
      <w:r w:rsidR="00DA56B1" w:rsidRPr="00DA56B1">
        <w:t>—</w:t>
      </w:r>
      <w:r>
        <w:t xml:space="preserve"> </w:t>
      </w:r>
      <w:r w:rsidR="00DA56B1" w:rsidRPr="00DA56B1">
        <w:t>the scope of the regulation (that is, who or what the regulation applies to) should be clear and appropriate for addressing the regulatory problem</w:t>
      </w:r>
    </w:p>
    <w:p w:rsidR="00DA56B1" w:rsidRPr="00DA56B1" w:rsidRDefault="00DA56B1" w:rsidP="00DA56B1">
      <w:pPr>
        <w:pStyle w:val="ListBullet"/>
      </w:pPr>
      <w:r w:rsidRPr="00DA56B1">
        <w:rPr>
          <w:b/>
        </w:rPr>
        <w:t>evidence-based</w:t>
      </w:r>
      <w:r w:rsidR="00DE5C34">
        <w:rPr>
          <w:b/>
        </w:rPr>
        <w:t xml:space="preserve"> </w:t>
      </w:r>
      <w:r w:rsidRPr="00DA56B1">
        <w:t>—</w:t>
      </w:r>
      <w:r w:rsidR="00DE5C34">
        <w:t xml:space="preserve"> </w:t>
      </w:r>
      <w:r w:rsidRPr="00DA56B1">
        <w:t>there should be an apparent and demonstrable connection between the content of the regulation and the regulatory objective</w:t>
      </w:r>
      <w:r w:rsidR="00297DB7">
        <w:t>, and</w:t>
      </w:r>
    </w:p>
    <w:p w:rsidR="00DA56B1" w:rsidRPr="00DA56B1" w:rsidRDefault="00DA56B1" w:rsidP="00DA56B1">
      <w:pPr>
        <w:pStyle w:val="ListBullet"/>
      </w:pPr>
      <w:r w:rsidRPr="00DA56B1">
        <w:rPr>
          <w:b/>
        </w:rPr>
        <w:t>proportionate</w:t>
      </w:r>
      <w:r w:rsidR="00DE5C34">
        <w:rPr>
          <w:b/>
        </w:rPr>
        <w:t xml:space="preserve"> </w:t>
      </w:r>
      <w:r w:rsidRPr="00DA56B1">
        <w:t>—</w:t>
      </w:r>
      <w:r w:rsidR="00DE5C34">
        <w:t xml:space="preserve"> </w:t>
      </w:r>
      <w:r w:rsidRPr="00DA56B1">
        <w:t>the burden imposed by the regulation on government agencies and the public should be proportionate to the regulatory outcome being sought.</w:t>
      </w:r>
    </w:p>
    <w:p w:rsidR="00DA56B1" w:rsidRDefault="00DA56B1" w:rsidP="00DA56B1">
      <w:pPr>
        <w:pStyle w:val="BodyText"/>
      </w:pPr>
      <w:r>
        <w:t xml:space="preserve">The complexity and drafting of the agvet chemical legislation is, in itself, a significant barrier to providing </w:t>
      </w:r>
      <w:r w:rsidRPr="00201BDE">
        <w:t xml:space="preserve">Australian agricultural producers </w:t>
      </w:r>
      <w:r>
        <w:t>with timely access t</w:t>
      </w:r>
      <w:r w:rsidRPr="00201BDE">
        <w:t>o innovative agvet chemicals</w:t>
      </w:r>
      <w:r>
        <w:t xml:space="preserve"> and generic products. ACIL Allen notes that the Deputy Prime Minister announced a comprehensive legislative review in an interview on 27 April 2017. The team which prepared this report found the Act, Regulations and Code difficult to navigate and unnecessarily complex. There is a strong case for simplifying the </w:t>
      </w:r>
      <w:r w:rsidR="00804760">
        <w:t xml:space="preserve">complexity of the </w:t>
      </w:r>
      <w:r>
        <w:t>legislation. Unnecessary complexity in data protection could be removed</w:t>
      </w:r>
      <w:r w:rsidR="00804760">
        <w:t xml:space="preserve"> and the wording simplified</w:t>
      </w:r>
      <w:r>
        <w:t>. For example</w:t>
      </w:r>
      <w:r w:rsidR="00804760">
        <w:t>,</w:t>
      </w:r>
      <w:r>
        <w:t xml:space="preserve"> there are three different categories of protected data with different provisions for managing each scattered </w:t>
      </w:r>
      <w:r w:rsidR="0024738E">
        <w:t xml:space="preserve">throughout </w:t>
      </w:r>
      <w:r>
        <w:t xml:space="preserve">the legislation. It is </w:t>
      </w:r>
      <w:r w:rsidR="0024738E">
        <w:t xml:space="preserve">also </w:t>
      </w:r>
      <w:r>
        <w:t>difficult to see why the legislation needs to refer to patents or patented chemicals</w:t>
      </w:r>
      <w:r w:rsidR="00297DB7">
        <w:t xml:space="preserve"> </w:t>
      </w:r>
      <w:r>
        <w:t>—</w:t>
      </w:r>
      <w:r w:rsidR="00297DB7">
        <w:t xml:space="preserve"> </w:t>
      </w:r>
      <w:r>
        <w:t xml:space="preserve">patents are adequately covered in the </w:t>
      </w:r>
      <w:r w:rsidRPr="009B38D1">
        <w:rPr>
          <w:i/>
        </w:rPr>
        <w:t>Patents Act</w:t>
      </w:r>
      <w:r>
        <w:t xml:space="preserve">. </w:t>
      </w:r>
    </w:p>
    <w:p w:rsidR="00DA56B1" w:rsidRDefault="00DA56B1" w:rsidP="00DA56B1">
      <w:pPr>
        <w:pStyle w:val="BodyText"/>
      </w:pPr>
      <w:r>
        <w:t>In the longer term</w:t>
      </w:r>
      <w:r w:rsidR="0024738E">
        <w:t>,</w:t>
      </w:r>
      <w:r>
        <w:t xml:space="preserve"> the legislation needs to be rewritten. </w:t>
      </w:r>
      <w:r w:rsidR="00273D1E">
        <w:t>In 2016, t</w:t>
      </w:r>
      <w:r>
        <w:t xml:space="preserve">he Federal Court judge </w:t>
      </w:r>
      <w:r w:rsidR="00273D1E">
        <w:t xml:space="preserve">hearing </w:t>
      </w:r>
      <w:r w:rsidR="0024738E" w:rsidRPr="0024738E">
        <w:rPr>
          <w:i/>
        </w:rPr>
        <w:t>Abbey Laboratories Pty Ltd v Australian Pesticides and Veterinary Medicines Authority [2016] FCA 704</w:t>
      </w:r>
      <w:r>
        <w:t xml:space="preserve"> described i</w:t>
      </w:r>
      <w:r w:rsidR="00911BC0">
        <w:t>t</w:t>
      </w:r>
      <w:r>
        <w:t xml:space="preserve"> as a “legislative labyrinth that defies comprehension by mere mortals” and a “legislative morass”.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21563F" w:rsidRPr="0022286A" w:rsidTr="0021563F">
        <w:trPr>
          <w:cantSplit/>
        </w:trPr>
        <w:tc>
          <w:tcPr>
            <w:tcW w:w="8614" w:type="dxa"/>
            <w:shd w:val="clear" w:color="auto" w:fill="auto"/>
            <w:tcMar>
              <w:top w:w="160" w:type="dxa"/>
              <w:left w:w="446" w:type="dxa"/>
            </w:tcMar>
          </w:tcPr>
          <w:p w:rsidR="0021563F" w:rsidRPr="003006F4" w:rsidRDefault="0021563F" w:rsidP="0021563F">
            <w:pPr>
              <w:pStyle w:val="Caption"/>
            </w:pPr>
            <w:r w:rsidRPr="004D3806">
              <w:rPr>
                <w:rStyle w:val="CaptionLabel"/>
              </w:rPr>
              <w:t>Key</w:t>
            </w:r>
            <w:r>
              <w:rPr>
                <w:rStyle w:val="CaptionLabel"/>
              </w:rPr>
              <w:t> </w:t>
            </w:r>
            <w:r w:rsidRPr="004D3806">
              <w:rPr>
                <w:rStyle w:val="CaptionLabel"/>
              </w:rPr>
              <w:t>Finding</w:t>
            </w:r>
            <w:r>
              <w:rPr>
                <w:rStyle w:val="CaptionLabel"/>
              </w:rPr>
              <w:t> </w:t>
            </w:r>
            <w:r w:rsidRPr="004D3806">
              <w:rPr>
                <w:rStyle w:val="CaptionLabel"/>
              </w:rPr>
              <w:t>ES</w:t>
            </w:r>
            <w:r>
              <w:rPr>
                <w:rStyle w:val="CaptionLabel"/>
              </w:rPr>
              <w:t>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7688C">
              <w:rPr>
                <w:rStyle w:val="CaptionLabel"/>
                <w:noProof/>
              </w:rPr>
              <w:t>4</w:t>
            </w:r>
            <w:r w:rsidRPr="004D3806">
              <w:rPr>
                <w:rStyle w:val="CaptionLabel"/>
              </w:rPr>
              <w:fldChar w:fldCharType="end"/>
            </w:r>
            <w:r>
              <w:tab/>
              <w:t>legislative review</w:t>
            </w:r>
          </w:p>
        </w:tc>
      </w:tr>
      <w:tr w:rsidR="0021563F" w:rsidTr="0021563F">
        <w:trPr>
          <w:cantSplit/>
        </w:trPr>
        <w:tc>
          <w:tcPr>
            <w:tcW w:w="8614" w:type="dxa"/>
            <w:shd w:val="clear" w:color="auto" w:fill="E4E0DD"/>
            <w:tcMar>
              <w:top w:w="276" w:type="dxa"/>
              <w:bottom w:w="0" w:type="dxa"/>
              <w:right w:w="120" w:type="dxa"/>
            </w:tcMar>
          </w:tcPr>
          <w:p w:rsidR="0021563F" w:rsidRDefault="0021563F" w:rsidP="0021563F">
            <w:pPr>
              <w:pStyle w:val="BoxText"/>
            </w:pPr>
            <w:r>
              <w:t>The legislative review announced by the Deputy Prime Minister is urgently needed. The legislation and regulations urgently need to be simplified and rewritten.</w:t>
            </w:r>
          </w:p>
        </w:tc>
      </w:tr>
      <w:tr w:rsidR="0021563F" w:rsidRPr="008B3E19" w:rsidTr="0021563F">
        <w:trPr>
          <w:cantSplit/>
          <w:trHeight w:hRule="exact" w:val="376"/>
        </w:trPr>
        <w:tc>
          <w:tcPr>
            <w:tcW w:w="8614" w:type="dxa"/>
            <w:shd w:val="clear" w:color="auto" w:fill="E4E0DD"/>
            <w:tcMar>
              <w:top w:w="0" w:type="dxa"/>
              <w:bottom w:w="0" w:type="dxa"/>
              <w:right w:w="0" w:type="dxa"/>
            </w:tcMar>
          </w:tcPr>
          <w:p w:rsidR="0021563F" w:rsidRPr="008B3E19" w:rsidRDefault="0021563F" w:rsidP="0021563F">
            <w:pPr>
              <w:pStyle w:val="spacer"/>
            </w:pPr>
          </w:p>
        </w:tc>
      </w:tr>
      <w:tr w:rsidR="0021563F" w:rsidRPr="008B3E19" w:rsidTr="0021563F">
        <w:trPr>
          <w:cantSplit/>
          <w:trHeight w:hRule="exact" w:val="180"/>
        </w:trPr>
        <w:tc>
          <w:tcPr>
            <w:tcW w:w="8614" w:type="dxa"/>
            <w:shd w:val="clear" w:color="auto" w:fill="auto"/>
            <w:tcMar>
              <w:top w:w="0" w:type="dxa"/>
              <w:left w:w="446" w:type="dxa"/>
              <w:bottom w:w="0" w:type="dxa"/>
            </w:tcMar>
          </w:tcPr>
          <w:p w:rsidR="0021563F" w:rsidRPr="008B3E19" w:rsidRDefault="0021563F" w:rsidP="0021563F">
            <w:pPr>
              <w:pStyle w:val="spacertbl"/>
            </w:pPr>
            <w:r w:rsidRPr="008B3E19">
              <w:rPr>
                <w:noProof/>
                <w:lang w:eastAsia="en-AU"/>
              </w:rPr>
              <mc:AlternateContent>
                <mc:Choice Requires="wps">
                  <w:drawing>
                    <wp:anchor distT="0" distB="0" distL="114300" distR="114300" simplePos="0" relativeHeight="252033024" behindDoc="0" locked="1" layoutInCell="1" allowOverlap="1" wp14:anchorId="43CC10B5" wp14:editId="06A9B717">
                      <wp:simplePos x="0" y="0"/>
                      <wp:positionH relativeFrom="rightMargin">
                        <wp:posOffset>-772795</wp:posOffset>
                      </wp:positionH>
                      <wp:positionV relativeFrom="page">
                        <wp:posOffset>-237490</wp:posOffset>
                      </wp:positionV>
                      <wp:extent cx="436880" cy="213360"/>
                      <wp:effectExtent l="0" t="0" r="1270" b="0"/>
                      <wp:wrapNone/>
                      <wp:docPr id="16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A1E9D4" id="Freeform 5" o:spid="_x0000_s1026" style="position:absolute;margin-left:-60.85pt;margin-top:-18.7pt;width:34.4pt;height:16.8pt;z-index:252033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kwfA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GpvuTB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4C08B0" w:rsidRDefault="004C08B0" w:rsidP="004C08B0">
      <w:pPr>
        <w:pStyle w:val="Heading5"/>
      </w:pPr>
      <w:r>
        <w:t>Administrative issues impacting on APVMA performance</w:t>
      </w:r>
    </w:p>
    <w:p w:rsidR="004C08B0" w:rsidRDefault="004C08B0" w:rsidP="004C08B0">
      <w:r>
        <w:t>ACIL Allen understand</w:t>
      </w:r>
      <w:r w:rsidR="0024738E">
        <w:t>s</w:t>
      </w:r>
      <w:r>
        <w:t xml:space="preserve"> that the APVMA is undertaking a project to improve </w:t>
      </w:r>
      <w:r w:rsidR="0024738E">
        <w:t xml:space="preserve">its </w:t>
      </w:r>
      <w:r>
        <w:t xml:space="preserve">registration processes and that this is due for completion in </w:t>
      </w:r>
      <w:r w:rsidR="0024738E">
        <w:t xml:space="preserve">late </w:t>
      </w:r>
      <w:r>
        <w:t>2017. The APVMA should continue to be funded by the Commonwealth to comp</w:t>
      </w:r>
      <w:r w:rsidR="009F5E1F">
        <w:t>l</w:t>
      </w:r>
      <w:r>
        <w:t>ete this work as soon as possible (in recent years some $15 million has been provided). The new procedures should provide a systematic approach to processing applications, with appropriate documentation.</w:t>
      </w:r>
    </w:p>
    <w:p w:rsidR="004C08B0" w:rsidRDefault="004C08B0" w:rsidP="004C08B0">
      <w:r>
        <w:t xml:space="preserve">Stakeholders consider that the current pre-application process adds between four and five months to the process for no detectable gain. Stakeholder organisations consulted for this report want these to occur in a shorter time frame and </w:t>
      </w:r>
      <w:r w:rsidR="00BC2856">
        <w:t xml:space="preserve">to be </w:t>
      </w:r>
      <w:r w:rsidR="0024738E">
        <w:t xml:space="preserve">given </w:t>
      </w:r>
      <w:r>
        <w:t>greater certainty about the process and timetable which will be followed in the assessment phase.</w:t>
      </w:r>
    </w:p>
    <w:p w:rsidR="004C08B0" w:rsidRDefault="004C08B0" w:rsidP="004C08B0">
      <w:r>
        <w:t>ACIL Allen also understands that the APVMA’s information technology systems are being upgraded. The project team has been advised that there are currently inefficiencies in data hand</w:t>
      </w:r>
      <w:r w:rsidR="0024738E">
        <w:t>l</w:t>
      </w:r>
      <w:r>
        <w:t xml:space="preserve">ing and the recording of assessment outcomes. The information technology systems upgrade needs to be accelerated requires investment by the Commonwealth Government. The result should be significant gains in </w:t>
      </w:r>
      <w:r w:rsidR="0024738E">
        <w:t xml:space="preserve">administrative </w:t>
      </w:r>
      <w:r>
        <w:t xml:space="preserve">efficiency and </w:t>
      </w:r>
      <w:r w:rsidR="0024738E">
        <w:t xml:space="preserve">regulatory </w:t>
      </w:r>
      <w:r>
        <w:t>productivity.</w:t>
      </w:r>
    </w:p>
    <w:p w:rsidR="004C08B0" w:rsidRDefault="004C08B0" w:rsidP="004C08B0">
      <w:r>
        <w:t>Stakeholders are critical of the demise of ongoing consultative arrangements. It is crucially important that regulators maintain formal contact with stakeholder organisations. To this end</w:t>
      </w:r>
      <w:r w:rsidR="00BC2856">
        <w:t>,</w:t>
      </w:r>
      <w:r>
        <w:t xml:space="preserve"> the APVMA should re-establish industry and expert consultative arrangements.</w:t>
      </w:r>
    </w:p>
    <w:p w:rsidR="006B5480" w:rsidRDefault="006B5480" w:rsidP="0009474A">
      <w:pPr>
        <w:pStyle w:val="BodyText"/>
        <w:rPr>
          <w:lang w:val="en-US"/>
        </w:rPr>
      </w:pPr>
    </w:p>
    <w:p w:rsidR="006B5480" w:rsidRDefault="006B5480" w:rsidP="0009474A">
      <w:pPr>
        <w:pStyle w:val="BodyText"/>
        <w:rPr>
          <w:lang w:val="en-US"/>
        </w:rPr>
      </w:pPr>
    </w:p>
    <w:p w:rsidR="004941DA" w:rsidRPr="0009474A" w:rsidRDefault="004941DA" w:rsidP="0009474A">
      <w:pPr>
        <w:pStyle w:val="BodyText"/>
        <w:rPr>
          <w:lang w:val="en-US"/>
        </w:rPr>
      </w:pPr>
    </w:p>
    <w:p w:rsidR="00C30405" w:rsidRPr="00C30405" w:rsidRDefault="00C30405" w:rsidP="0009474A">
      <w:pPr>
        <w:pStyle w:val="BodyText"/>
        <w:rPr>
          <w:lang w:val="en-US"/>
        </w:rPr>
        <w:sectPr w:rsidR="00C30405" w:rsidRPr="00C30405" w:rsidSect="002F3BAA">
          <w:headerReference w:type="even" r:id="rId100"/>
          <w:headerReference w:type="default" r:id="rId101"/>
          <w:footerReference w:type="even" r:id="rId102"/>
          <w:headerReference w:type="first" r:id="rId103"/>
          <w:footerReference w:type="first" r:id="rId104"/>
          <w:pgSz w:w="11907" w:h="16839" w:code="9"/>
          <w:pgMar w:top="1100" w:right="443" w:bottom="1320" w:left="3296" w:header="456" w:footer="262" w:gutter="0"/>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_Appendix"/>
      </w:tblPr>
      <w:tblGrid>
        <w:gridCol w:w="4728"/>
        <w:gridCol w:w="3430"/>
      </w:tblGrid>
      <w:tr w:rsidR="00D07597" w:rsidTr="00D43FBB">
        <w:trPr>
          <w:trHeight w:hRule="exact" w:val="382"/>
        </w:trPr>
        <w:tc>
          <w:tcPr>
            <w:tcW w:w="4728" w:type="dxa"/>
            <w:shd w:val="clear" w:color="auto" w:fill="9D57A6"/>
          </w:tcPr>
          <w:p w:rsidR="00D07597" w:rsidRDefault="00546375" w:rsidP="00FA0091">
            <w:pPr>
              <w:pStyle w:val="tagappendixChapter"/>
              <w:keepNext/>
            </w:pPr>
            <w:r>
              <w:rPr>
                <w:noProof/>
                <w:lang w:eastAsia="en-AU"/>
              </w:rPr>
              <mc:AlternateContent>
                <mc:Choice Requires="wps">
                  <w:drawing>
                    <wp:anchor distT="0" distB="0" distL="114300" distR="114300" simplePos="0" relativeHeight="251936768" behindDoc="0" locked="1" layoutInCell="1" allowOverlap="1" wp14:anchorId="619A03D9" wp14:editId="6C9298BC">
                      <wp:simplePos x="0" y="0"/>
                      <wp:positionH relativeFrom="page">
                        <wp:posOffset>158750</wp:posOffset>
                      </wp:positionH>
                      <wp:positionV relativeFrom="page">
                        <wp:posOffset>6350</wp:posOffset>
                      </wp:positionV>
                      <wp:extent cx="439420" cy="215265"/>
                      <wp:effectExtent l="0" t="0" r="0" b="0"/>
                      <wp:wrapNone/>
                      <wp:docPr id="1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0CF1A4" id="Freeform 5" o:spid="_x0000_s1026" style="position:absolute;margin-left:12.5pt;margin-top:.5pt;width:34.6pt;height:16.9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C8T0C3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D07597" w:rsidRDefault="00D07597" w:rsidP="00FA0091">
            <w:pPr>
              <w:pStyle w:val="spacer"/>
            </w:pPr>
          </w:p>
        </w:tc>
      </w:tr>
      <w:tr w:rsidR="00E86A68" w:rsidTr="00401D90">
        <w:trPr>
          <w:trHeight w:hRule="exact" w:val="3665"/>
        </w:trPr>
        <w:tc>
          <w:tcPr>
            <w:tcW w:w="4728" w:type="dxa"/>
            <w:shd w:val="clear" w:color="auto" w:fill="9D57A6"/>
            <w:tcMar>
              <w:left w:w="0" w:type="dxa"/>
            </w:tcMar>
            <w:vAlign w:val="bottom"/>
          </w:tcPr>
          <w:p w:rsidR="00D07597" w:rsidRPr="00037F29" w:rsidRDefault="00D07597" w:rsidP="008A6B3B">
            <w:pPr>
              <w:pStyle w:val="Heading7"/>
            </w:pPr>
            <w:r>
              <w:t>Consultations with stakeholders</w:t>
            </w:r>
          </w:p>
        </w:tc>
        <w:tc>
          <w:tcPr>
            <w:tcW w:w="3430" w:type="dxa"/>
            <w:shd w:val="clear" w:color="auto" w:fill="9D57A6"/>
            <w:tcMar>
              <w:right w:w="344" w:type="dxa"/>
            </w:tcMar>
          </w:tcPr>
          <w:p w:rsidR="00D07597" w:rsidRDefault="00221158" w:rsidP="00FA0091">
            <w:pPr>
              <w:pStyle w:val="HeadingAppendix"/>
            </w:pPr>
            <w:r>
              <w:fldChar w:fldCharType="begin"/>
            </w:r>
            <w:r>
              <w:instrText xml:space="preserve"> SEQ AppNum \* ALPHABETIC \* MERGEFORMAT </w:instrText>
            </w:r>
            <w:r>
              <w:fldChar w:fldCharType="separate"/>
            </w:r>
            <w:bookmarkStart w:id="188" w:name="_Toc497300868"/>
            <w:r w:rsidR="001977DE">
              <w:t>A</w:t>
            </w:r>
            <w:bookmarkEnd w:id="188"/>
            <w:r>
              <w:fldChar w:fldCharType="end"/>
            </w:r>
          </w:p>
        </w:tc>
      </w:tr>
      <w:tr w:rsidR="00E86A68" w:rsidTr="00401D90">
        <w:trPr>
          <w:trHeight w:hRule="exact" w:val="232"/>
        </w:trPr>
        <w:tc>
          <w:tcPr>
            <w:tcW w:w="4728" w:type="dxa"/>
            <w:shd w:val="clear" w:color="auto" w:fill="9D57A6"/>
            <w:tcMar>
              <w:left w:w="0" w:type="dxa"/>
            </w:tcMar>
          </w:tcPr>
          <w:p w:rsidR="00D07597" w:rsidRDefault="00D07597" w:rsidP="00FA0091">
            <w:pPr>
              <w:pStyle w:val="spacer"/>
            </w:pPr>
          </w:p>
        </w:tc>
        <w:tc>
          <w:tcPr>
            <w:tcW w:w="3430" w:type="dxa"/>
            <w:shd w:val="clear" w:color="auto" w:fill="9D57A6"/>
            <w:tcMar>
              <w:right w:w="344" w:type="dxa"/>
            </w:tcMar>
          </w:tcPr>
          <w:p w:rsidR="00D07597" w:rsidRDefault="00221158" w:rsidP="00FA0091">
            <w:pPr>
              <w:pStyle w:val="App-Context"/>
              <w:keepNext/>
            </w:pPr>
            <w:r>
              <w:fldChar w:fldCharType="begin"/>
            </w:r>
            <w:r>
              <w:instrText xml:space="preserve"> STYLEREF  "Heading 7" \l  \* MERGEFORMAT </w:instrText>
            </w:r>
            <w:r>
              <w:fldChar w:fldCharType="separate"/>
            </w:r>
            <w:bookmarkStart w:id="189" w:name="_Toc497300869"/>
            <w:r w:rsidR="0087688C">
              <w:rPr>
                <w:noProof/>
              </w:rPr>
              <w:t>Consultations with stakeholders</w:t>
            </w:r>
            <w:bookmarkEnd w:id="189"/>
            <w:r>
              <w:rPr>
                <w:noProof/>
              </w:rPr>
              <w:fldChar w:fldCharType="end"/>
            </w:r>
          </w:p>
        </w:tc>
      </w:tr>
      <w:tr w:rsidR="00E86A68" w:rsidTr="00401D90">
        <w:trPr>
          <w:trHeight w:hRule="exact" w:val="228"/>
        </w:trPr>
        <w:tc>
          <w:tcPr>
            <w:tcW w:w="4728" w:type="dxa"/>
            <w:tcBorders>
              <w:top w:val="single" w:sz="4" w:space="0" w:color="9D57A6"/>
            </w:tcBorders>
            <w:shd w:val="clear" w:color="auto" w:fill="auto"/>
          </w:tcPr>
          <w:p w:rsidR="00D07597" w:rsidRDefault="00D07597" w:rsidP="00FA0091">
            <w:pPr>
              <w:pStyle w:val="spacer"/>
            </w:pPr>
          </w:p>
        </w:tc>
        <w:tc>
          <w:tcPr>
            <w:tcW w:w="3430" w:type="dxa"/>
            <w:tcBorders>
              <w:top w:val="single" w:sz="4" w:space="0" w:color="9D57A6"/>
            </w:tcBorders>
            <w:shd w:val="clear" w:color="auto" w:fill="auto"/>
          </w:tcPr>
          <w:p w:rsidR="00D07597" w:rsidRDefault="00D07597" w:rsidP="00FA0091">
            <w:pPr>
              <w:pStyle w:val="spacer"/>
            </w:pPr>
          </w:p>
        </w:tc>
      </w:tr>
    </w:tbl>
    <w:p w:rsidR="003116FD" w:rsidRDefault="00D07597" w:rsidP="00FA0091">
      <w:pPr>
        <w:pStyle w:val="BodyText"/>
      </w:pPr>
      <w:r>
        <w:t xml:space="preserve">ACIL Allen has consulted the </w:t>
      </w:r>
      <w:r w:rsidR="00721D9A">
        <w:t>organisations</w:t>
      </w:r>
      <w:r>
        <w:t xml:space="preserve"> </w:t>
      </w:r>
      <w:r w:rsidR="003116FD">
        <w:t xml:space="preserve">listed in </w:t>
      </w:r>
      <w:r w:rsidR="005526A1">
        <w:fldChar w:fldCharType="begin"/>
      </w:r>
      <w:r w:rsidR="005526A1">
        <w:instrText xml:space="preserve"> REF _Ref485226113 \h </w:instrText>
      </w:r>
      <w:r w:rsidR="005526A1">
        <w:fldChar w:fldCharType="separate"/>
      </w:r>
      <w:r w:rsidR="0087688C">
        <w:rPr>
          <w:rStyle w:val="CaptionLabel"/>
        </w:rPr>
        <w:t>Table </w:t>
      </w:r>
      <w:r w:rsidR="0087688C">
        <w:rPr>
          <w:rStyle w:val="CaptionLabel"/>
          <w:noProof/>
        </w:rPr>
        <w:t>A</w:t>
      </w:r>
      <w:r w:rsidR="0087688C">
        <w:rPr>
          <w:rStyle w:val="CaptionLabel"/>
        </w:rPr>
        <w:t>.</w:t>
      </w:r>
      <w:r w:rsidR="0087688C">
        <w:rPr>
          <w:rStyle w:val="CaptionLabel"/>
          <w:noProof/>
        </w:rPr>
        <w:t>1</w:t>
      </w:r>
      <w:r w:rsidR="005526A1">
        <w:fldChar w:fldCharType="end"/>
      </w:r>
      <w:r w:rsidR="003116FD">
        <w:t xml:space="preserve"> in preparing this report.</w:t>
      </w:r>
    </w:p>
    <w:p w:rsidR="00FD66EE" w:rsidRDefault="00FD66EE" w:rsidP="00FD66EE">
      <w:pPr>
        <w:pStyle w:val="Caption"/>
        <w:spacing w:before="160"/>
      </w:pPr>
      <w:bookmarkStart w:id="190" w:name="_Ref485226113"/>
      <w:bookmarkStart w:id="191" w:name="_Toc497132824"/>
      <w:r>
        <w:rPr>
          <w:rStyle w:val="CaptionLabel"/>
        </w:rPr>
        <w:t>Table </w:t>
      </w:r>
      <w:r w:rsidR="00C4180B">
        <w:rPr>
          <w:rStyle w:val="CaptionLabel"/>
        </w:rPr>
        <w:fldChar w:fldCharType="begin"/>
      </w:r>
      <w:r w:rsidR="00C4180B">
        <w:rPr>
          <w:rStyle w:val="CaptionLabel"/>
        </w:rPr>
        <w:instrText xml:space="preserve"> STYLEREF 7 \s </w:instrText>
      </w:r>
      <w:r w:rsidR="00C4180B">
        <w:rPr>
          <w:rStyle w:val="CaptionLabel"/>
        </w:rPr>
        <w:fldChar w:fldCharType="separate"/>
      </w:r>
      <w:r w:rsidR="0087688C">
        <w:rPr>
          <w:rStyle w:val="CaptionLabel"/>
          <w:noProof/>
        </w:rPr>
        <w:t>A</w:t>
      </w:r>
      <w:r w:rsidR="00C4180B">
        <w:rPr>
          <w:rStyle w:val="CaptionLabel"/>
        </w:rPr>
        <w:fldChar w:fldCharType="end"/>
      </w:r>
      <w:r w:rsidR="00C4180B">
        <w:rPr>
          <w:rStyle w:val="CaptionLabel"/>
        </w:rPr>
        <w:t>.</w:t>
      </w:r>
      <w:r w:rsidR="00C4180B">
        <w:rPr>
          <w:rStyle w:val="CaptionLabel"/>
        </w:rPr>
        <w:fldChar w:fldCharType="begin"/>
      </w:r>
      <w:r w:rsidR="00C4180B">
        <w:rPr>
          <w:rStyle w:val="CaptionLabel"/>
        </w:rPr>
        <w:instrText xml:space="preserve"> SEQ Table_AP \* ARABIC \s 7 </w:instrText>
      </w:r>
      <w:r w:rsidR="00C4180B">
        <w:rPr>
          <w:rStyle w:val="CaptionLabel"/>
        </w:rPr>
        <w:fldChar w:fldCharType="separate"/>
      </w:r>
      <w:r w:rsidR="001977DE">
        <w:rPr>
          <w:rStyle w:val="CaptionLabel"/>
          <w:noProof/>
        </w:rPr>
        <w:t>1</w:t>
      </w:r>
      <w:r w:rsidR="00C4180B">
        <w:rPr>
          <w:rStyle w:val="CaptionLabel"/>
        </w:rPr>
        <w:fldChar w:fldCharType="end"/>
      </w:r>
      <w:bookmarkEnd w:id="190"/>
      <w:r>
        <w:tab/>
      </w:r>
      <w:r w:rsidR="00721D9A">
        <w:t>Consultations</w:t>
      </w:r>
      <w:bookmarkEnd w:id="191"/>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852"/>
        <w:gridCol w:w="7317"/>
      </w:tblGrid>
      <w:tr w:rsidR="00E86A68" w:rsidTr="00FD66EE">
        <w:trPr>
          <w:cantSplit/>
          <w:tblHeader/>
        </w:trPr>
        <w:tc>
          <w:tcPr>
            <w:tcW w:w="757" w:type="pct"/>
            <w:gridSpan w:val="2"/>
            <w:shd w:val="clear" w:color="auto" w:fill="9D57A6"/>
            <w:tcMar>
              <w:left w:w="454" w:type="dxa"/>
              <w:bottom w:w="0" w:type="dxa"/>
            </w:tcMar>
          </w:tcPr>
          <w:p w:rsidR="00FD66EE" w:rsidRDefault="00FD66EE" w:rsidP="00FD66EE">
            <w:pPr>
              <w:pStyle w:val="Tablecolumnheadings"/>
            </w:pPr>
            <w:r>
              <w:t>Number</w:t>
            </w:r>
          </w:p>
        </w:tc>
        <w:tc>
          <w:tcPr>
            <w:tcW w:w="4243" w:type="pct"/>
            <w:shd w:val="clear" w:color="auto" w:fill="9D57A6"/>
            <w:tcMar>
              <w:bottom w:w="0" w:type="dxa"/>
            </w:tcMar>
          </w:tcPr>
          <w:p w:rsidR="00FD66EE" w:rsidRDefault="00FD66EE" w:rsidP="00FD66EE">
            <w:pPr>
              <w:pStyle w:val="Tablecolumnheadings"/>
            </w:pPr>
            <w:r>
              <w:t>Institution or organisation</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tcBorders>
              <w:top w:val="nil"/>
            </w:tcBorders>
            <w:shd w:val="clear" w:color="auto" w:fill="auto"/>
          </w:tcPr>
          <w:p w:rsidR="005526A1" w:rsidRDefault="005526A1" w:rsidP="005526A1">
            <w:pPr>
              <w:pStyle w:val="Tabletext"/>
            </w:pPr>
            <w:r>
              <w:t>1</w:t>
            </w:r>
          </w:p>
        </w:tc>
        <w:tc>
          <w:tcPr>
            <w:tcW w:w="4243" w:type="pct"/>
            <w:tcBorders>
              <w:top w:val="nil"/>
            </w:tcBorders>
            <w:shd w:val="clear" w:color="auto" w:fill="auto"/>
          </w:tcPr>
          <w:p w:rsidR="005526A1" w:rsidRDefault="005526A1" w:rsidP="005526A1">
            <w:pPr>
              <w:pStyle w:val="Tabletext"/>
            </w:pPr>
            <w:r>
              <w:t>ACCORD Australasia</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2</w:t>
            </w:r>
          </w:p>
        </w:tc>
        <w:tc>
          <w:tcPr>
            <w:tcW w:w="4243" w:type="pct"/>
            <w:shd w:val="clear" w:color="auto" w:fill="auto"/>
          </w:tcPr>
          <w:p w:rsidR="005526A1" w:rsidRDefault="005526A1" w:rsidP="005526A1">
            <w:pPr>
              <w:pStyle w:val="Tabletext"/>
            </w:pPr>
            <w:r>
              <w:t>Animal Medicines Australia</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3</w:t>
            </w:r>
          </w:p>
        </w:tc>
        <w:tc>
          <w:tcPr>
            <w:tcW w:w="4243" w:type="pct"/>
            <w:shd w:val="clear" w:color="auto" w:fill="auto"/>
          </w:tcPr>
          <w:p w:rsidR="005526A1" w:rsidRDefault="005526A1" w:rsidP="005526A1">
            <w:pPr>
              <w:pStyle w:val="Tabletext"/>
            </w:pPr>
            <w:r>
              <w:t>Australian Paint Manufacturers Federation</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4</w:t>
            </w:r>
          </w:p>
        </w:tc>
        <w:tc>
          <w:tcPr>
            <w:tcW w:w="4243" w:type="pct"/>
            <w:shd w:val="clear" w:color="auto" w:fill="auto"/>
          </w:tcPr>
          <w:p w:rsidR="005526A1" w:rsidRDefault="005526A1" w:rsidP="005526A1">
            <w:pPr>
              <w:pStyle w:val="Tabletext"/>
            </w:pPr>
            <w:r>
              <w:t>Australian Pesticides and Veterinary Medicines Authority</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5</w:t>
            </w:r>
          </w:p>
        </w:tc>
        <w:tc>
          <w:tcPr>
            <w:tcW w:w="4243" w:type="pct"/>
            <w:shd w:val="clear" w:color="auto" w:fill="auto"/>
          </w:tcPr>
          <w:p w:rsidR="005526A1" w:rsidRDefault="005526A1" w:rsidP="005526A1">
            <w:pPr>
              <w:pStyle w:val="Tabletext"/>
            </w:pPr>
            <w:r>
              <w:t>Chemistry Australia (formerly PACIA)</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6</w:t>
            </w:r>
          </w:p>
        </w:tc>
        <w:tc>
          <w:tcPr>
            <w:tcW w:w="4243" w:type="pct"/>
            <w:shd w:val="clear" w:color="auto" w:fill="auto"/>
          </w:tcPr>
          <w:p w:rsidR="005526A1" w:rsidRDefault="005526A1" w:rsidP="005526A1">
            <w:pPr>
              <w:pStyle w:val="Tabletext"/>
            </w:pPr>
            <w:r>
              <w:t>CropLife</w:t>
            </w:r>
            <w:r w:rsidR="002C5D50">
              <w:t xml:space="preserve"> Australia</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7</w:t>
            </w:r>
          </w:p>
        </w:tc>
        <w:tc>
          <w:tcPr>
            <w:tcW w:w="4243" w:type="pct"/>
            <w:shd w:val="clear" w:color="auto" w:fill="auto"/>
          </w:tcPr>
          <w:p w:rsidR="005526A1" w:rsidRDefault="005526A1" w:rsidP="005526A1">
            <w:pPr>
              <w:pStyle w:val="Tabletext"/>
            </w:pPr>
            <w:r>
              <w:t xml:space="preserve">Department of Agriculture and Water </w:t>
            </w:r>
            <w:r w:rsidR="00130C28">
              <w:t>R</w:t>
            </w:r>
            <w:r>
              <w:t>esources</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8</w:t>
            </w:r>
          </w:p>
        </w:tc>
        <w:tc>
          <w:tcPr>
            <w:tcW w:w="4243" w:type="pct"/>
            <w:shd w:val="clear" w:color="auto" w:fill="auto"/>
          </w:tcPr>
          <w:p w:rsidR="005526A1" w:rsidRDefault="005526A1" w:rsidP="005526A1">
            <w:pPr>
              <w:pStyle w:val="Tabletext"/>
            </w:pPr>
            <w:r>
              <w:t>Department of Industry, Innovation and Science</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9</w:t>
            </w:r>
          </w:p>
        </w:tc>
        <w:tc>
          <w:tcPr>
            <w:tcW w:w="4243" w:type="pct"/>
            <w:shd w:val="clear" w:color="auto" w:fill="auto"/>
          </w:tcPr>
          <w:p w:rsidR="005526A1" w:rsidRDefault="005526A1" w:rsidP="005526A1">
            <w:pPr>
              <w:pStyle w:val="Tabletext"/>
            </w:pPr>
            <w:r>
              <w:t xml:space="preserve">IP Australia </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10</w:t>
            </w:r>
          </w:p>
        </w:tc>
        <w:tc>
          <w:tcPr>
            <w:tcW w:w="4243" w:type="pct"/>
            <w:shd w:val="clear" w:color="auto" w:fill="auto"/>
          </w:tcPr>
          <w:p w:rsidR="005526A1" w:rsidRDefault="005526A1" w:rsidP="005526A1">
            <w:pPr>
              <w:pStyle w:val="Tabletext"/>
            </w:pPr>
            <w:r>
              <w:t>National Farmers Federation</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11</w:t>
            </w:r>
          </w:p>
        </w:tc>
        <w:tc>
          <w:tcPr>
            <w:tcW w:w="4243" w:type="pct"/>
            <w:shd w:val="clear" w:color="auto" w:fill="auto"/>
          </w:tcPr>
          <w:p w:rsidR="005526A1" w:rsidRDefault="005526A1" w:rsidP="005526A1">
            <w:pPr>
              <w:pStyle w:val="Tabletext"/>
            </w:pPr>
            <w:r>
              <w:t>New Zealand Ministry for Primary Industries</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12</w:t>
            </w:r>
          </w:p>
        </w:tc>
        <w:tc>
          <w:tcPr>
            <w:tcW w:w="4243" w:type="pct"/>
            <w:shd w:val="clear" w:color="auto" w:fill="auto"/>
          </w:tcPr>
          <w:p w:rsidR="005526A1" w:rsidRDefault="005526A1" w:rsidP="005526A1">
            <w:pPr>
              <w:pStyle w:val="Tabletext"/>
            </w:pPr>
            <w:r>
              <w:t>Productivity Commission</w:t>
            </w:r>
          </w:p>
        </w:tc>
      </w:tr>
      <w:tr w:rsidR="00E86A68" w:rsidTr="00FD66EE">
        <w:tblPrEx>
          <w:tblBorders>
            <w:bottom w:val="single" w:sz="4" w:space="0" w:color="646464"/>
            <w:insideH w:val="single" w:sz="4" w:space="0" w:color="646464"/>
          </w:tblBorders>
        </w:tblPrEx>
        <w:trPr>
          <w:gridBefore w:val="1"/>
          <w:wBefore w:w="263" w:type="pct"/>
          <w:cantSplit/>
        </w:trPr>
        <w:tc>
          <w:tcPr>
            <w:tcW w:w="494" w:type="pct"/>
            <w:shd w:val="clear" w:color="auto" w:fill="auto"/>
          </w:tcPr>
          <w:p w:rsidR="005526A1" w:rsidRDefault="005526A1" w:rsidP="005526A1">
            <w:pPr>
              <w:pStyle w:val="Tabletext"/>
            </w:pPr>
            <w:r>
              <w:t>13</w:t>
            </w:r>
          </w:p>
        </w:tc>
        <w:tc>
          <w:tcPr>
            <w:tcW w:w="4243" w:type="pct"/>
            <w:shd w:val="clear" w:color="auto" w:fill="auto"/>
          </w:tcPr>
          <w:p w:rsidR="005526A1" w:rsidRDefault="005526A1" w:rsidP="005526A1">
            <w:pPr>
              <w:pStyle w:val="Tabletext"/>
            </w:pPr>
            <w:r>
              <w:t>Veterinary Manufacturers and Distributors Association</w:t>
            </w:r>
          </w:p>
        </w:tc>
      </w:tr>
      <w:tr w:rsidR="00E86A68" w:rsidTr="00FD66EE">
        <w:tblPrEx>
          <w:tblBorders>
            <w:bottom w:val="single" w:sz="4" w:space="0" w:color="646464"/>
            <w:insideH w:val="single" w:sz="4" w:space="0" w:color="646464"/>
          </w:tblBorders>
        </w:tblPrEx>
        <w:trPr>
          <w:gridBefore w:val="1"/>
          <w:wBefore w:w="263" w:type="pct"/>
          <w:cantSplit/>
          <w:trHeight w:hRule="exact" w:val="120"/>
        </w:trPr>
        <w:tc>
          <w:tcPr>
            <w:tcW w:w="4737" w:type="pct"/>
            <w:gridSpan w:val="2"/>
            <w:tcBorders>
              <w:top w:val="single" w:sz="4" w:space="0" w:color="646464"/>
              <w:bottom w:val="nil"/>
            </w:tcBorders>
            <w:shd w:val="clear" w:color="auto" w:fill="auto"/>
          </w:tcPr>
          <w:p w:rsidR="00FD66EE" w:rsidRDefault="00FD66EE" w:rsidP="00FD66EE">
            <w:pPr>
              <w:pStyle w:val="spacertbl"/>
            </w:pPr>
          </w:p>
        </w:tc>
      </w:tr>
    </w:tbl>
    <w:p w:rsidR="00D07597" w:rsidRDefault="00D07597" w:rsidP="00FA0091">
      <w:pPr>
        <w:pStyle w:val="BodyText"/>
      </w:pPr>
    </w:p>
    <w:p w:rsidR="00D07597" w:rsidRDefault="00D07597" w:rsidP="00FA0091">
      <w:pPr>
        <w:pStyle w:val="BodyText"/>
      </w:pPr>
    </w:p>
    <w:p w:rsidR="00D07597" w:rsidRDefault="00D07597" w:rsidP="00FA0091">
      <w:pPr>
        <w:pStyle w:val="BodyText"/>
      </w:pPr>
    </w:p>
    <w:p w:rsidR="00D07597" w:rsidRDefault="00D07597" w:rsidP="00FA0091">
      <w:pPr>
        <w:pStyle w:val="BodyText"/>
      </w:pPr>
    </w:p>
    <w:p w:rsidR="00D07597" w:rsidRDefault="00D07597" w:rsidP="00FA0091">
      <w:pPr>
        <w:pStyle w:val="BodyText"/>
      </w:pPr>
    </w:p>
    <w:p w:rsidR="00D07597" w:rsidRDefault="00D07597" w:rsidP="00FA0091">
      <w:pPr>
        <w:pStyle w:val="BodyText"/>
        <w:sectPr w:rsidR="00D07597" w:rsidSect="00FA0091">
          <w:headerReference w:type="even" r:id="rId105"/>
          <w:headerReference w:type="default" r:id="rId106"/>
          <w:footerReference w:type="even" r:id="rId107"/>
          <w:footerReference w:type="default" r:id="rId108"/>
          <w:headerReference w:type="first" r:id="rId109"/>
          <w:footerReference w:type="first" r:id="rId110"/>
          <w:pgSz w:w="11907" w:h="16839" w:code="9"/>
          <w:pgMar w:top="1100" w:right="443" w:bottom="1320" w:left="3296" w:header="456" w:footer="262" w:gutter="0"/>
          <w:pgNumType w:start="1" w:chapStyle="7" w:chapSep="enDash"/>
          <w:cols w:space="708"/>
          <w:docGrid w:linePitch="360"/>
        </w:sectPr>
      </w:pPr>
    </w:p>
    <w:tbl>
      <w:tblPr>
        <w:tblW w:w="0" w:type="auto"/>
        <w:tblLayout w:type="fixed"/>
        <w:tblCellMar>
          <w:left w:w="0" w:type="dxa"/>
          <w:right w:w="0" w:type="dxa"/>
        </w:tblCellMar>
        <w:tblLook w:val="04A0" w:firstRow="1" w:lastRow="0" w:firstColumn="1" w:lastColumn="0" w:noHBand="0" w:noVBand="1"/>
        <w:tblDescription w:val="tbl_prt_bnr-Chpt_General_Appendix"/>
      </w:tblPr>
      <w:tblGrid>
        <w:gridCol w:w="4728"/>
        <w:gridCol w:w="3430"/>
      </w:tblGrid>
      <w:tr w:rsidR="00D07597" w:rsidTr="00D43FBB">
        <w:trPr>
          <w:trHeight w:hRule="exact" w:val="382"/>
        </w:trPr>
        <w:tc>
          <w:tcPr>
            <w:tcW w:w="4728" w:type="dxa"/>
            <w:shd w:val="clear" w:color="auto" w:fill="9D57A6"/>
          </w:tcPr>
          <w:p w:rsidR="00D07597" w:rsidRDefault="00546375" w:rsidP="00D07597">
            <w:pPr>
              <w:pStyle w:val="tagappendixChapter"/>
              <w:keepNext/>
            </w:pPr>
            <w:r>
              <w:rPr>
                <w:noProof/>
                <w:lang w:eastAsia="en-AU"/>
              </w:rPr>
              <mc:AlternateContent>
                <mc:Choice Requires="wps">
                  <w:drawing>
                    <wp:anchor distT="0" distB="0" distL="114300" distR="114300" simplePos="0" relativeHeight="251938816" behindDoc="0" locked="1" layoutInCell="1" allowOverlap="1" wp14:anchorId="75C081E6" wp14:editId="75444698">
                      <wp:simplePos x="0" y="0"/>
                      <wp:positionH relativeFrom="page">
                        <wp:posOffset>158750</wp:posOffset>
                      </wp:positionH>
                      <wp:positionV relativeFrom="page">
                        <wp:posOffset>6350</wp:posOffset>
                      </wp:positionV>
                      <wp:extent cx="439420" cy="215265"/>
                      <wp:effectExtent l="0" t="0" r="0" b="0"/>
                      <wp:wrapNone/>
                      <wp:docPr id="15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A88A77" id="Freeform 5" o:spid="_x0000_s1026" style="position:absolute;margin-left:12.5pt;margin-top:.5pt;width:34.6pt;height:16.9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pnYRi3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D07597" w:rsidRDefault="00D07597" w:rsidP="00FA0091">
            <w:pPr>
              <w:pStyle w:val="spacer"/>
            </w:pPr>
          </w:p>
        </w:tc>
      </w:tr>
      <w:tr w:rsidR="00E86A68" w:rsidTr="00401D90">
        <w:trPr>
          <w:trHeight w:hRule="exact" w:val="3665"/>
        </w:trPr>
        <w:tc>
          <w:tcPr>
            <w:tcW w:w="4728" w:type="dxa"/>
            <w:shd w:val="clear" w:color="auto" w:fill="9D57A6"/>
            <w:tcMar>
              <w:left w:w="0" w:type="dxa"/>
            </w:tcMar>
            <w:vAlign w:val="bottom"/>
          </w:tcPr>
          <w:p w:rsidR="00D07597" w:rsidRPr="00037F29" w:rsidRDefault="003E472C" w:rsidP="008A6B3B">
            <w:pPr>
              <w:pStyle w:val="Heading7"/>
            </w:pPr>
            <w:r>
              <w:t>APVMA timeframes and fees</w:t>
            </w:r>
          </w:p>
        </w:tc>
        <w:tc>
          <w:tcPr>
            <w:tcW w:w="3430" w:type="dxa"/>
            <w:shd w:val="clear" w:color="auto" w:fill="9D57A6"/>
            <w:tcMar>
              <w:right w:w="344" w:type="dxa"/>
            </w:tcMar>
          </w:tcPr>
          <w:p w:rsidR="00D07597" w:rsidRDefault="00221158" w:rsidP="00FA0091">
            <w:pPr>
              <w:pStyle w:val="HeadingAppendix"/>
            </w:pPr>
            <w:r>
              <w:fldChar w:fldCharType="begin"/>
            </w:r>
            <w:r>
              <w:instrText xml:space="preserve"> SEQ AppNum \* ALPHABETIC \* MERGEFORMAT </w:instrText>
            </w:r>
            <w:r>
              <w:fldChar w:fldCharType="separate"/>
            </w:r>
            <w:bookmarkStart w:id="192" w:name="_Toc497300870"/>
            <w:r w:rsidR="001977DE">
              <w:t>B</w:t>
            </w:r>
            <w:bookmarkEnd w:id="192"/>
            <w:r>
              <w:fldChar w:fldCharType="end"/>
            </w:r>
          </w:p>
        </w:tc>
      </w:tr>
      <w:tr w:rsidR="00E86A68" w:rsidTr="00401D90">
        <w:trPr>
          <w:trHeight w:hRule="exact" w:val="232"/>
        </w:trPr>
        <w:tc>
          <w:tcPr>
            <w:tcW w:w="4728" w:type="dxa"/>
            <w:shd w:val="clear" w:color="auto" w:fill="9D57A6"/>
            <w:tcMar>
              <w:left w:w="0" w:type="dxa"/>
            </w:tcMar>
          </w:tcPr>
          <w:p w:rsidR="00D07597" w:rsidRDefault="00D07597" w:rsidP="00FA0091">
            <w:pPr>
              <w:pStyle w:val="spacer"/>
            </w:pPr>
          </w:p>
        </w:tc>
        <w:tc>
          <w:tcPr>
            <w:tcW w:w="3430" w:type="dxa"/>
            <w:shd w:val="clear" w:color="auto" w:fill="9D57A6"/>
            <w:tcMar>
              <w:right w:w="344" w:type="dxa"/>
            </w:tcMar>
          </w:tcPr>
          <w:p w:rsidR="00D07597" w:rsidRDefault="00221158" w:rsidP="00FA0091">
            <w:pPr>
              <w:pStyle w:val="App-Context"/>
              <w:keepNext/>
            </w:pPr>
            <w:r>
              <w:fldChar w:fldCharType="begin"/>
            </w:r>
            <w:r>
              <w:instrText xml:space="preserve"> STYLEREF  "Heading 7" \l  \* MERGEFORMAT </w:instrText>
            </w:r>
            <w:r>
              <w:fldChar w:fldCharType="separate"/>
            </w:r>
            <w:bookmarkStart w:id="193" w:name="_Toc497300871"/>
            <w:r w:rsidR="0087688C">
              <w:rPr>
                <w:noProof/>
              </w:rPr>
              <w:t>APVMA timeframes and fees</w:t>
            </w:r>
            <w:bookmarkEnd w:id="193"/>
            <w:r>
              <w:rPr>
                <w:noProof/>
              </w:rPr>
              <w:fldChar w:fldCharType="end"/>
            </w:r>
          </w:p>
        </w:tc>
      </w:tr>
      <w:tr w:rsidR="00E86A68" w:rsidTr="00401D90">
        <w:trPr>
          <w:trHeight w:hRule="exact" w:val="228"/>
        </w:trPr>
        <w:tc>
          <w:tcPr>
            <w:tcW w:w="4728" w:type="dxa"/>
            <w:tcBorders>
              <w:top w:val="single" w:sz="4" w:space="0" w:color="9D57A6"/>
            </w:tcBorders>
            <w:shd w:val="clear" w:color="auto" w:fill="auto"/>
          </w:tcPr>
          <w:p w:rsidR="00D07597" w:rsidRDefault="00D07597" w:rsidP="00FA0091">
            <w:pPr>
              <w:pStyle w:val="spacer"/>
            </w:pPr>
          </w:p>
        </w:tc>
        <w:tc>
          <w:tcPr>
            <w:tcW w:w="3430" w:type="dxa"/>
            <w:tcBorders>
              <w:top w:val="single" w:sz="4" w:space="0" w:color="9D57A6"/>
            </w:tcBorders>
            <w:shd w:val="clear" w:color="auto" w:fill="auto"/>
          </w:tcPr>
          <w:p w:rsidR="00D07597" w:rsidRDefault="00D07597" w:rsidP="00FA0091">
            <w:pPr>
              <w:pStyle w:val="spacer"/>
            </w:pPr>
          </w:p>
        </w:tc>
      </w:tr>
    </w:tbl>
    <w:p w:rsidR="003E472C" w:rsidRDefault="003E472C" w:rsidP="003E472C">
      <w:pPr>
        <w:pStyle w:val="BodyText"/>
      </w:pPr>
      <w:r>
        <w:t>Th</w:t>
      </w:r>
      <w:r w:rsidR="00793D6C">
        <w:t xml:space="preserve">e material in this Appendix is drawn </w:t>
      </w:r>
      <w:r>
        <w:t xml:space="preserve">from the </w:t>
      </w:r>
      <w:r w:rsidR="00793D6C">
        <w:t xml:space="preserve">APVMA website: </w:t>
      </w:r>
      <w:hyperlink r:id="rId111" w:history="1">
        <w:r w:rsidRPr="00BA656D">
          <w:rPr>
            <w:rStyle w:val="Hyperlink"/>
          </w:rPr>
          <w:t>https://apvma.gov.au/node/1088</w:t>
        </w:r>
      </w:hyperlink>
    </w:p>
    <w:p w:rsidR="003E472C" w:rsidRDefault="001A0F1E" w:rsidP="003E472C">
      <w:pPr>
        <w:pStyle w:val="Heading8"/>
      </w:pPr>
      <w:bookmarkStart w:id="194" w:name="_Toc497300872"/>
      <w:r>
        <w:t>Introduction</w:t>
      </w:r>
      <w:bookmarkEnd w:id="194"/>
    </w:p>
    <w:p w:rsidR="003E472C" w:rsidRDefault="003E472C" w:rsidP="003E472C">
      <w:pPr>
        <w:pStyle w:val="BodyText"/>
        <w:rPr>
          <w:lang w:val="en-US"/>
        </w:rPr>
      </w:pPr>
      <w:r>
        <w:t>The assessment period in which the APVMA is required to determine an application varies depending on the complexity of the application. The legislation prescribes the assessment period for most application types; however, depending on the type of application, the assessment period may be extended in certain circumstances.</w:t>
      </w:r>
    </w:p>
    <w:p w:rsidR="003E472C" w:rsidRDefault="003E472C" w:rsidP="003E472C">
      <w:pPr>
        <w:pStyle w:val="BodyText"/>
      </w:pPr>
      <w:r>
        <w:t>The assessment period for an application for approval, registration or variation commences on the day:</w:t>
      </w:r>
    </w:p>
    <w:p w:rsidR="003E472C" w:rsidRDefault="005021FC" w:rsidP="003E472C">
      <w:pPr>
        <w:pStyle w:val="ListBullet"/>
      </w:pPr>
      <w:r>
        <w:t>the notice advising that an</w:t>
      </w:r>
      <w:r w:rsidR="003E472C">
        <w:t xml:space="preserve"> application has passed preliminary assessment is issued, provided </w:t>
      </w:r>
      <w:r>
        <w:t xml:space="preserve">that there is no requirement </w:t>
      </w:r>
      <w:r w:rsidR="003E472C">
        <w:t>to provide copies o</w:t>
      </w:r>
      <w:r>
        <w:t>f</w:t>
      </w:r>
      <w:r w:rsidR="003E472C">
        <w:t xml:space="preserve"> </w:t>
      </w:r>
      <w:r>
        <w:t>the</w:t>
      </w:r>
      <w:r w:rsidR="003E472C">
        <w:t xml:space="preserve"> application or pay an outstanding amount of fees or</w:t>
      </w:r>
    </w:p>
    <w:p w:rsidR="003E472C" w:rsidRDefault="005021FC" w:rsidP="003E472C">
      <w:pPr>
        <w:pStyle w:val="ListBullet"/>
      </w:pPr>
      <w:r>
        <w:t>the applicant complies</w:t>
      </w:r>
      <w:r w:rsidR="003E472C">
        <w:t xml:space="preserve"> with </w:t>
      </w:r>
      <w:r>
        <w:t>a</w:t>
      </w:r>
      <w:r w:rsidR="003E472C">
        <w:t xml:space="preserve"> notice requesting the balance of fees or additional copies of </w:t>
      </w:r>
      <w:r>
        <w:t>the</w:t>
      </w:r>
      <w:r w:rsidR="003E472C">
        <w:t xml:space="preserve"> application.</w:t>
      </w:r>
    </w:p>
    <w:p w:rsidR="003E472C" w:rsidRDefault="003E472C" w:rsidP="003E472C">
      <w:pPr>
        <w:pStyle w:val="BodyText"/>
      </w:pPr>
      <w:r>
        <w:t xml:space="preserve">As soon as practical after the commencement of the assessment period, </w:t>
      </w:r>
      <w:r w:rsidR="005021FC">
        <w:t>APVMA</w:t>
      </w:r>
      <w:r>
        <w:t xml:space="preserve"> aim</w:t>
      </w:r>
      <w:r w:rsidR="005021FC">
        <w:t>s</w:t>
      </w:r>
      <w:r>
        <w:t xml:space="preserve"> to determine:</w:t>
      </w:r>
    </w:p>
    <w:p w:rsidR="003E472C" w:rsidRDefault="003E472C" w:rsidP="003E472C">
      <w:pPr>
        <w:pStyle w:val="ListBullet"/>
      </w:pPr>
      <w:r>
        <w:t xml:space="preserve">if </w:t>
      </w:r>
      <w:r w:rsidR="005021FC">
        <w:t>an</w:t>
      </w:r>
      <w:r>
        <w:t xml:space="preserve"> application should be re</w:t>
      </w:r>
      <w:r w:rsidR="004D2736">
        <w:t>-</w:t>
      </w:r>
      <w:r>
        <w:t>categorised to ensure that the item and level</w:t>
      </w:r>
      <w:r w:rsidR="004D2736">
        <w:t xml:space="preserve"> of module </w:t>
      </w:r>
      <w:r>
        <w:t>assessment originally identified is appropriate</w:t>
      </w:r>
    </w:p>
    <w:p w:rsidR="003E472C" w:rsidRDefault="003E472C" w:rsidP="003E472C">
      <w:pPr>
        <w:pStyle w:val="ListBullet"/>
      </w:pPr>
      <w:r>
        <w:t xml:space="preserve">if argument provided in </w:t>
      </w:r>
      <w:r w:rsidR="005021FC">
        <w:t>the</w:t>
      </w:r>
      <w:r>
        <w:t xml:space="preserve"> application in lieu of data is appropriate</w:t>
      </w:r>
    </w:p>
    <w:p w:rsidR="003E472C" w:rsidRDefault="003E472C" w:rsidP="003E472C">
      <w:pPr>
        <w:pStyle w:val="ListBullet"/>
      </w:pPr>
      <w:r>
        <w:t>if there are any obvious and critical information gaps in the dossier</w:t>
      </w:r>
    </w:p>
    <w:p w:rsidR="003E472C" w:rsidRDefault="003E472C" w:rsidP="003E472C">
      <w:pPr>
        <w:pStyle w:val="BodyText"/>
      </w:pPr>
      <w:r>
        <w:t>The assessment period may change if one of the circumstances listed below applies to the application</w:t>
      </w:r>
    </w:p>
    <w:p w:rsidR="003E472C" w:rsidRDefault="003E472C" w:rsidP="003E472C">
      <w:pPr>
        <w:pStyle w:val="ListBullet"/>
      </w:pPr>
      <w:r>
        <w:t xml:space="preserve">If a notice requiring specified information under section 159 of the Agvet Code is issued, the extended assessment period prescribed by the Agvet Code Regulations will apply. This extension can be applied </w:t>
      </w:r>
      <w:r w:rsidR="005021FC">
        <w:t xml:space="preserve">only </w:t>
      </w:r>
      <w:r>
        <w:t>once, regardless of how many notices are issued under section 159</w:t>
      </w:r>
    </w:p>
    <w:p w:rsidR="003E472C" w:rsidRDefault="003E472C" w:rsidP="003E472C">
      <w:pPr>
        <w:pStyle w:val="ListBullet"/>
      </w:pPr>
      <w:r>
        <w:t xml:space="preserve">If a notice is issued changing the item or module level or type that is required to determine </w:t>
      </w:r>
      <w:r w:rsidR="005021FC">
        <w:t>the</w:t>
      </w:r>
      <w:r>
        <w:t xml:space="preserve"> application and this results in a change to the assessment period or fees, the assessment period may be lengthened or shortened. Where </w:t>
      </w:r>
      <w:r w:rsidR="005021FC">
        <w:t>an applicant is</w:t>
      </w:r>
      <w:r>
        <w:t xml:space="preserve"> required to pay an additional fee the assessment period will be extended to allow for the period until the fee is paid. Fees must be paid within 28 days from the date of notice</w:t>
      </w:r>
    </w:p>
    <w:p w:rsidR="003E472C" w:rsidRDefault="003E472C" w:rsidP="003E472C">
      <w:pPr>
        <w:pStyle w:val="ListBullet"/>
      </w:pPr>
      <w:r>
        <w:t>If a Notice of Proposal to refuse or to approve or register an active constituent, chemical product or label with instructions or relevant particulars other than those set out in the application is issued</w:t>
      </w:r>
      <w:r w:rsidR="005021FC">
        <w:t xml:space="preserve">, </w:t>
      </w:r>
      <w:r>
        <w:t xml:space="preserve">the assessment period </w:t>
      </w:r>
      <w:r w:rsidR="005021FC">
        <w:t>is</w:t>
      </w:r>
      <w:r>
        <w:t xml:space="preserve"> paused for </w:t>
      </w:r>
      <w:r w:rsidR="005021FC">
        <w:t>a</w:t>
      </w:r>
      <w:r>
        <w:t xml:space="preserve"> </w:t>
      </w:r>
      <w:r w:rsidR="005021FC">
        <w:t xml:space="preserve">twenty-eight </w:t>
      </w:r>
      <w:r>
        <w:t xml:space="preserve">day period within which </w:t>
      </w:r>
      <w:r w:rsidR="005021FC">
        <w:t xml:space="preserve">the applicant is </w:t>
      </w:r>
      <w:r>
        <w:t>invited to respond to the notice.</w:t>
      </w:r>
    </w:p>
    <w:p w:rsidR="003E472C" w:rsidRDefault="003E472C" w:rsidP="001A0F1E">
      <w:pPr>
        <w:pStyle w:val="Heading8"/>
      </w:pPr>
      <w:bookmarkStart w:id="195" w:name="_Toc497300873"/>
      <w:r>
        <w:t>Assessment periods and fees</w:t>
      </w:r>
      <w:bookmarkEnd w:id="195"/>
    </w:p>
    <w:p w:rsidR="00AC4A1A" w:rsidRDefault="003E472C" w:rsidP="001A0F1E">
      <w:pPr>
        <w:pStyle w:val="BodyText"/>
      </w:pPr>
      <w:r>
        <w:t>The application fee and the assessment period in which the APVMA is required to determine an application vary depending on the complexity of the application.</w:t>
      </w:r>
      <w:r w:rsidR="001A0F1E">
        <w:t xml:space="preserve"> </w:t>
      </w:r>
    </w:p>
    <w:p w:rsidR="003E472C" w:rsidRDefault="00AC4A1A" w:rsidP="001A0F1E">
      <w:pPr>
        <w:pStyle w:val="BodyText"/>
      </w:pPr>
      <w:r>
        <w:t xml:space="preserve">Table B.1 provides approvals and registrations made under section 10 of the </w:t>
      </w:r>
      <w:r w:rsidR="00DA4B84">
        <w:t>A</w:t>
      </w:r>
      <w:r>
        <w:t xml:space="preserve">gvet </w:t>
      </w:r>
      <w:r w:rsidR="00DA4B84">
        <w:t>C</w:t>
      </w:r>
      <w:r>
        <w:t>ode.</w:t>
      </w:r>
      <w:r w:rsidR="00323591">
        <w:t xml:space="preserve"> In addition to other fees, the category </w:t>
      </w:r>
      <w:r w:rsidR="002A5E2D">
        <w:t>1 in Table B.1 would cost $</w:t>
      </w:r>
      <w:r w:rsidR="00323591">
        <w:t>84,115</w:t>
      </w:r>
      <w:r w:rsidR="002A5E2D">
        <w:t>.</w:t>
      </w:r>
    </w:p>
    <w:p w:rsidR="00AC4A1A" w:rsidRDefault="00AC4A1A" w:rsidP="00AC4A1A">
      <w:pPr>
        <w:pStyle w:val="BodyText"/>
      </w:pPr>
      <w:r>
        <w:t>Table B.2 provides v</w:t>
      </w:r>
      <w:r w:rsidRPr="00AC4A1A">
        <w:t>ariation of approval or registration relevant particulars or conditions made under section 26B or 27 of the Agvet Code</w:t>
      </w:r>
      <w:r>
        <w:t>.</w:t>
      </w:r>
    </w:p>
    <w:p w:rsidR="00AC4A1A" w:rsidRDefault="00AC4A1A" w:rsidP="00AC4A1A">
      <w:pPr>
        <w:pStyle w:val="BodyText"/>
      </w:pPr>
      <w:r>
        <w:t>Table B.3 provides m</w:t>
      </w:r>
      <w:r w:rsidRPr="00AC4A1A">
        <w:t>odule levels, types, periods for completion and fees</w:t>
      </w:r>
      <w:r>
        <w:t>.</w:t>
      </w:r>
    </w:p>
    <w:p w:rsidR="00AC4A1A" w:rsidRDefault="00AC4A1A" w:rsidP="00AC4A1A">
      <w:pPr>
        <w:pStyle w:val="Caption"/>
        <w:spacing w:before="160"/>
        <w:ind w:left="-1753" w:firstLine="0"/>
      </w:pPr>
      <w:bookmarkStart w:id="196" w:name="_Toc497132825"/>
      <w:r>
        <w:rPr>
          <w:rStyle w:val="CaptionLabel"/>
        </w:rPr>
        <w:t>Table </w:t>
      </w:r>
      <w:r w:rsidR="00C4180B">
        <w:rPr>
          <w:rStyle w:val="CaptionLabel"/>
        </w:rPr>
        <w:fldChar w:fldCharType="begin"/>
      </w:r>
      <w:r w:rsidR="00C4180B">
        <w:rPr>
          <w:rStyle w:val="CaptionLabel"/>
        </w:rPr>
        <w:instrText xml:space="preserve"> STYLEREF 7 \s </w:instrText>
      </w:r>
      <w:r w:rsidR="00C4180B">
        <w:rPr>
          <w:rStyle w:val="CaptionLabel"/>
        </w:rPr>
        <w:fldChar w:fldCharType="separate"/>
      </w:r>
      <w:r w:rsidR="0087688C">
        <w:rPr>
          <w:rStyle w:val="CaptionLabel"/>
          <w:noProof/>
        </w:rPr>
        <w:t>B</w:t>
      </w:r>
      <w:r w:rsidR="00C4180B">
        <w:rPr>
          <w:rStyle w:val="CaptionLabel"/>
        </w:rPr>
        <w:fldChar w:fldCharType="end"/>
      </w:r>
      <w:r w:rsidR="00C4180B">
        <w:rPr>
          <w:rStyle w:val="CaptionLabel"/>
        </w:rPr>
        <w:t>.</w:t>
      </w:r>
      <w:r w:rsidR="00C4180B">
        <w:rPr>
          <w:rStyle w:val="CaptionLabel"/>
        </w:rPr>
        <w:fldChar w:fldCharType="begin"/>
      </w:r>
      <w:r w:rsidR="00C4180B">
        <w:rPr>
          <w:rStyle w:val="CaptionLabel"/>
        </w:rPr>
        <w:instrText xml:space="preserve"> SEQ Table_AP \* ARABIC \s 7 </w:instrText>
      </w:r>
      <w:r w:rsidR="00C4180B">
        <w:rPr>
          <w:rStyle w:val="CaptionLabel"/>
        </w:rPr>
        <w:fldChar w:fldCharType="separate"/>
      </w:r>
      <w:r w:rsidR="001977DE">
        <w:rPr>
          <w:rStyle w:val="CaptionLabel"/>
          <w:noProof/>
        </w:rPr>
        <w:t>1</w:t>
      </w:r>
      <w:r w:rsidR="00C4180B">
        <w:rPr>
          <w:rStyle w:val="CaptionLabel"/>
        </w:rPr>
        <w:fldChar w:fldCharType="end"/>
      </w:r>
      <w:r>
        <w:tab/>
        <w:t>Approvals and registrations made under section 10 the agvet code</w:t>
      </w:r>
      <w:bookmarkEnd w:id="196"/>
    </w:p>
    <w:tbl>
      <w:tblPr>
        <w:tblW w:w="10724" w:type="dxa"/>
        <w:tblInd w:w="-2552" w:type="dxa"/>
        <w:tblLayout w:type="fixed"/>
        <w:tblCellMar>
          <w:left w:w="0" w:type="dxa"/>
          <w:bottom w:w="40" w:type="dxa"/>
          <w:right w:w="0" w:type="dxa"/>
        </w:tblCellMar>
        <w:tblLook w:val="0000" w:firstRow="0" w:lastRow="0" w:firstColumn="0" w:lastColumn="0" w:noHBand="0" w:noVBand="0"/>
        <w:tblDescription w:val="table_Std"/>
      </w:tblPr>
      <w:tblGrid>
        <w:gridCol w:w="284"/>
        <w:gridCol w:w="568"/>
        <w:gridCol w:w="5954"/>
        <w:gridCol w:w="849"/>
        <w:gridCol w:w="851"/>
        <w:gridCol w:w="714"/>
        <w:gridCol w:w="1504"/>
      </w:tblGrid>
      <w:tr w:rsidR="00E86A68" w:rsidTr="005021FC">
        <w:trPr>
          <w:cantSplit/>
          <w:tblHeader/>
        </w:trPr>
        <w:tc>
          <w:tcPr>
            <w:tcW w:w="397" w:type="pct"/>
            <w:gridSpan w:val="2"/>
            <w:shd w:val="clear" w:color="auto" w:fill="9D57A6"/>
            <w:tcMar>
              <w:left w:w="454" w:type="dxa"/>
              <w:bottom w:w="0" w:type="dxa"/>
            </w:tcMar>
          </w:tcPr>
          <w:p w:rsidR="00AC4A1A" w:rsidRDefault="00AC4A1A" w:rsidP="00AB2314">
            <w:pPr>
              <w:pStyle w:val="Tablecolumnheadings"/>
              <w:ind w:left="-170"/>
            </w:pPr>
            <w:r>
              <w:t>Item</w:t>
            </w:r>
          </w:p>
        </w:tc>
        <w:tc>
          <w:tcPr>
            <w:tcW w:w="2776" w:type="pct"/>
            <w:shd w:val="clear" w:color="auto" w:fill="9D57A6"/>
            <w:tcMar>
              <w:bottom w:w="0" w:type="dxa"/>
            </w:tcMar>
          </w:tcPr>
          <w:p w:rsidR="00AC4A1A" w:rsidRDefault="00AC4A1A" w:rsidP="00AC4A1A">
            <w:pPr>
              <w:pStyle w:val="Tablecolumnheadings"/>
            </w:pPr>
            <w:r>
              <w:t>Description of application</w:t>
            </w:r>
          </w:p>
        </w:tc>
        <w:tc>
          <w:tcPr>
            <w:tcW w:w="396" w:type="pct"/>
            <w:shd w:val="clear" w:color="auto" w:fill="9D57A6"/>
            <w:tcMar>
              <w:bottom w:w="0" w:type="dxa"/>
            </w:tcMar>
          </w:tcPr>
          <w:p w:rsidR="00AC4A1A" w:rsidRDefault="00AC4A1A" w:rsidP="00AC4A1A">
            <w:pPr>
              <w:pStyle w:val="Tablecolumnheadings"/>
            </w:pPr>
            <w:r>
              <w:t>Assessment period</w:t>
            </w:r>
          </w:p>
        </w:tc>
        <w:tc>
          <w:tcPr>
            <w:tcW w:w="397" w:type="pct"/>
            <w:shd w:val="clear" w:color="auto" w:fill="9D57A6"/>
            <w:tcMar>
              <w:bottom w:w="0" w:type="dxa"/>
            </w:tcMar>
          </w:tcPr>
          <w:p w:rsidR="00AC4A1A" w:rsidRDefault="00AC4A1A" w:rsidP="00AC4A1A">
            <w:pPr>
              <w:pStyle w:val="Tablecolumnheadings"/>
            </w:pPr>
            <w:r>
              <w:t xml:space="preserve">Fee </w:t>
            </w:r>
            <w:r>
              <w:br/>
              <w:t>July 2014</w:t>
            </w:r>
          </w:p>
        </w:tc>
        <w:tc>
          <w:tcPr>
            <w:tcW w:w="333" w:type="pct"/>
            <w:shd w:val="clear" w:color="auto" w:fill="9D57A6"/>
            <w:tcMar>
              <w:bottom w:w="0" w:type="dxa"/>
            </w:tcMar>
          </w:tcPr>
          <w:p w:rsidR="00AC4A1A" w:rsidRDefault="00AC4A1A" w:rsidP="00AC4A1A">
            <w:pPr>
              <w:pStyle w:val="Tablecolumnheadings"/>
            </w:pPr>
          </w:p>
        </w:tc>
        <w:tc>
          <w:tcPr>
            <w:tcW w:w="701" w:type="pct"/>
            <w:shd w:val="clear" w:color="auto" w:fill="9D57A6"/>
            <w:tcMar>
              <w:bottom w:w="0" w:type="dxa"/>
            </w:tcMar>
          </w:tcPr>
          <w:p w:rsidR="00AC4A1A" w:rsidRDefault="00AC4A1A" w:rsidP="00AC4A1A">
            <w:pPr>
              <w:pStyle w:val="Tablecolumnheadings"/>
            </w:pPr>
            <w:r>
              <w:t>Max pre-application assistance rebate</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tcBorders>
              <w:top w:val="nil"/>
            </w:tcBorders>
            <w:shd w:val="clear" w:color="auto" w:fill="auto"/>
          </w:tcPr>
          <w:p w:rsidR="00AC4A1A" w:rsidRDefault="00AC4A1A" w:rsidP="00AC4A1A">
            <w:pPr>
              <w:pStyle w:val="Tabletext"/>
            </w:pPr>
            <w:r>
              <w:t>1</w:t>
            </w:r>
          </w:p>
        </w:tc>
        <w:tc>
          <w:tcPr>
            <w:tcW w:w="2776" w:type="pct"/>
            <w:tcBorders>
              <w:top w:val="nil"/>
            </w:tcBorders>
            <w:shd w:val="clear" w:color="auto" w:fill="auto"/>
          </w:tcPr>
          <w:p w:rsidR="00AC4A1A" w:rsidRDefault="00AC4A1A" w:rsidP="00AC4A1A">
            <w:pPr>
              <w:pStyle w:val="Tabletext"/>
            </w:pPr>
            <w:r>
              <w:t>Approval of an active constituent contained in a chemical product, registration of the associated chemical product and approval of the product label requiring a full assessment of the active constituent and product</w:t>
            </w:r>
          </w:p>
        </w:tc>
        <w:tc>
          <w:tcPr>
            <w:tcW w:w="396" w:type="pct"/>
            <w:tcBorders>
              <w:top w:val="nil"/>
            </w:tcBorders>
            <w:shd w:val="clear" w:color="auto" w:fill="auto"/>
          </w:tcPr>
          <w:p w:rsidR="00AC4A1A" w:rsidRDefault="00AC4A1A" w:rsidP="00AC4A1A">
            <w:pPr>
              <w:pStyle w:val="Tabletext"/>
            </w:pPr>
            <w:r>
              <w:t>18 months</w:t>
            </w:r>
          </w:p>
        </w:tc>
        <w:tc>
          <w:tcPr>
            <w:tcW w:w="397" w:type="pct"/>
            <w:tcBorders>
              <w:top w:val="nil"/>
            </w:tcBorders>
            <w:shd w:val="clear" w:color="auto" w:fill="auto"/>
          </w:tcPr>
          <w:p w:rsidR="00AC4A1A" w:rsidRDefault="00AC4A1A" w:rsidP="00AC4A1A">
            <w:pPr>
              <w:pStyle w:val="Tabletext"/>
            </w:pPr>
            <w:r>
              <w:t>$84,115</w:t>
            </w:r>
          </w:p>
        </w:tc>
        <w:tc>
          <w:tcPr>
            <w:tcW w:w="333" w:type="pct"/>
            <w:tcBorders>
              <w:top w:val="nil"/>
            </w:tcBorders>
            <w:shd w:val="clear" w:color="auto" w:fill="auto"/>
          </w:tcPr>
          <w:p w:rsidR="00AC4A1A" w:rsidRDefault="00AC4A1A" w:rsidP="00AC4A1A">
            <w:pPr>
              <w:pStyle w:val="Tabletext"/>
            </w:pPr>
          </w:p>
        </w:tc>
        <w:tc>
          <w:tcPr>
            <w:tcW w:w="701" w:type="pct"/>
            <w:tcBorders>
              <w:top w:val="nil"/>
            </w:tcBorders>
            <w:shd w:val="clear" w:color="auto" w:fill="auto"/>
          </w:tcPr>
          <w:p w:rsidR="00AC4A1A" w:rsidRDefault="00AC4A1A" w:rsidP="00AC4A1A">
            <w:pPr>
              <w:pStyle w:val="Tabletext"/>
            </w:pPr>
            <w:r>
              <w:t>$1,400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755331" w:rsidRDefault="00755331" w:rsidP="00AC4A1A">
            <w:pPr>
              <w:pStyle w:val="Tabletext"/>
            </w:pPr>
            <w:r>
              <w:t>2</w:t>
            </w:r>
          </w:p>
        </w:tc>
        <w:tc>
          <w:tcPr>
            <w:tcW w:w="2776" w:type="pct"/>
            <w:shd w:val="clear" w:color="auto" w:fill="auto"/>
          </w:tcPr>
          <w:p w:rsidR="00755331" w:rsidRDefault="00755331" w:rsidP="00AC4A1A">
            <w:pPr>
              <w:pStyle w:val="Tabletext"/>
            </w:pPr>
            <w:r>
              <w:t>Approval of an active constituent contained in a chemical product, registration of the associated chemical product and approval of the product label requiring less than full assessment of the active constituent and product</w:t>
            </w:r>
          </w:p>
        </w:tc>
        <w:tc>
          <w:tcPr>
            <w:tcW w:w="1126" w:type="pct"/>
            <w:gridSpan w:val="3"/>
            <w:shd w:val="clear" w:color="auto" w:fill="auto"/>
          </w:tcPr>
          <w:p w:rsidR="00755331" w:rsidRDefault="00755331" w:rsidP="00AC4A1A">
            <w:pPr>
              <w:pStyle w:val="Tabletext"/>
            </w:pPr>
            <w:r>
              <w:t>Modular assessment period and fee</w:t>
            </w:r>
          </w:p>
        </w:tc>
        <w:tc>
          <w:tcPr>
            <w:tcW w:w="701" w:type="pct"/>
            <w:shd w:val="clear" w:color="auto" w:fill="auto"/>
          </w:tcPr>
          <w:p w:rsidR="00755331" w:rsidRDefault="00755331" w:rsidP="00AC4A1A">
            <w:pPr>
              <w:pStyle w:val="Tabletext"/>
            </w:pPr>
            <w:r>
              <w:t>$1,400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3</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there is no registered chemical product containing the active constituent and a full assessment of the product is required</w:t>
            </w:r>
          </w:p>
        </w:tc>
        <w:tc>
          <w:tcPr>
            <w:tcW w:w="396" w:type="pct"/>
            <w:shd w:val="clear" w:color="auto" w:fill="auto"/>
          </w:tcPr>
          <w:p w:rsidR="00AC4A1A" w:rsidRDefault="00AC4A1A" w:rsidP="00AC4A1A">
            <w:pPr>
              <w:pStyle w:val="Tabletext"/>
            </w:pPr>
            <w:r>
              <w:t>18 months</w:t>
            </w:r>
          </w:p>
        </w:tc>
        <w:tc>
          <w:tcPr>
            <w:tcW w:w="397" w:type="pct"/>
            <w:shd w:val="clear" w:color="auto" w:fill="auto"/>
          </w:tcPr>
          <w:p w:rsidR="00AC4A1A" w:rsidRDefault="00AC4A1A" w:rsidP="00AC4A1A">
            <w:pPr>
              <w:pStyle w:val="Tabletext"/>
            </w:pPr>
            <w:r>
              <w:t>$56,545</w:t>
            </w:r>
          </w:p>
        </w:tc>
        <w:tc>
          <w:tcPr>
            <w:tcW w:w="333" w:type="pct"/>
            <w:shd w:val="clear" w:color="auto" w:fill="auto"/>
          </w:tcPr>
          <w:p w:rsidR="00AC4A1A" w:rsidRDefault="00AC4A1A" w:rsidP="00AC4A1A">
            <w:pPr>
              <w:pStyle w:val="Tabletext"/>
            </w:pPr>
          </w:p>
        </w:tc>
        <w:tc>
          <w:tcPr>
            <w:tcW w:w="701" w:type="pct"/>
            <w:shd w:val="clear" w:color="auto" w:fill="auto"/>
          </w:tcPr>
          <w:p w:rsidR="00AC4A1A" w:rsidRDefault="00AC4A1A" w:rsidP="00AC4A1A">
            <w:pPr>
              <w:pStyle w:val="Tabletext"/>
            </w:pPr>
            <w:r>
              <w:t>$1,050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4</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there is a registered chemical product containing the active constituent and a full assessment of the product is required and there are no relevant maximum residue limits and poison schedule classification is required</w:t>
            </w:r>
          </w:p>
        </w:tc>
        <w:tc>
          <w:tcPr>
            <w:tcW w:w="396" w:type="pct"/>
            <w:shd w:val="clear" w:color="auto" w:fill="auto"/>
          </w:tcPr>
          <w:p w:rsidR="00AC4A1A" w:rsidRDefault="00AC4A1A" w:rsidP="00AC4A1A">
            <w:pPr>
              <w:pStyle w:val="Tabletext"/>
            </w:pPr>
            <w:r>
              <w:t>18 months</w:t>
            </w:r>
          </w:p>
        </w:tc>
        <w:tc>
          <w:tcPr>
            <w:tcW w:w="397" w:type="pct"/>
            <w:shd w:val="clear" w:color="auto" w:fill="auto"/>
          </w:tcPr>
          <w:p w:rsidR="00AC4A1A" w:rsidRDefault="00AC4A1A" w:rsidP="00AC4A1A">
            <w:pPr>
              <w:pStyle w:val="Tabletext"/>
            </w:pPr>
            <w:r>
              <w:t>$32,090</w:t>
            </w:r>
          </w:p>
        </w:tc>
        <w:tc>
          <w:tcPr>
            <w:tcW w:w="333" w:type="pct"/>
            <w:shd w:val="clear" w:color="auto" w:fill="auto"/>
          </w:tcPr>
          <w:p w:rsidR="00AC4A1A" w:rsidRDefault="00AC4A1A" w:rsidP="00AC4A1A">
            <w:pPr>
              <w:pStyle w:val="Tabletext"/>
            </w:pPr>
          </w:p>
        </w:tc>
        <w:tc>
          <w:tcPr>
            <w:tcW w:w="701" w:type="pct"/>
            <w:shd w:val="clear" w:color="auto" w:fill="auto"/>
          </w:tcPr>
          <w:p w:rsidR="00AC4A1A" w:rsidRDefault="00AC4A1A" w:rsidP="00AC4A1A">
            <w:pPr>
              <w:pStyle w:val="Tabletext"/>
            </w:pPr>
            <w:r>
              <w:t>$1,050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5</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 product is similar to a registered chemical product and chemistry and manufacture, efficacy or target species safety data is the only data required to demonstrate the similarity of the product to the registered chemical product</w:t>
            </w:r>
          </w:p>
        </w:tc>
        <w:tc>
          <w:tcPr>
            <w:tcW w:w="396" w:type="pct"/>
            <w:shd w:val="clear" w:color="auto" w:fill="auto"/>
          </w:tcPr>
          <w:p w:rsidR="00AC4A1A" w:rsidRDefault="00AC4A1A" w:rsidP="00AC4A1A">
            <w:pPr>
              <w:pStyle w:val="Tabletext"/>
            </w:pPr>
            <w:r>
              <w:t>8 months</w:t>
            </w:r>
          </w:p>
        </w:tc>
        <w:tc>
          <w:tcPr>
            <w:tcW w:w="397" w:type="pct"/>
            <w:shd w:val="clear" w:color="auto" w:fill="auto"/>
          </w:tcPr>
          <w:p w:rsidR="00AC4A1A" w:rsidRDefault="00AC4A1A" w:rsidP="00AC4A1A">
            <w:pPr>
              <w:pStyle w:val="Tabletext"/>
            </w:pPr>
            <w:r>
              <w:t>$4,260</w:t>
            </w:r>
          </w:p>
        </w:tc>
        <w:tc>
          <w:tcPr>
            <w:tcW w:w="333" w:type="pct"/>
            <w:shd w:val="clear" w:color="auto" w:fill="auto"/>
          </w:tcPr>
          <w:p w:rsidR="00AC4A1A" w:rsidRDefault="00AC4A1A" w:rsidP="00AC4A1A">
            <w:pPr>
              <w:pStyle w:val="Tabletext"/>
            </w:pPr>
          </w:p>
        </w:tc>
        <w:tc>
          <w:tcPr>
            <w:tcW w:w="701" w:type="pct"/>
            <w:shd w:val="clear" w:color="auto" w:fill="auto"/>
          </w:tcPr>
          <w:p w:rsidR="00AC4A1A" w:rsidRDefault="00AC4A1A" w:rsidP="00AC4A1A">
            <w:pPr>
              <w:pStyle w:val="Tabletext"/>
            </w:pPr>
            <w:r>
              <w:t>$700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6</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 product is closely similar to a registered chemical product and efficacy and safety data are not required to demonstrate the similarity of the product to the registered chemical product and chemistry and manufacture data are required</w:t>
            </w:r>
          </w:p>
        </w:tc>
        <w:tc>
          <w:tcPr>
            <w:tcW w:w="396" w:type="pct"/>
            <w:shd w:val="clear" w:color="auto" w:fill="auto"/>
          </w:tcPr>
          <w:p w:rsidR="00AC4A1A" w:rsidRDefault="00AC4A1A" w:rsidP="00AC4A1A">
            <w:pPr>
              <w:pStyle w:val="Tabletext"/>
            </w:pPr>
            <w:r>
              <w:t>8 months</w:t>
            </w:r>
          </w:p>
        </w:tc>
        <w:tc>
          <w:tcPr>
            <w:tcW w:w="397" w:type="pct"/>
            <w:shd w:val="clear" w:color="auto" w:fill="auto"/>
          </w:tcPr>
          <w:p w:rsidR="00AC4A1A" w:rsidRDefault="00AC4A1A" w:rsidP="00AC4A1A">
            <w:pPr>
              <w:pStyle w:val="Tabletext"/>
            </w:pPr>
            <w:r>
              <w:t>$3,755</w:t>
            </w:r>
          </w:p>
        </w:tc>
        <w:tc>
          <w:tcPr>
            <w:tcW w:w="333" w:type="pct"/>
            <w:shd w:val="clear" w:color="auto" w:fill="auto"/>
          </w:tcPr>
          <w:p w:rsidR="00AC4A1A" w:rsidRDefault="00AC4A1A" w:rsidP="00AC4A1A">
            <w:pPr>
              <w:pStyle w:val="Tabletext"/>
            </w:pPr>
          </w:p>
        </w:tc>
        <w:tc>
          <w:tcPr>
            <w:tcW w:w="701" w:type="pct"/>
            <w:shd w:val="clear" w:color="auto" w:fill="auto"/>
          </w:tcPr>
          <w:p w:rsidR="00AC4A1A" w:rsidRDefault="00AC4A1A" w:rsidP="00AC4A1A">
            <w:pPr>
              <w:pStyle w:val="Tabletext"/>
            </w:pPr>
            <w:r>
              <w:t>$700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7</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 product is closely similar to a registered chemical product and efficacy and safety data are not required to demonstrate the similarity of the product to the registered chemical product and chemistry and manufacture data are not required</w:t>
            </w:r>
          </w:p>
        </w:tc>
        <w:tc>
          <w:tcPr>
            <w:tcW w:w="396" w:type="pct"/>
            <w:shd w:val="clear" w:color="auto" w:fill="auto"/>
          </w:tcPr>
          <w:p w:rsidR="00AC4A1A" w:rsidRDefault="00AC4A1A" w:rsidP="00AC4A1A">
            <w:pPr>
              <w:pStyle w:val="Tabletext"/>
            </w:pPr>
            <w:r>
              <w:t>3 months</w:t>
            </w:r>
          </w:p>
        </w:tc>
        <w:tc>
          <w:tcPr>
            <w:tcW w:w="397" w:type="pct"/>
            <w:shd w:val="clear" w:color="auto" w:fill="auto"/>
          </w:tcPr>
          <w:p w:rsidR="00AC4A1A" w:rsidRDefault="00AC4A1A" w:rsidP="00AC4A1A">
            <w:pPr>
              <w:pStyle w:val="Tabletext"/>
            </w:pPr>
            <w:r>
              <w:t>$1,535</w:t>
            </w:r>
          </w:p>
        </w:tc>
        <w:tc>
          <w:tcPr>
            <w:tcW w:w="333" w:type="pct"/>
            <w:shd w:val="clear" w:color="auto" w:fill="auto"/>
          </w:tcPr>
          <w:p w:rsidR="00AC4A1A" w:rsidRDefault="00AC4A1A" w:rsidP="00AC4A1A">
            <w:pPr>
              <w:pStyle w:val="Tabletext"/>
            </w:pPr>
          </w:p>
        </w:tc>
        <w:tc>
          <w:tcPr>
            <w:tcW w:w="701" w:type="pct"/>
            <w:shd w:val="clear" w:color="auto" w:fill="auto"/>
          </w:tcPr>
          <w:p w:rsidR="00AC4A1A" w:rsidRDefault="00AC4A1A"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8</w:t>
            </w:r>
          </w:p>
        </w:tc>
        <w:tc>
          <w:tcPr>
            <w:tcW w:w="2776" w:type="pct"/>
            <w:shd w:val="clear" w:color="auto" w:fill="auto"/>
          </w:tcPr>
          <w:p w:rsidR="00AC4A1A" w:rsidRDefault="00AC4A1A" w:rsidP="00AC4A1A">
            <w:pPr>
              <w:pStyle w:val="Tabletext"/>
            </w:pPr>
            <w:r>
              <w:t>Registration of a chemical product containing an approved active constituent, and approval of the product label, if the chemical product is the same as a registered chemical product and the product is to be registered with a different name</w:t>
            </w:r>
          </w:p>
        </w:tc>
        <w:tc>
          <w:tcPr>
            <w:tcW w:w="396" w:type="pct"/>
            <w:shd w:val="clear" w:color="auto" w:fill="auto"/>
          </w:tcPr>
          <w:p w:rsidR="00AC4A1A" w:rsidRDefault="00AC4A1A" w:rsidP="00AC4A1A">
            <w:pPr>
              <w:pStyle w:val="Tabletext"/>
            </w:pPr>
            <w:r>
              <w:t>3 months</w:t>
            </w:r>
          </w:p>
        </w:tc>
        <w:tc>
          <w:tcPr>
            <w:tcW w:w="397" w:type="pct"/>
            <w:shd w:val="clear" w:color="auto" w:fill="auto"/>
          </w:tcPr>
          <w:p w:rsidR="00AC4A1A" w:rsidRDefault="00AC4A1A" w:rsidP="00F079B7">
            <w:pPr>
              <w:pStyle w:val="Tabletext"/>
            </w:pPr>
            <w:r>
              <w:t>$1</w:t>
            </w:r>
            <w:r w:rsidR="00F079B7">
              <w:t>,</w:t>
            </w:r>
            <w:r>
              <w:t>455</w:t>
            </w:r>
          </w:p>
        </w:tc>
        <w:tc>
          <w:tcPr>
            <w:tcW w:w="333" w:type="pct"/>
            <w:shd w:val="clear" w:color="auto" w:fill="auto"/>
          </w:tcPr>
          <w:p w:rsidR="00AC4A1A" w:rsidRDefault="00AC4A1A" w:rsidP="00F079B7">
            <w:pPr>
              <w:pStyle w:val="Tabletext"/>
            </w:pPr>
          </w:p>
        </w:tc>
        <w:tc>
          <w:tcPr>
            <w:tcW w:w="701" w:type="pct"/>
            <w:shd w:val="clear" w:color="auto" w:fill="auto"/>
          </w:tcPr>
          <w:p w:rsidR="00AC4A1A" w:rsidRDefault="00F079B7"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9</w:t>
            </w:r>
          </w:p>
        </w:tc>
        <w:tc>
          <w:tcPr>
            <w:tcW w:w="2776" w:type="pct"/>
            <w:shd w:val="clear" w:color="auto" w:fill="auto"/>
          </w:tcPr>
          <w:p w:rsidR="00AC4A1A" w:rsidRDefault="00AC4A1A" w:rsidP="00DA4B84">
            <w:pPr>
              <w:pStyle w:val="Tabletext"/>
            </w:pPr>
            <w:r>
              <w:t xml:space="preserve">Registration of a listed chemical product and approval of a product label where the product and label comply with an established standard that has been approved in accordance with section 8U of the </w:t>
            </w:r>
            <w:r w:rsidR="00DA4B84">
              <w:t>C</w:t>
            </w:r>
            <w:r>
              <w:t>ode</w:t>
            </w:r>
          </w:p>
        </w:tc>
        <w:tc>
          <w:tcPr>
            <w:tcW w:w="396" w:type="pct"/>
            <w:shd w:val="clear" w:color="auto" w:fill="auto"/>
          </w:tcPr>
          <w:p w:rsidR="00AC4A1A" w:rsidRDefault="00AC4A1A" w:rsidP="00AC4A1A">
            <w:pPr>
              <w:pStyle w:val="Tabletext"/>
            </w:pPr>
            <w:r>
              <w:t>2 months</w:t>
            </w:r>
          </w:p>
        </w:tc>
        <w:tc>
          <w:tcPr>
            <w:tcW w:w="397" w:type="pct"/>
            <w:shd w:val="clear" w:color="auto" w:fill="auto"/>
          </w:tcPr>
          <w:p w:rsidR="00AC4A1A" w:rsidRDefault="00AC4A1A" w:rsidP="007A1175">
            <w:pPr>
              <w:pStyle w:val="Tabletext"/>
            </w:pPr>
            <w:r>
              <w:t>$1</w:t>
            </w:r>
            <w:r w:rsidR="007A1175">
              <w:t>,</w:t>
            </w:r>
            <w:r>
              <w:t>395</w:t>
            </w:r>
          </w:p>
        </w:tc>
        <w:tc>
          <w:tcPr>
            <w:tcW w:w="333" w:type="pct"/>
            <w:shd w:val="clear" w:color="auto" w:fill="auto"/>
          </w:tcPr>
          <w:p w:rsidR="00AC4A1A" w:rsidRDefault="00AC4A1A" w:rsidP="00323591">
            <w:pPr>
              <w:pStyle w:val="Tabletext"/>
            </w:pPr>
          </w:p>
        </w:tc>
        <w:tc>
          <w:tcPr>
            <w:tcW w:w="701" w:type="pct"/>
            <w:shd w:val="clear" w:color="auto" w:fill="auto"/>
          </w:tcPr>
          <w:p w:rsidR="00AC4A1A" w:rsidRDefault="007A1175"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7A1175" w:rsidRDefault="007A1175" w:rsidP="00AC4A1A">
            <w:pPr>
              <w:pStyle w:val="Tabletext"/>
            </w:pPr>
            <w:r>
              <w:t>10</w:t>
            </w:r>
          </w:p>
        </w:tc>
        <w:tc>
          <w:tcPr>
            <w:tcW w:w="2776" w:type="pct"/>
            <w:shd w:val="clear" w:color="auto" w:fill="auto"/>
          </w:tcPr>
          <w:p w:rsidR="007A1175" w:rsidRDefault="007A1175" w:rsidP="00AC4A1A">
            <w:pPr>
              <w:pStyle w:val="Tabletext"/>
            </w:pPr>
            <w:r>
              <w:t>Registration of a chemical product containing an approved active constituent (or an active constituent for which the APVMA has received an application for approval) and approval of the product label for all situations other than those described in items 3 to 9</w:t>
            </w:r>
          </w:p>
        </w:tc>
        <w:tc>
          <w:tcPr>
            <w:tcW w:w="1126" w:type="pct"/>
            <w:gridSpan w:val="3"/>
            <w:shd w:val="clear" w:color="auto" w:fill="auto"/>
          </w:tcPr>
          <w:p w:rsidR="007A1175" w:rsidRDefault="007A1175" w:rsidP="00AC4A1A">
            <w:pPr>
              <w:pStyle w:val="Tabletext"/>
            </w:pPr>
            <w:r>
              <w:t>Modular assessment period and fee</w:t>
            </w:r>
          </w:p>
        </w:tc>
        <w:tc>
          <w:tcPr>
            <w:tcW w:w="701" w:type="pct"/>
            <w:shd w:val="clear" w:color="auto" w:fill="auto"/>
          </w:tcPr>
          <w:p w:rsidR="007A1175" w:rsidRDefault="007A1175"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7A1175" w:rsidRDefault="007A1175" w:rsidP="00AC4A1A">
            <w:pPr>
              <w:pStyle w:val="Tabletext"/>
            </w:pPr>
            <w:r>
              <w:t>10A</w:t>
            </w:r>
          </w:p>
        </w:tc>
        <w:tc>
          <w:tcPr>
            <w:tcW w:w="2776" w:type="pct"/>
            <w:shd w:val="clear" w:color="auto" w:fill="auto"/>
          </w:tcPr>
          <w:p w:rsidR="007A1175" w:rsidRDefault="007A1175" w:rsidP="00AC4A1A">
            <w:pPr>
              <w:pStyle w:val="Tabletext"/>
            </w:pPr>
            <w:r>
              <w:t>Application for approval of a label for containers for a registered chemical product</w:t>
            </w:r>
          </w:p>
        </w:tc>
        <w:tc>
          <w:tcPr>
            <w:tcW w:w="1126" w:type="pct"/>
            <w:gridSpan w:val="3"/>
            <w:shd w:val="clear" w:color="auto" w:fill="auto"/>
          </w:tcPr>
          <w:p w:rsidR="007A1175" w:rsidRDefault="007A1175" w:rsidP="00AC4A1A">
            <w:pPr>
              <w:pStyle w:val="Tabletext"/>
            </w:pPr>
            <w:r>
              <w:t>Modular assessment period and fee (relevant modules anticipated to be preliminary assessment and finalisation)</w:t>
            </w:r>
          </w:p>
        </w:tc>
        <w:tc>
          <w:tcPr>
            <w:tcW w:w="701" w:type="pct"/>
            <w:shd w:val="clear" w:color="auto" w:fill="auto"/>
          </w:tcPr>
          <w:p w:rsidR="007A1175" w:rsidRDefault="007A1175"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15</w:t>
            </w:r>
          </w:p>
        </w:tc>
        <w:tc>
          <w:tcPr>
            <w:tcW w:w="2776" w:type="pct"/>
            <w:shd w:val="clear" w:color="auto" w:fill="auto"/>
          </w:tcPr>
          <w:p w:rsidR="00AC4A1A" w:rsidRDefault="00AC4A1A" w:rsidP="00AC4A1A">
            <w:pPr>
              <w:pStyle w:val="Tabletext"/>
            </w:pPr>
            <w:r>
              <w:t>Approval of an active constituent requiring a full assessment</w:t>
            </w:r>
          </w:p>
        </w:tc>
        <w:tc>
          <w:tcPr>
            <w:tcW w:w="396" w:type="pct"/>
            <w:shd w:val="clear" w:color="auto" w:fill="auto"/>
          </w:tcPr>
          <w:p w:rsidR="00AC4A1A" w:rsidRDefault="00AC4A1A" w:rsidP="00AC4A1A">
            <w:pPr>
              <w:pStyle w:val="Tabletext"/>
            </w:pPr>
            <w:r>
              <w:t>14 months</w:t>
            </w:r>
          </w:p>
        </w:tc>
        <w:tc>
          <w:tcPr>
            <w:tcW w:w="397" w:type="pct"/>
            <w:shd w:val="clear" w:color="auto" w:fill="auto"/>
          </w:tcPr>
          <w:p w:rsidR="00AC4A1A" w:rsidRDefault="00AC4A1A" w:rsidP="00BF1968">
            <w:pPr>
              <w:pStyle w:val="Tabletext"/>
            </w:pPr>
            <w:r>
              <w:t>$26</w:t>
            </w:r>
            <w:r w:rsidR="00BF1968">
              <w:t>,</w:t>
            </w:r>
            <w:r>
              <w:t>730</w:t>
            </w:r>
          </w:p>
        </w:tc>
        <w:tc>
          <w:tcPr>
            <w:tcW w:w="333" w:type="pct"/>
            <w:shd w:val="clear" w:color="auto" w:fill="auto"/>
          </w:tcPr>
          <w:p w:rsidR="00AC4A1A" w:rsidRDefault="00AC4A1A" w:rsidP="00BF1968">
            <w:pPr>
              <w:pStyle w:val="Tabletext"/>
            </w:pPr>
            <w:r>
              <w:t>$30</w:t>
            </w:r>
            <w:r w:rsidR="00BF1968">
              <w:t>,</w:t>
            </w:r>
            <w:r>
              <w:t>550</w:t>
            </w:r>
          </w:p>
        </w:tc>
        <w:tc>
          <w:tcPr>
            <w:tcW w:w="701" w:type="pct"/>
            <w:shd w:val="clear" w:color="auto" w:fill="auto"/>
          </w:tcPr>
          <w:p w:rsidR="00AC4A1A" w:rsidRDefault="00755331" w:rsidP="00AC4A1A">
            <w:pPr>
              <w:pStyle w:val="Tabletext"/>
            </w:pPr>
            <w:r>
              <w:t>$1,400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16</w:t>
            </w:r>
          </w:p>
        </w:tc>
        <w:tc>
          <w:tcPr>
            <w:tcW w:w="2776" w:type="pct"/>
            <w:shd w:val="clear" w:color="auto" w:fill="auto"/>
          </w:tcPr>
          <w:p w:rsidR="00AC4A1A" w:rsidRDefault="00AC4A1A" w:rsidP="00AC4A1A">
            <w:pPr>
              <w:pStyle w:val="Tabletext"/>
            </w:pPr>
            <w:r>
              <w:t>Approval of an active constituent requiring less than a full assessment but requiring a toxicological assessment</w:t>
            </w:r>
          </w:p>
        </w:tc>
        <w:tc>
          <w:tcPr>
            <w:tcW w:w="396" w:type="pct"/>
            <w:shd w:val="clear" w:color="auto" w:fill="auto"/>
          </w:tcPr>
          <w:p w:rsidR="00AC4A1A" w:rsidRDefault="00AC4A1A" w:rsidP="00AC4A1A">
            <w:pPr>
              <w:pStyle w:val="Tabletext"/>
            </w:pPr>
            <w:r>
              <w:t>9 months</w:t>
            </w:r>
          </w:p>
        </w:tc>
        <w:tc>
          <w:tcPr>
            <w:tcW w:w="397" w:type="pct"/>
            <w:shd w:val="clear" w:color="auto" w:fill="auto"/>
          </w:tcPr>
          <w:p w:rsidR="00AC4A1A" w:rsidRDefault="00755331" w:rsidP="00AC4A1A">
            <w:pPr>
              <w:pStyle w:val="Tabletext"/>
            </w:pPr>
            <w:r>
              <w:t>$16,</w:t>
            </w:r>
            <w:r w:rsidR="00AC4A1A">
              <w:t>455</w:t>
            </w:r>
          </w:p>
        </w:tc>
        <w:tc>
          <w:tcPr>
            <w:tcW w:w="333" w:type="pct"/>
            <w:shd w:val="clear" w:color="auto" w:fill="auto"/>
          </w:tcPr>
          <w:p w:rsidR="00AC4A1A" w:rsidRDefault="00AC4A1A" w:rsidP="00755331">
            <w:pPr>
              <w:pStyle w:val="Tabletext"/>
            </w:pPr>
            <w:r>
              <w:t>$18</w:t>
            </w:r>
            <w:r w:rsidR="00755331">
              <w:t>,</w:t>
            </w:r>
            <w:r>
              <w:t>805</w:t>
            </w:r>
          </w:p>
        </w:tc>
        <w:tc>
          <w:tcPr>
            <w:tcW w:w="701" w:type="pct"/>
            <w:shd w:val="clear" w:color="auto" w:fill="auto"/>
          </w:tcPr>
          <w:p w:rsidR="00AC4A1A" w:rsidRDefault="00755331" w:rsidP="00AC4A1A">
            <w:pPr>
              <w:pStyle w:val="Tabletext"/>
            </w:pPr>
            <w:r>
              <w:t>$700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AC4A1A" w:rsidRDefault="00AC4A1A" w:rsidP="00AC4A1A">
            <w:pPr>
              <w:pStyle w:val="Tabletext"/>
            </w:pPr>
            <w:r>
              <w:t>17</w:t>
            </w:r>
          </w:p>
        </w:tc>
        <w:tc>
          <w:tcPr>
            <w:tcW w:w="2776" w:type="pct"/>
            <w:shd w:val="clear" w:color="auto" w:fill="auto"/>
          </w:tcPr>
          <w:p w:rsidR="00AC4A1A" w:rsidRDefault="00AC4A1A" w:rsidP="00AC4A1A">
            <w:pPr>
              <w:pStyle w:val="Tabletext"/>
            </w:pPr>
            <w:r>
              <w:t>Approval of an active constituent requiring less than a full assessment but not requiring a toxicological assessment</w:t>
            </w:r>
          </w:p>
        </w:tc>
        <w:tc>
          <w:tcPr>
            <w:tcW w:w="396" w:type="pct"/>
            <w:shd w:val="clear" w:color="auto" w:fill="auto"/>
          </w:tcPr>
          <w:p w:rsidR="00AC4A1A" w:rsidRDefault="00AC4A1A" w:rsidP="00AC4A1A">
            <w:pPr>
              <w:pStyle w:val="Tabletext"/>
            </w:pPr>
            <w:r>
              <w:t>7 months</w:t>
            </w:r>
          </w:p>
        </w:tc>
        <w:tc>
          <w:tcPr>
            <w:tcW w:w="397" w:type="pct"/>
            <w:shd w:val="clear" w:color="auto" w:fill="auto"/>
          </w:tcPr>
          <w:p w:rsidR="00AC4A1A" w:rsidRDefault="00AC4A1A" w:rsidP="00755331">
            <w:pPr>
              <w:pStyle w:val="Tabletext"/>
            </w:pPr>
            <w:r>
              <w:t>$2</w:t>
            </w:r>
            <w:r w:rsidR="00755331">
              <w:t>,</w:t>
            </w:r>
            <w:r>
              <w:t>760</w:t>
            </w:r>
          </w:p>
        </w:tc>
        <w:tc>
          <w:tcPr>
            <w:tcW w:w="333" w:type="pct"/>
            <w:shd w:val="clear" w:color="auto" w:fill="auto"/>
          </w:tcPr>
          <w:p w:rsidR="00AC4A1A" w:rsidRDefault="00AC4A1A" w:rsidP="00755331">
            <w:pPr>
              <w:pStyle w:val="Tabletext"/>
            </w:pPr>
            <w:r>
              <w:t>$3</w:t>
            </w:r>
            <w:r w:rsidR="00755331">
              <w:t>,</w:t>
            </w:r>
            <w:r>
              <w:t>155</w:t>
            </w:r>
          </w:p>
        </w:tc>
        <w:tc>
          <w:tcPr>
            <w:tcW w:w="701" w:type="pct"/>
            <w:shd w:val="clear" w:color="auto" w:fill="auto"/>
          </w:tcPr>
          <w:p w:rsidR="00AC4A1A" w:rsidRDefault="00755331" w:rsidP="00AC4A1A">
            <w:pPr>
              <w:pStyle w:val="Tabletext"/>
            </w:pPr>
            <w:r>
              <w:t>$700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755331" w:rsidRDefault="00755331" w:rsidP="00AC4A1A">
            <w:pPr>
              <w:pStyle w:val="Tabletext"/>
            </w:pPr>
            <w:r>
              <w:t>24</w:t>
            </w:r>
          </w:p>
        </w:tc>
        <w:tc>
          <w:tcPr>
            <w:tcW w:w="2776" w:type="pct"/>
            <w:shd w:val="clear" w:color="auto" w:fill="auto"/>
          </w:tcPr>
          <w:p w:rsidR="00755331" w:rsidRDefault="00755331" w:rsidP="00DA4B84">
            <w:pPr>
              <w:pStyle w:val="Tabletext"/>
            </w:pPr>
            <w:r>
              <w:t xml:space="preserve">Approval or registration under section 10 of the </w:t>
            </w:r>
            <w:r w:rsidR="00DA4B84">
              <w:t>C</w:t>
            </w:r>
            <w:r>
              <w:t>ode requiring assessment of a technical nature (other than of the kinds described in any of items 1 to 10, 15, 16 or 17)</w:t>
            </w:r>
          </w:p>
        </w:tc>
        <w:tc>
          <w:tcPr>
            <w:tcW w:w="1126" w:type="pct"/>
            <w:gridSpan w:val="3"/>
            <w:shd w:val="clear" w:color="auto" w:fill="auto"/>
          </w:tcPr>
          <w:p w:rsidR="00755331" w:rsidRDefault="00755331" w:rsidP="00AC4A1A">
            <w:pPr>
              <w:pStyle w:val="Tabletext"/>
            </w:pPr>
            <w:r>
              <w:t>Modular assessment period and fee</w:t>
            </w:r>
          </w:p>
        </w:tc>
        <w:tc>
          <w:tcPr>
            <w:tcW w:w="701" w:type="pct"/>
            <w:shd w:val="clear" w:color="auto" w:fill="auto"/>
          </w:tcPr>
          <w:p w:rsidR="00755331" w:rsidRDefault="00755331" w:rsidP="00AC4A1A">
            <w:pPr>
              <w:pStyle w:val="Tabletext"/>
            </w:pPr>
            <w:r>
              <w:t>$350</w:t>
            </w:r>
          </w:p>
        </w:tc>
      </w:tr>
      <w:tr w:rsidR="00E86A68" w:rsidTr="00AB2314">
        <w:tblPrEx>
          <w:tblBorders>
            <w:bottom w:val="single" w:sz="4" w:space="0" w:color="646464"/>
            <w:insideH w:val="single" w:sz="4" w:space="0" w:color="646464"/>
          </w:tblBorders>
        </w:tblPrEx>
        <w:trPr>
          <w:gridBefore w:val="1"/>
          <w:wBefore w:w="132" w:type="pct"/>
          <w:cantSplit/>
        </w:trPr>
        <w:tc>
          <w:tcPr>
            <w:tcW w:w="265" w:type="pct"/>
            <w:shd w:val="clear" w:color="auto" w:fill="auto"/>
          </w:tcPr>
          <w:p w:rsidR="00755331" w:rsidRDefault="00755331" w:rsidP="00AC4A1A">
            <w:pPr>
              <w:pStyle w:val="Tabletext"/>
            </w:pPr>
            <w:r>
              <w:t>27</w:t>
            </w:r>
          </w:p>
        </w:tc>
        <w:tc>
          <w:tcPr>
            <w:tcW w:w="2776" w:type="pct"/>
            <w:shd w:val="clear" w:color="auto" w:fill="auto"/>
          </w:tcPr>
          <w:p w:rsidR="00755331" w:rsidRDefault="00755331" w:rsidP="00AC4A1A">
            <w:pPr>
              <w:pStyle w:val="Tabletext"/>
            </w:pPr>
            <w:r>
              <w:t>Timeshift application for approval of an active constituent that is not a previously endorsed active constituent or registration of a chemical product containing an active constituent that is not an active constituent contained in any other registered chemical product</w:t>
            </w:r>
          </w:p>
        </w:tc>
        <w:tc>
          <w:tcPr>
            <w:tcW w:w="1126" w:type="pct"/>
            <w:gridSpan w:val="3"/>
            <w:shd w:val="clear" w:color="auto" w:fill="auto"/>
          </w:tcPr>
          <w:p w:rsidR="00755331" w:rsidRDefault="00755331" w:rsidP="00AC4A1A">
            <w:pPr>
              <w:pStyle w:val="Tabletext"/>
            </w:pPr>
            <w:r>
              <w:t>Modular assessment period and fee</w:t>
            </w:r>
          </w:p>
        </w:tc>
        <w:tc>
          <w:tcPr>
            <w:tcW w:w="701" w:type="pct"/>
            <w:shd w:val="clear" w:color="auto" w:fill="auto"/>
          </w:tcPr>
          <w:p w:rsidR="00755331" w:rsidRDefault="00755331" w:rsidP="00AC4A1A">
            <w:pPr>
              <w:pStyle w:val="Tabletext"/>
            </w:pPr>
            <w:r>
              <w:t>$1,400</w:t>
            </w:r>
          </w:p>
        </w:tc>
      </w:tr>
      <w:tr w:rsidR="00E86A68" w:rsidTr="00AB2314">
        <w:tblPrEx>
          <w:tblBorders>
            <w:bottom w:val="single" w:sz="4" w:space="0" w:color="646464"/>
            <w:insideH w:val="single" w:sz="4" w:space="0" w:color="646464"/>
          </w:tblBorders>
        </w:tblPrEx>
        <w:trPr>
          <w:gridBefore w:val="1"/>
          <w:wBefore w:w="132" w:type="pct"/>
          <w:cantSplit/>
        </w:trPr>
        <w:tc>
          <w:tcPr>
            <w:tcW w:w="4868" w:type="pct"/>
            <w:gridSpan w:val="6"/>
            <w:tcBorders>
              <w:bottom w:val="single" w:sz="4" w:space="0" w:color="646464"/>
            </w:tcBorders>
            <w:shd w:val="clear" w:color="auto" w:fill="auto"/>
          </w:tcPr>
          <w:p w:rsidR="00AC4A1A" w:rsidRDefault="00AC4A1A" w:rsidP="00297DB7">
            <w:pPr>
              <w:pStyle w:val="Source"/>
            </w:pPr>
            <w:r>
              <w:t xml:space="preserve">Source: </w:t>
            </w:r>
            <w:hyperlink r:id="rId112" w:history="1">
              <w:r w:rsidR="00755331" w:rsidRPr="00BA656D">
                <w:rPr>
                  <w:rStyle w:val="Hyperlink"/>
                </w:rPr>
                <w:t>https://apvma.gov.au/node/1088</w:t>
              </w:r>
            </w:hyperlink>
            <w:r w:rsidR="00297DB7">
              <w:t xml:space="preserve"> </w:t>
            </w:r>
            <w:r w:rsidR="00755331">
              <w:t xml:space="preserve">accessed </w:t>
            </w:r>
            <w:r w:rsidR="00457B6A">
              <w:t xml:space="preserve">on </w:t>
            </w:r>
            <w:r w:rsidR="00767881">
              <w:t xml:space="preserve">28 </w:t>
            </w:r>
            <w:r w:rsidR="00755331">
              <w:t xml:space="preserve">May </w:t>
            </w:r>
            <w:r w:rsidR="00767881">
              <w:t>2017</w:t>
            </w:r>
          </w:p>
        </w:tc>
      </w:tr>
      <w:tr w:rsidR="00E86A68" w:rsidTr="00AB2314">
        <w:tblPrEx>
          <w:tblBorders>
            <w:bottom w:val="single" w:sz="4" w:space="0" w:color="646464"/>
            <w:insideH w:val="single" w:sz="4" w:space="0" w:color="646464"/>
          </w:tblBorders>
        </w:tblPrEx>
        <w:trPr>
          <w:gridBefore w:val="1"/>
          <w:wBefore w:w="132" w:type="pct"/>
          <w:cantSplit/>
          <w:trHeight w:hRule="exact" w:val="120"/>
        </w:trPr>
        <w:tc>
          <w:tcPr>
            <w:tcW w:w="4868" w:type="pct"/>
            <w:gridSpan w:val="6"/>
            <w:tcBorders>
              <w:top w:val="single" w:sz="4" w:space="0" w:color="646464"/>
              <w:bottom w:val="nil"/>
            </w:tcBorders>
            <w:shd w:val="clear" w:color="auto" w:fill="auto"/>
          </w:tcPr>
          <w:p w:rsidR="00AC4A1A" w:rsidRDefault="00AC4A1A" w:rsidP="00AC4A1A">
            <w:pPr>
              <w:pStyle w:val="spacertbl"/>
            </w:pPr>
          </w:p>
        </w:tc>
      </w:tr>
    </w:tbl>
    <w:p w:rsidR="00D07597" w:rsidRDefault="00D07597" w:rsidP="00FA0091">
      <w:pPr>
        <w:pStyle w:val="BodyText"/>
      </w:pPr>
    </w:p>
    <w:p w:rsidR="00263455" w:rsidRDefault="00263455" w:rsidP="00AB2314">
      <w:pPr>
        <w:pStyle w:val="Caption"/>
        <w:spacing w:before="160"/>
        <w:ind w:left="-2268" w:firstLine="0"/>
      </w:pPr>
      <w:bookmarkStart w:id="197" w:name="_Toc497132826"/>
      <w:r>
        <w:rPr>
          <w:rStyle w:val="CaptionLabel"/>
        </w:rPr>
        <w:t>Table </w:t>
      </w:r>
      <w:r w:rsidR="00C4180B">
        <w:rPr>
          <w:rStyle w:val="CaptionLabel"/>
        </w:rPr>
        <w:fldChar w:fldCharType="begin"/>
      </w:r>
      <w:r w:rsidR="00C4180B">
        <w:rPr>
          <w:rStyle w:val="CaptionLabel"/>
        </w:rPr>
        <w:instrText xml:space="preserve"> STYLEREF 7 \s </w:instrText>
      </w:r>
      <w:r w:rsidR="00C4180B">
        <w:rPr>
          <w:rStyle w:val="CaptionLabel"/>
        </w:rPr>
        <w:fldChar w:fldCharType="separate"/>
      </w:r>
      <w:r w:rsidR="0087688C">
        <w:rPr>
          <w:rStyle w:val="CaptionLabel"/>
          <w:noProof/>
        </w:rPr>
        <w:t>B</w:t>
      </w:r>
      <w:r w:rsidR="00C4180B">
        <w:rPr>
          <w:rStyle w:val="CaptionLabel"/>
        </w:rPr>
        <w:fldChar w:fldCharType="end"/>
      </w:r>
      <w:r w:rsidR="00C4180B">
        <w:rPr>
          <w:rStyle w:val="CaptionLabel"/>
        </w:rPr>
        <w:t>.</w:t>
      </w:r>
      <w:r w:rsidR="00C4180B">
        <w:rPr>
          <w:rStyle w:val="CaptionLabel"/>
        </w:rPr>
        <w:fldChar w:fldCharType="begin"/>
      </w:r>
      <w:r w:rsidR="00C4180B">
        <w:rPr>
          <w:rStyle w:val="CaptionLabel"/>
        </w:rPr>
        <w:instrText xml:space="preserve"> SEQ Table_AP \* ARABIC \s 7 </w:instrText>
      </w:r>
      <w:r w:rsidR="00C4180B">
        <w:rPr>
          <w:rStyle w:val="CaptionLabel"/>
        </w:rPr>
        <w:fldChar w:fldCharType="separate"/>
      </w:r>
      <w:r w:rsidR="001977DE">
        <w:rPr>
          <w:rStyle w:val="CaptionLabel"/>
          <w:noProof/>
        </w:rPr>
        <w:t>2</w:t>
      </w:r>
      <w:r w:rsidR="00C4180B">
        <w:rPr>
          <w:rStyle w:val="CaptionLabel"/>
        </w:rPr>
        <w:fldChar w:fldCharType="end"/>
      </w:r>
      <w:r>
        <w:tab/>
      </w:r>
      <w:r w:rsidRPr="00263455">
        <w:t>Variation</w:t>
      </w:r>
      <w:r w:rsidR="00A95734">
        <w:t>s</w:t>
      </w:r>
      <w:r w:rsidRPr="00263455">
        <w:t xml:space="preserve"> made under section 26B or 27 of the Agvet Code</w:t>
      </w:r>
      <w:bookmarkEnd w:id="197"/>
    </w:p>
    <w:tbl>
      <w:tblPr>
        <w:tblW w:w="10724" w:type="dxa"/>
        <w:tblInd w:w="-2552" w:type="dxa"/>
        <w:tblLayout w:type="fixed"/>
        <w:tblCellMar>
          <w:left w:w="0" w:type="dxa"/>
          <w:bottom w:w="40" w:type="dxa"/>
          <w:right w:w="0" w:type="dxa"/>
        </w:tblCellMar>
        <w:tblLook w:val="0000" w:firstRow="0" w:lastRow="0" w:firstColumn="0" w:lastColumn="0" w:noHBand="0" w:noVBand="0"/>
        <w:tblDescription w:val="table_Std"/>
      </w:tblPr>
      <w:tblGrid>
        <w:gridCol w:w="425"/>
        <w:gridCol w:w="427"/>
        <w:gridCol w:w="5102"/>
        <w:gridCol w:w="1135"/>
        <w:gridCol w:w="997"/>
        <w:gridCol w:w="1014"/>
        <w:gridCol w:w="1624"/>
      </w:tblGrid>
      <w:tr w:rsidR="00E86A68" w:rsidTr="005021FC">
        <w:trPr>
          <w:cantSplit/>
          <w:tblHeader/>
        </w:trPr>
        <w:tc>
          <w:tcPr>
            <w:tcW w:w="397" w:type="pct"/>
            <w:gridSpan w:val="2"/>
            <w:shd w:val="clear" w:color="auto" w:fill="9D57A6"/>
            <w:tcMar>
              <w:left w:w="454" w:type="dxa"/>
              <w:bottom w:w="0" w:type="dxa"/>
            </w:tcMar>
          </w:tcPr>
          <w:p w:rsidR="00263455" w:rsidRDefault="00263455" w:rsidP="00AB2314">
            <w:pPr>
              <w:pStyle w:val="Tablecolumnheadings"/>
              <w:ind w:left="-170"/>
            </w:pPr>
            <w:r>
              <w:t>Item</w:t>
            </w:r>
          </w:p>
        </w:tc>
        <w:tc>
          <w:tcPr>
            <w:tcW w:w="2379" w:type="pct"/>
            <w:shd w:val="clear" w:color="auto" w:fill="9D57A6"/>
            <w:tcMar>
              <w:bottom w:w="0" w:type="dxa"/>
            </w:tcMar>
          </w:tcPr>
          <w:p w:rsidR="00263455" w:rsidRDefault="00263455" w:rsidP="00263455">
            <w:pPr>
              <w:pStyle w:val="Tablecolumnheadings"/>
            </w:pPr>
            <w:r>
              <w:t>Description of application</w:t>
            </w:r>
          </w:p>
        </w:tc>
        <w:tc>
          <w:tcPr>
            <w:tcW w:w="529" w:type="pct"/>
            <w:shd w:val="clear" w:color="auto" w:fill="9D57A6"/>
            <w:tcMar>
              <w:bottom w:w="0" w:type="dxa"/>
            </w:tcMar>
          </w:tcPr>
          <w:p w:rsidR="00263455" w:rsidRDefault="00263455" w:rsidP="00263455">
            <w:pPr>
              <w:pStyle w:val="Tablecolumnheadings"/>
            </w:pPr>
            <w:r>
              <w:t>Assessment period</w:t>
            </w:r>
          </w:p>
        </w:tc>
        <w:tc>
          <w:tcPr>
            <w:tcW w:w="465" w:type="pct"/>
            <w:shd w:val="clear" w:color="auto" w:fill="9D57A6"/>
            <w:tcMar>
              <w:bottom w:w="0" w:type="dxa"/>
            </w:tcMar>
          </w:tcPr>
          <w:p w:rsidR="00263455" w:rsidRDefault="00263455" w:rsidP="00263455">
            <w:pPr>
              <w:pStyle w:val="Tablecolumnheadings"/>
            </w:pPr>
            <w:r>
              <w:t xml:space="preserve">Fee </w:t>
            </w:r>
            <w:r>
              <w:br/>
              <w:t>July 2014</w:t>
            </w:r>
          </w:p>
        </w:tc>
        <w:tc>
          <w:tcPr>
            <w:tcW w:w="473" w:type="pct"/>
            <w:shd w:val="clear" w:color="auto" w:fill="9D57A6"/>
            <w:tcMar>
              <w:bottom w:w="0" w:type="dxa"/>
            </w:tcMar>
          </w:tcPr>
          <w:p w:rsidR="00263455" w:rsidRDefault="00263455" w:rsidP="00263455">
            <w:pPr>
              <w:pStyle w:val="Tablecolumnheadings"/>
            </w:pPr>
            <w:r>
              <w:t>Fee</w:t>
            </w:r>
            <w:r>
              <w:br/>
              <w:t>July 2015</w:t>
            </w:r>
          </w:p>
        </w:tc>
        <w:tc>
          <w:tcPr>
            <w:tcW w:w="757" w:type="pct"/>
            <w:shd w:val="clear" w:color="auto" w:fill="9D57A6"/>
            <w:tcMar>
              <w:bottom w:w="0" w:type="dxa"/>
            </w:tcMar>
          </w:tcPr>
          <w:p w:rsidR="00263455" w:rsidRDefault="00263455" w:rsidP="00263455">
            <w:pPr>
              <w:pStyle w:val="Tablecolumnheadings"/>
            </w:pPr>
            <w:r>
              <w:t>Max pre-application assistance rebate</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tcBorders>
              <w:top w:val="nil"/>
            </w:tcBorders>
            <w:shd w:val="clear" w:color="auto" w:fill="auto"/>
          </w:tcPr>
          <w:p w:rsidR="00263455" w:rsidRDefault="00263455" w:rsidP="00263455">
            <w:pPr>
              <w:pStyle w:val="Tabletext"/>
            </w:pPr>
            <w:r>
              <w:t>11</w:t>
            </w:r>
          </w:p>
        </w:tc>
        <w:tc>
          <w:tcPr>
            <w:tcW w:w="2379" w:type="pct"/>
            <w:tcBorders>
              <w:top w:val="nil"/>
            </w:tcBorders>
            <w:shd w:val="clear" w:color="auto" w:fill="auto"/>
          </w:tcPr>
          <w:p w:rsidR="00263455" w:rsidRDefault="00263455" w:rsidP="00263455">
            <w:pPr>
              <w:pStyle w:val="Tabletext"/>
            </w:pPr>
            <w:r>
              <w:t>Vary particulars or conditions of registration or label approval where a full assessment of the chemical product is required</w:t>
            </w:r>
          </w:p>
        </w:tc>
        <w:tc>
          <w:tcPr>
            <w:tcW w:w="529" w:type="pct"/>
            <w:tcBorders>
              <w:top w:val="nil"/>
            </w:tcBorders>
            <w:shd w:val="clear" w:color="auto" w:fill="auto"/>
          </w:tcPr>
          <w:p w:rsidR="00263455" w:rsidRDefault="00263455" w:rsidP="00263455">
            <w:pPr>
              <w:pStyle w:val="Tabletext"/>
            </w:pPr>
            <w:r>
              <w:t>10 months</w:t>
            </w:r>
          </w:p>
        </w:tc>
        <w:tc>
          <w:tcPr>
            <w:tcW w:w="465" w:type="pct"/>
            <w:tcBorders>
              <w:top w:val="nil"/>
            </w:tcBorders>
            <w:shd w:val="clear" w:color="auto" w:fill="auto"/>
          </w:tcPr>
          <w:p w:rsidR="00263455" w:rsidRDefault="00263455" w:rsidP="00263455">
            <w:pPr>
              <w:pStyle w:val="Tabletext"/>
            </w:pPr>
            <w:r>
              <w:t>$25,035</w:t>
            </w:r>
          </w:p>
        </w:tc>
        <w:tc>
          <w:tcPr>
            <w:tcW w:w="473" w:type="pct"/>
            <w:tcBorders>
              <w:top w:val="nil"/>
            </w:tcBorders>
            <w:shd w:val="clear" w:color="auto" w:fill="auto"/>
          </w:tcPr>
          <w:p w:rsidR="00263455" w:rsidRDefault="00263455" w:rsidP="00263455">
            <w:pPr>
              <w:pStyle w:val="Tabletext"/>
            </w:pPr>
            <w:r>
              <w:t>$28,610</w:t>
            </w:r>
          </w:p>
        </w:tc>
        <w:tc>
          <w:tcPr>
            <w:tcW w:w="757" w:type="pct"/>
            <w:tcBorders>
              <w:top w:val="nil"/>
            </w:tcBorders>
            <w:shd w:val="clear" w:color="auto" w:fill="auto"/>
          </w:tcPr>
          <w:p w:rsidR="00263455" w:rsidRDefault="00263455" w:rsidP="00263455">
            <w:pPr>
              <w:pStyle w:val="Tabletext"/>
            </w:pPr>
            <w:r>
              <w:t>$1,050</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shd w:val="clear" w:color="auto" w:fill="auto"/>
          </w:tcPr>
          <w:p w:rsidR="00263455" w:rsidRDefault="00263455" w:rsidP="00263455">
            <w:pPr>
              <w:pStyle w:val="Tabletext"/>
            </w:pPr>
            <w:r>
              <w:t>12</w:t>
            </w:r>
          </w:p>
        </w:tc>
        <w:tc>
          <w:tcPr>
            <w:tcW w:w="2379" w:type="pct"/>
            <w:shd w:val="clear" w:color="auto" w:fill="auto"/>
          </w:tcPr>
          <w:p w:rsidR="00263455" w:rsidRDefault="00263455" w:rsidP="00263455">
            <w:pPr>
              <w:pStyle w:val="Tabletext"/>
            </w:pPr>
            <w:r>
              <w:t>Vary particulars or conditions of registration or label approval if the variation is to allow a minor change and no data of a technical nature is required</w:t>
            </w:r>
          </w:p>
        </w:tc>
        <w:tc>
          <w:tcPr>
            <w:tcW w:w="529" w:type="pct"/>
            <w:shd w:val="clear" w:color="auto" w:fill="auto"/>
          </w:tcPr>
          <w:p w:rsidR="00263455" w:rsidRDefault="00263455" w:rsidP="00263455">
            <w:pPr>
              <w:pStyle w:val="Tabletext"/>
            </w:pPr>
            <w:r>
              <w:t>3 months</w:t>
            </w:r>
          </w:p>
        </w:tc>
        <w:tc>
          <w:tcPr>
            <w:tcW w:w="465" w:type="pct"/>
            <w:shd w:val="clear" w:color="auto" w:fill="auto"/>
          </w:tcPr>
          <w:p w:rsidR="00263455" w:rsidRDefault="00263455" w:rsidP="00263455">
            <w:pPr>
              <w:pStyle w:val="Tabletext"/>
            </w:pPr>
            <w:r>
              <w:t>$1,020</w:t>
            </w:r>
          </w:p>
        </w:tc>
        <w:tc>
          <w:tcPr>
            <w:tcW w:w="473" w:type="pct"/>
            <w:shd w:val="clear" w:color="auto" w:fill="auto"/>
          </w:tcPr>
          <w:p w:rsidR="00263455" w:rsidRDefault="00263455" w:rsidP="00263455">
            <w:pPr>
              <w:pStyle w:val="Tabletext"/>
            </w:pPr>
            <w:r>
              <w:t>$1,170</w:t>
            </w:r>
          </w:p>
        </w:tc>
        <w:tc>
          <w:tcPr>
            <w:tcW w:w="757" w:type="pct"/>
            <w:shd w:val="clear" w:color="auto" w:fill="auto"/>
          </w:tcPr>
          <w:p w:rsidR="00263455" w:rsidRDefault="00263455" w:rsidP="00263455">
            <w:pPr>
              <w:pStyle w:val="Tabletext"/>
            </w:pPr>
            <w:r>
              <w:t>$350</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shd w:val="clear" w:color="auto" w:fill="auto"/>
          </w:tcPr>
          <w:p w:rsidR="00263455" w:rsidRDefault="00263455" w:rsidP="00263455">
            <w:pPr>
              <w:pStyle w:val="Tabletext"/>
            </w:pPr>
            <w:r>
              <w:t>13</w:t>
            </w:r>
          </w:p>
        </w:tc>
        <w:tc>
          <w:tcPr>
            <w:tcW w:w="2379" w:type="pct"/>
            <w:shd w:val="clear" w:color="auto" w:fill="auto"/>
          </w:tcPr>
          <w:p w:rsidR="00263455" w:rsidRDefault="00263455" w:rsidP="00263455">
            <w:pPr>
              <w:pStyle w:val="Tabletext"/>
            </w:pPr>
            <w:r>
              <w:t>Vary particulars or conditions of registration or label approval if the variation is to allow a minor change and no data of a technical nature is required and the variation is a change required by the APVMA</w:t>
            </w:r>
          </w:p>
        </w:tc>
        <w:tc>
          <w:tcPr>
            <w:tcW w:w="529" w:type="pct"/>
            <w:shd w:val="clear" w:color="auto" w:fill="auto"/>
          </w:tcPr>
          <w:p w:rsidR="00263455" w:rsidRDefault="00263455" w:rsidP="00263455">
            <w:pPr>
              <w:pStyle w:val="Tabletext"/>
            </w:pPr>
            <w:r>
              <w:t>3 months</w:t>
            </w:r>
          </w:p>
        </w:tc>
        <w:tc>
          <w:tcPr>
            <w:tcW w:w="465" w:type="pct"/>
            <w:shd w:val="clear" w:color="auto" w:fill="auto"/>
          </w:tcPr>
          <w:p w:rsidR="00263455" w:rsidRDefault="00263455" w:rsidP="00263455">
            <w:pPr>
              <w:pStyle w:val="Tabletext"/>
            </w:pPr>
            <w:r>
              <w:t>Nil</w:t>
            </w:r>
          </w:p>
        </w:tc>
        <w:tc>
          <w:tcPr>
            <w:tcW w:w="473" w:type="pct"/>
            <w:shd w:val="clear" w:color="auto" w:fill="auto"/>
          </w:tcPr>
          <w:p w:rsidR="00263455" w:rsidRDefault="00263455" w:rsidP="00263455">
            <w:pPr>
              <w:pStyle w:val="Tabletext"/>
            </w:pPr>
            <w:r>
              <w:t>Nil</w:t>
            </w:r>
          </w:p>
        </w:tc>
        <w:tc>
          <w:tcPr>
            <w:tcW w:w="757" w:type="pct"/>
            <w:shd w:val="clear" w:color="auto" w:fill="auto"/>
          </w:tcPr>
          <w:p w:rsidR="00263455" w:rsidRDefault="00263455" w:rsidP="00263455">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shd w:val="clear" w:color="auto" w:fill="auto"/>
          </w:tcPr>
          <w:p w:rsidR="00263455" w:rsidRDefault="00263455" w:rsidP="00263455">
            <w:pPr>
              <w:pStyle w:val="Tabletext"/>
            </w:pPr>
            <w:r>
              <w:t>13A</w:t>
            </w:r>
          </w:p>
        </w:tc>
        <w:tc>
          <w:tcPr>
            <w:tcW w:w="2379" w:type="pct"/>
            <w:shd w:val="clear" w:color="auto" w:fill="auto"/>
          </w:tcPr>
          <w:p w:rsidR="00263455" w:rsidRDefault="00263455" w:rsidP="00263455">
            <w:pPr>
              <w:pStyle w:val="Tabletext"/>
            </w:pPr>
            <w:r>
              <w:t>Vary particulars or conditions of registration or label approval if the variation is to allow a minor change and no data of a technical nature is required and the variation is a change required by the APVMA</w:t>
            </w:r>
          </w:p>
        </w:tc>
        <w:tc>
          <w:tcPr>
            <w:tcW w:w="529" w:type="pct"/>
            <w:shd w:val="clear" w:color="auto" w:fill="auto"/>
          </w:tcPr>
          <w:p w:rsidR="00263455" w:rsidRDefault="00263455" w:rsidP="00263455">
            <w:pPr>
              <w:pStyle w:val="Tabletext"/>
            </w:pPr>
            <w:r>
              <w:t>3 months</w:t>
            </w:r>
          </w:p>
        </w:tc>
        <w:tc>
          <w:tcPr>
            <w:tcW w:w="465" w:type="pct"/>
            <w:shd w:val="clear" w:color="auto" w:fill="auto"/>
          </w:tcPr>
          <w:p w:rsidR="00263455" w:rsidRDefault="00263455" w:rsidP="00263455">
            <w:pPr>
              <w:pStyle w:val="Tabletext"/>
            </w:pPr>
            <w:r>
              <w:t>Nil</w:t>
            </w:r>
          </w:p>
        </w:tc>
        <w:tc>
          <w:tcPr>
            <w:tcW w:w="473" w:type="pct"/>
            <w:shd w:val="clear" w:color="auto" w:fill="auto"/>
          </w:tcPr>
          <w:p w:rsidR="00263455" w:rsidRDefault="00263455" w:rsidP="00263455">
            <w:pPr>
              <w:pStyle w:val="Tabletext"/>
            </w:pPr>
            <w:r>
              <w:t>Nil</w:t>
            </w:r>
          </w:p>
        </w:tc>
        <w:tc>
          <w:tcPr>
            <w:tcW w:w="757" w:type="pct"/>
            <w:shd w:val="clear" w:color="auto" w:fill="auto"/>
          </w:tcPr>
          <w:p w:rsidR="00263455" w:rsidRDefault="00263455" w:rsidP="00263455">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shd w:val="clear" w:color="auto" w:fill="auto"/>
          </w:tcPr>
          <w:p w:rsidR="00263455" w:rsidRDefault="00263455" w:rsidP="00263455">
            <w:pPr>
              <w:pStyle w:val="Tabletext"/>
            </w:pPr>
            <w:r>
              <w:t>14</w:t>
            </w:r>
          </w:p>
        </w:tc>
        <w:tc>
          <w:tcPr>
            <w:tcW w:w="2379" w:type="pct"/>
            <w:shd w:val="clear" w:color="auto" w:fill="auto"/>
          </w:tcPr>
          <w:p w:rsidR="00263455" w:rsidRDefault="00263455" w:rsidP="00263455">
            <w:pPr>
              <w:pStyle w:val="Tabletext"/>
            </w:pPr>
            <w:r>
              <w:t>Vary particulars or conditions of registration or label approval if the application is not of a kind described in any of items 11 to 13A</w:t>
            </w:r>
          </w:p>
        </w:tc>
        <w:tc>
          <w:tcPr>
            <w:tcW w:w="1467" w:type="pct"/>
            <w:gridSpan w:val="3"/>
            <w:shd w:val="clear" w:color="auto" w:fill="auto"/>
          </w:tcPr>
          <w:p w:rsidR="00263455" w:rsidRDefault="00263455" w:rsidP="00263455">
            <w:pPr>
              <w:pStyle w:val="Tabletext"/>
            </w:pPr>
            <w:r>
              <w:t>Modular assessment period and fee</w:t>
            </w:r>
          </w:p>
        </w:tc>
        <w:tc>
          <w:tcPr>
            <w:tcW w:w="757" w:type="pct"/>
            <w:shd w:val="clear" w:color="auto" w:fill="auto"/>
          </w:tcPr>
          <w:p w:rsidR="00263455" w:rsidRDefault="00263455" w:rsidP="00263455">
            <w:pPr>
              <w:pStyle w:val="Tabletext"/>
            </w:pPr>
            <w:r>
              <w:t>$350</w:t>
            </w:r>
          </w:p>
        </w:tc>
      </w:tr>
      <w:tr w:rsidR="00E86A68" w:rsidTr="005021FC">
        <w:tblPrEx>
          <w:tblBorders>
            <w:bottom w:val="single" w:sz="4" w:space="0" w:color="646464"/>
            <w:insideH w:val="single" w:sz="4" w:space="0" w:color="646464"/>
          </w:tblBorders>
        </w:tblPrEx>
        <w:trPr>
          <w:gridBefore w:val="1"/>
          <w:wBefore w:w="198" w:type="pct"/>
          <w:cantSplit/>
        </w:trPr>
        <w:tc>
          <w:tcPr>
            <w:tcW w:w="199" w:type="pct"/>
            <w:shd w:val="clear" w:color="auto" w:fill="auto"/>
          </w:tcPr>
          <w:p w:rsidR="00263455" w:rsidRDefault="00263455" w:rsidP="00263455">
            <w:pPr>
              <w:pStyle w:val="Tabletext"/>
            </w:pPr>
            <w:r>
              <w:t>18</w:t>
            </w:r>
          </w:p>
        </w:tc>
        <w:tc>
          <w:tcPr>
            <w:tcW w:w="2379" w:type="pct"/>
            <w:shd w:val="clear" w:color="auto" w:fill="auto"/>
          </w:tcPr>
          <w:p w:rsidR="00263455" w:rsidRDefault="00263455" w:rsidP="00263455">
            <w:pPr>
              <w:pStyle w:val="Tabletext"/>
            </w:pPr>
            <w:r>
              <w:t>Vary particulars or conditions of an approved active constituent</w:t>
            </w:r>
          </w:p>
        </w:tc>
        <w:tc>
          <w:tcPr>
            <w:tcW w:w="529" w:type="pct"/>
            <w:shd w:val="clear" w:color="auto" w:fill="auto"/>
          </w:tcPr>
          <w:p w:rsidR="00263455" w:rsidRDefault="00263455" w:rsidP="00263455">
            <w:pPr>
              <w:pStyle w:val="Tabletext"/>
            </w:pPr>
            <w:r>
              <w:t>7 months</w:t>
            </w:r>
          </w:p>
        </w:tc>
        <w:tc>
          <w:tcPr>
            <w:tcW w:w="465" w:type="pct"/>
            <w:shd w:val="clear" w:color="auto" w:fill="auto"/>
          </w:tcPr>
          <w:p w:rsidR="00263455" w:rsidRDefault="00263455" w:rsidP="00263455">
            <w:pPr>
              <w:pStyle w:val="Tabletext"/>
            </w:pPr>
            <w:r>
              <w:t>$2,155</w:t>
            </w:r>
          </w:p>
        </w:tc>
        <w:tc>
          <w:tcPr>
            <w:tcW w:w="473" w:type="pct"/>
            <w:shd w:val="clear" w:color="auto" w:fill="auto"/>
          </w:tcPr>
          <w:p w:rsidR="00263455" w:rsidRDefault="00263455" w:rsidP="00263455">
            <w:pPr>
              <w:pStyle w:val="Tabletext"/>
            </w:pPr>
            <w:r>
              <w:t>$2,465</w:t>
            </w:r>
          </w:p>
        </w:tc>
        <w:tc>
          <w:tcPr>
            <w:tcW w:w="757" w:type="pct"/>
            <w:shd w:val="clear" w:color="auto" w:fill="auto"/>
          </w:tcPr>
          <w:p w:rsidR="00263455" w:rsidRDefault="00263455" w:rsidP="00263455">
            <w:pPr>
              <w:pStyle w:val="Tabletext"/>
            </w:pPr>
            <w:r>
              <w:t>$700</w:t>
            </w:r>
          </w:p>
        </w:tc>
      </w:tr>
      <w:tr w:rsidR="00E86A68" w:rsidTr="005021FC">
        <w:tblPrEx>
          <w:tblBorders>
            <w:bottom w:val="single" w:sz="4" w:space="0" w:color="646464"/>
            <w:insideH w:val="single" w:sz="4" w:space="0" w:color="646464"/>
          </w:tblBorders>
        </w:tblPrEx>
        <w:trPr>
          <w:gridBefore w:val="1"/>
          <w:wBefore w:w="198" w:type="pct"/>
          <w:cantSplit/>
        </w:trPr>
        <w:tc>
          <w:tcPr>
            <w:tcW w:w="4802" w:type="pct"/>
            <w:gridSpan w:val="6"/>
            <w:tcBorders>
              <w:bottom w:val="single" w:sz="4" w:space="0" w:color="646464"/>
            </w:tcBorders>
            <w:shd w:val="clear" w:color="auto" w:fill="auto"/>
          </w:tcPr>
          <w:p w:rsidR="00263455" w:rsidRDefault="00263455" w:rsidP="00297DB7">
            <w:pPr>
              <w:pStyle w:val="Source"/>
            </w:pPr>
            <w:r>
              <w:t xml:space="preserve">Source: </w:t>
            </w:r>
            <w:hyperlink r:id="rId113" w:history="1">
              <w:r w:rsidRPr="00BA656D">
                <w:rPr>
                  <w:rStyle w:val="Hyperlink"/>
                </w:rPr>
                <w:t>https://apvma.gov.au/node/1088</w:t>
              </w:r>
            </w:hyperlink>
            <w:r w:rsidR="00297DB7">
              <w:t xml:space="preserve"> </w:t>
            </w:r>
            <w:r>
              <w:t>accessed</w:t>
            </w:r>
            <w:r w:rsidR="00457B6A">
              <w:t xml:space="preserve"> on</w:t>
            </w:r>
            <w:r>
              <w:t xml:space="preserve"> </w:t>
            </w:r>
            <w:r w:rsidR="00767881">
              <w:t xml:space="preserve">28 </w:t>
            </w:r>
            <w:r>
              <w:t xml:space="preserve">May </w:t>
            </w:r>
            <w:r w:rsidR="00767881">
              <w:t>2017</w:t>
            </w:r>
          </w:p>
        </w:tc>
      </w:tr>
      <w:tr w:rsidR="00E86A68" w:rsidTr="005021FC">
        <w:tblPrEx>
          <w:tblBorders>
            <w:bottom w:val="single" w:sz="4" w:space="0" w:color="646464"/>
            <w:insideH w:val="single" w:sz="4" w:space="0" w:color="646464"/>
          </w:tblBorders>
        </w:tblPrEx>
        <w:trPr>
          <w:gridBefore w:val="1"/>
          <w:wBefore w:w="198" w:type="pct"/>
          <w:cantSplit/>
          <w:trHeight w:hRule="exact" w:val="120"/>
        </w:trPr>
        <w:tc>
          <w:tcPr>
            <w:tcW w:w="4802" w:type="pct"/>
            <w:gridSpan w:val="6"/>
            <w:tcBorders>
              <w:top w:val="single" w:sz="4" w:space="0" w:color="646464"/>
              <w:bottom w:val="nil"/>
            </w:tcBorders>
            <w:shd w:val="clear" w:color="auto" w:fill="auto"/>
          </w:tcPr>
          <w:p w:rsidR="00263455" w:rsidRDefault="00263455" w:rsidP="00263455">
            <w:pPr>
              <w:pStyle w:val="spacertbl"/>
            </w:pPr>
          </w:p>
        </w:tc>
      </w:tr>
    </w:tbl>
    <w:p w:rsidR="00AC4A1A" w:rsidRDefault="00AC4A1A" w:rsidP="00FA0091">
      <w:pPr>
        <w:pStyle w:val="BodyText"/>
      </w:pPr>
    </w:p>
    <w:p w:rsidR="0053647D" w:rsidRDefault="0053647D" w:rsidP="00AB2314">
      <w:pPr>
        <w:pStyle w:val="Caption"/>
        <w:spacing w:before="160"/>
        <w:ind w:left="-993" w:hanging="1134"/>
      </w:pPr>
      <w:bookmarkStart w:id="198" w:name="_Toc497132827"/>
      <w:r>
        <w:rPr>
          <w:rStyle w:val="CaptionLabel"/>
        </w:rPr>
        <w:t>Table </w:t>
      </w:r>
      <w:r w:rsidR="00C4180B">
        <w:rPr>
          <w:rStyle w:val="CaptionLabel"/>
        </w:rPr>
        <w:fldChar w:fldCharType="begin"/>
      </w:r>
      <w:r w:rsidR="00C4180B">
        <w:rPr>
          <w:rStyle w:val="CaptionLabel"/>
        </w:rPr>
        <w:instrText xml:space="preserve"> STYLEREF 7 \s </w:instrText>
      </w:r>
      <w:r w:rsidR="00C4180B">
        <w:rPr>
          <w:rStyle w:val="CaptionLabel"/>
        </w:rPr>
        <w:fldChar w:fldCharType="separate"/>
      </w:r>
      <w:r w:rsidR="0087688C">
        <w:rPr>
          <w:rStyle w:val="CaptionLabel"/>
          <w:noProof/>
        </w:rPr>
        <w:t>B</w:t>
      </w:r>
      <w:r w:rsidR="00C4180B">
        <w:rPr>
          <w:rStyle w:val="CaptionLabel"/>
        </w:rPr>
        <w:fldChar w:fldCharType="end"/>
      </w:r>
      <w:r w:rsidR="00C4180B">
        <w:rPr>
          <w:rStyle w:val="CaptionLabel"/>
        </w:rPr>
        <w:t>.</w:t>
      </w:r>
      <w:r w:rsidR="00C4180B">
        <w:rPr>
          <w:rStyle w:val="CaptionLabel"/>
        </w:rPr>
        <w:fldChar w:fldCharType="begin"/>
      </w:r>
      <w:r w:rsidR="00C4180B">
        <w:rPr>
          <w:rStyle w:val="CaptionLabel"/>
        </w:rPr>
        <w:instrText xml:space="preserve"> SEQ Table_AP \* ARABIC \s 7 </w:instrText>
      </w:r>
      <w:r w:rsidR="00C4180B">
        <w:rPr>
          <w:rStyle w:val="CaptionLabel"/>
        </w:rPr>
        <w:fldChar w:fldCharType="separate"/>
      </w:r>
      <w:r w:rsidR="001977DE">
        <w:rPr>
          <w:rStyle w:val="CaptionLabel"/>
          <w:noProof/>
        </w:rPr>
        <w:t>3</w:t>
      </w:r>
      <w:r w:rsidR="00C4180B">
        <w:rPr>
          <w:rStyle w:val="CaptionLabel"/>
        </w:rPr>
        <w:fldChar w:fldCharType="end"/>
      </w:r>
      <w:r>
        <w:tab/>
        <w:t>m</w:t>
      </w:r>
      <w:r w:rsidRPr="0053647D">
        <w:t>odule levels, types, periods for completion and fees</w:t>
      </w:r>
      <w:bookmarkEnd w:id="198"/>
      <w:r w:rsidRPr="00FC29C8">
        <w:t xml:space="preserve"> </w:t>
      </w:r>
    </w:p>
    <w:tbl>
      <w:tblPr>
        <w:tblW w:w="10722" w:type="dxa"/>
        <w:tblInd w:w="-2552" w:type="dxa"/>
        <w:tblLayout w:type="fixed"/>
        <w:tblCellMar>
          <w:left w:w="0" w:type="dxa"/>
          <w:bottom w:w="40" w:type="dxa"/>
          <w:right w:w="0" w:type="dxa"/>
        </w:tblCellMar>
        <w:tblLook w:val="0000" w:firstRow="0" w:lastRow="0" w:firstColumn="0" w:lastColumn="0" w:noHBand="0" w:noVBand="0"/>
        <w:tblDescription w:val="table_Std"/>
      </w:tblPr>
      <w:tblGrid>
        <w:gridCol w:w="424"/>
        <w:gridCol w:w="1278"/>
        <w:gridCol w:w="5245"/>
        <w:gridCol w:w="1557"/>
        <w:gridCol w:w="1137"/>
        <w:gridCol w:w="1081"/>
      </w:tblGrid>
      <w:tr w:rsidR="00E86A68" w:rsidTr="005021FC">
        <w:trPr>
          <w:cantSplit/>
          <w:tblHeader/>
        </w:trPr>
        <w:tc>
          <w:tcPr>
            <w:tcW w:w="793" w:type="pct"/>
            <w:gridSpan w:val="2"/>
            <w:shd w:val="clear" w:color="auto" w:fill="9D57A6"/>
            <w:tcMar>
              <w:left w:w="454" w:type="dxa"/>
              <w:bottom w:w="0" w:type="dxa"/>
            </w:tcMar>
          </w:tcPr>
          <w:p w:rsidR="0053647D" w:rsidRDefault="0053647D" w:rsidP="0053647D">
            <w:pPr>
              <w:pStyle w:val="Tablecolumnheadings"/>
            </w:pPr>
            <w:r>
              <w:t>Module level</w:t>
            </w:r>
          </w:p>
        </w:tc>
        <w:tc>
          <w:tcPr>
            <w:tcW w:w="2446" w:type="pct"/>
            <w:shd w:val="clear" w:color="auto" w:fill="9D57A6"/>
            <w:tcMar>
              <w:bottom w:w="0" w:type="dxa"/>
            </w:tcMar>
          </w:tcPr>
          <w:p w:rsidR="0053647D" w:rsidRDefault="0053647D" w:rsidP="0053647D">
            <w:pPr>
              <w:pStyle w:val="Tablecolumnheadings"/>
            </w:pPr>
            <w:r>
              <w:t>Module type</w:t>
            </w:r>
          </w:p>
        </w:tc>
        <w:tc>
          <w:tcPr>
            <w:tcW w:w="726" w:type="pct"/>
            <w:shd w:val="clear" w:color="auto" w:fill="9D57A6"/>
            <w:tcMar>
              <w:bottom w:w="0" w:type="dxa"/>
            </w:tcMar>
          </w:tcPr>
          <w:p w:rsidR="0053647D" w:rsidRDefault="0053647D" w:rsidP="005021FC">
            <w:pPr>
              <w:pStyle w:val="Tablecolumnheadings"/>
            </w:pPr>
            <w:r>
              <w:t xml:space="preserve">Period </w:t>
            </w:r>
          </w:p>
        </w:tc>
        <w:tc>
          <w:tcPr>
            <w:tcW w:w="530" w:type="pct"/>
            <w:shd w:val="clear" w:color="auto" w:fill="9D57A6"/>
            <w:tcMar>
              <w:bottom w:w="0" w:type="dxa"/>
            </w:tcMar>
          </w:tcPr>
          <w:p w:rsidR="0053647D" w:rsidRDefault="0053647D" w:rsidP="005021FC">
            <w:pPr>
              <w:pStyle w:val="Tablecolumnheadings"/>
            </w:pPr>
            <w:r>
              <w:t xml:space="preserve">Fee </w:t>
            </w:r>
            <w:r w:rsidR="005021FC">
              <w:t xml:space="preserve"> 7/2014</w:t>
            </w:r>
          </w:p>
        </w:tc>
        <w:tc>
          <w:tcPr>
            <w:tcW w:w="504" w:type="pct"/>
            <w:shd w:val="clear" w:color="auto" w:fill="9D57A6"/>
            <w:tcMar>
              <w:bottom w:w="0" w:type="dxa"/>
            </w:tcMar>
          </w:tcPr>
          <w:p w:rsidR="0053647D" w:rsidRDefault="0053647D" w:rsidP="005021FC">
            <w:pPr>
              <w:pStyle w:val="Tablecolumnheadings"/>
            </w:pPr>
            <w:r>
              <w:t>Fee</w:t>
            </w:r>
            <w:r w:rsidR="005021FC">
              <w:t xml:space="preserve"> </w:t>
            </w:r>
            <w:r>
              <w:t xml:space="preserve"> 1</w:t>
            </w:r>
            <w:r w:rsidR="005021FC">
              <w:t>/</w:t>
            </w:r>
            <w:r>
              <w:t>2015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tcBorders>
              <w:top w:val="nil"/>
            </w:tcBorders>
            <w:shd w:val="clear" w:color="auto" w:fill="auto"/>
          </w:tcPr>
          <w:p w:rsidR="00CB19E2" w:rsidRDefault="00CB19E2" w:rsidP="00CB19E2">
            <w:pPr>
              <w:pStyle w:val="Tabletext"/>
            </w:pPr>
            <w:r>
              <w:t>1</w:t>
            </w:r>
          </w:p>
        </w:tc>
        <w:tc>
          <w:tcPr>
            <w:tcW w:w="2446" w:type="pct"/>
            <w:tcBorders>
              <w:top w:val="nil"/>
            </w:tcBorders>
            <w:shd w:val="clear" w:color="auto" w:fill="auto"/>
          </w:tcPr>
          <w:p w:rsidR="00CB19E2" w:rsidRDefault="00CB19E2" w:rsidP="00CB19E2">
            <w:pPr>
              <w:pStyle w:val="Tabletext"/>
            </w:pPr>
            <w:r>
              <w:t>Preliminary assessment</w:t>
            </w:r>
          </w:p>
        </w:tc>
        <w:tc>
          <w:tcPr>
            <w:tcW w:w="726" w:type="pct"/>
            <w:tcBorders>
              <w:top w:val="nil"/>
            </w:tcBorders>
            <w:shd w:val="clear" w:color="auto" w:fill="auto"/>
          </w:tcPr>
          <w:p w:rsidR="00CB19E2" w:rsidRDefault="00CB19E2" w:rsidP="00CB19E2">
            <w:pPr>
              <w:pStyle w:val="Tabletext"/>
            </w:pPr>
            <w:r>
              <w:t>Not applicable</w:t>
            </w:r>
          </w:p>
        </w:tc>
        <w:tc>
          <w:tcPr>
            <w:tcW w:w="530" w:type="pct"/>
            <w:tcBorders>
              <w:top w:val="nil"/>
            </w:tcBorders>
            <w:shd w:val="clear" w:color="auto" w:fill="auto"/>
          </w:tcPr>
          <w:p w:rsidR="00CB19E2" w:rsidRDefault="00CB19E2" w:rsidP="00CB19E2">
            <w:pPr>
              <w:pStyle w:val="Tabletext"/>
            </w:pPr>
            <w:r>
              <w:t>$620</w:t>
            </w:r>
          </w:p>
        </w:tc>
        <w:tc>
          <w:tcPr>
            <w:tcW w:w="504" w:type="pct"/>
            <w:tcBorders>
              <w:top w:val="nil"/>
            </w:tcBorders>
            <w:shd w:val="clear" w:color="auto" w:fill="auto"/>
          </w:tcPr>
          <w:p w:rsidR="00CB19E2" w:rsidRDefault="00CB19E2" w:rsidP="00CB19E2">
            <w:pPr>
              <w:pStyle w:val="Tabletext"/>
            </w:pPr>
            <w:r>
              <w:t>$710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2.1</w:t>
            </w:r>
          </w:p>
        </w:tc>
        <w:tc>
          <w:tcPr>
            <w:tcW w:w="2446" w:type="pct"/>
            <w:shd w:val="clear" w:color="auto" w:fill="auto"/>
          </w:tcPr>
          <w:p w:rsidR="00CB19E2" w:rsidRDefault="00CB19E2" w:rsidP="00CB19E2">
            <w:pPr>
              <w:pStyle w:val="Tabletext"/>
            </w:pPr>
            <w:r>
              <w:t>Chemistry</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$8,065</w:t>
            </w:r>
          </w:p>
        </w:tc>
        <w:tc>
          <w:tcPr>
            <w:tcW w:w="504" w:type="pct"/>
            <w:shd w:val="clear" w:color="auto" w:fill="auto"/>
          </w:tcPr>
          <w:p w:rsidR="00CB19E2" w:rsidRDefault="00CB19E2" w:rsidP="00CB19E2">
            <w:pPr>
              <w:pStyle w:val="Tabletext"/>
            </w:pPr>
            <w:r>
              <w:t>$9,220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2.2</w:t>
            </w:r>
          </w:p>
        </w:tc>
        <w:tc>
          <w:tcPr>
            <w:tcW w:w="2446" w:type="pct"/>
            <w:shd w:val="clear" w:color="auto" w:fill="auto"/>
          </w:tcPr>
          <w:p w:rsidR="00CB19E2" w:rsidRDefault="00CB19E2" w:rsidP="00CB19E2">
            <w:pPr>
              <w:pStyle w:val="Tabletext"/>
            </w:pPr>
            <w:r>
              <w:t>Chemistry</w:t>
            </w:r>
          </w:p>
        </w:tc>
        <w:tc>
          <w:tcPr>
            <w:tcW w:w="726" w:type="pct"/>
            <w:shd w:val="clear" w:color="auto" w:fill="auto"/>
          </w:tcPr>
          <w:p w:rsidR="00CB19E2" w:rsidRDefault="00CB19E2" w:rsidP="00CB19E2">
            <w:pPr>
              <w:pStyle w:val="Tabletext"/>
            </w:pPr>
            <w:r>
              <w:t>9 months</w:t>
            </w:r>
          </w:p>
        </w:tc>
        <w:tc>
          <w:tcPr>
            <w:tcW w:w="530" w:type="pct"/>
            <w:shd w:val="clear" w:color="auto" w:fill="auto"/>
          </w:tcPr>
          <w:p w:rsidR="00CB19E2" w:rsidRDefault="00CB19E2" w:rsidP="00CB19E2">
            <w:pPr>
              <w:pStyle w:val="Tabletext"/>
            </w:pPr>
            <w:r>
              <w:t>$2,690</w:t>
            </w:r>
          </w:p>
        </w:tc>
        <w:tc>
          <w:tcPr>
            <w:tcW w:w="504" w:type="pct"/>
            <w:shd w:val="clear" w:color="auto" w:fill="auto"/>
          </w:tcPr>
          <w:p w:rsidR="00CB19E2" w:rsidRDefault="00CB19E2" w:rsidP="00CB19E2">
            <w:pPr>
              <w:pStyle w:val="Tabletext"/>
            </w:pPr>
            <w:r>
              <w:t>$3,075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2.3</w:t>
            </w:r>
          </w:p>
        </w:tc>
        <w:tc>
          <w:tcPr>
            <w:tcW w:w="2446" w:type="pct"/>
            <w:shd w:val="clear" w:color="auto" w:fill="auto"/>
          </w:tcPr>
          <w:p w:rsidR="00CB19E2" w:rsidRDefault="00CB19E2" w:rsidP="00CB19E2">
            <w:pPr>
              <w:pStyle w:val="Tabletext"/>
            </w:pPr>
            <w:r>
              <w:t>Chemistry</w:t>
            </w:r>
          </w:p>
        </w:tc>
        <w:tc>
          <w:tcPr>
            <w:tcW w:w="726" w:type="pct"/>
            <w:shd w:val="clear" w:color="auto" w:fill="auto"/>
          </w:tcPr>
          <w:p w:rsidR="00CB19E2" w:rsidRDefault="00CB19E2" w:rsidP="00CB19E2">
            <w:pPr>
              <w:pStyle w:val="Tabletext"/>
            </w:pPr>
            <w:r>
              <w:t>6 months</w:t>
            </w:r>
          </w:p>
        </w:tc>
        <w:tc>
          <w:tcPr>
            <w:tcW w:w="530" w:type="pct"/>
            <w:shd w:val="clear" w:color="auto" w:fill="auto"/>
          </w:tcPr>
          <w:p w:rsidR="00CB19E2" w:rsidRDefault="00CB19E2" w:rsidP="00CB19E2">
            <w:pPr>
              <w:pStyle w:val="Tabletext"/>
            </w:pPr>
            <w:r>
              <w:t>$1,380</w:t>
            </w:r>
          </w:p>
        </w:tc>
        <w:tc>
          <w:tcPr>
            <w:tcW w:w="504" w:type="pct"/>
            <w:shd w:val="clear" w:color="auto" w:fill="auto"/>
          </w:tcPr>
          <w:p w:rsidR="00CB19E2" w:rsidRDefault="00CB19E2" w:rsidP="00CB19E2">
            <w:pPr>
              <w:pStyle w:val="Tabletext"/>
            </w:pPr>
            <w:r>
              <w:t>$1,580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2.5</w:t>
            </w:r>
          </w:p>
        </w:tc>
        <w:tc>
          <w:tcPr>
            <w:tcW w:w="2446" w:type="pct"/>
            <w:shd w:val="clear" w:color="auto" w:fill="auto"/>
          </w:tcPr>
          <w:p w:rsidR="00CB19E2" w:rsidRDefault="00CB19E2" w:rsidP="00CB19E2">
            <w:pPr>
              <w:pStyle w:val="Tabletext"/>
            </w:pPr>
            <w:r>
              <w:t>Chemistry—timeshift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$8,065</w:t>
            </w:r>
          </w:p>
        </w:tc>
        <w:tc>
          <w:tcPr>
            <w:tcW w:w="504" w:type="pct"/>
            <w:shd w:val="clear" w:color="auto" w:fill="auto"/>
          </w:tcPr>
          <w:p w:rsidR="00CB19E2" w:rsidRDefault="00CB19E2" w:rsidP="00CB19E2">
            <w:pPr>
              <w:pStyle w:val="Tabletext"/>
            </w:pPr>
            <w:r>
              <w:t>$9,220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3.1</w:t>
            </w:r>
          </w:p>
        </w:tc>
        <w:tc>
          <w:tcPr>
            <w:tcW w:w="2446" w:type="pct"/>
            <w:shd w:val="clear" w:color="auto" w:fill="auto"/>
          </w:tcPr>
          <w:p w:rsidR="00CB19E2" w:rsidRDefault="00CB19E2" w:rsidP="00CB19E2">
            <w:pPr>
              <w:pStyle w:val="Tabletext"/>
            </w:pPr>
            <w:r>
              <w:t>Toxicology</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$24,430</w:t>
            </w:r>
          </w:p>
        </w:tc>
        <w:tc>
          <w:tcPr>
            <w:tcW w:w="504" w:type="pct"/>
            <w:shd w:val="clear" w:color="auto" w:fill="auto"/>
          </w:tcPr>
          <w:p w:rsidR="00CB19E2" w:rsidRDefault="00CB19E2" w:rsidP="00CB19E2">
            <w:pPr>
              <w:pStyle w:val="Tabletext"/>
            </w:pPr>
            <w:r>
              <w:t>$27,920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3.2</w:t>
            </w:r>
          </w:p>
        </w:tc>
        <w:tc>
          <w:tcPr>
            <w:tcW w:w="2446" w:type="pct"/>
            <w:shd w:val="clear" w:color="auto" w:fill="auto"/>
          </w:tcPr>
          <w:p w:rsidR="00CB19E2" w:rsidRDefault="00CB19E2" w:rsidP="00CB19E2">
            <w:pPr>
              <w:pStyle w:val="Tabletext"/>
            </w:pPr>
            <w:r>
              <w:t>Toxicology</w:t>
            </w:r>
          </w:p>
        </w:tc>
        <w:tc>
          <w:tcPr>
            <w:tcW w:w="726" w:type="pct"/>
            <w:shd w:val="clear" w:color="auto" w:fill="auto"/>
          </w:tcPr>
          <w:p w:rsidR="00CB19E2" w:rsidRDefault="00CB19E2" w:rsidP="00CB19E2">
            <w:pPr>
              <w:pStyle w:val="Tabletext"/>
            </w:pPr>
            <w:r>
              <w:t>9 months</w:t>
            </w:r>
          </w:p>
        </w:tc>
        <w:tc>
          <w:tcPr>
            <w:tcW w:w="530" w:type="pct"/>
            <w:shd w:val="clear" w:color="auto" w:fill="auto"/>
          </w:tcPr>
          <w:p w:rsidR="00CB19E2" w:rsidRDefault="00CB19E2" w:rsidP="00CB19E2">
            <w:pPr>
              <w:pStyle w:val="Tabletext"/>
            </w:pPr>
            <w:r>
              <w:t>$14,620</w:t>
            </w:r>
          </w:p>
        </w:tc>
        <w:tc>
          <w:tcPr>
            <w:tcW w:w="504" w:type="pct"/>
            <w:shd w:val="clear" w:color="auto" w:fill="auto"/>
          </w:tcPr>
          <w:p w:rsidR="00CB19E2" w:rsidRDefault="00CB19E2" w:rsidP="00CB19E2">
            <w:pPr>
              <w:pStyle w:val="Tabletext"/>
            </w:pPr>
            <w:r>
              <w:t>$15,795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3.3</w:t>
            </w:r>
          </w:p>
        </w:tc>
        <w:tc>
          <w:tcPr>
            <w:tcW w:w="2446" w:type="pct"/>
            <w:shd w:val="clear" w:color="auto" w:fill="auto"/>
          </w:tcPr>
          <w:p w:rsidR="00CB19E2" w:rsidRDefault="00CB19E2" w:rsidP="00CB19E2">
            <w:pPr>
              <w:pStyle w:val="Tabletext"/>
            </w:pPr>
            <w:r>
              <w:t>Toxicology</w:t>
            </w:r>
          </w:p>
        </w:tc>
        <w:tc>
          <w:tcPr>
            <w:tcW w:w="726" w:type="pct"/>
            <w:shd w:val="clear" w:color="auto" w:fill="auto"/>
          </w:tcPr>
          <w:p w:rsidR="00CB19E2" w:rsidRDefault="00CB19E2" w:rsidP="00CB19E2">
            <w:pPr>
              <w:pStyle w:val="Tabletext"/>
            </w:pPr>
            <w:r>
              <w:t>5 months</w:t>
            </w:r>
          </w:p>
        </w:tc>
        <w:tc>
          <w:tcPr>
            <w:tcW w:w="530" w:type="pct"/>
            <w:shd w:val="clear" w:color="auto" w:fill="auto"/>
          </w:tcPr>
          <w:p w:rsidR="00CB19E2" w:rsidRDefault="00CB19E2" w:rsidP="00CB19E2">
            <w:pPr>
              <w:pStyle w:val="Tabletext"/>
            </w:pPr>
            <w:r>
              <w:t>$3,540</w:t>
            </w:r>
          </w:p>
        </w:tc>
        <w:tc>
          <w:tcPr>
            <w:tcW w:w="504" w:type="pct"/>
            <w:shd w:val="clear" w:color="auto" w:fill="auto"/>
          </w:tcPr>
          <w:p w:rsidR="00CB19E2" w:rsidRDefault="00CB19E2" w:rsidP="00CB19E2">
            <w:pPr>
              <w:pStyle w:val="Tabletext"/>
            </w:pPr>
            <w:r>
              <w:t>$4,050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3.4</w:t>
            </w:r>
          </w:p>
        </w:tc>
        <w:tc>
          <w:tcPr>
            <w:tcW w:w="2446" w:type="pct"/>
            <w:shd w:val="clear" w:color="auto" w:fill="auto"/>
          </w:tcPr>
          <w:p w:rsidR="00CB19E2" w:rsidRDefault="00CB19E2" w:rsidP="00CB19E2">
            <w:pPr>
              <w:pStyle w:val="Tabletext"/>
            </w:pPr>
            <w:r>
              <w:t>Toxicology—timeshift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$24,430</w:t>
            </w:r>
          </w:p>
        </w:tc>
        <w:tc>
          <w:tcPr>
            <w:tcW w:w="504" w:type="pct"/>
            <w:shd w:val="clear" w:color="auto" w:fill="auto"/>
          </w:tcPr>
          <w:p w:rsidR="00CB19E2" w:rsidRDefault="00CB19E2" w:rsidP="00CB19E2">
            <w:pPr>
              <w:pStyle w:val="Tabletext"/>
            </w:pPr>
            <w:r>
              <w:t>$27,920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4.1</w:t>
            </w:r>
          </w:p>
        </w:tc>
        <w:tc>
          <w:tcPr>
            <w:tcW w:w="2446" w:type="pct"/>
            <w:shd w:val="clear" w:color="auto" w:fill="auto"/>
          </w:tcPr>
          <w:p w:rsidR="00CB19E2" w:rsidRDefault="00CB19E2" w:rsidP="00CB19E2">
            <w:pPr>
              <w:pStyle w:val="Tabletext"/>
            </w:pPr>
            <w:r>
              <w:t>Toxicology requiring poison schedule classification</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$2,435</w:t>
            </w:r>
          </w:p>
        </w:tc>
        <w:tc>
          <w:tcPr>
            <w:tcW w:w="504" w:type="pct"/>
            <w:shd w:val="clear" w:color="auto" w:fill="auto"/>
          </w:tcPr>
          <w:p w:rsidR="00CB19E2" w:rsidRDefault="00CB19E2" w:rsidP="00CB19E2">
            <w:pPr>
              <w:pStyle w:val="Tabletext"/>
            </w:pPr>
            <w:r>
              <w:t>$2,435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4.2</w:t>
            </w:r>
          </w:p>
        </w:tc>
        <w:tc>
          <w:tcPr>
            <w:tcW w:w="2446" w:type="pct"/>
            <w:shd w:val="clear" w:color="auto" w:fill="auto"/>
          </w:tcPr>
          <w:p w:rsidR="00CB19E2" w:rsidRDefault="00CB19E2" w:rsidP="00CB19E2">
            <w:pPr>
              <w:pStyle w:val="Tabletext"/>
            </w:pPr>
            <w:r>
              <w:t>Toxicology requiring poison schedule classification—timeshift only</w:t>
            </w:r>
          </w:p>
        </w:tc>
        <w:tc>
          <w:tcPr>
            <w:tcW w:w="726" w:type="pct"/>
            <w:shd w:val="clear" w:color="auto" w:fill="auto"/>
          </w:tcPr>
          <w:p w:rsidR="00CB19E2" w:rsidRDefault="00CB19E2" w:rsidP="005021FC">
            <w:pPr>
              <w:pStyle w:val="Tabletext"/>
            </w:pPr>
            <w:r>
              <w:t xml:space="preserve">As </w:t>
            </w:r>
            <w:r w:rsidR="005021FC">
              <w:t xml:space="preserve">per </w:t>
            </w:r>
            <w:r>
              <w:t>project plan</w:t>
            </w:r>
          </w:p>
        </w:tc>
        <w:tc>
          <w:tcPr>
            <w:tcW w:w="530" w:type="pct"/>
            <w:shd w:val="clear" w:color="auto" w:fill="auto"/>
          </w:tcPr>
          <w:p w:rsidR="00CB19E2" w:rsidRDefault="00CB19E2" w:rsidP="00CB19E2">
            <w:pPr>
              <w:pStyle w:val="Tabletext"/>
            </w:pPr>
            <w:r>
              <w:t>$2,435</w:t>
            </w:r>
          </w:p>
        </w:tc>
        <w:tc>
          <w:tcPr>
            <w:tcW w:w="504" w:type="pct"/>
            <w:shd w:val="clear" w:color="auto" w:fill="auto"/>
          </w:tcPr>
          <w:p w:rsidR="00CB19E2" w:rsidRDefault="00CB19E2" w:rsidP="00CB19E2">
            <w:pPr>
              <w:pStyle w:val="Tabletext"/>
            </w:pPr>
            <w:r>
              <w:t>$2,435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5.1</w:t>
            </w:r>
          </w:p>
        </w:tc>
        <w:tc>
          <w:tcPr>
            <w:tcW w:w="2446" w:type="pct"/>
            <w:shd w:val="clear" w:color="auto" w:fill="auto"/>
          </w:tcPr>
          <w:p w:rsidR="00CB19E2" w:rsidRDefault="00CB19E2" w:rsidP="00CB19E2">
            <w:pPr>
              <w:pStyle w:val="Tabletext"/>
            </w:pPr>
            <w:r>
              <w:t>Residues</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$15,900</w:t>
            </w:r>
          </w:p>
        </w:tc>
        <w:tc>
          <w:tcPr>
            <w:tcW w:w="504" w:type="pct"/>
            <w:shd w:val="clear" w:color="auto" w:fill="auto"/>
          </w:tcPr>
          <w:p w:rsidR="00CB19E2" w:rsidRDefault="00CB19E2" w:rsidP="00CB19E2">
            <w:pPr>
              <w:pStyle w:val="Tabletext"/>
            </w:pPr>
            <w:r>
              <w:t>$18,170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5.2</w:t>
            </w:r>
          </w:p>
        </w:tc>
        <w:tc>
          <w:tcPr>
            <w:tcW w:w="2446" w:type="pct"/>
            <w:shd w:val="clear" w:color="auto" w:fill="auto"/>
          </w:tcPr>
          <w:p w:rsidR="00CB19E2" w:rsidRDefault="00CB19E2" w:rsidP="00CB19E2">
            <w:pPr>
              <w:pStyle w:val="Tabletext"/>
            </w:pPr>
            <w:r>
              <w:t>Residues</w:t>
            </w:r>
          </w:p>
        </w:tc>
        <w:tc>
          <w:tcPr>
            <w:tcW w:w="726" w:type="pct"/>
            <w:shd w:val="clear" w:color="auto" w:fill="auto"/>
          </w:tcPr>
          <w:p w:rsidR="00CB19E2" w:rsidRDefault="00CB19E2" w:rsidP="00CB19E2">
            <w:pPr>
              <w:pStyle w:val="Tabletext"/>
            </w:pPr>
            <w:r>
              <w:t>8 months</w:t>
            </w:r>
          </w:p>
        </w:tc>
        <w:tc>
          <w:tcPr>
            <w:tcW w:w="530" w:type="pct"/>
            <w:shd w:val="clear" w:color="auto" w:fill="auto"/>
          </w:tcPr>
          <w:p w:rsidR="00CB19E2" w:rsidRDefault="00CB19E2" w:rsidP="00CB19E2">
            <w:pPr>
              <w:pStyle w:val="Tabletext"/>
            </w:pPr>
            <w:r>
              <w:t>$9,210</w:t>
            </w:r>
          </w:p>
        </w:tc>
        <w:tc>
          <w:tcPr>
            <w:tcW w:w="504" w:type="pct"/>
            <w:shd w:val="clear" w:color="auto" w:fill="auto"/>
          </w:tcPr>
          <w:p w:rsidR="00CB19E2" w:rsidRDefault="00CB19E2" w:rsidP="00CB19E2">
            <w:pPr>
              <w:pStyle w:val="Tabletext"/>
            </w:pPr>
            <w:r>
              <w:t>$10,525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5.3</w:t>
            </w:r>
          </w:p>
        </w:tc>
        <w:tc>
          <w:tcPr>
            <w:tcW w:w="2446" w:type="pct"/>
            <w:shd w:val="clear" w:color="auto" w:fill="auto"/>
          </w:tcPr>
          <w:p w:rsidR="00CB19E2" w:rsidRDefault="00CB19E2" w:rsidP="00CB19E2">
            <w:pPr>
              <w:pStyle w:val="Tabletext"/>
            </w:pPr>
            <w:r>
              <w:t>Residues (permit only)</w:t>
            </w:r>
          </w:p>
        </w:tc>
        <w:tc>
          <w:tcPr>
            <w:tcW w:w="726" w:type="pct"/>
            <w:shd w:val="clear" w:color="auto" w:fill="auto"/>
          </w:tcPr>
          <w:p w:rsidR="00CB19E2" w:rsidRDefault="00CB19E2" w:rsidP="00CB19E2">
            <w:pPr>
              <w:pStyle w:val="Tabletext"/>
            </w:pPr>
            <w:r>
              <w:t>8 months</w:t>
            </w:r>
          </w:p>
        </w:tc>
        <w:tc>
          <w:tcPr>
            <w:tcW w:w="530" w:type="pct"/>
            <w:shd w:val="clear" w:color="auto" w:fill="auto"/>
          </w:tcPr>
          <w:p w:rsidR="00CB19E2" w:rsidRDefault="00CB19E2" w:rsidP="00CB19E2">
            <w:pPr>
              <w:pStyle w:val="Tabletext"/>
            </w:pPr>
            <w:r>
              <w:t>$7,175</w:t>
            </w:r>
          </w:p>
        </w:tc>
        <w:tc>
          <w:tcPr>
            <w:tcW w:w="504" w:type="pct"/>
            <w:shd w:val="clear" w:color="auto" w:fill="auto"/>
          </w:tcPr>
          <w:p w:rsidR="00CB19E2" w:rsidRDefault="00CB19E2" w:rsidP="00CB19E2">
            <w:pPr>
              <w:pStyle w:val="Tabletext"/>
            </w:pPr>
            <w:r>
              <w:t>$8,200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5.4</w:t>
            </w:r>
          </w:p>
        </w:tc>
        <w:tc>
          <w:tcPr>
            <w:tcW w:w="2446" w:type="pct"/>
            <w:shd w:val="clear" w:color="auto" w:fill="auto"/>
          </w:tcPr>
          <w:p w:rsidR="00CB19E2" w:rsidRDefault="00CB19E2" w:rsidP="00CB19E2">
            <w:pPr>
              <w:pStyle w:val="Tabletext"/>
            </w:pPr>
            <w:r>
              <w:t>Residues</w:t>
            </w:r>
          </w:p>
        </w:tc>
        <w:tc>
          <w:tcPr>
            <w:tcW w:w="726" w:type="pct"/>
            <w:shd w:val="clear" w:color="auto" w:fill="auto"/>
          </w:tcPr>
          <w:p w:rsidR="00CB19E2" w:rsidRDefault="00CB19E2" w:rsidP="00CB19E2">
            <w:pPr>
              <w:pStyle w:val="Tabletext"/>
            </w:pPr>
            <w:r>
              <w:t>4 months</w:t>
            </w:r>
          </w:p>
        </w:tc>
        <w:tc>
          <w:tcPr>
            <w:tcW w:w="530" w:type="pct"/>
            <w:shd w:val="clear" w:color="auto" w:fill="auto"/>
          </w:tcPr>
          <w:p w:rsidR="00CB19E2" w:rsidRDefault="00CB19E2" w:rsidP="00CB19E2">
            <w:pPr>
              <w:pStyle w:val="Tabletext"/>
            </w:pPr>
            <w:r>
              <w:t>$6,535</w:t>
            </w:r>
          </w:p>
        </w:tc>
        <w:tc>
          <w:tcPr>
            <w:tcW w:w="504" w:type="pct"/>
            <w:shd w:val="clear" w:color="auto" w:fill="auto"/>
          </w:tcPr>
          <w:p w:rsidR="00CB19E2" w:rsidRDefault="00CB19E2" w:rsidP="00CB19E2">
            <w:pPr>
              <w:pStyle w:val="Tabletext"/>
            </w:pPr>
            <w:r>
              <w:t>$7,465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5.5</w:t>
            </w:r>
          </w:p>
        </w:tc>
        <w:tc>
          <w:tcPr>
            <w:tcW w:w="2446" w:type="pct"/>
            <w:shd w:val="clear" w:color="auto" w:fill="auto"/>
          </w:tcPr>
          <w:p w:rsidR="00CB19E2" w:rsidRDefault="00CB19E2" w:rsidP="00CB19E2">
            <w:pPr>
              <w:pStyle w:val="Tabletext"/>
            </w:pPr>
            <w:r>
              <w:t>Residues (permit only)</w:t>
            </w:r>
          </w:p>
        </w:tc>
        <w:tc>
          <w:tcPr>
            <w:tcW w:w="726" w:type="pct"/>
            <w:shd w:val="clear" w:color="auto" w:fill="auto"/>
          </w:tcPr>
          <w:p w:rsidR="00CB19E2" w:rsidRDefault="00CB19E2" w:rsidP="00CB19E2">
            <w:pPr>
              <w:pStyle w:val="Tabletext"/>
            </w:pPr>
            <w:r>
              <w:t>4 months</w:t>
            </w:r>
          </w:p>
        </w:tc>
        <w:tc>
          <w:tcPr>
            <w:tcW w:w="530" w:type="pct"/>
            <w:shd w:val="clear" w:color="auto" w:fill="auto"/>
          </w:tcPr>
          <w:p w:rsidR="00CB19E2" w:rsidRDefault="00CB19E2" w:rsidP="00CB19E2">
            <w:pPr>
              <w:pStyle w:val="Tabletext"/>
            </w:pPr>
            <w:r>
              <w:t>$1,750</w:t>
            </w:r>
          </w:p>
        </w:tc>
        <w:tc>
          <w:tcPr>
            <w:tcW w:w="504" w:type="pct"/>
            <w:shd w:val="clear" w:color="auto" w:fill="auto"/>
          </w:tcPr>
          <w:p w:rsidR="00CB19E2" w:rsidRDefault="00CB19E2" w:rsidP="00CB19E2">
            <w:pPr>
              <w:pStyle w:val="Tabletext"/>
            </w:pPr>
            <w:r>
              <w:t>$2,000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5.6</w:t>
            </w:r>
          </w:p>
        </w:tc>
        <w:tc>
          <w:tcPr>
            <w:tcW w:w="2446" w:type="pct"/>
            <w:shd w:val="clear" w:color="auto" w:fill="auto"/>
          </w:tcPr>
          <w:p w:rsidR="00CB19E2" w:rsidRDefault="00CB19E2" w:rsidP="00CB19E2">
            <w:pPr>
              <w:pStyle w:val="Tabletext"/>
            </w:pPr>
            <w:r>
              <w:t>Residues—timeshift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$15,900</w:t>
            </w:r>
          </w:p>
        </w:tc>
        <w:tc>
          <w:tcPr>
            <w:tcW w:w="504" w:type="pct"/>
            <w:shd w:val="clear" w:color="auto" w:fill="auto"/>
          </w:tcPr>
          <w:p w:rsidR="00CB19E2" w:rsidRDefault="00CB19E2" w:rsidP="00CB19E2">
            <w:pPr>
              <w:pStyle w:val="Tabletext"/>
            </w:pPr>
            <w:r>
              <w:t>$18,170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6.1</w:t>
            </w:r>
          </w:p>
        </w:tc>
        <w:tc>
          <w:tcPr>
            <w:tcW w:w="2446" w:type="pct"/>
            <w:shd w:val="clear" w:color="auto" w:fill="auto"/>
          </w:tcPr>
          <w:p w:rsidR="00CB19E2" w:rsidRDefault="00CB19E2" w:rsidP="00CB19E2">
            <w:pPr>
              <w:pStyle w:val="Tabletext"/>
            </w:pPr>
            <w:r>
              <w:t>Occupational health and safety</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$4,310</w:t>
            </w:r>
          </w:p>
        </w:tc>
        <w:tc>
          <w:tcPr>
            <w:tcW w:w="504" w:type="pct"/>
            <w:shd w:val="clear" w:color="auto" w:fill="auto"/>
          </w:tcPr>
          <w:p w:rsidR="00CB19E2" w:rsidRDefault="00CB19E2" w:rsidP="00CB19E2">
            <w:pPr>
              <w:pStyle w:val="Tabletext"/>
            </w:pPr>
            <w:r>
              <w:t>$4,410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6.2</w:t>
            </w:r>
          </w:p>
        </w:tc>
        <w:tc>
          <w:tcPr>
            <w:tcW w:w="2446" w:type="pct"/>
            <w:shd w:val="clear" w:color="auto" w:fill="auto"/>
          </w:tcPr>
          <w:p w:rsidR="00CB19E2" w:rsidRDefault="00CB19E2" w:rsidP="00CB19E2">
            <w:pPr>
              <w:pStyle w:val="Tabletext"/>
            </w:pPr>
            <w:r>
              <w:t>Occupational health and safety</w:t>
            </w:r>
          </w:p>
        </w:tc>
        <w:tc>
          <w:tcPr>
            <w:tcW w:w="726" w:type="pct"/>
            <w:shd w:val="clear" w:color="auto" w:fill="auto"/>
          </w:tcPr>
          <w:p w:rsidR="00CB19E2" w:rsidRDefault="00CB19E2" w:rsidP="00CB19E2">
            <w:pPr>
              <w:pStyle w:val="Tabletext"/>
            </w:pPr>
            <w:r>
              <w:t>7 months</w:t>
            </w:r>
          </w:p>
        </w:tc>
        <w:tc>
          <w:tcPr>
            <w:tcW w:w="530" w:type="pct"/>
            <w:shd w:val="clear" w:color="auto" w:fill="auto"/>
          </w:tcPr>
          <w:p w:rsidR="00CB19E2" w:rsidRDefault="00CB19E2" w:rsidP="00CB19E2">
            <w:pPr>
              <w:pStyle w:val="Tabletext"/>
            </w:pPr>
            <w:r>
              <w:t>$2,900</w:t>
            </w:r>
          </w:p>
        </w:tc>
        <w:tc>
          <w:tcPr>
            <w:tcW w:w="504" w:type="pct"/>
            <w:shd w:val="clear" w:color="auto" w:fill="auto"/>
          </w:tcPr>
          <w:p w:rsidR="00CB19E2" w:rsidRDefault="00CB19E2" w:rsidP="00CB19E2">
            <w:pPr>
              <w:pStyle w:val="Tabletext"/>
            </w:pPr>
            <w:r>
              <w:t>$3,185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6.3</w:t>
            </w:r>
          </w:p>
        </w:tc>
        <w:tc>
          <w:tcPr>
            <w:tcW w:w="2446" w:type="pct"/>
            <w:shd w:val="clear" w:color="auto" w:fill="auto"/>
          </w:tcPr>
          <w:p w:rsidR="00CB19E2" w:rsidRDefault="00CB19E2" w:rsidP="00CB19E2">
            <w:pPr>
              <w:pStyle w:val="Tabletext"/>
            </w:pPr>
            <w:r>
              <w:t>Occupational health and safety</w:t>
            </w:r>
          </w:p>
        </w:tc>
        <w:tc>
          <w:tcPr>
            <w:tcW w:w="726" w:type="pct"/>
            <w:shd w:val="clear" w:color="auto" w:fill="auto"/>
          </w:tcPr>
          <w:p w:rsidR="00CB19E2" w:rsidRDefault="00CB19E2" w:rsidP="00CB19E2">
            <w:pPr>
              <w:pStyle w:val="Tabletext"/>
            </w:pPr>
            <w:r>
              <w:t>4 months</w:t>
            </w:r>
          </w:p>
        </w:tc>
        <w:tc>
          <w:tcPr>
            <w:tcW w:w="530" w:type="pct"/>
            <w:shd w:val="clear" w:color="auto" w:fill="auto"/>
          </w:tcPr>
          <w:p w:rsidR="00CB19E2" w:rsidRDefault="00CB19E2" w:rsidP="00CB19E2">
            <w:pPr>
              <w:pStyle w:val="Tabletext"/>
            </w:pPr>
            <w:r>
              <w:t>$3,480</w:t>
            </w:r>
          </w:p>
        </w:tc>
        <w:tc>
          <w:tcPr>
            <w:tcW w:w="504" w:type="pct"/>
            <w:shd w:val="clear" w:color="auto" w:fill="auto"/>
          </w:tcPr>
          <w:p w:rsidR="00CB19E2" w:rsidRDefault="00CB19E2" w:rsidP="00CB19E2">
            <w:pPr>
              <w:pStyle w:val="Tabletext"/>
            </w:pPr>
            <w:r>
              <w:t>$2,910</w:t>
            </w:r>
            <w:r>
              <w:rPr>
                <w:sz w:val="16"/>
                <w:szCs w:val="16"/>
                <w:vertAlign w:val="superscript"/>
              </w:rPr>
              <w:t>1</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6.4</w:t>
            </w:r>
          </w:p>
        </w:tc>
        <w:tc>
          <w:tcPr>
            <w:tcW w:w="2446" w:type="pct"/>
            <w:shd w:val="clear" w:color="auto" w:fill="auto"/>
          </w:tcPr>
          <w:p w:rsidR="00CB19E2" w:rsidRDefault="00CB19E2" w:rsidP="00CB19E2">
            <w:pPr>
              <w:pStyle w:val="Tabletext"/>
            </w:pPr>
            <w:r>
              <w:t>Occupational health and safety—timeshift only</w:t>
            </w:r>
          </w:p>
        </w:tc>
        <w:tc>
          <w:tcPr>
            <w:tcW w:w="726" w:type="pct"/>
            <w:shd w:val="clear" w:color="auto" w:fill="auto"/>
          </w:tcPr>
          <w:p w:rsidR="00CB19E2" w:rsidRDefault="00CB19E2" w:rsidP="005021FC">
            <w:pPr>
              <w:pStyle w:val="Tabletext"/>
            </w:pPr>
            <w:r>
              <w:t xml:space="preserve">As </w:t>
            </w:r>
            <w:r w:rsidR="005021FC">
              <w:t xml:space="preserve">per </w:t>
            </w:r>
            <w:r>
              <w:t>project plan</w:t>
            </w:r>
          </w:p>
        </w:tc>
        <w:tc>
          <w:tcPr>
            <w:tcW w:w="530" w:type="pct"/>
            <w:shd w:val="clear" w:color="auto" w:fill="auto"/>
          </w:tcPr>
          <w:p w:rsidR="00CB19E2" w:rsidRDefault="00CB19E2" w:rsidP="00CB19E2">
            <w:pPr>
              <w:pStyle w:val="Tabletext"/>
            </w:pPr>
            <w:r>
              <w:t>$4,310</w:t>
            </w:r>
          </w:p>
        </w:tc>
        <w:tc>
          <w:tcPr>
            <w:tcW w:w="504" w:type="pct"/>
            <w:shd w:val="clear" w:color="auto" w:fill="auto"/>
          </w:tcPr>
          <w:p w:rsidR="00CB19E2" w:rsidRDefault="00CB19E2" w:rsidP="00CB19E2">
            <w:pPr>
              <w:pStyle w:val="Tabletext"/>
            </w:pPr>
            <w:r>
              <w:t>$4,410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7.1</w:t>
            </w:r>
          </w:p>
        </w:tc>
        <w:tc>
          <w:tcPr>
            <w:tcW w:w="2446" w:type="pct"/>
            <w:shd w:val="clear" w:color="auto" w:fill="auto"/>
          </w:tcPr>
          <w:p w:rsidR="00CB19E2" w:rsidRDefault="00CB19E2" w:rsidP="00CB19E2">
            <w:pPr>
              <w:pStyle w:val="Tabletext"/>
            </w:pPr>
            <w:r>
              <w:t>Environment</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$23,095</w:t>
            </w:r>
          </w:p>
        </w:tc>
        <w:tc>
          <w:tcPr>
            <w:tcW w:w="504" w:type="pct"/>
            <w:shd w:val="clear" w:color="auto" w:fill="auto"/>
          </w:tcPr>
          <w:p w:rsidR="00CB19E2" w:rsidRDefault="00CB19E2" w:rsidP="00CB19E2">
            <w:pPr>
              <w:pStyle w:val="Tabletext"/>
            </w:pPr>
            <w:r>
              <w:t>$26,390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7.2</w:t>
            </w:r>
          </w:p>
        </w:tc>
        <w:tc>
          <w:tcPr>
            <w:tcW w:w="2446" w:type="pct"/>
            <w:shd w:val="clear" w:color="auto" w:fill="auto"/>
          </w:tcPr>
          <w:p w:rsidR="00CB19E2" w:rsidRDefault="00CB19E2" w:rsidP="00CB19E2">
            <w:pPr>
              <w:pStyle w:val="Tabletext"/>
            </w:pPr>
            <w:r>
              <w:t>Environment</w:t>
            </w:r>
          </w:p>
        </w:tc>
        <w:tc>
          <w:tcPr>
            <w:tcW w:w="726" w:type="pct"/>
            <w:shd w:val="clear" w:color="auto" w:fill="auto"/>
          </w:tcPr>
          <w:p w:rsidR="00CB19E2" w:rsidRDefault="00CB19E2" w:rsidP="00CB19E2">
            <w:pPr>
              <w:pStyle w:val="Tabletext"/>
            </w:pPr>
            <w:r>
              <w:t>7 months</w:t>
            </w:r>
          </w:p>
        </w:tc>
        <w:tc>
          <w:tcPr>
            <w:tcW w:w="530" w:type="pct"/>
            <w:shd w:val="clear" w:color="auto" w:fill="auto"/>
          </w:tcPr>
          <w:p w:rsidR="00CB19E2" w:rsidRDefault="00CB19E2" w:rsidP="00CB19E2">
            <w:pPr>
              <w:pStyle w:val="Tabletext"/>
            </w:pPr>
            <w:r>
              <w:t>$6,400</w:t>
            </w:r>
          </w:p>
        </w:tc>
        <w:tc>
          <w:tcPr>
            <w:tcW w:w="504" w:type="pct"/>
            <w:shd w:val="clear" w:color="auto" w:fill="auto"/>
          </w:tcPr>
          <w:p w:rsidR="00CB19E2" w:rsidRDefault="00CB19E2" w:rsidP="00CB19E2">
            <w:pPr>
              <w:pStyle w:val="Tabletext"/>
            </w:pPr>
            <w:r>
              <w:t>$7,315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7.3</w:t>
            </w:r>
          </w:p>
        </w:tc>
        <w:tc>
          <w:tcPr>
            <w:tcW w:w="2446" w:type="pct"/>
            <w:shd w:val="clear" w:color="auto" w:fill="auto"/>
          </w:tcPr>
          <w:p w:rsidR="00CB19E2" w:rsidRDefault="00CB19E2" w:rsidP="00CB19E2">
            <w:pPr>
              <w:pStyle w:val="Tabletext"/>
            </w:pPr>
            <w:r>
              <w:t>Environment</w:t>
            </w:r>
          </w:p>
        </w:tc>
        <w:tc>
          <w:tcPr>
            <w:tcW w:w="726" w:type="pct"/>
            <w:shd w:val="clear" w:color="auto" w:fill="auto"/>
          </w:tcPr>
          <w:p w:rsidR="00CB19E2" w:rsidRDefault="00CB19E2" w:rsidP="00CB19E2">
            <w:pPr>
              <w:pStyle w:val="Tabletext"/>
            </w:pPr>
            <w:r>
              <w:t>4 months</w:t>
            </w:r>
          </w:p>
        </w:tc>
        <w:tc>
          <w:tcPr>
            <w:tcW w:w="530" w:type="pct"/>
            <w:shd w:val="clear" w:color="auto" w:fill="auto"/>
          </w:tcPr>
          <w:p w:rsidR="00CB19E2" w:rsidRDefault="00CB19E2" w:rsidP="00CB19E2">
            <w:pPr>
              <w:pStyle w:val="Tabletext"/>
            </w:pPr>
            <w:r>
              <w:t>$1,505</w:t>
            </w:r>
          </w:p>
        </w:tc>
        <w:tc>
          <w:tcPr>
            <w:tcW w:w="504" w:type="pct"/>
            <w:shd w:val="clear" w:color="auto" w:fill="auto"/>
          </w:tcPr>
          <w:p w:rsidR="00CB19E2" w:rsidRDefault="00CB19E2" w:rsidP="00CB19E2">
            <w:pPr>
              <w:pStyle w:val="Tabletext"/>
            </w:pPr>
            <w:r>
              <w:t>$1,720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7.4</w:t>
            </w:r>
          </w:p>
        </w:tc>
        <w:tc>
          <w:tcPr>
            <w:tcW w:w="2446" w:type="pct"/>
            <w:shd w:val="clear" w:color="auto" w:fill="auto"/>
          </w:tcPr>
          <w:p w:rsidR="00CB19E2" w:rsidRDefault="00CB19E2" w:rsidP="00CB19E2">
            <w:pPr>
              <w:pStyle w:val="Tabletext"/>
            </w:pPr>
            <w:r>
              <w:t>Environment—timeshift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$23,095</w:t>
            </w:r>
          </w:p>
        </w:tc>
        <w:tc>
          <w:tcPr>
            <w:tcW w:w="504" w:type="pct"/>
            <w:shd w:val="clear" w:color="auto" w:fill="auto"/>
          </w:tcPr>
          <w:p w:rsidR="00CB19E2" w:rsidRDefault="00CB19E2" w:rsidP="00CB19E2">
            <w:pPr>
              <w:pStyle w:val="Tabletext"/>
            </w:pPr>
            <w:r>
              <w:t>$26,390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8.1</w:t>
            </w:r>
          </w:p>
        </w:tc>
        <w:tc>
          <w:tcPr>
            <w:tcW w:w="2446" w:type="pct"/>
            <w:shd w:val="clear" w:color="auto" w:fill="auto"/>
          </w:tcPr>
          <w:p w:rsidR="00CB19E2" w:rsidRDefault="00CB19E2" w:rsidP="00CB19E2">
            <w:pPr>
              <w:pStyle w:val="Tabletext"/>
            </w:pPr>
            <w:r>
              <w:t>Efficacy and safety</w:t>
            </w:r>
          </w:p>
        </w:tc>
        <w:tc>
          <w:tcPr>
            <w:tcW w:w="726" w:type="pct"/>
            <w:shd w:val="clear" w:color="auto" w:fill="auto"/>
          </w:tcPr>
          <w:p w:rsidR="00CB19E2" w:rsidRDefault="00CB19E2" w:rsidP="00CB19E2">
            <w:pPr>
              <w:pStyle w:val="Tabletext"/>
            </w:pPr>
            <w:r>
              <w:t>6 months</w:t>
            </w:r>
          </w:p>
        </w:tc>
        <w:tc>
          <w:tcPr>
            <w:tcW w:w="530" w:type="pct"/>
            <w:shd w:val="clear" w:color="auto" w:fill="auto"/>
          </w:tcPr>
          <w:p w:rsidR="00CB19E2" w:rsidRDefault="00CB19E2" w:rsidP="00CB19E2">
            <w:pPr>
              <w:pStyle w:val="Tabletext"/>
            </w:pPr>
            <w:r>
              <w:t>$2,075</w:t>
            </w:r>
          </w:p>
        </w:tc>
        <w:tc>
          <w:tcPr>
            <w:tcW w:w="504" w:type="pct"/>
            <w:shd w:val="clear" w:color="auto" w:fill="auto"/>
          </w:tcPr>
          <w:p w:rsidR="00CB19E2" w:rsidRDefault="00CB19E2" w:rsidP="00CB19E2">
            <w:pPr>
              <w:pStyle w:val="Tabletext"/>
            </w:pPr>
            <w:r>
              <w:t>$2,370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8.2</w:t>
            </w:r>
          </w:p>
        </w:tc>
        <w:tc>
          <w:tcPr>
            <w:tcW w:w="2446" w:type="pct"/>
            <w:shd w:val="clear" w:color="auto" w:fill="auto"/>
          </w:tcPr>
          <w:p w:rsidR="00CB19E2" w:rsidRDefault="00CB19E2" w:rsidP="00CB19E2">
            <w:pPr>
              <w:pStyle w:val="Tabletext"/>
            </w:pPr>
            <w:r>
              <w:t>Efficacy and safety</w:t>
            </w:r>
          </w:p>
        </w:tc>
        <w:tc>
          <w:tcPr>
            <w:tcW w:w="726" w:type="pct"/>
            <w:shd w:val="clear" w:color="auto" w:fill="auto"/>
          </w:tcPr>
          <w:p w:rsidR="00CB19E2" w:rsidRDefault="00CB19E2" w:rsidP="00CB19E2">
            <w:pPr>
              <w:pStyle w:val="Tabletext"/>
            </w:pPr>
            <w:r>
              <w:t>4 months</w:t>
            </w:r>
          </w:p>
        </w:tc>
        <w:tc>
          <w:tcPr>
            <w:tcW w:w="530" w:type="pct"/>
            <w:shd w:val="clear" w:color="auto" w:fill="auto"/>
          </w:tcPr>
          <w:p w:rsidR="00CB19E2" w:rsidRDefault="00CB19E2" w:rsidP="00CB19E2">
            <w:pPr>
              <w:pStyle w:val="Tabletext"/>
            </w:pPr>
            <w:r>
              <w:t>$855</w:t>
            </w:r>
          </w:p>
        </w:tc>
        <w:tc>
          <w:tcPr>
            <w:tcW w:w="504" w:type="pct"/>
            <w:shd w:val="clear" w:color="auto" w:fill="auto"/>
          </w:tcPr>
          <w:p w:rsidR="00CB19E2" w:rsidRDefault="00CB19E2" w:rsidP="00CB19E2">
            <w:pPr>
              <w:pStyle w:val="Tabletext"/>
            </w:pPr>
            <w:r>
              <w:t>$975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8.3</w:t>
            </w:r>
          </w:p>
        </w:tc>
        <w:tc>
          <w:tcPr>
            <w:tcW w:w="2446" w:type="pct"/>
            <w:shd w:val="clear" w:color="auto" w:fill="auto"/>
          </w:tcPr>
          <w:p w:rsidR="00CB19E2" w:rsidRDefault="00CB19E2" w:rsidP="00CB19E2">
            <w:pPr>
              <w:pStyle w:val="Tabletext"/>
            </w:pPr>
            <w:r>
              <w:t>Efficacy and safety</w:t>
            </w:r>
          </w:p>
        </w:tc>
        <w:tc>
          <w:tcPr>
            <w:tcW w:w="726" w:type="pct"/>
            <w:shd w:val="clear" w:color="auto" w:fill="auto"/>
          </w:tcPr>
          <w:p w:rsidR="00CB19E2" w:rsidRDefault="00CB19E2" w:rsidP="00CB19E2">
            <w:pPr>
              <w:pStyle w:val="Tabletext"/>
            </w:pPr>
            <w:r>
              <w:t>3 months</w:t>
            </w:r>
          </w:p>
        </w:tc>
        <w:tc>
          <w:tcPr>
            <w:tcW w:w="530" w:type="pct"/>
            <w:shd w:val="clear" w:color="auto" w:fill="auto"/>
          </w:tcPr>
          <w:p w:rsidR="00CB19E2" w:rsidRDefault="00CB19E2" w:rsidP="00CB19E2">
            <w:pPr>
              <w:pStyle w:val="Tabletext"/>
            </w:pPr>
            <w:r>
              <w:t>$505</w:t>
            </w:r>
          </w:p>
        </w:tc>
        <w:tc>
          <w:tcPr>
            <w:tcW w:w="504" w:type="pct"/>
            <w:shd w:val="clear" w:color="auto" w:fill="auto"/>
          </w:tcPr>
          <w:p w:rsidR="00CB19E2" w:rsidRDefault="00CB19E2" w:rsidP="00CB19E2">
            <w:pPr>
              <w:pStyle w:val="Tabletext"/>
            </w:pPr>
            <w:r>
              <w:t>$580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8.4</w:t>
            </w:r>
          </w:p>
        </w:tc>
        <w:tc>
          <w:tcPr>
            <w:tcW w:w="2446" w:type="pct"/>
            <w:shd w:val="clear" w:color="auto" w:fill="auto"/>
          </w:tcPr>
          <w:p w:rsidR="00CB19E2" w:rsidRDefault="00CB19E2" w:rsidP="00CB19E2">
            <w:pPr>
              <w:pStyle w:val="Tabletext"/>
            </w:pPr>
            <w:r>
              <w:t>Efficacy and safety—timeshift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$2,075</w:t>
            </w:r>
          </w:p>
        </w:tc>
        <w:tc>
          <w:tcPr>
            <w:tcW w:w="504" w:type="pct"/>
            <w:shd w:val="clear" w:color="auto" w:fill="auto"/>
          </w:tcPr>
          <w:p w:rsidR="00CB19E2" w:rsidRDefault="00CB19E2" w:rsidP="00CB19E2">
            <w:pPr>
              <w:pStyle w:val="Tabletext"/>
            </w:pPr>
            <w:r>
              <w:t>$2,370</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9</w:t>
            </w:r>
          </w:p>
        </w:tc>
        <w:tc>
          <w:tcPr>
            <w:tcW w:w="2446" w:type="pct"/>
            <w:shd w:val="clear" w:color="auto" w:fill="auto"/>
          </w:tcPr>
          <w:p w:rsidR="00CB19E2" w:rsidRDefault="00CB19E2" w:rsidP="00CB19E2">
            <w:pPr>
              <w:pStyle w:val="Tabletext"/>
            </w:pPr>
            <w:r>
              <w:t>Non-food trade</w:t>
            </w:r>
          </w:p>
        </w:tc>
        <w:tc>
          <w:tcPr>
            <w:tcW w:w="726" w:type="pct"/>
            <w:shd w:val="clear" w:color="auto" w:fill="auto"/>
          </w:tcPr>
          <w:p w:rsidR="00CB19E2" w:rsidRDefault="00CB19E2" w:rsidP="00CB19E2">
            <w:pPr>
              <w:pStyle w:val="Tabletext"/>
            </w:pPr>
            <w:r>
              <w:t>6 months</w:t>
            </w:r>
          </w:p>
        </w:tc>
        <w:tc>
          <w:tcPr>
            <w:tcW w:w="530" w:type="pct"/>
            <w:shd w:val="clear" w:color="auto" w:fill="auto"/>
          </w:tcPr>
          <w:p w:rsidR="00CB19E2" w:rsidRDefault="00CB19E2" w:rsidP="00CB19E2">
            <w:pPr>
              <w:pStyle w:val="Tabletext"/>
            </w:pPr>
            <w:r>
              <w:t>$1,175</w:t>
            </w:r>
          </w:p>
        </w:tc>
        <w:tc>
          <w:tcPr>
            <w:tcW w:w="504" w:type="pct"/>
            <w:shd w:val="clear" w:color="auto" w:fill="auto"/>
          </w:tcPr>
          <w:p w:rsidR="00CB19E2" w:rsidRDefault="00CB19E2" w:rsidP="00CB19E2">
            <w:pPr>
              <w:pStyle w:val="Tabletext"/>
            </w:pPr>
            <w:r>
              <w:t>$1,175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10.1</w:t>
            </w:r>
          </w:p>
        </w:tc>
        <w:tc>
          <w:tcPr>
            <w:tcW w:w="2446" w:type="pct"/>
            <w:shd w:val="clear" w:color="auto" w:fill="auto"/>
          </w:tcPr>
          <w:p w:rsidR="00CB19E2" w:rsidRDefault="00CB19E2" w:rsidP="00CB19E2">
            <w:pPr>
              <w:pStyle w:val="Tabletext"/>
            </w:pPr>
            <w:r>
              <w:t>Special data</w:t>
            </w:r>
          </w:p>
        </w:tc>
        <w:tc>
          <w:tcPr>
            <w:tcW w:w="726" w:type="pct"/>
            <w:shd w:val="clear" w:color="auto" w:fill="auto"/>
          </w:tcPr>
          <w:p w:rsidR="00CB19E2" w:rsidRDefault="00CB19E2" w:rsidP="00CB19E2">
            <w:pPr>
              <w:pStyle w:val="Tabletext"/>
            </w:pPr>
            <w:r>
              <w:t>13 months</w:t>
            </w:r>
          </w:p>
        </w:tc>
        <w:tc>
          <w:tcPr>
            <w:tcW w:w="530" w:type="pct"/>
            <w:shd w:val="clear" w:color="auto" w:fill="auto"/>
          </w:tcPr>
          <w:p w:rsidR="00CB19E2" w:rsidRDefault="00CB19E2" w:rsidP="00CB19E2">
            <w:pPr>
              <w:pStyle w:val="Tabletext"/>
            </w:pPr>
            <w:r>
              <w:t>nil</w:t>
            </w:r>
          </w:p>
        </w:tc>
        <w:tc>
          <w:tcPr>
            <w:tcW w:w="504" w:type="pct"/>
            <w:shd w:val="clear" w:color="auto" w:fill="auto"/>
          </w:tcPr>
          <w:p w:rsidR="00CB19E2" w:rsidRDefault="00CB19E2" w:rsidP="00CB19E2">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10.2</w:t>
            </w:r>
          </w:p>
        </w:tc>
        <w:tc>
          <w:tcPr>
            <w:tcW w:w="2446" w:type="pct"/>
            <w:shd w:val="clear" w:color="auto" w:fill="auto"/>
          </w:tcPr>
          <w:p w:rsidR="00CB19E2" w:rsidRDefault="00CB19E2" w:rsidP="00CB19E2">
            <w:pPr>
              <w:pStyle w:val="Tabletext"/>
            </w:pPr>
            <w:r>
              <w:t>Special data</w:t>
            </w:r>
          </w:p>
        </w:tc>
        <w:tc>
          <w:tcPr>
            <w:tcW w:w="726" w:type="pct"/>
            <w:shd w:val="clear" w:color="auto" w:fill="auto"/>
          </w:tcPr>
          <w:p w:rsidR="00CB19E2" w:rsidRDefault="00CB19E2" w:rsidP="00CB19E2">
            <w:pPr>
              <w:pStyle w:val="Tabletext"/>
            </w:pPr>
            <w:r>
              <w:t>7 months</w:t>
            </w:r>
          </w:p>
        </w:tc>
        <w:tc>
          <w:tcPr>
            <w:tcW w:w="530" w:type="pct"/>
            <w:shd w:val="clear" w:color="auto" w:fill="auto"/>
          </w:tcPr>
          <w:p w:rsidR="00CB19E2" w:rsidRDefault="00CB19E2" w:rsidP="00CB19E2">
            <w:pPr>
              <w:pStyle w:val="Tabletext"/>
            </w:pPr>
            <w:r>
              <w:t>nil</w:t>
            </w:r>
          </w:p>
        </w:tc>
        <w:tc>
          <w:tcPr>
            <w:tcW w:w="504" w:type="pct"/>
            <w:shd w:val="clear" w:color="auto" w:fill="auto"/>
          </w:tcPr>
          <w:p w:rsidR="00CB19E2" w:rsidRDefault="00CB19E2" w:rsidP="00CB19E2">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10.3</w:t>
            </w:r>
          </w:p>
        </w:tc>
        <w:tc>
          <w:tcPr>
            <w:tcW w:w="2446" w:type="pct"/>
            <w:shd w:val="clear" w:color="auto" w:fill="auto"/>
          </w:tcPr>
          <w:p w:rsidR="00CB19E2" w:rsidRDefault="00CB19E2" w:rsidP="00CB19E2">
            <w:pPr>
              <w:pStyle w:val="Tabletext"/>
            </w:pPr>
            <w:r>
              <w:t>Special data</w:t>
            </w:r>
          </w:p>
        </w:tc>
        <w:tc>
          <w:tcPr>
            <w:tcW w:w="726" w:type="pct"/>
            <w:shd w:val="clear" w:color="auto" w:fill="auto"/>
          </w:tcPr>
          <w:p w:rsidR="00CB19E2" w:rsidRDefault="00CB19E2" w:rsidP="00CB19E2">
            <w:pPr>
              <w:pStyle w:val="Tabletext"/>
            </w:pPr>
            <w:r>
              <w:t>7 months</w:t>
            </w:r>
          </w:p>
        </w:tc>
        <w:tc>
          <w:tcPr>
            <w:tcW w:w="530" w:type="pct"/>
            <w:shd w:val="clear" w:color="auto" w:fill="auto"/>
          </w:tcPr>
          <w:p w:rsidR="00CB19E2" w:rsidRDefault="00CB19E2" w:rsidP="00CB19E2">
            <w:pPr>
              <w:pStyle w:val="Tabletext"/>
            </w:pPr>
            <w:r>
              <w:t>nil</w:t>
            </w:r>
          </w:p>
        </w:tc>
        <w:tc>
          <w:tcPr>
            <w:tcW w:w="504" w:type="pct"/>
            <w:shd w:val="clear" w:color="auto" w:fill="auto"/>
          </w:tcPr>
          <w:p w:rsidR="00CB19E2" w:rsidRDefault="00CB19E2" w:rsidP="00CB19E2">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10.4</w:t>
            </w:r>
          </w:p>
        </w:tc>
        <w:tc>
          <w:tcPr>
            <w:tcW w:w="2446" w:type="pct"/>
            <w:shd w:val="clear" w:color="auto" w:fill="auto"/>
          </w:tcPr>
          <w:p w:rsidR="00CB19E2" w:rsidRDefault="00CB19E2" w:rsidP="00CB19E2">
            <w:pPr>
              <w:pStyle w:val="Tabletext"/>
            </w:pPr>
            <w:r>
              <w:t>Special data—timeshift only</w:t>
            </w:r>
          </w:p>
        </w:tc>
        <w:tc>
          <w:tcPr>
            <w:tcW w:w="726" w:type="pct"/>
            <w:shd w:val="clear" w:color="auto" w:fill="auto"/>
          </w:tcPr>
          <w:p w:rsidR="00CB19E2" w:rsidRDefault="00CB19E2" w:rsidP="005021FC">
            <w:pPr>
              <w:pStyle w:val="Tabletext"/>
            </w:pPr>
            <w:r>
              <w:t xml:space="preserve">As </w:t>
            </w:r>
            <w:r w:rsidR="005021FC">
              <w:t>per</w:t>
            </w:r>
            <w:r>
              <w:t xml:space="preserve"> project plan</w:t>
            </w:r>
          </w:p>
        </w:tc>
        <w:tc>
          <w:tcPr>
            <w:tcW w:w="530" w:type="pct"/>
            <w:shd w:val="clear" w:color="auto" w:fill="auto"/>
          </w:tcPr>
          <w:p w:rsidR="00CB19E2" w:rsidRDefault="00CB19E2" w:rsidP="00CB19E2">
            <w:pPr>
              <w:pStyle w:val="Tabletext"/>
            </w:pPr>
            <w:r>
              <w:t>nil</w:t>
            </w:r>
          </w:p>
        </w:tc>
        <w:tc>
          <w:tcPr>
            <w:tcW w:w="504" w:type="pct"/>
            <w:shd w:val="clear" w:color="auto" w:fill="auto"/>
          </w:tcPr>
          <w:p w:rsidR="00CB19E2" w:rsidRDefault="00CB19E2" w:rsidP="00CB19E2">
            <w:pPr>
              <w:pStyle w:val="Tabletext"/>
            </w:pPr>
            <w:r>
              <w:t>nil</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11.1</w:t>
            </w:r>
          </w:p>
        </w:tc>
        <w:tc>
          <w:tcPr>
            <w:tcW w:w="2446" w:type="pct"/>
            <w:shd w:val="clear" w:color="auto" w:fill="auto"/>
          </w:tcPr>
          <w:p w:rsidR="00CB19E2" w:rsidRDefault="00CB19E2" w:rsidP="00CB19E2">
            <w:pPr>
              <w:pStyle w:val="Tabletext"/>
            </w:pPr>
            <w:r>
              <w:t>Finalisation</w:t>
            </w:r>
          </w:p>
        </w:tc>
        <w:tc>
          <w:tcPr>
            <w:tcW w:w="726" w:type="pct"/>
            <w:shd w:val="clear" w:color="auto" w:fill="auto"/>
          </w:tcPr>
          <w:p w:rsidR="00CB19E2" w:rsidRDefault="00CB19E2" w:rsidP="00CB19E2">
            <w:pPr>
              <w:pStyle w:val="Tabletext"/>
            </w:pPr>
            <w:r>
              <w:t>3 months</w:t>
            </w:r>
          </w:p>
        </w:tc>
        <w:tc>
          <w:tcPr>
            <w:tcW w:w="530" w:type="pct"/>
            <w:shd w:val="clear" w:color="auto" w:fill="auto"/>
          </w:tcPr>
          <w:p w:rsidR="00CB19E2" w:rsidRDefault="00CB19E2" w:rsidP="00CB19E2">
            <w:pPr>
              <w:pStyle w:val="Tabletext"/>
            </w:pPr>
            <w:r>
              <w:t>$3,545</w:t>
            </w:r>
          </w:p>
        </w:tc>
        <w:tc>
          <w:tcPr>
            <w:tcW w:w="504" w:type="pct"/>
            <w:shd w:val="clear" w:color="auto" w:fill="auto"/>
          </w:tcPr>
          <w:p w:rsidR="00CB19E2" w:rsidRDefault="00CB19E2" w:rsidP="00CB19E2">
            <w:pPr>
              <w:pStyle w:val="Tabletext"/>
            </w:pPr>
            <w:r>
              <w:t>$4,055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11.2</w:t>
            </w:r>
          </w:p>
        </w:tc>
        <w:tc>
          <w:tcPr>
            <w:tcW w:w="2446" w:type="pct"/>
            <w:shd w:val="clear" w:color="auto" w:fill="auto"/>
          </w:tcPr>
          <w:p w:rsidR="00CB19E2" w:rsidRDefault="00CB19E2" w:rsidP="00CB19E2">
            <w:pPr>
              <w:pStyle w:val="Tabletext"/>
            </w:pPr>
            <w:r>
              <w:t>Finalisation</w:t>
            </w:r>
          </w:p>
        </w:tc>
        <w:tc>
          <w:tcPr>
            <w:tcW w:w="726" w:type="pct"/>
            <w:shd w:val="clear" w:color="auto" w:fill="auto"/>
          </w:tcPr>
          <w:p w:rsidR="00CB19E2" w:rsidRDefault="00CB19E2" w:rsidP="00CB19E2">
            <w:pPr>
              <w:pStyle w:val="Tabletext"/>
            </w:pPr>
            <w:r>
              <w:t>2 months</w:t>
            </w:r>
          </w:p>
        </w:tc>
        <w:tc>
          <w:tcPr>
            <w:tcW w:w="530" w:type="pct"/>
            <w:shd w:val="clear" w:color="auto" w:fill="auto"/>
          </w:tcPr>
          <w:p w:rsidR="00CB19E2" w:rsidRDefault="00CB19E2" w:rsidP="00CB19E2">
            <w:pPr>
              <w:pStyle w:val="Tabletext"/>
            </w:pPr>
            <w:r>
              <w:t>$1,350</w:t>
            </w:r>
          </w:p>
        </w:tc>
        <w:tc>
          <w:tcPr>
            <w:tcW w:w="504" w:type="pct"/>
            <w:shd w:val="clear" w:color="auto" w:fill="auto"/>
          </w:tcPr>
          <w:p w:rsidR="00CB19E2" w:rsidRDefault="00CB19E2" w:rsidP="00CB19E2">
            <w:pPr>
              <w:pStyle w:val="Tabletext"/>
            </w:pPr>
            <w:r>
              <w:t>$1,545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11.3</w:t>
            </w:r>
          </w:p>
        </w:tc>
        <w:tc>
          <w:tcPr>
            <w:tcW w:w="2446" w:type="pct"/>
            <w:shd w:val="clear" w:color="auto" w:fill="auto"/>
          </w:tcPr>
          <w:p w:rsidR="00CB19E2" w:rsidRDefault="00CB19E2" w:rsidP="00CB19E2">
            <w:pPr>
              <w:pStyle w:val="Tabletext"/>
            </w:pPr>
            <w:r>
              <w:t>Finalisation</w:t>
            </w:r>
          </w:p>
        </w:tc>
        <w:tc>
          <w:tcPr>
            <w:tcW w:w="726" w:type="pct"/>
            <w:shd w:val="clear" w:color="auto" w:fill="auto"/>
          </w:tcPr>
          <w:p w:rsidR="00CB19E2" w:rsidRDefault="00CB19E2" w:rsidP="00CB19E2">
            <w:pPr>
              <w:pStyle w:val="Tabletext"/>
            </w:pPr>
            <w:r>
              <w:t>2 months</w:t>
            </w:r>
          </w:p>
        </w:tc>
        <w:tc>
          <w:tcPr>
            <w:tcW w:w="530" w:type="pct"/>
            <w:shd w:val="clear" w:color="auto" w:fill="auto"/>
          </w:tcPr>
          <w:p w:rsidR="00CB19E2" w:rsidRDefault="00CB19E2" w:rsidP="00CB19E2">
            <w:pPr>
              <w:pStyle w:val="Tabletext"/>
            </w:pPr>
            <w:r>
              <w:t>$755</w:t>
            </w:r>
          </w:p>
        </w:tc>
        <w:tc>
          <w:tcPr>
            <w:tcW w:w="504" w:type="pct"/>
            <w:shd w:val="clear" w:color="auto" w:fill="auto"/>
          </w:tcPr>
          <w:p w:rsidR="00CB19E2" w:rsidRDefault="00CB19E2" w:rsidP="00CB19E2">
            <w:pPr>
              <w:pStyle w:val="Tabletext"/>
            </w:pPr>
            <w:r>
              <w:t>$865</w:t>
            </w:r>
          </w:p>
        </w:tc>
      </w:tr>
      <w:tr w:rsidR="00E86A68" w:rsidTr="005021FC">
        <w:tblPrEx>
          <w:tblBorders>
            <w:bottom w:val="single" w:sz="4" w:space="0" w:color="646464"/>
            <w:insideH w:val="single" w:sz="4" w:space="0" w:color="646464"/>
          </w:tblBorders>
        </w:tblPrEx>
        <w:trPr>
          <w:gridBefore w:val="1"/>
          <w:wBefore w:w="198" w:type="pct"/>
          <w:cantSplit/>
        </w:trPr>
        <w:tc>
          <w:tcPr>
            <w:tcW w:w="596" w:type="pct"/>
            <w:shd w:val="clear" w:color="auto" w:fill="auto"/>
          </w:tcPr>
          <w:p w:rsidR="00CB19E2" w:rsidRDefault="00CB19E2" w:rsidP="00CB19E2">
            <w:pPr>
              <w:pStyle w:val="Tabletext"/>
            </w:pPr>
            <w:r>
              <w:t>12</w:t>
            </w:r>
          </w:p>
        </w:tc>
        <w:tc>
          <w:tcPr>
            <w:tcW w:w="2446" w:type="pct"/>
            <w:shd w:val="clear" w:color="auto" w:fill="auto"/>
          </w:tcPr>
          <w:p w:rsidR="00CB19E2" w:rsidRDefault="00CB19E2" w:rsidP="00CB19E2">
            <w:pPr>
              <w:pStyle w:val="Tabletext"/>
            </w:pPr>
            <w:r>
              <w:t>Data protection</w:t>
            </w:r>
          </w:p>
        </w:tc>
        <w:tc>
          <w:tcPr>
            <w:tcW w:w="726" w:type="pct"/>
            <w:shd w:val="clear" w:color="auto" w:fill="auto"/>
          </w:tcPr>
          <w:p w:rsidR="00CB19E2" w:rsidRDefault="00CB19E2" w:rsidP="00CB19E2">
            <w:pPr>
              <w:pStyle w:val="Tabletext"/>
            </w:pPr>
            <w:r>
              <w:t>Not applicable</w:t>
            </w:r>
          </w:p>
        </w:tc>
        <w:tc>
          <w:tcPr>
            <w:tcW w:w="530" w:type="pct"/>
            <w:shd w:val="clear" w:color="auto" w:fill="auto"/>
          </w:tcPr>
          <w:p w:rsidR="00CB19E2" w:rsidRDefault="00CB19E2" w:rsidP="00CB19E2">
            <w:pPr>
              <w:pStyle w:val="Tabletext"/>
            </w:pPr>
            <w:r>
              <w:t>$400</w:t>
            </w:r>
          </w:p>
        </w:tc>
        <w:tc>
          <w:tcPr>
            <w:tcW w:w="504" w:type="pct"/>
            <w:shd w:val="clear" w:color="auto" w:fill="auto"/>
          </w:tcPr>
          <w:p w:rsidR="00CB19E2" w:rsidRDefault="00CB19E2" w:rsidP="00CB19E2">
            <w:pPr>
              <w:pStyle w:val="Tabletext"/>
            </w:pPr>
            <w:r>
              <w:t>$460</w:t>
            </w:r>
          </w:p>
        </w:tc>
      </w:tr>
      <w:tr w:rsidR="00E86A68" w:rsidTr="005021FC">
        <w:tblPrEx>
          <w:tblBorders>
            <w:bottom w:val="single" w:sz="4" w:space="0" w:color="646464"/>
            <w:insideH w:val="single" w:sz="4" w:space="0" w:color="646464"/>
          </w:tblBorders>
        </w:tblPrEx>
        <w:trPr>
          <w:gridBefore w:val="1"/>
          <w:wBefore w:w="198" w:type="pct"/>
          <w:cantSplit/>
        </w:trPr>
        <w:tc>
          <w:tcPr>
            <w:tcW w:w="4802" w:type="pct"/>
            <w:gridSpan w:val="5"/>
            <w:tcBorders>
              <w:bottom w:val="single" w:sz="4" w:space="0" w:color="646464"/>
            </w:tcBorders>
            <w:shd w:val="clear" w:color="auto" w:fill="auto"/>
          </w:tcPr>
          <w:p w:rsidR="0053647D" w:rsidRDefault="0053647D" w:rsidP="00297DB7">
            <w:pPr>
              <w:pStyle w:val="Source"/>
            </w:pPr>
            <w:r>
              <w:t xml:space="preserve">Source: </w:t>
            </w:r>
            <w:hyperlink r:id="rId114" w:history="1">
              <w:r w:rsidR="00CB19E2" w:rsidRPr="00BA656D">
                <w:rPr>
                  <w:rStyle w:val="Hyperlink"/>
                </w:rPr>
                <w:t>https://apvma.gov.au/node/1088</w:t>
              </w:r>
            </w:hyperlink>
            <w:r w:rsidR="00CB19E2">
              <w:t xml:space="preserve"> accessed </w:t>
            </w:r>
            <w:r w:rsidR="00457B6A">
              <w:t xml:space="preserve">on </w:t>
            </w:r>
            <w:r w:rsidR="00767881">
              <w:t xml:space="preserve">28 </w:t>
            </w:r>
            <w:r w:rsidR="00CB19E2">
              <w:t xml:space="preserve">May </w:t>
            </w:r>
            <w:r w:rsidR="00767881">
              <w:t>2017</w:t>
            </w:r>
          </w:p>
        </w:tc>
      </w:tr>
      <w:tr w:rsidR="00E86A68" w:rsidTr="005021FC">
        <w:tblPrEx>
          <w:tblBorders>
            <w:bottom w:val="single" w:sz="4" w:space="0" w:color="646464"/>
            <w:insideH w:val="single" w:sz="4" w:space="0" w:color="646464"/>
          </w:tblBorders>
        </w:tblPrEx>
        <w:trPr>
          <w:gridBefore w:val="1"/>
          <w:wBefore w:w="198" w:type="pct"/>
          <w:cantSplit/>
          <w:trHeight w:hRule="exact" w:val="120"/>
        </w:trPr>
        <w:tc>
          <w:tcPr>
            <w:tcW w:w="4802" w:type="pct"/>
            <w:gridSpan w:val="5"/>
            <w:tcBorders>
              <w:top w:val="single" w:sz="4" w:space="0" w:color="646464"/>
              <w:bottom w:val="nil"/>
            </w:tcBorders>
            <w:shd w:val="clear" w:color="auto" w:fill="auto"/>
          </w:tcPr>
          <w:p w:rsidR="0053647D" w:rsidRDefault="0053647D" w:rsidP="0053647D">
            <w:pPr>
              <w:pStyle w:val="spacertbl"/>
            </w:pPr>
          </w:p>
        </w:tc>
      </w:tr>
    </w:tbl>
    <w:p w:rsidR="003820BC" w:rsidRDefault="0009543F" w:rsidP="0009543F">
      <w:pPr>
        <w:pStyle w:val="Heading8"/>
      </w:pPr>
      <w:bookmarkStart w:id="199" w:name="_Toc497300874"/>
      <w:r>
        <w:t>Permit fees</w:t>
      </w:r>
      <w:bookmarkEnd w:id="199"/>
    </w:p>
    <w:p w:rsidR="003820BC" w:rsidRDefault="003820BC" w:rsidP="00FA0091">
      <w:pPr>
        <w:pStyle w:val="BodyText"/>
      </w:pPr>
    </w:p>
    <w:p w:rsidR="0009543F" w:rsidRDefault="0009543F" w:rsidP="0009543F">
      <w:pPr>
        <w:pStyle w:val="Caption"/>
        <w:spacing w:before="160"/>
        <w:ind w:left="-1753" w:firstLine="0"/>
      </w:pPr>
      <w:bookmarkStart w:id="200" w:name="_Toc497132828"/>
      <w:r>
        <w:rPr>
          <w:rStyle w:val="CaptionLabel"/>
        </w:rPr>
        <w:t>Table </w:t>
      </w:r>
      <w:r w:rsidR="00C4180B">
        <w:rPr>
          <w:rStyle w:val="CaptionLabel"/>
        </w:rPr>
        <w:fldChar w:fldCharType="begin"/>
      </w:r>
      <w:r w:rsidR="00C4180B">
        <w:rPr>
          <w:rStyle w:val="CaptionLabel"/>
        </w:rPr>
        <w:instrText xml:space="preserve"> STYLEREF 7 \s </w:instrText>
      </w:r>
      <w:r w:rsidR="00C4180B">
        <w:rPr>
          <w:rStyle w:val="CaptionLabel"/>
        </w:rPr>
        <w:fldChar w:fldCharType="separate"/>
      </w:r>
      <w:r w:rsidR="0087688C">
        <w:rPr>
          <w:rStyle w:val="CaptionLabel"/>
          <w:noProof/>
        </w:rPr>
        <w:t>B</w:t>
      </w:r>
      <w:r w:rsidR="00C4180B">
        <w:rPr>
          <w:rStyle w:val="CaptionLabel"/>
        </w:rPr>
        <w:fldChar w:fldCharType="end"/>
      </w:r>
      <w:r w:rsidR="00C4180B">
        <w:rPr>
          <w:rStyle w:val="CaptionLabel"/>
        </w:rPr>
        <w:t>.</w:t>
      </w:r>
      <w:r w:rsidR="00C4180B">
        <w:rPr>
          <w:rStyle w:val="CaptionLabel"/>
        </w:rPr>
        <w:fldChar w:fldCharType="begin"/>
      </w:r>
      <w:r w:rsidR="00C4180B">
        <w:rPr>
          <w:rStyle w:val="CaptionLabel"/>
        </w:rPr>
        <w:instrText xml:space="preserve"> SEQ Table_AP \* ARABIC \s 7 </w:instrText>
      </w:r>
      <w:r w:rsidR="00C4180B">
        <w:rPr>
          <w:rStyle w:val="CaptionLabel"/>
        </w:rPr>
        <w:fldChar w:fldCharType="separate"/>
      </w:r>
      <w:r w:rsidR="001977DE">
        <w:rPr>
          <w:rStyle w:val="CaptionLabel"/>
          <w:noProof/>
        </w:rPr>
        <w:t>4</w:t>
      </w:r>
      <w:r w:rsidR="00C4180B">
        <w:rPr>
          <w:rStyle w:val="CaptionLabel"/>
        </w:rPr>
        <w:fldChar w:fldCharType="end"/>
      </w:r>
      <w:r>
        <w:tab/>
      </w:r>
      <w:r w:rsidR="00A95734">
        <w:t xml:space="preserve">Permit </w:t>
      </w:r>
      <w:r>
        <w:t>Approval</w:t>
      </w:r>
      <w:r w:rsidR="00A95734">
        <w:t>s m</w:t>
      </w:r>
      <w:r>
        <w:t>ade under section 110A or 115(3A) of the agvet code</w:t>
      </w:r>
      <w:bookmarkEnd w:id="200"/>
    </w:p>
    <w:tbl>
      <w:tblPr>
        <w:tblW w:w="10379" w:type="dxa"/>
        <w:tblInd w:w="-2207" w:type="dxa"/>
        <w:tblLayout w:type="fixed"/>
        <w:tblCellMar>
          <w:left w:w="0" w:type="dxa"/>
          <w:bottom w:w="40" w:type="dxa"/>
          <w:right w:w="0" w:type="dxa"/>
        </w:tblCellMar>
        <w:tblLook w:val="0000" w:firstRow="0" w:lastRow="0" w:firstColumn="0" w:lastColumn="0" w:noHBand="0" w:noVBand="0"/>
        <w:tblDescription w:val="table_Std"/>
      </w:tblPr>
      <w:tblGrid>
        <w:gridCol w:w="466"/>
        <w:gridCol w:w="631"/>
        <w:gridCol w:w="4513"/>
        <w:gridCol w:w="1135"/>
        <w:gridCol w:w="998"/>
        <w:gridCol w:w="1013"/>
        <w:gridCol w:w="1623"/>
      </w:tblGrid>
      <w:tr w:rsidR="00E86A68" w:rsidTr="00A24348">
        <w:trPr>
          <w:cantSplit/>
          <w:tblHeader/>
        </w:trPr>
        <w:tc>
          <w:tcPr>
            <w:tcW w:w="528" w:type="pct"/>
            <w:gridSpan w:val="2"/>
            <w:shd w:val="clear" w:color="auto" w:fill="9D57A6"/>
            <w:tcMar>
              <w:left w:w="454" w:type="dxa"/>
              <w:bottom w:w="0" w:type="dxa"/>
            </w:tcMar>
          </w:tcPr>
          <w:p w:rsidR="0009543F" w:rsidRDefault="0009543F" w:rsidP="00A24348">
            <w:pPr>
              <w:pStyle w:val="Tablecolumnheadings"/>
            </w:pPr>
            <w:r>
              <w:t>Item</w:t>
            </w:r>
          </w:p>
        </w:tc>
        <w:tc>
          <w:tcPr>
            <w:tcW w:w="2174" w:type="pct"/>
            <w:shd w:val="clear" w:color="auto" w:fill="9D57A6"/>
            <w:tcMar>
              <w:bottom w:w="0" w:type="dxa"/>
            </w:tcMar>
          </w:tcPr>
          <w:p w:rsidR="0009543F" w:rsidRDefault="0009543F" w:rsidP="00A24348">
            <w:pPr>
              <w:pStyle w:val="Tablecolumnheadings"/>
            </w:pPr>
            <w:r>
              <w:t>Description of application</w:t>
            </w:r>
          </w:p>
        </w:tc>
        <w:tc>
          <w:tcPr>
            <w:tcW w:w="547" w:type="pct"/>
            <w:shd w:val="clear" w:color="auto" w:fill="9D57A6"/>
            <w:tcMar>
              <w:bottom w:w="0" w:type="dxa"/>
            </w:tcMar>
          </w:tcPr>
          <w:p w:rsidR="0009543F" w:rsidRDefault="0009543F" w:rsidP="00A24348">
            <w:pPr>
              <w:pStyle w:val="Tablecolumnheadings"/>
            </w:pPr>
            <w:r>
              <w:t>Assessment period</w:t>
            </w:r>
          </w:p>
        </w:tc>
        <w:tc>
          <w:tcPr>
            <w:tcW w:w="481" w:type="pct"/>
            <w:shd w:val="clear" w:color="auto" w:fill="9D57A6"/>
            <w:tcMar>
              <w:bottom w:w="0" w:type="dxa"/>
            </w:tcMar>
          </w:tcPr>
          <w:p w:rsidR="0009543F" w:rsidRDefault="0009543F" w:rsidP="00A24348">
            <w:pPr>
              <w:pStyle w:val="Tablecolumnheadings"/>
            </w:pPr>
            <w:r>
              <w:t xml:space="preserve">Fee </w:t>
            </w:r>
            <w:r>
              <w:br/>
              <w:t>July 2014</w:t>
            </w:r>
          </w:p>
        </w:tc>
        <w:tc>
          <w:tcPr>
            <w:tcW w:w="488" w:type="pct"/>
            <w:shd w:val="clear" w:color="auto" w:fill="9D57A6"/>
            <w:tcMar>
              <w:bottom w:w="0" w:type="dxa"/>
            </w:tcMar>
          </w:tcPr>
          <w:p w:rsidR="0009543F" w:rsidRDefault="0009543F" w:rsidP="00A24348">
            <w:pPr>
              <w:pStyle w:val="Tablecolumnheadings"/>
            </w:pPr>
            <w:r>
              <w:t>Fee</w:t>
            </w:r>
            <w:r>
              <w:br/>
              <w:t>July 2015</w:t>
            </w:r>
          </w:p>
        </w:tc>
        <w:tc>
          <w:tcPr>
            <w:tcW w:w="782" w:type="pct"/>
            <w:shd w:val="clear" w:color="auto" w:fill="9D57A6"/>
            <w:tcMar>
              <w:bottom w:w="0" w:type="dxa"/>
            </w:tcMar>
          </w:tcPr>
          <w:p w:rsidR="0009543F" w:rsidRDefault="0009543F" w:rsidP="00A24348">
            <w:pPr>
              <w:pStyle w:val="Tablecolumnheadings"/>
            </w:pPr>
            <w:r>
              <w:t>Max pre-application assistance rebate</w:t>
            </w:r>
          </w:p>
        </w:tc>
      </w:tr>
      <w:tr w:rsidR="00E86A68" w:rsidTr="00A24348">
        <w:tblPrEx>
          <w:tblBorders>
            <w:bottom w:val="single" w:sz="4" w:space="0" w:color="646464"/>
            <w:insideH w:val="single" w:sz="4" w:space="0" w:color="646464"/>
          </w:tblBorders>
        </w:tblPrEx>
        <w:trPr>
          <w:gridBefore w:val="1"/>
          <w:wBefore w:w="224" w:type="pct"/>
          <w:cantSplit/>
        </w:trPr>
        <w:tc>
          <w:tcPr>
            <w:tcW w:w="304" w:type="pct"/>
            <w:tcBorders>
              <w:top w:val="nil"/>
            </w:tcBorders>
            <w:shd w:val="clear" w:color="auto" w:fill="auto"/>
          </w:tcPr>
          <w:p w:rsidR="0009543F" w:rsidRDefault="0009543F" w:rsidP="0009543F">
            <w:pPr>
              <w:pStyle w:val="Tabletext"/>
            </w:pPr>
            <w:r>
              <w:t>19</w:t>
            </w:r>
          </w:p>
        </w:tc>
        <w:tc>
          <w:tcPr>
            <w:tcW w:w="2174" w:type="pct"/>
            <w:tcBorders>
              <w:top w:val="nil"/>
            </w:tcBorders>
            <w:shd w:val="clear" w:color="auto" w:fill="auto"/>
          </w:tcPr>
          <w:p w:rsidR="0009543F" w:rsidRDefault="0009543F" w:rsidP="0009543F">
            <w:pPr>
              <w:pStyle w:val="Tabletext"/>
            </w:pPr>
            <w:r>
              <w:rPr>
                <w:rStyle w:val="apple-converted-space"/>
                <w:rFonts w:ascii="Arial" w:hAnsi="Arial" w:cs="Arial"/>
                <w:color w:val="353735"/>
                <w:sz w:val="21"/>
                <w:szCs w:val="21"/>
              </w:rPr>
              <w:t xml:space="preserve">A </w:t>
            </w:r>
            <w:r>
              <w:t>permit, or extension of a permit, to possess or supply, other than for use in Australia, an active constituent that is not an approved active constituent or a chemical product that is not a registered chemical product, where no data of a technical nature is required</w:t>
            </w:r>
          </w:p>
        </w:tc>
        <w:tc>
          <w:tcPr>
            <w:tcW w:w="547" w:type="pct"/>
            <w:tcBorders>
              <w:top w:val="nil"/>
            </w:tcBorders>
            <w:shd w:val="clear" w:color="auto" w:fill="auto"/>
          </w:tcPr>
          <w:p w:rsidR="0009543F" w:rsidRDefault="0009543F" w:rsidP="0009543F">
            <w:pPr>
              <w:pStyle w:val="Tabletext"/>
            </w:pPr>
            <w:r>
              <w:t>3 months</w:t>
            </w:r>
          </w:p>
        </w:tc>
        <w:tc>
          <w:tcPr>
            <w:tcW w:w="481" w:type="pct"/>
            <w:tcBorders>
              <w:top w:val="nil"/>
            </w:tcBorders>
            <w:shd w:val="clear" w:color="auto" w:fill="auto"/>
          </w:tcPr>
          <w:p w:rsidR="0009543F" w:rsidRDefault="0009543F" w:rsidP="0009543F">
            <w:pPr>
              <w:pStyle w:val="Tabletext"/>
            </w:pPr>
            <w:r>
              <w:t>$350</w:t>
            </w:r>
          </w:p>
        </w:tc>
        <w:tc>
          <w:tcPr>
            <w:tcW w:w="488" w:type="pct"/>
            <w:tcBorders>
              <w:top w:val="nil"/>
            </w:tcBorders>
            <w:shd w:val="clear" w:color="auto" w:fill="auto"/>
          </w:tcPr>
          <w:p w:rsidR="0009543F" w:rsidRDefault="0009543F" w:rsidP="0009543F">
            <w:pPr>
              <w:pStyle w:val="Tabletext"/>
            </w:pPr>
            <w:r>
              <w:t>$350</w:t>
            </w:r>
          </w:p>
        </w:tc>
        <w:tc>
          <w:tcPr>
            <w:tcW w:w="782" w:type="pct"/>
            <w:tcBorders>
              <w:top w:val="nil"/>
            </w:tcBorders>
            <w:shd w:val="clear" w:color="auto" w:fill="auto"/>
          </w:tcPr>
          <w:p w:rsidR="0009543F" w:rsidRDefault="0009543F" w:rsidP="0009543F">
            <w:pPr>
              <w:pStyle w:val="Tabletext"/>
            </w:pPr>
            <w:r>
              <w:t>$350</w:t>
            </w:r>
          </w:p>
        </w:tc>
      </w:tr>
      <w:tr w:rsidR="00E86A68" w:rsidTr="00A24348">
        <w:tblPrEx>
          <w:tblBorders>
            <w:bottom w:val="single" w:sz="4" w:space="0" w:color="646464"/>
            <w:insideH w:val="single" w:sz="4" w:space="0" w:color="646464"/>
          </w:tblBorders>
        </w:tblPrEx>
        <w:trPr>
          <w:gridBefore w:val="1"/>
          <w:wBefore w:w="224" w:type="pct"/>
          <w:cantSplit/>
        </w:trPr>
        <w:tc>
          <w:tcPr>
            <w:tcW w:w="304" w:type="pct"/>
            <w:shd w:val="clear" w:color="auto" w:fill="auto"/>
          </w:tcPr>
          <w:p w:rsidR="0009543F" w:rsidRDefault="0009543F" w:rsidP="0009543F">
            <w:pPr>
              <w:pStyle w:val="Tabletext"/>
            </w:pPr>
            <w:r>
              <w:t>20</w:t>
            </w:r>
          </w:p>
        </w:tc>
        <w:tc>
          <w:tcPr>
            <w:tcW w:w="2174" w:type="pct"/>
            <w:shd w:val="clear" w:color="auto" w:fill="auto"/>
          </w:tcPr>
          <w:p w:rsidR="0009543F" w:rsidRDefault="0009543F" w:rsidP="0009543F">
            <w:pPr>
              <w:pStyle w:val="Tabletext"/>
            </w:pPr>
            <w:r>
              <w:t>A permit, or extension of a permit, where a previous assessment remains valid and no data of a technical nature is required</w:t>
            </w:r>
          </w:p>
        </w:tc>
        <w:tc>
          <w:tcPr>
            <w:tcW w:w="547" w:type="pct"/>
            <w:shd w:val="clear" w:color="auto" w:fill="auto"/>
          </w:tcPr>
          <w:p w:rsidR="0009543F" w:rsidRDefault="0009543F" w:rsidP="0009543F">
            <w:pPr>
              <w:pStyle w:val="Tabletext"/>
            </w:pPr>
            <w:r>
              <w:t>3 months</w:t>
            </w:r>
          </w:p>
        </w:tc>
        <w:tc>
          <w:tcPr>
            <w:tcW w:w="481" w:type="pct"/>
            <w:shd w:val="clear" w:color="auto" w:fill="auto"/>
          </w:tcPr>
          <w:p w:rsidR="0009543F" w:rsidRDefault="0009543F" w:rsidP="0009543F">
            <w:pPr>
              <w:pStyle w:val="Tabletext"/>
            </w:pPr>
            <w:r>
              <w:t>$350</w:t>
            </w:r>
          </w:p>
        </w:tc>
        <w:tc>
          <w:tcPr>
            <w:tcW w:w="488" w:type="pct"/>
            <w:shd w:val="clear" w:color="auto" w:fill="auto"/>
          </w:tcPr>
          <w:p w:rsidR="0009543F" w:rsidRDefault="0009543F" w:rsidP="0009543F">
            <w:pPr>
              <w:pStyle w:val="Tabletext"/>
            </w:pPr>
            <w:r>
              <w:t>$350</w:t>
            </w:r>
          </w:p>
        </w:tc>
        <w:tc>
          <w:tcPr>
            <w:tcW w:w="782" w:type="pct"/>
            <w:shd w:val="clear" w:color="auto" w:fill="auto"/>
          </w:tcPr>
          <w:p w:rsidR="0009543F" w:rsidRDefault="0009543F" w:rsidP="0009543F">
            <w:pPr>
              <w:pStyle w:val="Tabletext"/>
            </w:pPr>
            <w:r>
              <w:t>$350</w:t>
            </w:r>
          </w:p>
        </w:tc>
      </w:tr>
      <w:tr w:rsidR="00E86A68" w:rsidTr="00A24348">
        <w:tblPrEx>
          <w:tblBorders>
            <w:bottom w:val="single" w:sz="4" w:space="0" w:color="646464"/>
            <w:insideH w:val="single" w:sz="4" w:space="0" w:color="646464"/>
          </w:tblBorders>
        </w:tblPrEx>
        <w:trPr>
          <w:gridBefore w:val="1"/>
          <w:wBefore w:w="224" w:type="pct"/>
          <w:cantSplit/>
        </w:trPr>
        <w:tc>
          <w:tcPr>
            <w:tcW w:w="304" w:type="pct"/>
            <w:shd w:val="clear" w:color="auto" w:fill="auto"/>
          </w:tcPr>
          <w:p w:rsidR="0009543F" w:rsidRDefault="0009543F" w:rsidP="0009543F">
            <w:pPr>
              <w:pStyle w:val="Tabletext"/>
            </w:pPr>
            <w:r>
              <w:t>21</w:t>
            </w:r>
          </w:p>
        </w:tc>
        <w:tc>
          <w:tcPr>
            <w:tcW w:w="2174" w:type="pct"/>
            <w:shd w:val="clear" w:color="auto" w:fill="auto"/>
          </w:tcPr>
          <w:p w:rsidR="0009543F" w:rsidRDefault="0009543F" w:rsidP="0009543F">
            <w:pPr>
              <w:pStyle w:val="Tabletext"/>
            </w:pPr>
            <w:r>
              <w:t>A permit, or extension of a permit, where the proposed use is a minor use</w:t>
            </w:r>
          </w:p>
        </w:tc>
        <w:tc>
          <w:tcPr>
            <w:tcW w:w="547" w:type="pct"/>
            <w:shd w:val="clear" w:color="auto" w:fill="auto"/>
          </w:tcPr>
          <w:p w:rsidR="0009543F" w:rsidRDefault="0009543F" w:rsidP="0009543F">
            <w:pPr>
              <w:pStyle w:val="Tabletext"/>
            </w:pPr>
            <w:r>
              <w:t>Modular assessment period</w:t>
            </w:r>
          </w:p>
        </w:tc>
        <w:tc>
          <w:tcPr>
            <w:tcW w:w="481" w:type="pct"/>
            <w:shd w:val="clear" w:color="auto" w:fill="auto"/>
          </w:tcPr>
          <w:p w:rsidR="0009543F" w:rsidRDefault="0009543F" w:rsidP="0009543F">
            <w:pPr>
              <w:pStyle w:val="Tabletext"/>
            </w:pPr>
            <w:r>
              <w:t>$350</w:t>
            </w:r>
          </w:p>
        </w:tc>
        <w:tc>
          <w:tcPr>
            <w:tcW w:w="488" w:type="pct"/>
            <w:shd w:val="clear" w:color="auto" w:fill="auto"/>
          </w:tcPr>
          <w:p w:rsidR="0009543F" w:rsidRDefault="0009543F" w:rsidP="0009543F">
            <w:pPr>
              <w:pStyle w:val="Tabletext"/>
            </w:pPr>
            <w:r>
              <w:t>$350</w:t>
            </w:r>
          </w:p>
        </w:tc>
        <w:tc>
          <w:tcPr>
            <w:tcW w:w="782" w:type="pct"/>
            <w:shd w:val="clear" w:color="auto" w:fill="auto"/>
          </w:tcPr>
          <w:p w:rsidR="0009543F" w:rsidRDefault="0009543F" w:rsidP="0009543F">
            <w:pPr>
              <w:pStyle w:val="Tabletext"/>
            </w:pPr>
            <w:r>
              <w:t>$350</w:t>
            </w:r>
          </w:p>
        </w:tc>
      </w:tr>
      <w:tr w:rsidR="00E86A68" w:rsidTr="00A24348">
        <w:tblPrEx>
          <w:tblBorders>
            <w:bottom w:val="single" w:sz="4" w:space="0" w:color="646464"/>
            <w:insideH w:val="single" w:sz="4" w:space="0" w:color="646464"/>
          </w:tblBorders>
        </w:tblPrEx>
        <w:trPr>
          <w:gridBefore w:val="1"/>
          <w:wBefore w:w="224" w:type="pct"/>
          <w:cantSplit/>
        </w:trPr>
        <w:tc>
          <w:tcPr>
            <w:tcW w:w="304" w:type="pct"/>
            <w:shd w:val="clear" w:color="auto" w:fill="auto"/>
          </w:tcPr>
          <w:p w:rsidR="0009543F" w:rsidRDefault="0009543F" w:rsidP="0009543F">
            <w:pPr>
              <w:pStyle w:val="Tabletext"/>
            </w:pPr>
            <w:r>
              <w:t>22</w:t>
            </w:r>
          </w:p>
        </w:tc>
        <w:tc>
          <w:tcPr>
            <w:tcW w:w="2174" w:type="pct"/>
            <w:shd w:val="clear" w:color="auto" w:fill="auto"/>
          </w:tcPr>
          <w:p w:rsidR="0009543F" w:rsidRDefault="0009543F" w:rsidP="0009543F">
            <w:pPr>
              <w:pStyle w:val="Tabletext"/>
            </w:pPr>
            <w:r>
              <w:rPr>
                <w:shd w:val="clear" w:color="auto" w:fill="FFFFFF"/>
              </w:rPr>
              <w:t>A permit, or extension of a permit, in respect of a chemical product or an active constituent if the proposed use of the chemical product or active constituent is determined by the APVMA to be an emergency use</w:t>
            </w:r>
          </w:p>
        </w:tc>
        <w:tc>
          <w:tcPr>
            <w:tcW w:w="547" w:type="pct"/>
            <w:shd w:val="clear" w:color="auto" w:fill="auto"/>
          </w:tcPr>
          <w:p w:rsidR="0009543F" w:rsidRDefault="0009543F" w:rsidP="0009543F">
            <w:pPr>
              <w:pStyle w:val="Tabletext"/>
            </w:pPr>
            <w:r>
              <w:t>Nil</w:t>
            </w:r>
          </w:p>
        </w:tc>
        <w:tc>
          <w:tcPr>
            <w:tcW w:w="481" w:type="pct"/>
            <w:shd w:val="clear" w:color="auto" w:fill="auto"/>
          </w:tcPr>
          <w:p w:rsidR="0009543F" w:rsidRDefault="0009543F" w:rsidP="0009543F">
            <w:pPr>
              <w:pStyle w:val="Tabletext"/>
            </w:pPr>
          </w:p>
        </w:tc>
        <w:tc>
          <w:tcPr>
            <w:tcW w:w="488" w:type="pct"/>
            <w:shd w:val="clear" w:color="auto" w:fill="auto"/>
          </w:tcPr>
          <w:p w:rsidR="0009543F" w:rsidRDefault="0009543F" w:rsidP="0009543F">
            <w:pPr>
              <w:pStyle w:val="Tabletext"/>
            </w:pPr>
          </w:p>
        </w:tc>
        <w:tc>
          <w:tcPr>
            <w:tcW w:w="782" w:type="pct"/>
            <w:shd w:val="clear" w:color="auto" w:fill="auto"/>
          </w:tcPr>
          <w:p w:rsidR="0009543F" w:rsidRDefault="0009543F" w:rsidP="0009543F">
            <w:pPr>
              <w:pStyle w:val="Tabletext"/>
            </w:pPr>
            <w:r>
              <w:t>Nil</w:t>
            </w:r>
          </w:p>
        </w:tc>
      </w:tr>
      <w:tr w:rsidR="00E86A68" w:rsidTr="00A24348">
        <w:tblPrEx>
          <w:tblBorders>
            <w:bottom w:val="single" w:sz="4" w:space="0" w:color="646464"/>
            <w:insideH w:val="single" w:sz="4" w:space="0" w:color="646464"/>
          </w:tblBorders>
        </w:tblPrEx>
        <w:trPr>
          <w:gridBefore w:val="1"/>
          <w:wBefore w:w="224" w:type="pct"/>
          <w:cantSplit/>
        </w:trPr>
        <w:tc>
          <w:tcPr>
            <w:tcW w:w="304" w:type="pct"/>
            <w:shd w:val="clear" w:color="auto" w:fill="auto"/>
          </w:tcPr>
          <w:p w:rsidR="0009543F" w:rsidRDefault="0009543F" w:rsidP="0009543F">
            <w:pPr>
              <w:pStyle w:val="Tabletext"/>
            </w:pPr>
            <w:r>
              <w:t>23</w:t>
            </w:r>
          </w:p>
        </w:tc>
        <w:tc>
          <w:tcPr>
            <w:tcW w:w="2174" w:type="pct"/>
            <w:shd w:val="clear" w:color="auto" w:fill="auto"/>
          </w:tcPr>
          <w:p w:rsidR="0009543F" w:rsidRDefault="0009543F" w:rsidP="0009543F">
            <w:pPr>
              <w:pStyle w:val="Tabletext"/>
            </w:pPr>
            <w:r>
              <w:rPr>
                <w:shd w:val="clear" w:color="auto" w:fill="F5F5F5"/>
              </w:rPr>
              <w:t>A permit, or extension of a permit, in respect of a chemical product or an active constituent if the application is not of a kind described in any of items 19 to 21</w:t>
            </w:r>
          </w:p>
        </w:tc>
        <w:tc>
          <w:tcPr>
            <w:tcW w:w="1516" w:type="pct"/>
            <w:gridSpan w:val="3"/>
            <w:shd w:val="clear" w:color="auto" w:fill="auto"/>
          </w:tcPr>
          <w:p w:rsidR="0009543F" w:rsidRDefault="0009543F" w:rsidP="0009543F">
            <w:pPr>
              <w:pStyle w:val="Tabletext"/>
            </w:pPr>
            <w:r>
              <w:rPr>
                <w:shd w:val="clear" w:color="auto" w:fill="F5F5F5"/>
              </w:rPr>
              <w:t>Modular assessment period and fee</w:t>
            </w:r>
          </w:p>
        </w:tc>
        <w:tc>
          <w:tcPr>
            <w:tcW w:w="782" w:type="pct"/>
            <w:shd w:val="clear" w:color="auto" w:fill="auto"/>
          </w:tcPr>
          <w:p w:rsidR="0009543F" w:rsidRDefault="0009543F" w:rsidP="0009543F">
            <w:pPr>
              <w:pStyle w:val="Tabletext"/>
            </w:pPr>
            <w:r>
              <w:t>$350</w:t>
            </w:r>
          </w:p>
        </w:tc>
      </w:tr>
      <w:tr w:rsidR="00E86A68" w:rsidTr="00A24348">
        <w:tblPrEx>
          <w:tblBorders>
            <w:bottom w:val="single" w:sz="4" w:space="0" w:color="646464"/>
            <w:insideH w:val="single" w:sz="4" w:space="0" w:color="646464"/>
          </w:tblBorders>
        </w:tblPrEx>
        <w:trPr>
          <w:gridBefore w:val="1"/>
          <w:wBefore w:w="224" w:type="pct"/>
          <w:cantSplit/>
        </w:trPr>
        <w:tc>
          <w:tcPr>
            <w:tcW w:w="4776" w:type="pct"/>
            <w:gridSpan w:val="6"/>
            <w:tcBorders>
              <w:bottom w:val="single" w:sz="4" w:space="0" w:color="646464"/>
            </w:tcBorders>
            <w:shd w:val="clear" w:color="auto" w:fill="auto"/>
          </w:tcPr>
          <w:p w:rsidR="0009543F" w:rsidRDefault="0009543F" w:rsidP="00297DB7">
            <w:pPr>
              <w:pStyle w:val="Source"/>
            </w:pPr>
            <w:r>
              <w:t xml:space="preserve">Source: </w:t>
            </w:r>
            <w:hyperlink r:id="rId115" w:history="1">
              <w:r w:rsidRPr="00457B6A">
                <w:rPr>
                  <w:rStyle w:val="Hyperlink"/>
                </w:rPr>
                <w:t>https://apvma.gov.au/node/667</w:t>
              </w:r>
            </w:hyperlink>
            <w:r w:rsidR="00297DB7">
              <w:t xml:space="preserve"> </w:t>
            </w:r>
            <w:r>
              <w:t xml:space="preserve">accessed </w:t>
            </w:r>
            <w:r w:rsidR="00767881">
              <w:t xml:space="preserve">28 </w:t>
            </w:r>
            <w:r>
              <w:t xml:space="preserve">May </w:t>
            </w:r>
            <w:r w:rsidR="00767881">
              <w:t>2017</w:t>
            </w:r>
          </w:p>
        </w:tc>
      </w:tr>
      <w:tr w:rsidR="00E86A68" w:rsidTr="00A24348">
        <w:tblPrEx>
          <w:tblBorders>
            <w:bottom w:val="single" w:sz="4" w:space="0" w:color="646464"/>
            <w:insideH w:val="single" w:sz="4" w:space="0" w:color="646464"/>
          </w:tblBorders>
        </w:tblPrEx>
        <w:trPr>
          <w:gridBefore w:val="1"/>
          <w:wBefore w:w="224" w:type="pct"/>
          <w:cantSplit/>
          <w:trHeight w:hRule="exact" w:val="120"/>
        </w:trPr>
        <w:tc>
          <w:tcPr>
            <w:tcW w:w="4776" w:type="pct"/>
            <w:gridSpan w:val="6"/>
            <w:tcBorders>
              <w:top w:val="single" w:sz="4" w:space="0" w:color="646464"/>
              <w:bottom w:val="nil"/>
            </w:tcBorders>
            <w:shd w:val="clear" w:color="auto" w:fill="auto"/>
          </w:tcPr>
          <w:p w:rsidR="0009543F" w:rsidRDefault="0009543F" w:rsidP="00A24348">
            <w:pPr>
              <w:pStyle w:val="spacertbl"/>
            </w:pPr>
          </w:p>
        </w:tc>
      </w:tr>
    </w:tbl>
    <w:p w:rsidR="0009543F" w:rsidRDefault="0009543F" w:rsidP="0009543F">
      <w:pPr>
        <w:pStyle w:val="BodyText"/>
      </w:pPr>
    </w:p>
    <w:p w:rsidR="003820BC" w:rsidRDefault="003820BC" w:rsidP="00FA0091">
      <w:pPr>
        <w:pStyle w:val="BodyText"/>
      </w:pPr>
    </w:p>
    <w:p w:rsidR="00D07597" w:rsidRDefault="00D07597" w:rsidP="00FA0091">
      <w:pPr>
        <w:pStyle w:val="BodyText"/>
        <w:sectPr w:rsidR="00D07597" w:rsidSect="00FA0091">
          <w:headerReference w:type="even" r:id="rId116"/>
          <w:headerReference w:type="default" r:id="rId117"/>
          <w:footerReference w:type="even" r:id="rId118"/>
          <w:headerReference w:type="first" r:id="rId119"/>
          <w:footerReference w:type="first" r:id="rId120"/>
          <w:pgSz w:w="11907" w:h="16839" w:code="9"/>
          <w:pgMar w:top="1100" w:right="443" w:bottom="1320" w:left="3296" w:header="456" w:footer="262" w:gutter="0"/>
          <w:pgNumType w:start="1" w:chapStyle="7" w:chapSep="enDash"/>
          <w:cols w:space="708"/>
          <w:docGrid w:linePitch="360"/>
        </w:sectPr>
      </w:pPr>
    </w:p>
    <w:tbl>
      <w:tblPr>
        <w:tblW w:w="10951" w:type="dxa"/>
        <w:tblInd w:w="24" w:type="dxa"/>
        <w:tblLayout w:type="fixed"/>
        <w:tblCellMar>
          <w:left w:w="0" w:type="dxa"/>
          <w:right w:w="0" w:type="dxa"/>
        </w:tblCellMar>
        <w:tblLook w:val="04A0" w:firstRow="1" w:lastRow="0" w:firstColumn="1" w:lastColumn="0" w:noHBand="0" w:noVBand="1"/>
      </w:tblPr>
      <w:tblGrid>
        <w:gridCol w:w="8459"/>
        <w:gridCol w:w="13"/>
        <w:gridCol w:w="2479"/>
      </w:tblGrid>
      <w:tr w:rsidR="00E86A68" w:rsidTr="00401D90">
        <w:trPr>
          <w:trHeight w:hRule="exact" w:val="8477"/>
        </w:trPr>
        <w:tc>
          <w:tcPr>
            <w:tcW w:w="8459" w:type="dxa"/>
            <w:shd w:val="clear" w:color="auto" w:fill="auto"/>
            <w:tcMar>
              <w:left w:w="0" w:type="dxa"/>
            </w:tcMar>
          </w:tcPr>
          <w:p w:rsidR="00137811" w:rsidRDefault="00137811" w:rsidP="006674E0">
            <w:pPr>
              <w:pStyle w:val="tagcontactsPage-Back"/>
            </w:pPr>
          </w:p>
        </w:tc>
        <w:tc>
          <w:tcPr>
            <w:tcW w:w="2492" w:type="dxa"/>
            <w:gridSpan w:val="2"/>
            <w:shd w:val="clear" w:color="auto" w:fill="auto"/>
            <w:tcMar>
              <w:top w:w="0" w:type="dxa"/>
              <w:right w:w="100" w:type="dxa"/>
            </w:tcMar>
          </w:tcPr>
          <w:p w:rsidR="00137811" w:rsidRDefault="00137811" w:rsidP="006674E0">
            <w:pPr>
              <w:pStyle w:val="CpContactDetails"/>
            </w:pPr>
            <w:r>
              <w:t>ACIL ALLEN</w:t>
            </w:r>
            <w:r w:rsidRPr="00B0723F">
              <w:t xml:space="preserve"> </w:t>
            </w:r>
            <w:r>
              <w:t>CONSU</w:t>
            </w:r>
            <w:r w:rsidRPr="00B0723F">
              <w:t>L</w:t>
            </w:r>
            <w:r>
              <w:t xml:space="preserve">TING PTY </w:t>
            </w:r>
            <w:r w:rsidRPr="00B0723F">
              <w:t>L</w:t>
            </w:r>
            <w:r>
              <w:t>TD</w:t>
            </w:r>
            <w:r>
              <w:br/>
              <w:t>ABN 68 102 652 1</w:t>
            </w:r>
            <w:r w:rsidRPr="00B0723F">
              <w:t>4</w:t>
            </w:r>
            <w:r>
              <w:t>8</w:t>
            </w:r>
          </w:p>
          <w:p w:rsidR="00137811" w:rsidRDefault="00137811" w:rsidP="006674E0">
            <w:pPr>
              <w:pStyle w:val="CpContactDetails"/>
            </w:pPr>
            <w:r>
              <w:t>acilallen</w:t>
            </w:r>
            <w:r w:rsidRPr="00B0723F">
              <w:t>.</w:t>
            </w:r>
            <w:r>
              <w:t>com.</w:t>
            </w:r>
            <w:r w:rsidRPr="00B0723F">
              <w:t>a</w:t>
            </w:r>
            <w:r>
              <w:t>u</w:t>
            </w:r>
          </w:p>
          <w:p w:rsidR="00137811" w:rsidRDefault="00137811" w:rsidP="006674E0">
            <w:pPr>
              <w:pStyle w:val="CpContactDetails"/>
            </w:pPr>
          </w:p>
          <w:p w:rsidR="00137811" w:rsidRDefault="00137811" w:rsidP="006674E0">
            <w:pPr>
              <w:spacing w:before="240" w:after="240" w:line="300" w:lineRule="atLeast"/>
              <w:textAlignment w:val="baseline"/>
              <w:rPr>
                <w:rFonts w:ascii="Arial" w:hAnsi="Arial"/>
                <w:caps/>
                <w:color w:val="000100"/>
                <w:sz w:val="13"/>
              </w:rPr>
            </w:pPr>
          </w:p>
          <w:p w:rsidR="00137811" w:rsidRDefault="00137811" w:rsidP="006674E0">
            <w:pPr>
              <w:spacing w:before="240" w:after="240" w:line="300" w:lineRule="atLeast"/>
              <w:textAlignment w:val="baseline"/>
              <w:rPr>
                <w:rFonts w:ascii="Arial" w:hAnsi="Arial"/>
                <w:caps/>
                <w:color w:val="000100"/>
                <w:sz w:val="13"/>
              </w:rPr>
            </w:pPr>
          </w:p>
          <w:p w:rsidR="00137811" w:rsidRPr="00B0723F" w:rsidRDefault="00137811" w:rsidP="006674E0">
            <w:pPr>
              <w:spacing w:before="240" w:after="240" w:line="300" w:lineRule="atLeast"/>
              <w:textAlignment w:val="baseline"/>
              <w:rPr>
                <w:rFonts w:ascii="Arial" w:hAnsi="Arial"/>
                <w:b/>
                <w:caps/>
                <w:color w:val="000100"/>
                <w:sz w:val="13"/>
              </w:rPr>
            </w:pPr>
            <w:r w:rsidRPr="00B0723F">
              <w:rPr>
                <w:rFonts w:ascii="Arial" w:hAnsi="Arial"/>
                <w:b/>
                <w:caps/>
                <w:color w:val="000100"/>
                <w:sz w:val="13"/>
              </w:rPr>
              <w:t>About ACIL Allen consulting</w:t>
            </w:r>
          </w:p>
          <w:p w:rsidR="00137811" w:rsidRPr="00B0723F" w:rsidRDefault="00137811" w:rsidP="006674E0">
            <w:pPr>
              <w:spacing w:before="240" w:after="240" w:line="300" w:lineRule="atLeast"/>
              <w:textAlignment w:val="baseline"/>
              <w:rPr>
                <w:rFonts w:ascii="Arial" w:hAnsi="Arial"/>
                <w:caps/>
                <w:color w:val="000100"/>
                <w:sz w:val="13"/>
              </w:rPr>
            </w:pPr>
            <w:r w:rsidRPr="00B0723F">
              <w:rPr>
                <w:rFonts w:ascii="Arial" w:hAnsi="Arial"/>
                <w:caps/>
                <w:color w:val="000100"/>
                <w:sz w:val="13"/>
              </w:rPr>
              <w:t>ACIL Allen Consulting is one of the largest independent, economic, public policy, and public affairs management consulting firms in Australia.</w:t>
            </w:r>
          </w:p>
          <w:p w:rsidR="00137811" w:rsidRPr="00B0723F" w:rsidRDefault="00137811" w:rsidP="006674E0">
            <w:pPr>
              <w:spacing w:before="240" w:after="240" w:line="300" w:lineRule="atLeast"/>
              <w:textAlignment w:val="baseline"/>
              <w:rPr>
                <w:rFonts w:ascii="Arial" w:hAnsi="Arial"/>
                <w:caps/>
                <w:color w:val="000100"/>
                <w:sz w:val="13"/>
              </w:rPr>
            </w:pPr>
            <w:r w:rsidRPr="00B0723F">
              <w:rPr>
                <w:rFonts w:ascii="Arial" w:hAnsi="Arial"/>
                <w:caps/>
                <w:color w:val="000100"/>
                <w:sz w:val="13"/>
              </w:rPr>
              <w:t>We advise companies, institutions and governments on economics, policy and corporate public affairs management.</w:t>
            </w:r>
          </w:p>
          <w:p w:rsidR="00137811" w:rsidRPr="00B0723F" w:rsidRDefault="00137811" w:rsidP="006674E0">
            <w:pPr>
              <w:spacing w:before="240" w:after="240" w:line="300" w:lineRule="atLeast"/>
              <w:textAlignment w:val="baseline"/>
              <w:rPr>
                <w:rFonts w:ascii="Arial" w:hAnsi="Arial"/>
                <w:caps/>
                <w:color w:val="000100"/>
                <w:sz w:val="13"/>
              </w:rPr>
            </w:pPr>
            <w:r w:rsidRPr="00B0723F">
              <w:rPr>
                <w:rFonts w:ascii="Arial" w:hAnsi="Arial"/>
                <w:caps/>
                <w:color w:val="000100"/>
                <w:sz w:val="13"/>
              </w:rPr>
              <w:t>We provide senior advisory services that bring unparalleled strategic thinking and real world experience to bear on problem solving and strategy formulation.</w:t>
            </w:r>
          </w:p>
          <w:p w:rsidR="00137811" w:rsidRDefault="00137811" w:rsidP="006674E0">
            <w:pPr>
              <w:pStyle w:val="CpContactDetails"/>
            </w:pPr>
          </w:p>
        </w:tc>
      </w:tr>
      <w:tr w:rsidR="00E86A68" w:rsidTr="00401D90">
        <w:trPr>
          <w:trHeight w:hRule="exact" w:val="1360"/>
        </w:trPr>
        <w:tc>
          <w:tcPr>
            <w:tcW w:w="8472" w:type="dxa"/>
            <w:gridSpan w:val="2"/>
            <w:shd w:val="clear" w:color="auto" w:fill="auto"/>
            <w:tcMar>
              <w:left w:w="0" w:type="dxa"/>
              <w:right w:w="436" w:type="dxa"/>
            </w:tcMar>
          </w:tcPr>
          <w:p w:rsidR="00137811" w:rsidRDefault="00137811" w:rsidP="006674E0">
            <w:pPr>
              <w:pStyle w:val="spacer"/>
            </w:pPr>
          </w:p>
        </w:tc>
        <w:tc>
          <w:tcPr>
            <w:tcW w:w="2479" w:type="dxa"/>
            <w:shd w:val="clear" w:color="auto" w:fill="auto"/>
          </w:tcPr>
          <w:p w:rsidR="00137811" w:rsidRDefault="00137811" w:rsidP="006674E0">
            <w:pPr>
              <w:pStyle w:val="spacer"/>
            </w:pPr>
          </w:p>
        </w:tc>
      </w:tr>
      <w:tr w:rsidR="00E86A68" w:rsidTr="00401D90">
        <w:trPr>
          <w:trHeight w:hRule="exact" w:val="2752"/>
        </w:trPr>
        <w:tc>
          <w:tcPr>
            <w:tcW w:w="8472" w:type="dxa"/>
            <w:gridSpan w:val="2"/>
            <w:shd w:val="clear" w:color="auto" w:fill="auto"/>
            <w:tcMar>
              <w:left w:w="0" w:type="dxa"/>
              <w:right w:w="436" w:type="dxa"/>
            </w:tcMar>
          </w:tcPr>
          <w:p w:rsidR="00137811" w:rsidRDefault="00137811" w:rsidP="006674E0">
            <w:pPr>
              <w:pStyle w:val="CpDisclaimer"/>
            </w:pPr>
          </w:p>
        </w:tc>
        <w:tc>
          <w:tcPr>
            <w:tcW w:w="2479" w:type="dxa"/>
            <w:shd w:val="clear" w:color="auto" w:fill="auto"/>
            <w:tcMar>
              <w:right w:w="400" w:type="dxa"/>
            </w:tcMar>
          </w:tcPr>
          <w:p w:rsidR="00137811" w:rsidRDefault="00137811" w:rsidP="006674E0">
            <w:pPr>
              <w:pStyle w:val="CpDisclaimer"/>
            </w:pPr>
          </w:p>
        </w:tc>
      </w:tr>
    </w:tbl>
    <w:p w:rsidR="00137811" w:rsidRDefault="00137811" w:rsidP="00137811">
      <w:pPr>
        <w:pStyle w:val="BodyText"/>
      </w:pPr>
    </w:p>
    <w:sectPr w:rsidR="00137811" w:rsidSect="00137811">
      <w:headerReference w:type="even" r:id="rId121"/>
      <w:headerReference w:type="default" r:id="rId122"/>
      <w:footerReference w:type="even" r:id="rId123"/>
      <w:footerReference w:type="default" r:id="rId124"/>
      <w:headerReference w:type="first" r:id="rId125"/>
      <w:footerReference w:type="first" r:id="rId126"/>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EF8" w:rsidRDefault="00C66EF8" w:rsidP="00D337DD">
      <w:pPr>
        <w:spacing w:after="0" w:line="240" w:lineRule="auto"/>
      </w:pPr>
      <w:r>
        <w:separator/>
      </w:r>
    </w:p>
  </w:endnote>
  <w:endnote w:type="continuationSeparator" w:id="0">
    <w:p w:rsidR="00C66EF8" w:rsidRDefault="00C66EF8" w:rsidP="00D337DD">
      <w:pPr>
        <w:spacing w:after="0" w:line="240" w:lineRule="auto"/>
      </w:pPr>
      <w:r>
        <w:continuationSeparator/>
      </w:r>
    </w:p>
  </w:endnote>
  <w:endnote w:type="continuationNotice" w:id="1">
    <w:p w:rsidR="00C66EF8" w:rsidRDefault="00C66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doni MT">
    <w:altName w:val="Sitka Small"/>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Helvetica Neue">
    <w:altName w:val="Arial"/>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Default="00C66EF8">
    <w:pPr>
      <w:pStyle w:val="Footer"/>
    </w:pPr>
    <w:r>
      <w:rPr>
        <w:noProof/>
        <w:lang w:eastAsia="en-AU"/>
      </w:rPr>
      <mc:AlternateContent>
        <mc:Choice Requires="wpg">
          <w:drawing>
            <wp:anchor distT="0" distB="0" distL="114300" distR="114300" simplePos="0" relativeHeight="252001280" behindDoc="1" locked="0" layoutInCell="1" allowOverlap="1">
              <wp:simplePos x="0" y="0"/>
              <wp:positionH relativeFrom="column">
                <wp:posOffset>370256</wp:posOffset>
              </wp:positionH>
              <wp:positionV relativeFrom="paragraph">
                <wp:posOffset>-4619117</wp:posOffset>
              </wp:positionV>
              <wp:extent cx="6840000" cy="4860000"/>
              <wp:effectExtent l="0" t="0" r="0" b="0"/>
              <wp:wrapNone/>
              <wp:docPr id="117" name="Group 117"/>
              <wp:cNvGraphicFramePr/>
              <a:graphic xmlns:a="http://schemas.openxmlformats.org/drawingml/2006/main">
                <a:graphicData uri="http://schemas.microsoft.com/office/word/2010/wordprocessingGroup">
                  <wpg:wgp>
                    <wpg:cNvGrpSpPr/>
                    <wpg:grpSpPr>
                      <a:xfrm>
                        <a:off x="0" y="0"/>
                        <a:ext cx="6840000" cy="4860000"/>
                        <a:chOff x="0" y="0"/>
                        <a:chExt cx="7553325" cy="5452745"/>
                      </a:xfrm>
                    </wpg:grpSpPr>
                    <wpg:grpSp>
                      <wpg:cNvPr id="187" name="cpSails"/>
                      <wpg:cNvGrpSpPr/>
                      <wpg:grpSpPr>
                        <a:xfrm>
                          <a:off x="0" y="0"/>
                          <a:ext cx="7553325" cy="5452745"/>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 name="cpSails"/>
                      <wpg:cNvGrpSpPr>
                        <a:grpSpLocks/>
                      </wpg:cNvGrpSpPr>
                      <wpg:grpSpPr>
                        <a:xfrm>
                          <a:off x="0" y="7316"/>
                          <a:ext cx="7552690" cy="5443220"/>
                          <a:chOff x="0" y="9525"/>
                          <a:chExt cx="7553325" cy="5443855"/>
                        </a:xfrm>
                      </wpg:grpSpPr>
                      <wps:wsp>
                        <wps:cNvPr id="160"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62"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63" name="coverBar"/>
                        <wps:cNvSpPr/>
                        <wps:spPr>
                          <a:xfrm>
                            <a:off x="0" y="5172075"/>
                            <a:ext cx="7553325" cy="281305"/>
                          </a:xfrm>
                          <a:prstGeom prst="rect">
                            <a:avLst/>
                          </a:prstGeom>
                          <a:solidFill>
                            <a:srgbClr val="FFFE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C73ADE" id="Group 117" o:spid="_x0000_s1026" style="position:absolute;margin-left:29.15pt;margin-top:-363.7pt;width:538.6pt;height:382.7pt;z-index:-251315200;mso-width-relative:margin;mso-height-relative:margin" coordsize="75533,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">
              <v:group id="cpSails" o:spid="_x0000_s1027" style="position:absolute;width:75533;height:54527" coordsize="75533,5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riangle-left" o:spid="_x0000_s1028"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9"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30"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1"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v:group>
              <v:group id="cpSails" o:spid="_x0000_s1032" style="position:absolute;top:73;width:75526;height:54432" coordorigin=",95" coordsize="75533,5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triangle-left" o:spid="_x0000_s1033"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on8MA&#10;AADcAAAADwAAAGRycy9kb3ducmV2LnhtbESPT4vCQAzF74LfYYjgTaf+Qdyuo8iCIIiIVe+hk23L&#10;djKlM6v125uD4C3hvbz3y2rTuVrdqQ2VZwOTcQKKOPe24sLA9bIbLUGFiGyx9kwGnhRgs+73Vpha&#10;/+Az3bNYKAnhkKKBMsYm1TrkJTkMY98Qi/brW4dR1rbQtsWHhLtaT5NkoR1WLA0lNvRTUv6X/TsD&#10;x+p2DF+zw2l6mh/0Ttvs1u0zY4aDbvsNKlIXP+b39d4K/kL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on8MAAADcAAAADwAAAAAAAAAAAAAAAACYAgAAZHJzL2Rv&#10;d25yZXYueG1sUEsFBgAAAAAEAAQA9QAAAIgDAAAAAA==&#10;" path="m3862,r,3862l,3862,3862,xe" fillcolor="#9757a6" stroked="f">
                  <v:path arrowok="t" o:connecttype="custom" o:connectlocs="5166995,0;5166995,5166995;0,5166995;5166995,0" o:connectangles="0,0,0,0"/>
                </v:shape>
                <v:shape id="triangle-centre" o:spid="_x0000_s1034"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9hsIA&#10;AADcAAAADwAAAGRycy9kb3ducmV2LnhtbERP32vCMBB+H+x/CDfwbaYTV0Y1yhhTZG/qfD+as2lt&#10;LqGJbfWvXwaDvd3H9/OW69G2oqcu1I4VvEwzEMSl0zVXCr6Pm+c3ECEia2wdk4IbBVivHh+WWGg3&#10;8J76Q6xECuFQoAIToy+kDKUhi2HqPHHizq6zGBPsKqk7HFK4beUsy3JpsebUYNDTh6HycrhaBX3V&#10;fG0/y6s5+W3zOvd5M+zzu1KTp/F9ASLSGP/Ff+6dTvPzG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2GwgAAANwAAAAPAAAAAAAAAAAAAAAAAJgCAABkcnMvZG93&#10;bnJldi54bWxQSwUGAAAAAAQABAD1AAAAhwMAAAAA&#10;" path="m3862,r,3862l,3862,3862,xe" fillcolor="#784497" stroked="f">
                  <v:path arrowok="t" o:connecttype="custom" o:connectlocs="3359785,0;3359785,3359785;0,3359785;3359785,0" o:connectangles="0,0,0,0"/>
                </v:shape>
                <v:rect id="coverBar" o:spid="_x0000_s1035"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j1cAA&#10;AADcAAAADwAAAGRycy9kb3ducmV2LnhtbERPTYvCMBC9L/gfwgheFk1VVqQ2FREVj2t3wevYjG2x&#10;mZQm1frvjbCwt3m8z0nWvanFnVpXWVYwnUQgiHOrKy4U/P7sx0sQziNrrC2Tgic5WKeDjwRjbR98&#10;onvmCxFC2MWooPS+iaV0eUkG3cQ2xIG72tagD7AtpG7xEcJNLWdRtJAGKw4NJTa0LSm/ZZ1RgPms&#10;+3TfxaXLDlUz/4q682lHSo2G/WYFwlPv/8V/7qMO8xdzeD8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Dj1cAAAADcAAAADwAAAAAAAAAAAAAAAACYAgAAZHJzL2Rvd25y&#10;ZXYueG1sUEsFBgAAAAAEAAQA9QAAAIUDAAAAAA==&#10;" fillcolor="#fffeff" stroked="f" strokeweight="1pt"/>
              </v:group>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371E4">
          <w:pPr>
            <w:pStyle w:val="FooterText"/>
          </w:pPr>
          <w:r>
            <w:fldChar w:fldCharType="begin"/>
          </w:r>
          <w:r>
            <w:instrText xml:space="preserve"> STYLEREF  "Cp Title"  \* MERGEFORMAT </w:instrText>
          </w:r>
          <w:r>
            <w:fldChar w:fldCharType="separate"/>
          </w:r>
          <w:r w:rsidR="00C66EF8" w:rsidRPr="0087688C">
            <w:rPr>
              <w:b/>
              <w:bCs/>
              <w:noProof/>
            </w:rPr>
            <w:t>Review of international</w:t>
          </w:r>
          <w:r w:rsidR="00C66EF8">
            <w:rPr>
              <w:noProof/>
            </w:rPr>
            <w:t xml:space="preserve"> IP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371E4">
          <w:pPr>
            <w:pStyle w:val="pageNumber"/>
          </w:pPr>
          <w:r>
            <w:fldChar w:fldCharType="begin"/>
          </w:r>
          <w:r>
            <w:instrText xml:space="preserve"> PAGE   \* MERGEFORMAT </w:instrText>
          </w:r>
          <w:r>
            <w:fldChar w:fldCharType="separate"/>
          </w:r>
          <w:r>
            <w:rPr>
              <w:noProof/>
            </w:rPr>
            <w:t>i</w:t>
          </w:r>
          <w:r>
            <w:rPr>
              <w:noProof/>
            </w:rPr>
            <w:fldChar w:fldCharType="end"/>
          </w:r>
        </w:p>
      </w:tc>
    </w:tr>
  </w:tbl>
  <w:p w:rsidR="00C66EF8" w:rsidRPr="00B21CCC" w:rsidRDefault="00C66EF8" w:rsidP="00F371E4">
    <w:pPr>
      <w:pStyle w:val="Footer"/>
    </w:pPr>
  </w:p>
  <w:p w:rsidR="00C66EF8" w:rsidRDefault="00C66EF8"/>
  <w:p w:rsidR="00C66EF8" w:rsidRDefault="00C66EF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w:t>
          </w:r>
          <w:r w:rsidR="00C66EF8">
            <w:rPr>
              <w:noProof/>
            </w:rPr>
            <w:t xml:space="preserve"> IP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i</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w:t>
          </w:r>
          <w:r w:rsidR="00C66EF8">
            <w:rPr>
              <w:noProof/>
            </w:rPr>
            <w:t xml:space="preserve"> IP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i</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8" w:type="dxa"/>
      <w:tblBorders>
        <w:insideV w:val="single" w:sz="4" w:space="0" w:color="auto"/>
      </w:tblBorders>
      <w:tblLayout w:type="fixed"/>
      <w:tblCellMar>
        <w:left w:w="0" w:type="dxa"/>
        <w:right w:w="0" w:type="dxa"/>
      </w:tblCellMar>
      <w:tblLook w:val="04A0" w:firstRow="1" w:lastRow="0" w:firstColumn="1" w:lastColumn="0" w:noHBand="0" w:noVBand="1"/>
    </w:tblPr>
    <w:tblGrid>
      <w:gridCol w:w="7368"/>
      <w:gridCol w:w="800"/>
    </w:tblGrid>
    <w:tr w:rsidR="00C66EF8" w:rsidTr="00401D90">
      <w:trPr>
        <w:trHeight w:val="620"/>
      </w:trPr>
      <w:tc>
        <w:tcPr>
          <w:tcW w:w="7368" w:type="dxa"/>
          <w:shd w:val="clear" w:color="auto" w:fill="auto"/>
          <w:tcMar>
            <w:right w:w="72" w:type="dxa"/>
          </w:tcMar>
          <w:vAlign w:val="bottom"/>
        </w:tcPr>
        <w:p w:rsidR="00C66EF8" w:rsidRPr="00D15BAD" w:rsidRDefault="00C66EF8" w:rsidP="00F1413A">
          <w:pPr>
            <w:pStyle w:val="FooterText"/>
            <w:rPr>
              <w:b/>
            </w:rPr>
          </w:pPr>
          <w:r w:rsidRPr="00D15BAD">
            <w:rPr>
              <w:b/>
            </w:rPr>
            <w:fldChar w:fldCharType="begin"/>
          </w:r>
          <w:r w:rsidRPr="00D15BAD">
            <w:rPr>
              <w:b/>
            </w:rPr>
            <w:instrText xml:space="preserve"> STYLEREF  "Cp Title"  \* MERGEFORMAT </w:instrText>
          </w:r>
          <w:r w:rsidRPr="00D15BAD">
            <w:rPr>
              <w:b/>
            </w:rPr>
            <w:fldChar w:fldCharType="separate"/>
          </w:r>
          <w:r w:rsidR="0081611A" w:rsidRPr="0081611A">
            <w:rPr>
              <w:b/>
              <w:bCs/>
              <w:noProof/>
            </w:rPr>
            <w:t>Review of international IP &amp; registration arrangements for the</w:t>
          </w:r>
          <w:r w:rsidR="0081611A">
            <w:rPr>
              <w:b/>
              <w:noProof/>
            </w:rPr>
            <w:t xml:space="preserve"> regulation of AGVET chemicals</w:t>
          </w:r>
          <w:r w:rsidRPr="00D15BAD">
            <w:rPr>
              <w:b/>
              <w:noProof/>
            </w:rPr>
            <w:fldChar w:fldCharType="end"/>
          </w:r>
          <w:r w:rsidRPr="00D15BAD">
            <w:rPr>
              <w:b/>
            </w:rPr>
            <w:t xml:space="preserve"> </w:t>
          </w:r>
          <w:r w:rsidRPr="00D15BAD">
            <w:rPr>
              <w:b/>
            </w:rPr>
            <w:fldChar w:fldCharType="begin"/>
          </w:r>
          <w:r w:rsidRPr="00D15BAD">
            <w:rPr>
              <w:b/>
            </w:rPr>
            <w:instrText xml:space="preserve"> STYLEREF  "Cp SubTitle"  \* MERGEFORMAT </w:instrText>
          </w:r>
          <w:r w:rsidRPr="00D15BAD">
            <w:rPr>
              <w:b/>
            </w:rPr>
            <w:fldChar w:fldCharType="separate"/>
          </w:r>
          <w:r w:rsidR="0081611A" w:rsidRPr="0081611A">
            <w:rPr>
              <w:b/>
              <w:bCs/>
              <w:noProof/>
            </w:rPr>
            <w:t>Final REport</w:t>
          </w:r>
          <w:r w:rsidRPr="00D15BAD">
            <w:rPr>
              <w:b/>
              <w:bCs/>
              <w:noProof/>
            </w:rPr>
            <w:fldChar w:fldCharType="end"/>
          </w:r>
        </w:p>
      </w:tc>
      <w:tc>
        <w:tcPr>
          <w:tcW w:w="80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sidR="0081611A">
            <w:rPr>
              <w:noProof/>
            </w:rPr>
            <w:t>7</w:t>
          </w:r>
          <w:r>
            <w:rPr>
              <w:noProof/>
            </w:rPr>
            <w:fldChar w:fldCharType="end"/>
          </w:r>
        </w:p>
      </w:tc>
    </w:tr>
  </w:tbl>
  <w:p w:rsidR="00C66EF8" w:rsidRPr="00B21CCC" w:rsidRDefault="00C66EF8" w:rsidP="00F1413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06797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06797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06797A">
    <w:pPr>
      <w:pStyle w:val="Footer"/>
    </w:pPr>
  </w:p>
  <w:p w:rsidR="00C66EF8" w:rsidRDefault="00C66EF8"/>
  <w:p w:rsidR="00C66EF8" w:rsidRDefault="00C66EF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06797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06797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06797A">
    <w:pPr>
      <w:pStyle w:val="Footer"/>
    </w:pPr>
  </w:p>
  <w:p w:rsidR="00C66EF8" w:rsidRDefault="00C66EF8"/>
  <w:p w:rsidR="00C66EF8" w:rsidRDefault="00C66EF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4F73D0">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4F73D0">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4F73D0">
    <w:pPr>
      <w:pStyle w:val="Footer"/>
    </w:pPr>
  </w:p>
  <w:p w:rsidR="00C66EF8" w:rsidRDefault="00C66EF8"/>
  <w:p w:rsidR="00C66EF8" w:rsidRDefault="00C66EF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8" w:type="dxa"/>
      <w:tblBorders>
        <w:insideV w:val="single" w:sz="4" w:space="0" w:color="auto"/>
      </w:tblBorders>
      <w:tblLayout w:type="fixed"/>
      <w:tblCellMar>
        <w:left w:w="0" w:type="dxa"/>
        <w:right w:w="0" w:type="dxa"/>
      </w:tblCellMar>
      <w:tblLook w:val="04A0" w:firstRow="1" w:lastRow="0" w:firstColumn="1" w:lastColumn="0" w:noHBand="0" w:noVBand="1"/>
    </w:tblPr>
    <w:tblGrid>
      <w:gridCol w:w="7368"/>
      <w:gridCol w:w="800"/>
    </w:tblGrid>
    <w:tr w:rsidR="00C66EF8" w:rsidTr="004F5B92">
      <w:trPr>
        <w:trHeight w:val="620"/>
      </w:trPr>
      <w:tc>
        <w:tcPr>
          <w:tcW w:w="7368" w:type="dxa"/>
          <w:shd w:val="clear" w:color="auto" w:fill="auto"/>
          <w:tcMar>
            <w:right w:w="72" w:type="dxa"/>
          </w:tcMar>
          <w:vAlign w:val="bottom"/>
        </w:tcPr>
        <w:p w:rsidR="00C66EF8" w:rsidRPr="00FA16BE" w:rsidRDefault="00C66EF8" w:rsidP="004F73D0">
          <w:pPr>
            <w:pStyle w:val="FooterText"/>
            <w:rPr>
              <w:b/>
            </w:rPr>
          </w:pPr>
          <w:r w:rsidRPr="00FA16BE">
            <w:rPr>
              <w:b/>
            </w:rPr>
            <w:fldChar w:fldCharType="begin"/>
          </w:r>
          <w:r w:rsidRPr="00FA16BE">
            <w:rPr>
              <w:b/>
            </w:rPr>
            <w:instrText xml:space="preserve"> STYLEREF  "Cp Title"  \* MERGEFORMAT </w:instrText>
          </w:r>
          <w:r w:rsidRPr="00FA16BE">
            <w:rPr>
              <w:b/>
            </w:rPr>
            <w:fldChar w:fldCharType="separate"/>
          </w:r>
          <w:r w:rsidR="0081611A" w:rsidRPr="0081611A">
            <w:rPr>
              <w:b/>
              <w:bCs/>
              <w:noProof/>
            </w:rPr>
            <w:t>Review of international IP &amp; registration arrangements for the</w:t>
          </w:r>
          <w:r w:rsidR="0081611A">
            <w:rPr>
              <w:b/>
              <w:noProof/>
            </w:rPr>
            <w:t xml:space="preserve"> regulation of AGVET chemicals</w:t>
          </w:r>
          <w:r w:rsidRPr="00FA16BE">
            <w:rPr>
              <w:b/>
              <w:noProof/>
            </w:rPr>
            <w:fldChar w:fldCharType="end"/>
          </w:r>
          <w:r w:rsidRPr="00FA16BE">
            <w:rPr>
              <w:b/>
            </w:rPr>
            <w:t xml:space="preserve"> </w:t>
          </w:r>
          <w:r w:rsidRPr="00FA16BE">
            <w:rPr>
              <w:b/>
            </w:rPr>
            <w:fldChar w:fldCharType="begin"/>
          </w:r>
          <w:r w:rsidRPr="00FA16BE">
            <w:rPr>
              <w:b/>
            </w:rPr>
            <w:instrText xml:space="preserve"> STYLEREF  "Cp SubTitle"  \* MERGEFORMAT </w:instrText>
          </w:r>
          <w:r w:rsidRPr="00FA16BE">
            <w:rPr>
              <w:b/>
            </w:rPr>
            <w:fldChar w:fldCharType="separate"/>
          </w:r>
          <w:r w:rsidR="0081611A" w:rsidRPr="0081611A">
            <w:rPr>
              <w:b/>
              <w:bCs/>
              <w:noProof/>
            </w:rPr>
            <w:t>Final REport</w:t>
          </w:r>
          <w:r w:rsidRPr="00FA16BE">
            <w:rPr>
              <w:b/>
              <w:bCs/>
              <w:noProof/>
            </w:rPr>
            <w:fldChar w:fldCharType="end"/>
          </w:r>
        </w:p>
      </w:tc>
      <w:tc>
        <w:tcPr>
          <w:tcW w:w="800" w:type="dxa"/>
          <w:shd w:val="clear" w:color="auto" w:fill="auto"/>
          <w:vAlign w:val="bottom"/>
        </w:tcPr>
        <w:p w:rsidR="00C66EF8" w:rsidRDefault="00C66EF8" w:rsidP="004F73D0">
          <w:pPr>
            <w:pStyle w:val="pageNumber"/>
          </w:pPr>
          <w:r>
            <w:fldChar w:fldCharType="begin"/>
          </w:r>
          <w:r>
            <w:instrText xml:space="preserve"> PAGE   \* MERGEFORMAT </w:instrText>
          </w:r>
          <w:r>
            <w:fldChar w:fldCharType="separate"/>
          </w:r>
          <w:r w:rsidR="0081611A">
            <w:rPr>
              <w:noProof/>
            </w:rPr>
            <w:t>88</w:t>
          </w:r>
          <w:r>
            <w:rPr>
              <w:noProof/>
            </w:rPr>
            <w:fldChar w:fldCharType="end"/>
          </w:r>
        </w:p>
      </w:tc>
    </w:tr>
  </w:tbl>
  <w:p w:rsidR="00C66EF8" w:rsidRPr="00B21CCC" w:rsidRDefault="00C66EF8" w:rsidP="004F7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w:t>
          </w:r>
          <w:r w:rsidR="00C66EF8">
            <w:rPr>
              <w:noProof/>
            </w:rPr>
            <w:t xml:space="preserve">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p w:rsidR="00C66EF8" w:rsidRDefault="00C66EF8"/>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4F73D0">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4F73D0">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4F73D0">
    <w:pPr>
      <w:pStyle w:val="Footer"/>
    </w:pPr>
  </w:p>
  <w:p w:rsidR="00C66EF8" w:rsidRDefault="00C66EF8"/>
  <w:p w:rsidR="00C66EF8" w:rsidRDefault="00C66EF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97252E">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97252E">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97252E">
    <w:pPr>
      <w:pStyle w:val="Footer"/>
    </w:pPr>
  </w:p>
  <w:p w:rsidR="00C66EF8" w:rsidRDefault="00C66EF8"/>
  <w:p w:rsidR="00C66EF8" w:rsidRDefault="00C66EF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97252E">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97252E">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97252E">
    <w:pPr>
      <w:pStyle w:val="Footer"/>
    </w:pPr>
  </w:p>
  <w:p w:rsidR="00C66EF8" w:rsidRDefault="00C66EF8"/>
  <w:p w:rsidR="00C66EF8" w:rsidRDefault="00C66EF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5D39F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5D39F1">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5D39F1">
    <w:pPr>
      <w:pStyle w:val="Footer"/>
    </w:pPr>
  </w:p>
  <w:p w:rsidR="00C66EF8" w:rsidRDefault="00C66EF8"/>
  <w:p w:rsidR="00C66EF8" w:rsidRDefault="00C66EF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5D39F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5D39F1">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5D39F1">
    <w:pPr>
      <w:pStyle w:val="Footer"/>
    </w:pPr>
  </w:p>
  <w:p w:rsidR="00C66EF8" w:rsidRDefault="00C66EF8"/>
  <w:p w:rsidR="00C66EF8" w:rsidRDefault="00C66EF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Default="00C66EF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A009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A0091">
          <w:pPr>
            <w:pStyle w:val="pageNumber"/>
          </w:pPr>
          <w:r>
            <w:fldChar w:fldCharType="begin"/>
          </w:r>
          <w:r>
            <w:instrText xml:space="preserve"> PAGE   \* MERGEFORMAT </w:instrText>
          </w:r>
          <w:r>
            <w:fldChar w:fldCharType="separate"/>
          </w:r>
          <w:r>
            <w:rPr>
              <w:noProof/>
            </w:rPr>
            <w:t>A–1</w:t>
          </w:r>
          <w:r>
            <w:rPr>
              <w:noProof/>
            </w:rPr>
            <w:fldChar w:fldCharType="end"/>
          </w:r>
        </w:p>
      </w:tc>
    </w:tr>
  </w:tbl>
  <w:p w:rsidR="00C66EF8" w:rsidRPr="00B21CCC" w:rsidRDefault="00C66EF8" w:rsidP="00FA0091">
    <w:pPr>
      <w:pStyle w:val="Footer"/>
    </w:pPr>
  </w:p>
  <w:p w:rsidR="00C66EF8" w:rsidRDefault="00C66EF8"/>
  <w:p w:rsidR="00C66EF8" w:rsidRDefault="00C66EF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8" w:type="dxa"/>
      <w:tblBorders>
        <w:insideV w:val="single" w:sz="4" w:space="0" w:color="auto"/>
      </w:tblBorders>
      <w:tblLayout w:type="fixed"/>
      <w:tblCellMar>
        <w:left w:w="0" w:type="dxa"/>
        <w:right w:w="0" w:type="dxa"/>
      </w:tblCellMar>
      <w:tblLook w:val="04A0" w:firstRow="1" w:lastRow="0" w:firstColumn="1" w:lastColumn="0" w:noHBand="0" w:noVBand="1"/>
    </w:tblPr>
    <w:tblGrid>
      <w:gridCol w:w="7368"/>
      <w:gridCol w:w="800"/>
    </w:tblGrid>
    <w:tr w:rsidR="00C66EF8" w:rsidTr="00401D90">
      <w:trPr>
        <w:trHeight w:val="620"/>
      </w:trPr>
      <w:tc>
        <w:tcPr>
          <w:tcW w:w="7368" w:type="dxa"/>
          <w:shd w:val="clear" w:color="auto" w:fill="auto"/>
          <w:tcMar>
            <w:right w:w="72" w:type="dxa"/>
          </w:tcMar>
          <w:vAlign w:val="bottom"/>
        </w:tcPr>
        <w:p w:rsidR="00C66EF8" w:rsidRPr="00AB2314" w:rsidRDefault="00C66EF8" w:rsidP="00FA0091">
          <w:pPr>
            <w:pStyle w:val="FooterText"/>
            <w:rPr>
              <w:b/>
            </w:rPr>
          </w:pPr>
          <w:r w:rsidRPr="00AB2314">
            <w:rPr>
              <w:b/>
            </w:rPr>
            <w:fldChar w:fldCharType="begin"/>
          </w:r>
          <w:r w:rsidRPr="00AB2314">
            <w:rPr>
              <w:b/>
            </w:rPr>
            <w:instrText xml:space="preserve"> STYLEREF  "Cp Title"  \* MERGEFORMAT </w:instrText>
          </w:r>
          <w:r w:rsidRPr="00AB2314">
            <w:rPr>
              <w:b/>
            </w:rPr>
            <w:fldChar w:fldCharType="separate"/>
          </w:r>
          <w:r w:rsidR="0081611A" w:rsidRPr="0081611A">
            <w:rPr>
              <w:b/>
              <w:bCs/>
              <w:noProof/>
            </w:rPr>
            <w:t>Review of international IP &amp; registration arrangements for the</w:t>
          </w:r>
          <w:r w:rsidR="0081611A">
            <w:rPr>
              <w:b/>
              <w:noProof/>
            </w:rPr>
            <w:t xml:space="preserve"> regulation of AGVET chemicals</w:t>
          </w:r>
          <w:r w:rsidRPr="00AB2314">
            <w:rPr>
              <w:b/>
              <w:noProof/>
            </w:rPr>
            <w:fldChar w:fldCharType="end"/>
          </w:r>
          <w:r w:rsidRPr="00AB2314">
            <w:rPr>
              <w:b/>
            </w:rPr>
            <w:t xml:space="preserve"> </w:t>
          </w:r>
          <w:r w:rsidRPr="00AB2314">
            <w:rPr>
              <w:b/>
            </w:rPr>
            <w:fldChar w:fldCharType="begin"/>
          </w:r>
          <w:r w:rsidRPr="00AB2314">
            <w:rPr>
              <w:b/>
            </w:rPr>
            <w:instrText xml:space="preserve"> STYLEREF  "Cp SubTitle"  \* MERGEFORMAT </w:instrText>
          </w:r>
          <w:r w:rsidRPr="00AB2314">
            <w:rPr>
              <w:b/>
            </w:rPr>
            <w:fldChar w:fldCharType="separate"/>
          </w:r>
          <w:r w:rsidR="0081611A" w:rsidRPr="0081611A">
            <w:rPr>
              <w:b/>
              <w:bCs/>
              <w:noProof/>
            </w:rPr>
            <w:t>Final REport</w:t>
          </w:r>
          <w:r w:rsidRPr="00AB2314">
            <w:rPr>
              <w:b/>
              <w:bCs/>
              <w:noProof/>
            </w:rPr>
            <w:fldChar w:fldCharType="end"/>
          </w:r>
        </w:p>
      </w:tc>
      <w:tc>
        <w:tcPr>
          <w:tcW w:w="800" w:type="dxa"/>
          <w:shd w:val="clear" w:color="auto" w:fill="auto"/>
          <w:vAlign w:val="bottom"/>
        </w:tcPr>
        <w:p w:rsidR="00C66EF8" w:rsidRDefault="00C66EF8" w:rsidP="00FA0091">
          <w:pPr>
            <w:pStyle w:val="pageNumber"/>
          </w:pPr>
          <w:r>
            <w:fldChar w:fldCharType="begin"/>
          </w:r>
          <w:r>
            <w:instrText xml:space="preserve"> PAGE   \* MERGEFORMAT </w:instrText>
          </w:r>
          <w:r>
            <w:fldChar w:fldCharType="separate"/>
          </w:r>
          <w:r w:rsidR="0081611A">
            <w:rPr>
              <w:noProof/>
            </w:rPr>
            <w:t>B–5</w:t>
          </w:r>
          <w:r>
            <w:rPr>
              <w:noProof/>
            </w:rPr>
            <w:fldChar w:fldCharType="end"/>
          </w:r>
        </w:p>
      </w:tc>
    </w:tr>
  </w:tbl>
  <w:p w:rsidR="00C66EF8" w:rsidRPr="00B21CCC" w:rsidRDefault="00C66EF8" w:rsidP="00FA009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A009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A0091">
          <w:pPr>
            <w:pStyle w:val="pageNumber"/>
          </w:pPr>
          <w:r>
            <w:fldChar w:fldCharType="begin"/>
          </w:r>
          <w:r>
            <w:instrText xml:space="preserve"> PAGE   \* MERGEFORMAT </w:instrText>
          </w:r>
          <w:r>
            <w:fldChar w:fldCharType="separate"/>
          </w:r>
          <w:r>
            <w:rPr>
              <w:noProof/>
            </w:rPr>
            <w:t>A–1</w:t>
          </w:r>
          <w:r>
            <w:rPr>
              <w:noProof/>
            </w:rPr>
            <w:fldChar w:fldCharType="end"/>
          </w:r>
        </w:p>
      </w:tc>
    </w:tr>
  </w:tbl>
  <w:p w:rsidR="00C66EF8" w:rsidRPr="00B21CCC" w:rsidRDefault="00C66EF8" w:rsidP="00FA0091">
    <w:pPr>
      <w:pStyle w:val="Footer"/>
    </w:pPr>
  </w:p>
  <w:p w:rsidR="00C66EF8" w:rsidRDefault="00C66EF8"/>
  <w:p w:rsidR="00C66EF8" w:rsidRDefault="00C66EF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A009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A0091">
          <w:pPr>
            <w:pStyle w:val="pageNumber"/>
          </w:pPr>
          <w:r>
            <w:fldChar w:fldCharType="begin"/>
          </w:r>
          <w:r>
            <w:instrText xml:space="preserve"> PAGE   \* MERGEFORMAT </w:instrText>
          </w:r>
          <w:r>
            <w:fldChar w:fldCharType="separate"/>
          </w:r>
          <w:r>
            <w:rPr>
              <w:noProof/>
            </w:rPr>
            <w:t>A–1</w:t>
          </w:r>
          <w:r>
            <w:rPr>
              <w:noProof/>
            </w:rPr>
            <w:fldChar w:fldCharType="end"/>
          </w:r>
        </w:p>
      </w:tc>
    </w:tr>
  </w:tbl>
  <w:p w:rsidR="00C66EF8" w:rsidRPr="00B21CCC" w:rsidRDefault="00C66EF8" w:rsidP="00FA0091">
    <w:pPr>
      <w:pStyle w:val="Footer"/>
    </w:pPr>
  </w:p>
  <w:p w:rsidR="00C66EF8" w:rsidRDefault="00C66EF8"/>
  <w:p w:rsidR="00C66EF8" w:rsidRDefault="00C66EF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A0091">
          <w:pPr>
            <w:pStyle w:val="FooterText"/>
          </w:pPr>
          <w:r>
            <w:fldChar w:fldCharType="begin"/>
          </w:r>
          <w:r>
            <w:instrText xml:space="preserve"> STYLEREF  "Cp Title"  \* MERGEFORMAT </w:instrText>
          </w:r>
          <w:r>
            <w:fldChar w:fldCharType="separate"/>
          </w:r>
          <w:r w:rsidR="00C66EF8" w:rsidRPr="0087688C">
            <w:rPr>
              <w:b/>
              <w:bCs/>
              <w:noProof/>
            </w:rPr>
            <w:t>Review of international IP &amp; registration arrangements for the</w:t>
          </w:r>
          <w:r w:rsidR="00C66EF8">
            <w:rPr>
              <w:noProof/>
            </w:rPr>
            <w:t xml:space="preserv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A0091">
          <w:pPr>
            <w:pStyle w:val="pageNumber"/>
          </w:pPr>
          <w:r>
            <w:fldChar w:fldCharType="begin"/>
          </w:r>
          <w:r>
            <w:instrText xml:space="preserve"> PAGE   \* MERGEFORMAT </w:instrText>
          </w:r>
          <w:r>
            <w:fldChar w:fldCharType="separate"/>
          </w:r>
          <w:r>
            <w:rPr>
              <w:noProof/>
            </w:rPr>
            <w:t>A–1</w:t>
          </w:r>
          <w:r>
            <w:rPr>
              <w:noProof/>
            </w:rPr>
            <w:fldChar w:fldCharType="end"/>
          </w:r>
        </w:p>
      </w:tc>
    </w:tr>
  </w:tbl>
  <w:p w:rsidR="00C66EF8" w:rsidRPr="00B21CCC" w:rsidRDefault="00C66EF8" w:rsidP="00FA0091">
    <w:pPr>
      <w:pStyle w:val="Footer"/>
    </w:pPr>
  </w:p>
  <w:p w:rsidR="00C66EF8" w:rsidRDefault="00C66EF8"/>
  <w:p w:rsidR="00C66EF8" w:rsidRDefault="00C66EF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Pr="00137811" w:rsidRDefault="00C66EF8" w:rsidP="00137811">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Pr="00137811" w:rsidRDefault="00C66EF8" w:rsidP="00137811">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78" w:type="dxa"/>
      <w:tblInd w:w="14" w:type="dxa"/>
      <w:tblLayout w:type="fixed"/>
      <w:tblCellMar>
        <w:left w:w="0" w:type="dxa"/>
        <w:right w:w="0" w:type="dxa"/>
      </w:tblCellMar>
      <w:tblLook w:val="04A0" w:firstRow="1" w:lastRow="0" w:firstColumn="1" w:lastColumn="0" w:noHBand="0" w:noVBand="1"/>
    </w:tblPr>
    <w:tblGrid>
      <w:gridCol w:w="5628"/>
      <w:gridCol w:w="5350"/>
    </w:tblGrid>
    <w:tr w:rsidR="00C66EF8" w:rsidTr="004F5B92">
      <w:trPr>
        <w:trHeight w:hRule="exact" w:val="780"/>
      </w:trPr>
      <w:tc>
        <w:tcPr>
          <w:tcW w:w="5628" w:type="dxa"/>
          <w:shd w:val="clear" w:color="auto" w:fill="auto"/>
        </w:tcPr>
        <w:p w:rsidR="00C66EF8" w:rsidRDefault="00C66EF8" w:rsidP="006674E0">
          <w:pPr>
            <w:pStyle w:val="spacer"/>
          </w:pPr>
        </w:p>
      </w:tc>
      <w:tc>
        <w:tcPr>
          <w:tcW w:w="5350" w:type="dxa"/>
          <w:tcBorders>
            <w:bottom w:val="single" w:sz="4" w:space="0" w:color="auto"/>
          </w:tcBorders>
          <w:shd w:val="clear" w:color="auto" w:fill="auto"/>
        </w:tcPr>
        <w:p w:rsidR="00C66EF8" w:rsidRDefault="00C66EF8" w:rsidP="006674E0">
          <w:pPr>
            <w:pStyle w:val="spacer"/>
          </w:pPr>
          <w:r>
            <w:rPr>
              <w:noProof/>
              <w:lang w:eastAsia="en-AU"/>
            </w:rPr>
            <mc:AlternateContent>
              <mc:Choice Requires="wps">
                <w:drawing>
                  <wp:anchor distT="0" distB="0" distL="114300" distR="114300" simplePos="0" relativeHeight="252085248" behindDoc="0" locked="1" layoutInCell="1" allowOverlap="1" wp14:anchorId="7170A982" wp14:editId="0A23C4DC">
                    <wp:simplePos x="0" y="0"/>
                    <wp:positionH relativeFrom="page">
                      <wp:posOffset>1813560</wp:posOffset>
                    </wp:positionH>
                    <wp:positionV relativeFrom="page">
                      <wp:posOffset>27305</wp:posOffset>
                    </wp:positionV>
                    <wp:extent cx="781050" cy="382905"/>
                    <wp:effectExtent l="0" t="0" r="0" b="0"/>
                    <wp:wrapNone/>
                    <wp:docPr id="680"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D8BE3A" id="cp_sails_contacts" o:spid="_x0000_s1026" style="position:absolute;margin-left:142.8pt;margin-top:2.15pt;width:61.5pt;height:30.1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r>
            <w:rPr>
              <w:noProof/>
              <w:lang w:eastAsia="en-AU"/>
            </w:rPr>
            <mc:AlternateContent>
              <mc:Choice Requires="wps">
                <w:drawing>
                  <wp:anchor distT="0" distB="0" distL="114300" distR="114300" simplePos="0" relativeHeight="251994112" behindDoc="0" locked="1" layoutInCell="1" allowOverlap="1" wp14:anchorId="0B6B76D8" wp14:editId="34BAEB13">
                    <wp:simplePos x="0" y="0"/>
                    <wp:positionH relativeFrom="page">
                      <wp:posOffset>1813560</wp:posOffset>
                    </wp:positionH>
                    <wp:positionV relativeFrom="page">
                      <wp:posOffset>27305</wp:posOffset>
                    </wp:positionV>
                    <wp:extent cx="781050" cy="382905"/>
                    <wp:effectExtent l="0" t="0" r="0" b="0"/>
                    <wp:wrapNone/>
                    <wp:docPr id="141"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2D0166" id="cp_sails_contacts" o:spid="_x0000_s1026" style="position:absolute;margin-left:142.8pt;margin-top:2.15pt;width:61.5pt;height:30.1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C66EF8" w:rsidTr="004F5B92">
      <w:trPr>
        <w:trHeight w:hRule="exact" w:val="520"/>
      </w:trPr>
      <w:tc>
        <w:tcPr>
          <w:tcW w:w="5628" w:type="dxa"/>
          <w:shd w:val="clear" w:color="auto" w:fill="auto"/>
        </w:tcPr>
        <w:p w:rsidR="00C66EF8" w:rsidRDefault="00C66EF8" w:rsidP="006674E0">
          <w:pPr>
            <w:pStyle w:val="spacer"/>
          </w:pPr>
        </w:p>
      </w:tc>
      <w:tc>
        <w:tcPr>
          <w:tcW w:w="5350" w:type="dxa"/>
          <w:tcBorders>
            <w:top w:val="single" w:sz="4" w:space="0" w:color="auto"/>
          </w:tcBorders>
          <w:shd w:val="clear" w:color="auto" w:fill="auto"/>
        </w:tcPr>
        <w:p w:rsidR="00C66EF8" w:rsidRDefault="00C66EF8" w:rsidP="006674E0">
          <w:pPr>
            <w:pStyle w:val="spacer"/>
          </w:pPr>
        </w:p>
      </w:tc>
    </w:tr>
  </w:tbl>
  <w:p w:rsidR="00C66EF8" w:rsidRPr="00137811" w:rsidRDefault="00C66EF8" w:rsidP="001378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1413A">
          <w:pPr>
            <w:pStyle w:val="FooterText"/>
          </w:pPr>
          <w:r>
            <w:fldChar w:fldCharType="begin"/>
          </w:r>
          <w:r>
            <w:instrText xml:space="preserve"> STYLEREF  "Cp Title"  \* MERGEFORMAT </w:instrText>
          </w:r>
          <w:r>
            <w:fldChar w:fldCharType="separate"/>
          </w:r>
          <w:r w:rsidR="00C66EF8" w:rsidRPr="0087688C">
            <w:rPr>
              <w:b/>
              <w:bCs/>
              <w:noProof/>
            </w:rPr>
            <w:t>Review of international IP</w:t>
          </w:r>
          <w:r w:rsidR="00C66EF8">
            <w:rPr>
              <w:noProof/>
            </w:rPr>
            <w:t xml:space="preserve">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1413A">
          <w:pPr>
            <w:pStyle w:val="pageNumber"/>
          </w:pPr>
          <w:r>
            <w:fldChar w:fldCharType="begin"/>
          </w:r>
          <w:r>
            <w:instrText xml:space="preserve"> PAGE   \* MERGEFORMAT </w:instrText>
          </w:r>
          <w:r>
            <w:fldChar w:fldCharType="separate"/>
          </w:r>
          <w:r>
            <w:rPr>
              <w:noProof/>
            </w:rPr>
            <w:t>1</w:t>
          </w:r>
          <w:r>
            <w:rPr>
              <w:noProof/>
            </w:rPr>
            <w:fldChar w:fldCharType="end"/>
          </w:r>
        </w:p>
      </w:tc>
    </w:tr>
  </w:tbl>
  <w:p w:rsidR="00C66EF8" w:rsidRPr="00B21CCC" w:rsidRDefault="00C66EF8" w:rsidP="00F1413A">
    <w:pPr>
      <w:pStyle w:val="Footer"/>
    </w:pPr>
  </w:p>
  <w:p w:rsidR="00C66EF8" w:rsidRDefault="00C66EF8"/>
  <w:p w:rsidR="00C66EF8" w:rsidRDefault="00C66EF8"/>
  <w:p w:rsidR="00C66EF8" w:rsidRDefault="00C66E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Default="00C66E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Default="00C66E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Default="00C66E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6" w:type="dxa"/>
      <w:tblBorders>
        <w:insideV w:val="single" w:sz="4" w:space="0" w:color="auto"/>
      </w:tblBorders>
      <w:tblLayout w:type="fixed"/>
      <w:tblCellMar>
        <w:left w:w="0" w:type="dxa"/>
        <w:right w:w="0" w:type="dxa"/>
      </w:tblCellMar>
      <w:tblLook w:val="04A0" w:firstRow="1" w:lastRow="0" w:firstColumn="1" w:lastColumn="0" w:noHBand="0" w:noVBand="1"/>
    </w:tblPr>
    <w:tblGrid>
      <w:gridCol w:w="7596"/>
      <w:gridCol w:w="570"/>
    </w:tblGrid>
    <w:tr w:rsidR="00C66EF8" w:rsidTr="00401D90">
      <w:trPr>
        <w:trHeight w:val="620"/>
      </w:trPr>
      <w:tc>
        <w:tcPr>
          <w:tcW w:w="7596" w:type="dxa"/>
          <w:shd w:val="clear" w:color="auto" w:fill="auto"/>
          <w:tcMar>
            <w:right w:w="72" w:type="dxa"/>
          </w:tcMar>
          <w:vAlign w:val="bottom"/>
        </w:tcPr>
        <w:p w:rsidR="00C66EF8" w:rsidRDefault="00221158" w:rsidP="00F371E4">
          <w:pPr>
            <w:pStyle w:val="FooterText"/>
          </w:pPr>
          <w:r>
            <w:fldChar w:fldCharType="begin"/>
          </w:r>
          <w:r>
            <w:instrText xml:space="preserve"> STYLEREF  "Cp Title"  \* MERGEFORMAT </w:instrText>
          </w:r>
          <w:r>
            <w:fldChar w:fldCharType="separate"/>
          </w:r>
          <w:r w:rsidR="00C66EF8" w:rsidRPr="0087688C">
            <w:rPr>
              <w:b/>
              <w:bCs/>
              <w:noProof/>
            </w:rPr>
            <w:t>Review of international</w:t>
          </w:r>
          <w:r w:rsidR="00C66EF8">
            <w:rPr>
              <w:noProof/>
            </w:rPr>
            <w:t xml:space="preserve"> IP &amp; registration arrangements for the regulation of AGVET chemicals</w:t>
          </w:r>
          <w:r>
            <w:rPr>
              <w:noProof/>
            </w:rPr>
            <w:fldChar w:fldCharType="end"/>
          </w:r>
          <w:r w:rsidR="00C66EF8">
            <w:t xml:space="preserve"> </w:t>
          </w:r>
          <w:r>
            <w:fldChar w:fldCharType="begin"/>
          </w:r>
          <w:r>
            <w:instrText xml:space="preserve"> STYLEREF  "Cp SubTitle"  \* MERGEFORMAT </w:instrText>
          </w:r>
          <w:r>
            <w:fldChar w:fldCharType="separate"/>
          </w:r>
          <w:r w:rsidR="00C66EF8" w:rsidRPr="0087688C">
            <w:rPr>
              <w:b/>
              <w:bCs/>
              <w:noProof/>
            </w:rPr>
            <w:t>Final REport</w:t>
          </w:r>
          <w:r>
            <w:rPr>
              <w:b/>
              <w:bCs/>
              <w:noProof/>
            </w:rPr>
            <w:fldChar w:fldCharType="end"/>
          </w:r>
        </w:p>
      </w:tc>
      <w:tc>
        <w:tcPr>
          <w:tcW w:w="570" w:type="dxa"/>
          <w:shd w:val="clear" w:color="auto" w:fill="auto"/>
          <w:vAlign w:val="bottom"/>
        </w:tcPr>
        <w:p w:rsidR="00C66EF8" w:rsidRDefault="00C66EF8" w:rsidP="00F371E4">
          <w:pPr>
            <w:pStyle w:val="pageNumber"/>
          </w:pPr>
          <w:r>
            <w:fldChar w:fldCharType="begin"/>
          </w:r>
          <w:r>
            <w:instrText xml:space="preserve"> PAGE   \* MERGEFORMAT </w:instrText>
          </w:r>
          <w:r>
            <w:fldChar w:fldCharType="separate"/>
          </w:r>
          <w:r>
            <w:rPr>
              <w:noProof/>
            </w:rPr>
            <w:t>i</w:t>
          </w:r>
          <w:r>
            <w:rPr>
              <w:noProof/>
            </w:rPr>
            <w:fldChar w:fldCharType="end"/>
          </w:r>
        </w:p>
      </w:tc>
    </w:tr>
  </w:tbl>
  <w:p w:rsidR="00C66EF8" w:rsidRPr="00B21CCC" w:rsidRDefault="00C66EF8" w:rsidP="00F371E4">
    <w:pPr>
      <w:pStyle w:val="Footer"/>
    </w:pPr>
  </w:p>
  <w:p w:rsidR="00C66EF8" w:rsidRDefault="00C66EF8"/>
  <w:p w:rsidR="00C66EF8" w:rsidRDefault="00C66EF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68" w:type="dxa"/>
      <w:tblBorders>
        <w:insideV w:val="single" w:sz="4" w:space="0" w:color="auto"/>
      </w:tblBorders>
      <w:tblLayout w:type="fixed"/>
      <w:tblCellMar>
        <w:left w:w="0" w:type="dxa"/>
        <w:right w:w="0" w:type="dxa"/>
      </w:tblCellMar>
      <w:tblLook w:val="04A0" w:firstRow="1" w:lastRow="0" w:firstColumn="1" w:lastColumn="0" w:noHBand="0" w:noVBand="1"/>
    </w:tblPr>
    <w:tblGrid>
      <w:gridCol w:w="7368"/>
      <w:gridCol w:w="800"/>
    </w:tblGrid>
    <w:tr w:rsidR="00C66EF8" w:rsidTr="00F5586C">
      <w:trPr>
        <w:trHeight w:val="620"/>
      </w:trPr>
      <w:tc>
        <w:tcPr>
          <w:tcW w:w="7368" w:type="dxa"/>
          <w:shd w:val="clear" w:color="auto" w:fill="auto"/>
          <w:tcMar>
            <w:right w:w="72" w:type="dxa"/>
          </w:tcMar>
          <w:vAlign w:val="bottom"/>
        </w:tcPr>
        <w:p w:rsidR="00C66EF8" w:rsidRPr="00960C7B" w:rsidRDefault="00C66EF8" w:rsidP="00F371E4">
          <w:pPr>
            <w:pStyle w:val="FooterText"/>
            <w:rPr>
              <w:b/>
            </w:rPr>
          </w:pPr>
          <w:r w:rsidRPr="00960C7B">
            <w:rPr>
              <w:b/>
            </w:rPr>
            <w:fldChar w:fldCharType="begin"/>
          </w:r>
          <w:r w:rsidRPr="00960C7B">
            <w:rPr>
              <w:b/>
            </w:rPr>
            <w:instrText xml:space="preserve"> STYLEREF  "Cp Title"  \* MERGEFORMAT </w:instrText>
          </w:r>
          <w:r w:rsidRPr="00960C7B">
            <w:rPr>
              <w:b/>
            </w:rPr>
            <w:fldChar w:fldCharType="separate"/>
          </w:r>
          <w:r w:rsidR="0081611A" w:rsidRPr="0081611A">
            <w:rPr>
              <w:b/>
              <w:bCs/>
              <w:noProof/>
            </w:rPr>
            <w:t>Review of international IP &amp; registration arrangements for the</w:t>
          </w:r>
          <w:r w:rsidR="0081611A">
            <w:rPr>
              <w:b/>
              <w:noProof/>
            </w:rPr>
            <w:t xml:space="preserve"> regulation of AGVET chemicals</w:t>
          </w:r>
          <w:r w:rsidRPr="00960C7B">
            <w:rPr>
              <w:b/>
              <w:noProof/>
            </w:rPr>
            <w:fldChar w:fldCharType="end"/>
          </w:r>
          <w:r w:rsidRPr="00960C7B">
            <w:rPr>
              <w:b/>
            </w:rPr>
            <w:t xml:space="preserve"> </w:t>
          </w:r>
          <w:r w:rsidRPr="00960C7B">
            <w:rPr>
              <w:b/>
            </w:rPr>
            <w:fldChar w:fldCharType="begin"/>
          </w:r>
          <w:r w:rsidRPr="00960C7B">
            <w:rPr>
              <w:b/>
            </w:rPr>
            <w:instrText xml:space="preserve"> STYLEREF  "Cp SubTitle"  \* MERGEFORMAT </w:instrText>
          </w:r>
          <w:r w:rsidRPr="00960C7B">
            <w:rPr>
              <w:b/>
            </w:rPr>
            <w:fldChar w:fldCharType="separate"/>
          </w:r>
          <w:r w:rsidR="0081611A" w:rsidRPr="0081611A">
            <w:rPr>
              <w:b/>
              <w:bCs/>
              <w:noProof/>
            </w:rPr>
            <w:t>Final REport</w:t>
          </w:r>
          <w:r w:rsidRPr="00960C7B">
            <w:rPr>
              <w:b/>
              <w:bCs/>
              <w:noProof/>
            </w:rPr>
            <w:fldChar w:fldCharType="end"/>
          </w:r>
        </w:p>
      </w:tc>
      <w:tc>
        <w:tcPr>
          <w:tcW w:w="800" w:type="dxa"/>
          <w:shd w:val="clear" w:color="auto" w:fill="auto"/>
          <w:vAlign w:val="bottom"/>
        </w:tcPr>
        <w:p w:rsidR="00C66EF8" w:rsidRDefault="00C66EF8" w:rsidP="00F371E4">
          <w:pPr>
            <w:pStyle w:val="pageNumber"/>
          </w:pPr>
          <w:r>
            <w:fldChar w:fldCharType="begin"/>
          </w:r>
          <w:r>
            <w:instrText xml:space="preserve"> PAGE   \* MERGEFORMAT </w:instrText>
          </w:r>
          <w:r>
            <w:fldChar w:fldCharType="separate"/>
          </w:r>
          <w:r w:rsidR="0081611A">
            <w:rPr>
              <w:noProof/>
            </w:rPr>
            <w:t>ii</w:t>
          </w:r>
          <w:r>
            <w:rPr>
              <w:noProof/>
            </w:rPr>
            <w:fldChar w:fldCharType="end"/>
          </w:r>
        </w:p>
      </w:tc>
    </w:tr>
  </w:tbl>
  <w:p w:rsidR="00C66EF8" w:rsidRPr="00B21CCC" w:rsidRDefault="00C66EF8" w:rsidP="00F371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EF8" w:rsidRDefault="00C66EF8" w:rsidP="00D337DD">
      <w:pPr>
        <w:spacing w:after="0" w:line="240" w:lineRule="auto"/>
      </w:pPr>
      <w:r>
        <w:separator/>
      </w:r>
    </w:p>
  </w:footnote>
  <w:footnote w:type="continuationSeparator" w:id="0">
    <w:p w:rsidR="00C66EF8" w:rsidRDefault="00C66EF8" w:rsidP="00D337DD">
      <w:pPr>
        <w:spacing w:after="0" w:line="240" w:lineRule="auto"/>
      </w:pPr>
      <w:r>
        <w:continuationSeparator/>
      </w:r>
    </w:p>
  </w:footnote>
  <w:footnote w:type="continuationNotice" w:id="1">
    <w:p w:rsidR="00C66EF8" w:rsidRDefault="00C66EF8">
      <w:pPr>
        <w:spacing w:after="0" w:line="240" w:lineRule="auto"/>
      </w:pPr>
    </w:p>
  </w:footnote>
  <w:footnote w:id="2">
    <w:p w:rsidR="00C66EF8" w:rsidRDefault="00C66EF8" w:rsidP="00D15BAD">
      <w:pPr>
        <w:pStyle w:val="FootnoteText"/>
        <w:ind w:left="142" w:hanging="142"/>
      </w:pPr>
      <w:r>
        <w:rPr>
          <w:rStyle w:val="FootnoteReference"/>
        </w:rPr>
        <w:footnoteRef/>
      </w:r>
      <w:r>
        <w:t xml:space="preserve"> </w:t>
      </w:r>
      <w:r>
        <w:tab/>
        <w:t xml:space="preserve">Rainbow R 2017, Delivery of Access to AgVet Chemicals Collaborative System – AgVet Collaborative Forum, report to the Rural Industries R&amp;D Corporation, accessed on 18 July 2017 at </w:t>
      </w:r>
      <w:hyperlink r:id="rId1" w:history="1">
        <w:r w:rsidRPr="00CF741D">
          <w:rPr>
            <w:rStyle w:val="Hyperlink"/>
          </w:rPr>
          <w:t>https://rirdc.infoservices.com.au/items/17-019</w:t>
        </w:r>
      </w:hyperlink>
      <w:r>
        <w:t xml:space="preserve"> </w:t>
      </w:r>
    </w:p>
  </w:footnote>
  <w:footnote w:id="3">
    <w:p w:rsidR="00C66EF8" w:rsidRDefault="00C66EF8" w:rsidP="00D15BAD">
      <w:pPr>
        <w:pStyle w:val="FootnoteText"/>
        <w:ind w:left="142" w:hanging="142"/>
      </w:pPr>
      <w:r>
        <w:rPr>
          <w:rStyle w:val="FootnoteReference"/>
        </w:rPr>
        <w:footnoteRef/>
      </w:r>
      <w:r>
        <w:t xml:space="preserve"> </w:t>
      </w:r>
      <w:r>
        <w:tab/>
      </w:r>
      <w:r w:rsidRPr="00D97B5E">
        <w:t>Productivity Commission</w:t>
      </w:r>
      <w:r>
        <w:t xml:space="preserve"> 2016, </w:t>
      </w:r>
      <w:r w:rsidRPr="008812B7">
        <w:rPr>
          <w:i/>
        </w:rPr>
        <w:t>Regulation of Australian Agriculture</w:t>
      </w:r>
      <w:r>
        <w:t xml:space="preserve">, </w:t>
      </w:r>
      <w:r w:rsidRPr="008812B7">
        <w:t>No. 79, 15 November 2016</w:t>
      </w:r>
      <w:r>
        <w:t>, p 89</w:t>
      </w:r>
    </w:p>
  </w:footnote>
  <w:footnote w:id="4">
    <w:p w:rsidR="00C66EF8" w:rsidRDefault="00C66EF8" w:rsidP="00D15BAD">
      <w:pPr>
        <w:pStyle w:val="FootnoteText"/>
        <w:ind w:left="142" w:hanging="142"/>
      </w:pPr>
      <w:r>
        <w:rPr>
          <w:rStyle w:val="FootnoteReference"/>
        </w:rPr>
        <w:footnoteRef/>
      </w:r>
      <w:r>
        <w:tab/>
        <w:t xml:space="preserve"> Productivity Commission 2016, </w:t>
      </w:r>
      <w:r w:rsidRPr="00641B75">
        <w:rPr>
          <w:i/>
        </w:rPr>
        <w:t>Intellectual Property Arrangements</w:t>
      </w:r>
      <w:r>
        <w:t>, Report No. 78, September 2016</w:t>
      </w:r>
    </w:p>
  </w:footnote>
  <w:footnote w:id="5">
    <w:p w:rsidR="00C66EF8" w:rsidRDefault="00C66EF8" w:rsidP="00D15BAD">
      <w:pPr>
        <w:pStyle w:val="FootnoteText"/>
        <w:ind w:left="142" w:hanging="142"/>
      </w:pPr>
      <w:r>
        <w:rPr>
          <w:rStyle w:val="FootnoteReference"/>
        </w:rPr>
        <w:footnoteRef/>
      </w:r>
      <w:r>
        <w:t xml:space="preserve"> </w:t>
      </w:r>
      <w:r>
        <w:tab/>
        <w:t xml:space="preserve">OECD 1998, </w:t>
      </w:r>
      <w:r w:rsidRPr="00061345">
        <w:rPr>
          <w:i/>
        </w:rPr>
        <w:t>OECD Governments’ Approaches to the Protection of Proprietary Rights and Confidential Business Information in Pesticide Registration</w:t>
      </w:r>
      <w:r>
        <w:t>, OECD Publishing, Paris</w:t>
      </w:r>
    </w:p>
  </w:footnote>
  <w:footnote w:id="6">
    <w:p w:rsidR="00C66EF8" w:rsidRPr="004D24E5" w:rsidRDefault="00C66EF8" w:rsidP="00D15BAD">
      <w:pPr>
        <w:pStyle w:val="FootnoteText"/>
        <w:ind w:left="142" w:hanging="142"/>
        <w:rPr>
          <w:lang w:val="en-US"/>
        </w:rPr>
      </w:pPr>
      <w:r>
        <w:rPr>
          <w:rStyle w:val="FootnoteReference"/>
        </w:rPr>
        <w:footnoteRef/>
      </w:r>
      <w:r>
        <w:t xml:space="preserve"> </w:t>
      </w:r>
      <w:r>
        <w:tab/>
      </w:r>
      <w:r>
        <w:rPr>
          <w:lang w:val="en-US"/>
        </w:rPr>
        <w:t xml:space="preserve">OECD 2014, </w:t>
      </w:r>
      <w:r w:rsidRPr="006A2C4D">
        <w:rPr>
          <w:i/>
          <w:lang w:val="en-US"/>
        </w:rPr>
        <w:t>Guidance Document on Regulatory Incentives for the Registration of Pesticide Minor Uses</w:t>
      </w:r>
      <w:r>
        <w:rPr>
          <w:lang w:val="en-US"/>
        </w:rPr>
        <w:t>, OECD Publishing, Paris</w:t>
      </w:r>
    </w:p>
  </w:footnote>
  <w:footnote w:id="7">
    <w:p w:rsidR="00C66EF8" w:rsidRPr="0089571B" w:rsidRDefault="00C66EF8" w:rsidP="00D15BAD">
      <w:pPr>
        <w:pStyle w:val="FootnoteText"/>
        <w:ind w:left="142" w:hanging="142"/>
        <w:rPr>
          <w:lang w:val="en-US"/>
        </w:rPr>
      </w:pPr>
      <w:r>
        <w:rPr>
          <w:rStyle w:val="FootnoteReference"/>
        </w:rPr>
        <w:footnoteRef/>
      </w:r>
      <w:r>
        <w:t xml:space="preserve"> </w:t>
      </w:r>
      <w:r>
        <w:tab/>
      </w:r>
      <w:r>
        <w:rPr>
          <w:lang w:val="en-US"/>
        </w:rPr>
        <w:t>Germany was originally go be included in this study but very little information on German IP and registration processes is available in English. Germany closely follows the EU procedures, which are discussed in some detail.</w:t>
      </w:r>
    </w:p>
  </w:footnote>
  <w:footnote w:id="8">
    <w:p w:rsidR="00C66EF8" w:rsidRPr="00642847" w:rsidRDefault="00C66EF8" w:rsidP="00D15BAD">
      <w:pPr>
        <w:pStyle w:val="FootnoteText"/>
        <w:ind w:left="142" w:hanging="142"/>
        <w:rPr>
          <w:lang w:val="en-US"/>
        </w:rPr>
      </w:pPr>
      <w:r>
        <w:rPr>
          <w:rStyle w:val="FootnoteReference"/>
        </w:rPr>
        <w:footnoteRef/>
      </w:r>
      <w:r>
        <w:t xml:space="preserve"> </w:t>
      </w:r>
      <w:r>
        <w:tab/>
      </w:r>
      <w:r>
        <w:rPr>
          <w:lang w:val="en-US"/>
        </w:rPr>
        <w:t>ANAO 2017, Pesticide and Veterinary Medicine Regulatory Reform, Australian Pesticides and Veterinary Medicines Authority, ANAO Report no. 56 2016-17.</w:t>
      </w:r>
    </w:p>
  </w:footnote>
  <w:footnote w:id="9">
    <w:p w:rsidR="00C66EF8" w:rsidRPr="003D4036" w:rsidRDefault="00C66EF8">
      <w:pPr>
        <w:pStyle w:val="FootnoteText"/>
        <w:rPr>
          <w:lang w:val="en-US"/>
        </w:rPr>
      </w:pPr>
      <w:r>
        <w:rPr>
          <w:rStyle w:val="FootnoteReference"/>
        </w:rPr>
        <w:footnoteRef/>
      </w:r>
      <w:r>
        <w:t xml:space="preserve"> See </w:t>
      </w:r>
      <w:hyperlink r:id="rId2" w:history="1">
        <w:r w:rsidRPr="00457B6A">
          <w:rPr>
            <w:rStyle w:val="Hyperlink"/>
          </w:rPr>
          <w:t>http://www.nebraskafarmer.com/crop-protection/comparing-generic-vs-name-brand-pesticides</w:t>
        </w:r>
      </w:hyperlink>
      <w:r>
        <w:t xml:space="preserve"> accessed on 20 August 2017</w:t>
      </w:r>
    </w:p>
  </w:footnote>
  <w:footnote w:id="10">
    <w:p w:rsidR="00C66EF8" w:rsidRPr="00143318" w:rsidRDefault="00C66EF8" w:rsidP="00457B6A">
      <w:pPr>
        <w:pStyle w:val="FootnoteText"/>
        <w:tabs>
          <w:tab w:val="left" w:pos="5114"/>
        </w:tabs>
        <w:rPr>
          <w:lang w:val="en-US"/>
        </w:rPr>
      </w:pPr>
      <w:r>
        <w:rPr>
          <w:rStyle w:val="FootnoteReference"/>
        </w:rPr>
        <w:footnoteRef/>
      </w:r>
      <w:r>
        <w:t xml:space="preserve"> IBISWorld Report 2016a,</w:t>
      </w:r>
      <w:r>
        <w:rPr>
          <w:lang w:val="en-US"/>
        </w:rPr>
        <w:t xml:space="preserve"> C1832, Pesticide Manufacturing in Australia, July 2016</w:t>
      </w:r>
    </w:p>
  </w:footnote>
  <w:footnote w:id="11">
    <w:p w:rsidR="00C66EF8" w:rsidRPr="00E933C6" w:rsidRDefault="00C66EF8" w:rsidP="00A21D7E">
      <w:pPr>
        <w:pStyle w:val="FootnoteText"/>
        <w:rPr>
          <w:lang w:val="en-US"/>
        </w:rPr>
      </w:pPr>
      <w:r>
        <w:rPr>
          <w:rStyle w:val="FootnoteReference"/>
        </w:rPr>
        <w:footnoteRef/>
      </w:r>
      <w:r>
        <w:t xml:space="preserve"> See </w:t>
      </w:r>
      <w:hyperlink r:id="rId3" w:history="1">
        <w:r w:rsidRPr="00DF3705">
          <w:rPr>
            <w:rStyle w:val="Hyperlink"/>
          </w:rPr>
          <w:t>http://191hmt1pr08amfq62276etw2.wpengine.netdna-cdn.com/wp-content/uploads/2016/04/Phillips-McDougall-Final-Report_4.6.16.pdf</w:t>
        </w:r>
      </w:hyperlink>
      <w:r>
        <w:rPr>
          <w:rStyle w:val="Hyperlink"/>
        </w:rPr>
        <w:t xml:space="preserve"> </w:t>
      </w:r>
      <w:r w:rsidRPr="00457B6A">
        <w:rPr>
          <w:rStyle w:val="Hyperlink"/>
          <w:color w:val="auto"/>
        </w:rPr>
        <w:t>accessed on 20 August 2017</w:t>
      </w:r>
    </w:p>
  </w:footnote>
  <w:footnote w:id="12">
    <w:p w:rsidR="00C66EF8" w:rsidRPr="00355C6B" w:rsidRDefault="00C66EF8" w:rsidP="00A21D7E">
      <w:pPr>
        <w:pStyle w:val="FootnoteText"/>
        <w:rPr>
          <w:lang w:val="en-US"/>
        </w:rPr>
      </w:pPr>
      <w:r>
        <w:rPr>
          <w:rStyle w:val="FootnoteReference"/>
        </w:rPr>
        <w:footnoteRef/>
      </w:r>
      <w:r>
        <w:t xml:space="preserve"> </w:t>
      </w:r>
      <w:r>
        <w:rPr>
          <w:lang w:val="en-US"/>
        </w:rPr>
        <w:t>Estimate based on the World Bank Data.</w:t>
      </w:r>
    </w:p>
  </w:footnote>
  <w:footnote w:id="13">
    <w:p w:rsidR="00C66EF8" w:rsidRPr="00443C60" w:rsidRDefault="00C66EF8" w:rsidP="00C31222">
      <w:pPr>
        <w:pStyle w:val="FootnoteText"/>
        <w:rPr>
          <w:lang w:val="en-US"/>
        </w:rPr>
      </w:pPr>
      <w:r>
        <w:rPr>
          <w:rStyle w:val="FootnoteReference"/>
        </w:rPr>
        <w:footnoteRef/>
      </w:r>
      <w:r>
        <w:t xml:space="preserve"> </w:t>
      </w:r>
      <w:r>
        <w:rPr>
          <w:lang w:val="en-US"/>
        </w:rPr>
        <w:t>European Crop Protection, Registering Plant Protection Products in the EU, November 2012.</w:t>
      </w:r>
    </w:p>
  </w:footnote>
  <w:footnote w:id="14">
    <w:p w:rsidR="00C66EF8" w:rsidRPr="00C67D07" w:rsidRDefault="00C66EF8" w:rsidP="004F7246">
      <w:pPr>
        <w:pStyle w:val="FootnoteText"/>
        <w:ind w:left="142" w:hanging="142"/>
        <w:rPr>
          <w:lang w:val="en-US"/>
        </w:rPr>
      </w:pPr>
      <w:r>
        <w:rPr>
          <w:rStyle w:val="FootnoteReference"/>
        </w:rPr>
        <w:footnoteRef/>
      </w:r>
      <w:r>
        <w:t xml:space="preserve"> </w:t>
      </w:r>
      <w:r>
        <w:rPr>
          <w:lang w:val="en-US"/>
        </w:rPr>
        <w:t>Phillips McDougall 2017, The Global Agrochemical Market Trends by crop, 11</w:t>
      </w:r>
      <w:r w:rsidRPr="00C67D07">
        <w:rPr>
          <w:vertAlign w:val="superscript"/>
          <w:lang w:val="en-US"/>
        </w:rPr>
        <w:t>th</w:t>
      </w:r>
      <w:r>
        <w:rPr>
          <w:lang w:val="en-US"/>
        </w:rPr>
        <w:t xml:space="preserve"> China International Forum on Development of Pesticide Industry, Shanghai, February 2017.</w:t>
      </w:r>
    </w:p>
  </w:footnote>
  <w:footnote w:id="15">
    <w:p w:rsidR="00C66EF8" w:rsidRPr="00324BD7" w:rsidRDefault="00C66EF8" w:rsidP="004F7246">
      <w:pPr>
        <w:pStyle w:val="FootnoteText"/>
        <w:ind w:left="142" w:hanging="142"/>
        <w:rPr>
          <w:lang w:val="en-US"/>
        </w:rPr>
      </w:pPr>
      <w:r>
        <w:rPr>
          <w:rStyle w:val="FootnoteReference"/>
        </w:rPr>
        <w:footnoteRef/>
      </w:r>
      <w:r>
        <w:t xml:space="preserve"> </w:t>
      </w:r>
      <w:r>
        <w:rPr>
          <w:lang w:val="en-US"/>
        </w:rPr>
        <w:t xml:space="preserve">Department of Agriculture and Water Resources (2016), Agricultural Commodity Statistics 2016, </w:t>
      </w:r>
      <w:hyperlink r:id="rId4" w:history="1">
        <w:r w:rsidRPr="00D210F9">
          <w:rPr>
            <w:rStyle w:val="Hyperlink"/>
            <w:lang w:val="en-US"/>
          </w:rPr>
          <w:t>http://www.agriculture.gov.au/abares/publications/display?url=http://143.188.17.20/anrdl/DAFFService/display.php%3Ffid%3Dpb_agcstd9abcc0022016_Sn9Dg.xml</w:t>
        </w:r>
      </w:hyperlink>
      <w:r>
        <w:rPr>
          <w:lang w:val="en-US"/>
        </w:rPr>
        <w:t xml:space="preserve"> accessed on 20 August 2017.</w:t>
      </w:r>
    </w:p>
  </w:footnote>
  <w:footnote w:id="16">
    <w:p w:rsidR="00C66EF8" w:rsidRPr="00BC2A44" w:rsidRDefault="00C66EF8" w:rsidP="004F7246">
      <w:pPr>
        <w:pStyle w:val="FootnoteText"/>
        <w:ind w:left="142" w:hanging="142"/>
        <w:rPr>
          <w:lang w:val="en-US"/>
        </w:rPr>
      </w:pPr>
      <w:r>
        <w:rPr>
          <w:rStyle w:val="FootnoteReference"/>
        </w:rPr>
        <w:footnoteRef/>
      </w:r>
      <w:r>
        <w:t xml:space="preserve"> </w:t>
      </w:r>
      <w:r>
        <w:rPr>
          <w:lang w:val="en-US"/>
        </w:rPr>
        <w:t xml:space="preserve">Parliament of Australia 2009, Pricing and supply arrangements in the Australian global fertilizer market, </w:t>
      </w:r>
      <w:hyperlink r:id="rId5" w:history="1">
        <w:r w:rsidRPr="00D210F9">
          <w:rPr>
            <w:rStyle w:val="Hyperlink"/>
            <w:lang w:val="en-US"/>
          </w:rPr>
          <w:t>http://www.aph.gov.au/Parliamentary_Business/Committees/Senate/Former_Committees/agric/completed_inquiries/2008-10/fertiliser/report/index</w:t>
        </w:r>
      </w:hyperlink>
      <w:r>
        <w:rPr>
          <w:lang w:val="en-US"/>
        </w:rPr>
        <w:t xml:space="preserve"> accessed on 20 August 2017.</w:t>
      </w:r>
    </w:p>
  </w:footnote>
  <w:footnote w:id="17">
    <w:p w:rsidR="00C66EF8" w:rsidRPr="00615049" w:rsidRDefault="00C66EF8" w:rsidP="004F7246">
      <w:pPr>
        <w:pStyle w:val="FootnoteText"/>
        <w:ind w:left="142" w:hanging="142"/>
        <w:rPr>
          <w:lang w:val="en-US"/>
        </w:rPr>
      </w:pPr>
      <w:r>
        <w:rPr>
          <w:rStyle w:val="FootnoteReference"/>
        </w:rPr>
        <w:footnoteRef/>
      </w:r>
      <w:r>
        <w:tab/>
        <w:t xml:space="preserve"> </w:t>
      </w:r>
      <w:r>
        <w:rPr>
          <w:lang w:val="en-US"/>
        </w:rPr>
        <w:t>IBISWorld Industry Report C1832, Pesticide Manufacturing in Australia, July 2016.</w:t>
      </w:r>
    </w:p>
  </w:footnote>
  <w:footnote w:id="18">
    <w:p w:rsidR="00C66EF8" w:rsidRPr="00D51BFF" w:rsidRDefault="00C66EF8" w:rsidP="004F7246">
      <w:pPr>
        <w:pStyle w:val="BodyText"/>
        <w:spacing w:before="0" w:after="0" w:line="240" w:lineRule="auto"/>
        <w:ind w:left="142" w:hanging="142"/>
        <w:rPr>
          <w:sz w:val="16"/>
          <w:szCs w:val="20"/>
          <w:lang w:val="en-US"/>
        </w:rPr>
      </w:pPr>
      <w:r w:rsidRPr="00D51BFF">
        <w:rPr>
          <w:rStyle w:val="FootnoteReference"/>
          <w:sz w:val="16"/>
          <w:szCs w:val="20"/>
        </w:rPr>
        <w:footnoteRef/>
      </w:r>
      <w:r>
        <w:t xml:space="preserve"> </w:t>
      </w:r>
      <w:r>
        <w:tab/>
      </w:r>
      <w:r w:rsidRPr="00415543">
        <w:rPr>
          <w:sz w:val="16"/>
          <w:szCs w:val="20"/>
          <w:lang w:val="en-US"/>
        </w:rPr>
        <w:t>T</w:t>
      </w:r>
      <w:r w:rsidRPr="00D51BFF">
        <w:rPr>
          <w:sz w:val="16"/>
          <w:szCs w:val="20"/>
          <w:lang w:val="en-US"/>
        </w:rPr>
        <w:t xml:space="preserve">hese data </w:t>
      </w:r>
      <w:r>
        <w:rPr>
          <w:sz w:val="16"/>
          <w:szCs w:val="20"/>
          <w:lang w:val="en-US"/>
        </w:rPr>
        <w:t>are</w:t>
      </w:r>
      <w:r w:rsidRPr="00D51BFF">
        <w:rPr>
          <w:sz w:val="16"/>
          <w:szCs w:val="20"/>
          <w:lang w:val="en-US"/>
        </w:rPr>
        <w:t xml:space="preserve"> based on a variety of surveys, which </w:t>
      </w:r>
      <w:r>
        <w:rPr>
          <w:sz w:val="16"/>
          <w:szCs w:val="20"/>
          <w:lang w:val="en-US"/>
        </w:rPr>
        <w:t>can</w:t>
      </w:r>
      <w:r w:rsidRPr="00D51BFF">
        <w:rPr>
          <w:sz w:val="16"/>
          <w:szCs w:val="20"/>
          <w:lang w:val="en-US"/>
        </w:rPr>
        <w:t xml:space="preserve"> lead to measurement erro</w:t>
      </w:r>
      <w:r>
        <w:rPr>
          <w:sz w:val="16"/>
          <w:szCs w:val="20"/>
          <w:lang w:val="en-US"/>
        </w:rPr>
        <w:t>rs</w:t>
      </w:r>
      <w:r w:rsidRPr="00D51BFF">
        <w:rPr>
          <w:sz w:val="16"/>
          <w:szCs w:val="20"/>
          <w:lang w:val="en-US"/>
        </w:rPr>
        <w:t xml:space="preserve">. </w:t>
      </w:r>
      <w:r>
        <w:rPr>
          <w:sz w:val="16"/>
          <w:szCs w:val="20"/>
          <w:lang w:val="en-US"/>
        </w:rPr>
        <w:t xml:space="preserve">It has been assumed that these surveys are </w:t>
      </w:r>
      <w:r w:rsidRPr="00D51BFF">
        <w:rPr>
          <w:sz w:val="16"/>
          <w:szCs w:val="20"/>
          <w:lang w:val="en-US"/>
        </w:rPr>
        <w:t xml:space="preserve">unbiased— that is, all companies have the same probability of being over or under represented. </w:t>
      </w:r>
    </w:p>
  </w:footnote>
  <w:footnote w:id="19">
    <w:p w:rsidR="00C66EF8" w:rsidRDefault="00C66EF8" w:rsidP="004F7246">
      <w:pPr>
        <w:pStyle w:val="FootnoteText"/>
        <w:ind w:left="142" w:hanging="142"/>
      </w:pPr>
      <w:r>
        <w:rPr>
          <w:rStyle w:val="FootnoteReference"/>
        </w:rPr>
        <w:footnoteRef/>
      </w:r>
      <w:r>
        <w:t xml:space="preserve"> </w:t>
      </w:r>
      <w:r>
        <w:tab/>
      </w:r>
      <w:r>
        <w:rPr>
          <w:lang w:val="en-US"/>
        </w:rPr>
        <w:t>IBISWorld Industry Report C1842, Veterinary Pharmaceutical Manufacturing in Australia, December 2016.</w:t>
      </w:r>
    </w:p>
  </w:footnote>
  <w:footnote w:id="20">
    <w:p w:rsidR="00C66EF8" w:rsidRPr="00615049" w:rsidRDefault="00C66EF8" w:rsidP="004F7246">
      <w:pPr>
        <w:pStyle w:val="FootnoteText"/>
        <w:ind w:left="142" w:hanging="142"/>
        <w:rPr>
          <w:lang w:val="en-US"/>
        </w:rPr>
      </w:pPr>
      <w:r>
        <w:rPr>
          <w:rStyle w:val="FootnoteReference"/>
        </w:rPr>
        <w:footnoteRef/>
      </w:r>
      <w:r>
        <w:t xml:space="preserve"> </w:t>
      </w:r>
      <w:r>
        <w:tab/>
      </w:r>
      <w:r>
        <w:rPr>
          <w:lang w:val="en-US"/>
        </w:rPr>
        <w:t>IBISWorld Industry Report C1832, Pesticide Manufacturing in Australia, July 2016.</w:t>
      </w:r>
    </w:p>
  </w:footnote>
  <w:footnote w:id="21">
    <w:p w:rsidR="00C66EF8" w:rsidRPr="0048069A" w:rsidRDefault="00C66EF8" w:rsidP="004F7246">
      <w:pPr>
        <w:pStyle w:val="FootnoteText"/>
        <w:ind w:left="142" w:hanging="142"/>
        <w:rPr>
          <w:lang w:val="en-US"/>
        </w:rPr>
      </w:pPr>
      <w:r>
        <w:rPr>
          <w:rStyle w:val="FootnoteReference"/>
        </w:rPr>
        <w:footnoteRef/>
      </w:r>
      <w:r>
        <w:t xml:space="preserve"> </w:t>
      </w:r>
      <w:r>
        <w:tab/>
      </w:r>
      <w:r>
        <w:rPr>
          <w:lang w:val="en-US"/>
        </w:rPr>
        <w:t>IBISWorld Industry Report C1842, Veterinary Pharmaceutical Manufacturing in Australia, December 2016.</w:t>
      </w:r>
    </w:p>
  </w:footnote>
  <w:footnote w:id="22">
    <w:p w:rsidR="00C66EF8" w:rsidRPr="001906E7" w:rsidRDefault="00C66EF8" w:rsidP="004F7246">
      <w:pPr>
        <w:pStyle w:val="FootnoteText"/>
        <w:ind w:left="142" w:hanging="142"/>
        <w:rPr>
          <w:lang w:val="en-US"/>
        </w:rPr>
      </w:pPr>
      <w:r>
        <w:rPr>
          <w:rStyle w:val="FootnoteReference"/>
        </w:rPr>
        <w:footnoteRef/>
      </w:r>
      <w:r>
        <w:tab/>
        <w:t xml:space="preserve"> </w:t>
      </w:r>
      <w:r>
        <w:rPr>
          <w:lang w:val="en-US"/>
        </w:rPr>
        <w:t>Pool and spa chemicals are highly prolific from a product registration perspective and they are excluded from this data.</w:t>
      </w:r>
    </w:p>
  </w:footnote>
  <w:footnote w:id="23">
    <w:p w:rsidR="00C66EF8" w:rsidRPr="004A62B0" w:rsidRDefault="00C66EF8" w:rsidP="002C35E8">
      <w:pPr>
        <w:pStyle w:val="FootnoteText"/>
        <w:ind w:left="142" w:hanging="142"/>
        <w:rPr>
          <w:lang w:val="en-US"/>
        </w:rPr>
      </w:pPr>
      <w:r>
        <w:rPr>
          <w:rStyle w:val="FootnoteReference"/>
        </w:rPr>
        <w:footnoteRef/>
      </w:r>
      <w:r>
        <w:t xml:space="preserve"> </w:t>
      </w:r>
      <w:r>
        <w:tab/>
        <w:t>Based on advice f</w:t>
      </w:r>
      <w:r>
        <w:rPr>
          <w:lang w:val="en-US"/>
        </w:rPr>
        <w:t>rom the APVMA, 2017.</w:t>
      </w:r>
    </w:p>
  </w:footnote>
  <w:footnote w:id="24">
    <w:p w:rsidR="00C66EF8" w:rsidRPr="009C662D" w:rsidRDefault="00C66EF8" w:rsidP="004F7246">
      <w:pPr>
        <w:pStyle w:val="FootnoteText"/>
        <w:ind w:left="142" w:hanging="142"/>
        <w:rPr>
          <w:lang w:val="en-US"/>
        </w:rPr>
      </w:pPr>
      <w:r>
        <w:rPr>
          <w:rStyle w:val="FootnoteReference"/>
        </w:rPr>
        <w:footnoteRef/>
      </w:r>
      <w:r>
        <w:t xml:space="preserve"> </w:t>
      </w:r>
      <w:r>
        <w:tab/>
      </w:r>
      <w:r>
        <w:rPr>
          <w:lang w:val="en-US"/>
        </w:rPr>
        <w:t>Phillips McDougall 2013, Crop Protection Market Trends, Industry Presentation 2013.</w:t>
      </w:r>
    </w:p>
  </w:footnote>
  <w:footnote w:id="25">
    <w:p w:rsidR="00C66EF8" w:rsidRPr="00E933C6" w:rsidRDefault="00C66EF8" w:rsidP="004F7246">
      <w:pPr>
        <w:pStyle w:val="FootnoteText"/>
        <w:ind w:left="142" w:hanging="142"/>
        <w:rPr>
          <w:lang w:val="en-US"/>
        </w:rPr>
      </w:pPr>
      <w:r>
        <w:rPr>
          <w:rStyle w:val="FootnoteReference"/>
        </w:rPr>
        <w:footnoteRef/>
      </w:r>
      <w:r>
        <w:t xml:space="preserve"> </w:t>
      </w:r>
      <w:r>
        <w:tab/>
      </w:r>
      <w:r>
        <w:rPr>
          <w:lang w:val="en-US"/>
        </w:rPr>
        <w:t>Phillips McDougall 2015, The Development of the Agrochemical Market in Europe, March 2015.</w:t>
      </w:r>
    </w:p>
  </w:footnote>
  <w:footnote w:id="26">
    <w:p w:rsidR="00C66EF8" w:rsidRPr="00EF26A7" w:rsidRDefault="00C66EF8" w:rsidP="004F7246">
      <w:pPr>
        <w:pStyle w:val="FootnoteText"/>
        <w:ind w:left="142" w:hanging="142"/>
        <w:rPr>
          <w:lang w:val="en-US"/>
        </w:rPr>
      </w:pPr>
      <w:r>
        <w:rPr>
          <w:rStyle w:val="FootnoteReference"/>
        </w:rPr>
        <w:footnoteRef/>
      </w:r>
      <w:r>
        <w:t xml:space="preserve"> </w:t>
      </w:r>
      <w:r>
        <w:tab/>
      </w:r>
      <w:r>
        <w:rPr>
          <w:lang w:val="en-US"/>
        </w:rPr>
        <w:t>IBISWorld Industry Report 2016C, C20.200 Pesticide and Other Agrochemical Manufacturing in the UK. October 2016.</w:t>
      </w:r>
    </w:p>
  </w:footnote>
  <w:footnote w:id="27">
    <w:p w:rsidR="00C66EF8" w:rsidRPr="00573CCE" w:rsidRDefault="00C66EF8" w:rsidP="004F7246">
      <w:pPr>
        <w:pStyle w:val="FootnoteText"/>
        <w:ind w:left="142" w:hanging="142"/>
        <w:rPr>
          <w:lang w:val="en-US"/>
        </w:rPr>
      </w:pPr>
      <w:r>
        <w:rPr>
          <w:rStyle w:val="FootnoteReference"/>
        </w:rPr>
        <w:footnoteRef/>
      </w:r>
      <w:r>
        <w:tab/>
      </w:r>
      <w:r>
        <w:rPr>
          <w:lang w:val="en-US"/>
        </w:rPr>
        <w:t>IBISWorld Industry Report 2017, 32532 Pesticide Manufacturing in the US, June 2017.</w:t>
      </w:r>
    </w:p>
  </w:footnote>
  <w:footnote w:id="28">
    <w:p w:rsidR="00C66EF8" w:rsidRDefault="00C66EF8" w:rsidP="00FA16BE">
      <w:pPr>
        <w:pStyle w:val="FootnoteText"/>
        <w:ind w:left="142" w:hanging="142"/>
      </w:pPr>
      <w:r>
        <w:rPr>
          <w:rStyle w:val="FootnoteReference"/>
        </w:rPr>
        <w:footnoteRef/>
      </w:r>
      <w:r>
        <w:t xml:space="preserve"> McEwan K and Deen B 1997, A review of agricultural pesticide pricing and availability in Canada, December 31 1997</w:t>
      </w:r>
    </w:p>
  </w:footnote>
  <w:footnote w:id="29">
    <w:p w:rsidR="00C66EF8" w:rsidRDefault="00C66EF8" w:rsidP="00FA16BE">
      <w:pPr>
        <w:pStyle w:val="FootnoteText"/>
        <w:ind w:left="142" w:hanging="142"/>
      </w:pPr>
      <w:r>
        <w:rPr>
          <w:rStyle w:val="FootnoteReference"/>
        </w:rPr>
        <w:footnoteRef/>
      </w:r>
      <w:r>
        <w:t xml:space="preserve"> McEwan K 1997, A comparison of farm input prices- Ontario versus Great Lake States, Ridgetown College, University of Guelph, and</w:t>
      </w:r>
      <w:r>
        <w:br/>
        <w:t>Smith VH and Johnson JB 2004, Agricultural Chemical Prices in Canada and the United States: A Case Study of Alberta and Montana, Agricultural Marketing Policy Paper No. 4, December 2004 (Revised)</w:t>
      </w:r>
    </w:p>
  </w:footnote>
  <w:footnote w:id="30">
    <w:p w:rsidR="00C66EF8" w:rsidRDefault="00C66EF8" w:rsidP="00FA16BE">
      <w:pPr>
        <w:pStyle w:val="FootnoteText"/>
        <w:ind w:left="142" w:hanging="142"/>
      </w:pPr>
      <w:r>
        <w:rPr>
          <w:rStyle w:val="FootnoteReference"/>
        </w:rPr>
        <w:footnoteRef/>
      </w:r>
      <w:r>
        <w:t xml:space="preserve"> McEwan K and Deen B 1997, Op cit.</w:t>
      </w:r>
    </w:p>
  </w:footnote>
  <w:footnote w:id="31">
    <w:p w:rsidR="00C66EF8" w:rsidRPr="005250F1" w:rsidRDefault="00C66EF8" w:rsidP="00FA16BE">
      <w:pPr>
        <w:pStyle w:val="FootnoteText"/>
        <w:ind w:left="142" w:hanging="142"/>
        <w:rPr>
          <w:lang w:val="en-US"/>
        </w:rPr>
      </w:pPr>
      <w:r>
        <w:rPr>
          <w:rStyle w:val="FootnoteReference"/>
        </w:rPr>
        <w:footnoteRef/>
      </w:r>
      <w:r>
        <w:t xml:space="preserve"> </w:t>
      </w:r>
      <w:r>
        <w:rPr>
          <w:lang w:val="en-US"/>
        </w:rPr>
        <w:t xml:space="preserve">Carroll MJ 2016, The importance of regulatory data protection or exclusive use and other forms of intellectual property rights in the crop protection industry, </w:t>
      </w:r>
      <w:hyperlink r:id="rId6" w:tooltip="Pest management science." w:history="1">
        <w:r w:rsidRPr="005250F1">
          <w:rPr>
            <w:i/>
            <w:lang w:val="en-US"/>
          </w:rPr>
          <w:t>Pest Management Science</w:t>
        </w:r>
        <w:r w:rsidRPr="005250F1">
          <w:rPr>
            <w:lang w:val="en-US"/>
          </w:rPr>
          <w:t>.</w:t>
        </w:r>
      </w:hyperlink>
      <w:r>
        <w:rPr>
          <w:lang w:val="en-US"/>
        </w:rPr>
        <w:t xml:space="preserve"> </w:t>
      </w:r>
      <w:r w:rsidRPr="005250F1">
        <w:rPr>
          <w:lang w:val="en-US"/>
        </w:rPr>
        <w:t>72(9):1631-</w:t>
      </w:r>
      <w:r>
        <w:rPr>
          <w:lang w:val="en-US"/>
        </w:rPr>
        <w:t>163</w:t>
      </w:r>
      <w:r w:rsidRPr="005250F1">
        <w:rPr>
          <w:lang w:val="en-US"/>
        </w:rPr>
        <w:t xml:space="preserve">7. </w:t>
      </w:r>
    </w:p>
  </w:footnote>
  <w:footnote w:id="32">
    <w:p w:rsidR="00C66EF8" w:rsidRDefault="00C66EF8" w:rsidP="00FA16BE">
      <w:pPr>
        <w:pStyle w:val="FootnoteText"/>
        <w:ind w:left="142" w:hanging="142"/>
      </w:pPr>
      <w:r>
        <w:rPr>
          <w:rStyle w:val="FootnoteReference"/>
        </w:rPr>
        <w:footnoteRef/>
      </w:r>
      <w:r>
        <w:t xml:space="preserve"> This property is the testing and trial data</w:t>
      </w:r>
    </w:p>
  </w:footnote>
  <w:footnote w:id="33">
    <w:p w:rsidR="00C66EF8" w:rsidRDefault="00C66EF8" w:rsidP="00FA16BE">
      <w:pPr>
        <w:pStyle w:val="FootnoteText"/>
        <w:ind w:left="142" w:hanging="142"/>
      </w:pPr>
      <w:r>
        <w:rPr>
          <w:rStyle w:val="FootnoteReference"/>
        </w:rPr>
        <w:footnoteRef/>
      </w:r>
      <w:r>
        <w:t xml:space="preserve"> Harris T, Nicol D, Gruen N 2014, Pharmaceutical Patents Review Report 2013. </w:t>
      </w:r>
    </w:p>
  </w:footnote>
  <w:footnote w:id="34">
    <w:p w:rsidR="00C66EF8" w:rsidRDefault="00C66EF8" w:rsidP="00FA16BE">
      <w:pPr>
        <w:pStyle w:val="FootnoteText"/>
        <w:ind w:left="142" w:hanging="142"/>
      </w:pPr>
      <w:r>
        <w:rPr>
          <w:rStyle w:val="FootnoteReference"/>
        </w:rPr>
        <w:footnoteRef/>
      </w:r>
      <w:r>
        <w:t xml:space="preserve"> Productivity Commission 2016, Intellectual Property Arrangements, Report No 78, September 2016.</w:t>
      </w:r>
    </w:p>
  </w:footnote>
  <w:footnote w:id="35">
    <w:p w:rsidR="00C66EF8" w:rsidRDefault="00C66EF8" w:rsidP="00FA16BE">
      <w:pPr>
        <w:pStyle w:val="FootnoteText"/>
        <w:ind w:left="142" w:hanging="142"/>
      </w:pPr>
      <w:r>
        <w:rPr>
          <w:rStyle w:val="FootnoteReference"/>
        </w:rPr>
        <w:footnoteRef/>
      </w:r>
      <w:r>
        <w:t xml:space="preserve"> </w:t>
      </w:r>
      <w:r w:rsidRPr="000C7E7A">
        <w:t>Patent Protection in the EU, E</w:t>
      </w:r>
      <w:r>
        <w:t>uropean Commission,</w:t>
      </w:r>
      <w:r w:rsidRPr="000C7E7A">
        <w:t xml:space="preserve"> </w:t>
      </w:r>
      <w:r>
        <w:t xml:space="preserve">accessed on 16 June 2017 at </w:t>
      </w:r>
      <w:hyperlink r:id="rId7" w:history="1">
        <w:r w:rsidRPr="003D029E">
          <w:rPr>
            <w:rStyle w:val="Hyperlink"/>
          </w:rPr>
          <w:t>http://ec.europa.eu/growth/industry/intellectual-property/patents/.htm</w:t>
        </w:r>
      </w:hyperlink>
      <w:r w:rsidRPr="000C7E7A">
        <w:t xml:space="preserve"> </w:t>
      </w:r>
    </w:p>
  </w:footnote>
  <w:footnote w:id="36">
    <w:p w:rsidR="00C66EF8" w:rsidRDefault="00C66EF8" w:rsidP="00FA16BE">
      <w:pPr>
        <w:pStyle w:val="FootnoteText"/>
        <w:ind w:left="142" w:hanging="142"/>
      </w:pPr>
      <w:r>
        <w:rPr>
          <w:rStyle w:val="FootnoteReference"/>
        </w:rPr>
        <w:footnoteRef/>
      </w:r>
      <w:r>
        <w:t xml:space="preserve"> The EEA countries are Iceland, Liechtenstein and Norway</w:t>
      </w:r>
    </w:p>
  </w:footnote>
  <w:footnote w:id="37">
    <w:p w:rsidR="00C66EF8" w:rsidRDefault="00C66EF8" w:rsidP="00FA16BE">
      <w:pPr>
        <w:pStyle w:val="FootnoteText"/>
        <w:ind w:left="142" w:hanging="142"/>
      </w:pPr>
      <w:r>
        <w:rPr>
          <w:rStyle w:val="FootnoteReference"/>
        </w:rPr>
        <w:footnoteRef/>
      </w:r>
      <w:r>
        <w:t xml:space="preserve"> </w:t>
      </w:r>
      <w:r w:rsidRPr="003D029E">
        <w:t>Supplementary Protection Certificates for Pharmaceutical and Plant Protection Products, E</w:t>
      </w:r>
      <w:r>
        <w:t>uropean Commission</w:t>
      </w:r>
      <w:r w:rsidRPr="003D029E">
        <w:t xml:space="preserve">, </w:t>
      </w:r>
      <w:r>
        <w:t xml:space="preserve">accessed on 16 June 2017 at </w:t>
      </w:r>
      <w:hyperlink r:id="rId8" w:history="1">
        <w:r w:rsidRPr="00E0754D">
          <w:rPr>
            <w:rStyle w:val="Hyperlink"/>
          </w:rPr>
          <w:t>http://ec.europa.eu/growth/industry/intellectual-property/patents/supplementary-protection-certificates/index_en.htm</w:t>
        </w:r>
      </w:hyperlink>
    </w:p>
  </w:footnote>
  <w:footnote w:id="38">
    <w:p w:rsidR="00C66EF8" w:rsidRDefault="00C66EF8" w:rsidP="006310D1">
      <w:pPr>
        <w:pStyle w:val="FootnoteText"/>
        <w:ind w:left="142" w:hanging="142"/>
      </w:pPr>
      <w:r>
        <w:rPr>
          <w:rStyle w:val="FootnoteReference"/>
        </w:rPr>
        <w:footnoteRef/>
      </w:r>
      <w:r>
        <w:t xml:space="preserve"> </w:t>
      </w:r>
      <w:r>
        <w:tab/>
      </w:r>
      <w:r w:rsidRPr="0064164D">
        <w:t>Patent law provisions that allow activities (e.g. research) which would otherwise be considered to be infringements</w:t>
      </w:r>
    </w:p>
  </w:footnote>
  <w:footnote w:id="39">
    <w:p w:rsidR="00C66EF8" w:rsidRDefault="00C66EF8" w:rsidP="006310D1">
      <w:pPr>
        <w:pStyle w:val="FootnoteText"/>
        <w:ind w:left="142" w:hanging="142"/>
      </w:pPr>
      <w:r>
        <w:rPr>
          <w:rStyle w:val="FootnoteReference"/>
        </w:rPr>
        <w:footnoteRef/>
      </w:r>
      <w:r>
        <w:t xml:space="preserve"> Kupecz A, Roox K, Dekoninck C, Schertenleib D, Stief M, Sanna F, Orsingher M, Miralles E, Molina E, Crosse T, Gilbert M, James W, 2015, </w:t>
      </w:r>
      <w:r w:rsidRPr="00050E90">
        <w:t>Safe harbors in Europe: an upgrade on the research and Bolar exemptions to patent infringement</w:t>
      </w:r>
      <w:r>
        <w:t>, Nature Biotechnology, 33, 7(710-715)</w:t>
      </w:r>
    </w:p>
  </w:footnote>
  <w:footnote w:id="40">
    <w:p w:rsidR="00C66EF8" w:rsidRDefault="00C66EF8" w:rsidP="006310D1">
      <w:pPr>
        <w:pStyle w:val="FootnoteText"/>
        <w:ind w:left="142" w:hanging="142"/>
      </w:pPr>
      <w:r>
        <w:rPr>
          <w:rStyle w:val="FootnoteReference"/>
        </w:rPr>
        <w:footnoteRef/>
      </w:r>
      <w:r>
        <w:t xml:space="preserve"> </w:t>
      </w:r>
      <w:r w:rsidRPr="00C16BC3">
        <w:t xml:space="preserve">Patents (Supplementary Protection Certificate for Medicinal Products) Regulations 1992, SI 1992/3091, </w:t>
      </w:r>
      <w:r>
        <w:t xml:space="preserve">accessed on 16 June 2016 at </w:t>
      </w:r>
      <w:hyperlink r:id="rId9" w:history="1">
        <w:r w:rsidRPr="00C16BC3">
          <w:rPr>
            <w:rStyle w:val="Hyperlink"/>
          </w:rPr>
          <w:t>http://www.legislation.gov.uk/uksi/1992/3091/made</w:t>
        </w:r>
      </w:hyperlink>
    </w:p>
    <w:p w:rsidR="00C66EF8" w:rsidRDefault="00C66EF8" w:rsidP="006310D1">
      <w:pPr>
        <w:pStyle w:val="FootnoteText"/>
        <w:ind w:left="142" w:hanging="142"/>
      </w:pPr>
      <w:r>
        <w:tab/>
      </w:r>
      <w:r w:rsidRPr="00C16BC3">
        <w:t xml:space="preserve">Patents (Supplementary Protection Certificate for Plant Protection Products) Regulations 1996, SI 1996/3120, </w:t>
      </w:r>
      <w:r>
        <w:t xml:space="preserve">accessed on 16 June 2017 at </w:t>
      </w:r>
      <w:hyperlink r:id="rId10" w:history="1">
        <w:r w:rsidRPr="00542540">
          <w:rPr>
            <w:rStyle w:val="Hyperlink"/>
          </w:rPr>
          <w:t>http://www.legislation.gov.uk/uksi/1996/3120/made</w:t>
        </w:r>
      </w:hyperlink>
    </w:p>
    <w:p w:rsidR="00C66EF8" w:rsidRDefault="00C66EF8" w:rsidP="006310D1">
      <w:pPr>
        <w:pStyle w:val="FootnoteText"/>
        <w:ind w:left="142" w:hanging="142"/>
      </w:pPr>
      <w:r>
        <w:tab/>
      </w:r>
      <w:r w:rsidRPr="00C16BC3">
        <w:t xml:space="preserve">Patents (Compulsory Licensing and Supplementary Protection Certificates) Regulations 2007, SI 2007/3293, </w:t>
      </w:r>
      <w:r>
        <w:t xml:space="preserve">accessed on 16 June 2017 at </w:t>
      </w:r>
      <w:hyperlink r:id="rId11" w:history="1">
        <w:r w:rsidRPr="00C16BC3">
          <w:rPr>
            <w:rStyle w:val="Hyperlink"/>
          </w:rPr>
          <w:t>http://www.legislation.gov.uk/uksi/2007/3293/made</w:t>
        </w:r>
      </w:hyperlink>
    </w:p>
  </w:footnote>
  <w:footnote w:id="41">
    <w:p w:rsidR="00C66EF8" w:rsidRDefault="00C66EF8" w:rsidP="00FA16BE">
      <w:pPr>
        <w:pStyle w:val="FootnoteText"/>
        <w:ind w:left="142" w:hanging="142"/>
      </w:pPr>
      <w:r>
        <w:rPr>
          <w:rStyle w:val="FootnoteReference"/>
        </w:rPr>
        <w:footnoteRef/>
      </w:r>
      <w:r>
        <w:t xml:space="preserve"> </w:t>
      </w:r>
      <w:r>
        <w:tab/>
      </w:r>
      <w:r w:rsidRPr="0090749A">
        <w:t xml:space="preserve">Regulation (EC) No. 469/2009 of the European Parliament and of the Council of May 6, 2009 Concerning the Supplementary Protection Certificate for Medicinal Products (Codified version), 2009 O.J. (L 152) 1, </w:t>
      </w:r>
      <w:r>
        <w:t xml:space="preserve">accessed on 16 June 2017 at </w:t>
      </w:r>
      <w:hyperlink r:id="rId12" w:history="1">
        <w:r w:rsidRPr="0090749A">
          <w:rPr>
            <w:rStyle w:val="Hyperlink"/>
          </w:rPr>
          <w:t>http://eur-lex.europa.eu/LexUriServ/LexUriServ.do?uri=OJ:L:2009:152:0001:0010:en:pdf</w:t>
        </w:r>
      </w:hyperlink>
    </w:p>
  </w:footnote>
  <w:footnote w:id="42">
    <w:p w:rsidR="00C66EF8" w:rsidRDefault="00C66EF8" w:rsidP="00FA16BE">
      <w:pPr>
        <w:pStyle w:val="FootnoteText"/>
        <w:ind w:left="142" w:hanging="142"/>
      </w:pPr>
      <w:r>
        <w:rPr>
          <w:rStyle w:val="FootnoteReference"/>
        </w:rPr>
        <w:footnoteRef/>
      </w:r>
      <w:r>
        <w:t xml:space="preserve"> </w:t>
      </w:r>
      <w:r>
        <w:tab/>
        <w:t xml:space="preserve">The relevant Directive for veterinary products is </w:t>
      </w:r>
      <w:r w:rsidRPr="0090749A">
        <w:t>Directive 2001/82/EC of the European Parliament and of the Council of 6 November 2001 on the Community Code Relating to Veterinary Medicinal Products, 2001 O.J.</w:t>
      </w:r>
      <w:r>
        <w:t xml:space="preserve"> </w:t>
      </w:r>
      <w:r w:rsidRPr="0090749A">
        <w:t>(L 311) 1,</w:t>
      </w:r>
      <w:r>
        <w:t xml:space="preserve"> accessed on 16 June 2017 at </w:t>
      </w:r>
      <w:hyperlink r:id="rId13" w:history="1">
        <w:r w:rsidRPr="0090749A">
          <w:rPr>
            <w:rStyle w:val="Hyperlink"/>
          </w:rPr>
          <w:t>http://eur-lex.europa.eu/legal-content/EN/TXT/PDF/?uri=CELEX:32001L0082&amp;from=EN</w:t>
        </w:r>
      </w:hyperlink>
    </w:p>
  </w:footnote>
  <w:footnote w:id="43">
    <w:p w:rsidR="00C66EF8" w:rsidRDefault="00C66EF8" w:rsidP="00FA16BE">
      <w:pPr>
        <w:pStyle w:val="FootnoteText"/>
        <w:ind w:left="142" w:hanging="142"/>
      </w:pPr>
      <w:r>
        <w:rPr>
          <w:rStyle w:val="FootnoteReference"/>
        </w:rPr>
        <w:footnoteRef/>
      </w:r>
      <w:r>
        <w:t xml:space="preserve"> </w:t>
      </w:r>
      <w:r>
        <w:tab/>
      </w:r>
      <w:r w:rsidRPr="004D6F5A">
        <w:t xml:space="preserve">Regulation (EC) No. 1610/96 of the European Parliament and of the Council of 23 July 1996 Concerning the Creation of a Supplementary Protection Certificate for Plant Protection Products, 1996 O.J. (L 198) 30, </w:t>
      </w:r>
      <w:r>
        <w:t xml:space="preserve">accessed on 16 June 2017 at </w:t>
      </w:r>
      <w:hyperlink r:id="rId14" w:history="1">
        <w:r w:rsidRPr="00911673">
          <w:rPr>
            <w:rStyle w:val="Hyperlink"/>
          </w:rPr>
          <w:t>http://eur-lex.europa.eu/legal-content/EN/TXT/PDF/?uri=CELEX:31991L0414&amp;from=EN</w:t>
        </w:r>
      </w:hyperlink>
    </w:p>
  </w:footnote>
  <w:footnote w:id="44">
    <w:p w:rsidR="00C66EF8" w:rsidRDefault="00C66EF8" w:rsidP="00FA16BE">
      <w:pPr>
        <w:pStyle w:val="FootnoteText"/>
        <w:ind w:left="142" w:hanging="142"/>
      </w:pPr>
      <w:r>
        <w:rPr>
          <w:rStyle w:val="FootnoteReference"/>
        </w:rPr>
        <w:footnoteRef/>
      </w:r>
      <w:r>
        <w:t xml:space="preserve"> U</w:t>
      </w:r>
      <w:r w:rsidRPr="00C13399">
        <w:t xml:space="preserve">nofficial English translation available at </w:t>
      </w:r>
      <w:hyperlink r:id="rId15" w:history="1">
        <w:r w:rsidRPr="00B97C8D">
          <w:rPr>
            <w:rStyle w:val="Hyperlink"/>
          </w:rPr>
          <w:t>http://www.gesetze-im-internet.de/englisch_patg/patent_act__patent gesetz__patg_.pdf</w:t>
        </w:r>
      </w:hyperlink>
      <w:r>
        <w:t xml:space="preserve"> accessed on 20 August 2017.</w:t>
      </w:r>
    </w:p>
  </w:footnote>
  <w:footnote w:id="45">
    <w:p w:rsidR="00C66EF8" w:rsidRDefault="00C66EF8" w:rsidP="00FA16BE">
      <w:pPr>
        <w:pStyle w:val="FootnoteText"/>
        <w:ind w:left="142" w:hanging="142"/>
      </w:pPr>
      <w:r>
        <w:rPr>
          <w:rStyle w:val="FootnoteReference"/>
        </w:rPr>
        <w:footnoteRef/>
      </w:r>
      <w:r>
        <w:t xml:space="preserve"> See </w:t>
      </w:r>
      <w:hyperlink r:id="rId16" w:history="1">
        <w:r w:rsidRPr="006E666B">
          <w:rPr>
            <w:rStyle w:val="Hyperlink"/>
          </w:rPr>
          <w:t>https://www.uspto.gov/web/offices/pac/mpep/s2701.html</w:t>
        </w:r>
      </w:hyperlink>
      <w:r>
        <w:rPr>
          <w:rStyle w:val="Hyperlink"/>
        </w:rPr>
        <w:t xml:space="preserve"> </w:t>
      </w:r>
      <w:r w:rsidRPr="009061A6">
        <w:rPr>
          <w:rStyle w:val="Hyperlink"/>
          <w:color w:val="auto"/>
        </w:rPr>
        <w:t>accessed on 20 August 2017</w:t>
      </w:r>
      <w:r>
        <w:rPr>
          <w:rStyle w:val="Hyperlink"/>
        </w:rPr>
        <w:t>.</w:t>
      </w:r>
    </w:p>
  </w:footnote>
  <w:footnote w:id="46">
    <w:p w:rsidR="00C66EF8" w:rsidRDefault="00C66EF8" w:rsidP="00FA16BE">
      <w:pPr>
        <w:pStyle w:val="FootnoteText"/>
        <w:ind w:left="142" w:hanging="142"/>
      </w:pPr>
      <w:r>
        <w:rPr>
          <w:rStyle w:val="FootnoteReference"/>
        </w:rPr>
        <w:footnoteRef/>
      </w:r>
      <w:r>
        <w:t xml:space="preserve"> </w:t>
      </w:r>
      <w:r w:rsidRPr="00947217">
        <w:t xml:space="preserve">See Donald O. Beers </w:t>
      </w:r>
      <w:r w:rsidRPr="00B94822">
        <w:rPr>
          <w:i/>
        </w:rPr>
        <w:t>et al</w:t>
      </w:r>
      <w:r>
        <w:t xml:space="preserve"> 2013, </w:t>
      </w:r>
      <w:r w:rsidRPr="00947217">
        <w:rPr>
          <w:i/>
        </w:rPr>
        <w:t>Generic and Innovator Drugs: A Guide to FDA Approval Requirements</w:t>
      </w:r>
      <w:r w:rsidRPr="00947217">
        <w:t>, Eighth Edition, Wolters Kluwer Law &amp; Business, 2013, 4.05 for a discussion of the Hatch-Waxman Act and infringement litigation.</w:t>
      </w:r>
    </w:p>
  </w:footnote>
  <w:footnote w:id="47">
    <w:p w:rsidR="00C66EF8" w:rsidRPr="000C7DA4" w:rsidRDefault="00C66EF8" w:rsidP="00FA16BE">
      <w:pPr>
        <w:pStyle w:val="FootnoteText"/>
        <w:ind w:left="142" w:hanging="142"/>
        <w:rPr>
          <w:lang w:val="en-US"/>
        </w:rPr>
      </w:pPr>
      <w:r>
        <w:rPr>
          <w:rStyle w:val="FootnoteReference"/>
        </w:rPr>
        <w:footnoteRef/>
      </w:r>
      <w:r>
        <w:t xml:space="preserve"> </w:t>
      </w:r>
      <w:r>
        <w:tab/>
        <w:t xml:space="preserve">MBIE, not dated, accessed on 20 May 2017 at </w:t>
      </w:r>
      <w:hyperlink r:id="rId17" w:history="1">
        <w:r w:rsidRPr="00A93CE1">
          <w:rPr>
            <w:rStyle w:val="Hyperlink"/>
          </w:rPr>
          <w:t>http://www.mbie.govt.nz/info-services/business/intellectual-property/tpp-intellectual-property-chapter/consultation-on-proposed-patent-term-extension-regulations</w:t>
        </w:r>
      </w:hyperlink>
    </w:p>
  </w:footnote>
  <w:footnote w:id="48">
    <w:p w:rsidR="00C66EF8" w:rsidRPr="001C5AAB" w:rsidRDefault="00C66EF8" w:rsidP="00066CB7">
      <w:pPr>
        <w:pStyle w:val="FootnoteText"/>
        <w:rPr>
          <w:lang w:val="en-US"/>
        </w:rPr>
      </w:pPr>
      <w:r>
        <w:rPr>
          <w:rStyle w:val="FootnoteReference"/>
        </w:rPr>
        <w:footnoteRef/>
      </w:r>
      <w:r>
        <w:t xml:space="preserve"> See </w:t>
      </w:r>
      <w:hyperlink r:id="rId18" w:history="1">
        <w:r w:rsidRPr="005508C9">
          <w:rPr>
            <w:rStyle w:val="Hyperlink"/>
          </w:rPr>
          <w:t>http://www.aph.gov.au/Parliamentary_Business/Bills_Legislation/Bills_Search_Results/Result?bId=r2536</w:t>
        </w:r>
      </w:hyperlink>
      <w:r>
        <w:t xml:space="preserve"> accessed on 16 June 2017.</w:t>
      </w:r>
    </w:p>
  </w:footnote>
  <w:footnote w:id="49">
    <w:p w:rsidR="00C66EF8" w:rsidRDefault="00C66EF8" w:rsidP="0062274E">
      <w:pPr>
        <w:pStyle w:val="FootnoteText"/>
      </w:pPr>
      <w:r>
        <w:rPr>
          <w:rStyle w:val="FootnoteReference"/>
        </w:rPr>
        <w:footnoteRef/>
      </w:r>
      <w:r>
        <w:t xml:space="preserve"> Productivity Commission 2016, </w:t>
      </w:r>
      <w:r w:rsidRPr="00E3231A">
        <w:rPr>
          <w:i/>
        </w:rPr>
        <w:t>Intellectual Property Arrangements</w:t>
      </w:r>
      <w:r>
        <w:t>, Report No 78, September 2016.</w:t>
      </w:r>
    </w:p>
  </w:footnote>
  <w:footnote w:id="50">
    <w:p w:rsidR="00C66EF8" w:rsidRDefault="00C66EF8" w:rsidP="00FA16BE">
      <w:pPr>
        <w:pStyle w:val="FootnoteText"/>
        <w:ind w:left="142" w:hanging="142"/>
      </w:pPr>
      <w:r>
        <w:rPr>
          <w:rStyle w:val="FootnoteReference"/>
        </w:rPr>
        <w:footnoteRef/>
      </w:r>
      <w:r>
        <w:t xml:space="preserve"> See </w:t>
      </w:r>
      <w:hyperlink r:id="rId19" w:history="1">
        <w:r w:rsidRPr="00542540">
          <w:rPr>
            <w:rStyle w:val="Hyperlink"/>
          </w:rPr>
          <w:t>http://ec.europa.eu/health//sites/health/files/files/eudralex/vol-1/reg_2004_726/reg_2004_726_en.pdf</w:t>
        </w:r>
      </w:hyperlink>
      <w:r>
        <w:t xml:space="preserve"> accessed on 16 June 2017.</w:t>
      </w:r>
    </w:p>
  </w:footnote>
  <w:footnote w:id="51">
    <w:p w:rsidR="00C66EF8" w:rsidRDefault="00C66EF8" w:rsidP="00FA16BE">
      <w:pPr>
        <w:pStyle w:val="FootnoteText"/>
        <w:ind w:left="142" w:hanging="142"/>
      </w:pPr>
      <w:r>
        <w:rPr>
          <w:rStyle w:val="FootnoteReference"/>
        </w:rPr>
        <w:footnoteRef/>
      </w:r>
      <w:r>
        <w:t xml:space="preserve"> See </w:t>
      </w:r>
      <w:hyperlink r:id="rId20" w:history="1">
        <w:r w:rsidRPr="00542540">
          <w:rPr>
            <w:rStyle w:val="Hyperlink"/>
          </w:rPr>
          <w:t>http://ec.europa.eu/health//sites/health/files/files/eudralex/vol-1/dir_2001_83_consol_2012/dir_2001_83_cons_2012_en.pdf</w:t>
        </w:r>
      </w:hyperlink>
      <w:r>
        <w:t xml:space="preserve"> accessed on 16 June 2017.</w:t>
      </w:r>
    </w:p>
  </w:footnote>
  <w:footnote w:id="52">
    <w:p w:rsidR="00C66EF8" w:rsidRDefault="00C66EF8" w:rsidP="00FA16BE">
      <w:pPr>
        <w:pStyle w:val="FootnoteText"/>
        <w:ind w:left="142" w:hanging="142"/>
      </w:pPr>
      <w:r>
        <w:rPr>
          <w:rStyle w:val="FootnoteReference"/>
        </w:rPr>
        <w:footnoteRef/>
      </w:r>
      <w:r>
        <w:t xml:space="preserve"> Belgium, France, Germany, Italy, Luxembourg, the Netherlands, Sweden and the UK chose a general ten-year data exclusivity period. The other Member States chose for six years (sometimes limited to patent life). Despite the 6-year period adopted by Spain in its domestic law in 1993, it operates a special, separate administrative arrangement whereby a “generic pharmaceutical specialty” will not generally be granted authorisation until 10 years have elapsed since authorisation of the original, innovative product in Spain, or when the drug is authorised as a generic in an EU country where product patent protection for the active principle could have been obtained. </w:t>
      </w:r>
    </w:p>
  </w:footnote>
  <w:footnote w:id="53">
    <w:p w:rsidR="00C66EF8" w:rsidRDefault="00C66EF8" w:rsidP="00FA16BE">
      <w:pPr>
        <w:pStyle w:val="FootnoteText"/>
        <w:ind w:left="142" w:hanging="142"/>
      </w:pPr>
      <w:r>
        <w:rPr>
          <w:rStyle w:val="FootnoteReference"/>
        </w:rPr>
        <w:footnoteRef/>
      </w:r>
      <w:r>
        <w:t xml:space="preserve"> International Federation of Pharmaceutical Manufacturers and Associations 2011, Data exclusivity: Encouraging development of new medicines, accessed on 16 June 2017 at </w:t>
      </w:r>
      <w:hyperlink r:id="rId21" w:history="1">
        <w:r w:rsidRPr="00542540">
          <w:rPr>
            <w:rStyle w:val="Hyperlink"/>
          </w:rPr>
          <w:t>https://www.ifpma.org/wp-content/uploads/2016/01/IFPMA_2011_Data_Exclusivity__En_Web.pdf</w:t>
        </w:r>
      </w:hyperlink>
      <w:r>
        <w:t xml:space="preserve"> </w:t>
      </w:r>
    </w:p>
  </w:footnote>
  <w:footnote w:id="54">
    <w:p w:rsidR="00C66EF8" w:rsidRDefault="00C66EF8" w:rsidP="00FA16BE">
      <w:pPr>
        <w:pStyle w:val="FootnoteText"/>
        <w:ind w:left="142" w:hanging="142"/>
      </w:pPr>
      <w:r>
        <w:rPr>
          <w:rStyle w:val="FootnoteReference"/>
        </w:rPr>
        <w:footnoteRef/>
      </w:r>
      <w:r>
        <w:t xml:space="preserve"> Canadian Government 2006, Regulatory Impact Analysis Statement, accessed on 16 June 2017 at </w:t>
      </w:r>
      <w:hyperlink r:id="rId22" w:history="1">
        <w:r w:rsidRPr="00542540">
          <w:rPr>
            <w:rStyle w:val="Hyperlink"/>
          </w:rPr>
          <w:t>http://www.wipo.int/edocs/lexdocs/laws/en/ca/ca052en.pdf</w:t>
        </w:r>
      </w:hyperlink>
      <w:r>
        <w:t xml:space="preserve"> </w:t>
      </w:r>
    </w:p>
  </w:footnote>
  <w:footnote w:id="55">
    <w:p w:rsidR="00C66EF8" w:rsidRDefault="00C66EF8" w:rsidP="00FA16BE">
      <w:pPr>
        <w:pStyle w:val="FootnoteText"/>
        <w:ind w:left="142" w:hanging="142"/>
      </w:pPr>
      <w:r>
        <w:rPr>
          <w:rStyle w:val="FootnoteReference"/>
        </w:rPr>
        <w:footnoteRef/>
      </w:r>
      <w:r>
        <w:t xml:space="preserve"> Intersol 2014, Recommendations: Administering the Data Protection Program for Pesticides in Canada, 20 November, 2014, available from Health Canada on request.</w:t>
      </w:r>
    </w:p>
  </w:footnote>
  <w:footnote w:id="56">
    <w:p w:rsidR="00C66EF8" w:rsidRDefault="00C66EF8" w:rsidP="00FA16BE">
      <w:pPr>
        <w:pStyle w:val="FootnoteText"/>
        <w:ind w:left="142" w:hanging="142"/>
      </w:pPr>
      <w:r>
        <w:rPr>
          <w:rStyle w:val="FootnoteReference"/>
        </w:rPr>
        <w:footnoteRef/>
      </w:r>
      <w:r>
        <w:t xml:space="preserve"> Health Canada 2016, accessed on 4 August 2017 at </w:t>
      </w:r>
      <w:hyperlink r:id="rId23" w:history="1">
        <w:r w:rsidRPr="00620724">
          <w:rPr>
            <w:rStyle w:val="Hyperlink"/>
          </w:rPr>
          <w:t>https://www.canada.ca/en/health-canada/services/consumer-product-safety/reports-publications/pesticides-pest-management/corporate-plans-reports/pest-management-regulatory-agency-response-intersol-group-ltd-report-recommendations-administering-data-protection-program-pesticides.html</w:t>
        </w:r>
      </w:hyperlink>
      <w:r>
        <w:t xml:space="preserve"> </w:t>
      </w:r>
    </w:p>
  </w:footnote>
  <w:footnote w:id="57">
    <w:p w:rsidR="00C66EF8" w:rsidRDefault="00C66EF8" w:rsidP="00FA16BE">
      <w:pPr>
        <w:pStyle w:val="FootnoteText"/>
        <w:ind w:left="142" w:hanging="142"/>
      </w:pPr>
      <w:r>
        <w:rPr>
          <w:rStyle w:val="FootnoteReference"/>
        </w:rPr>
        <w:footnoteRef/>
      </w:r>
      <w:r>
        <w:t xml:space="preserve"> EC COM(2014) 558 final 2014/0257 (COD) accessed on 2 August 2017 at </w:t>
      </w:r>
      <w:hyperlink r:id="rId24" w:history="1">
        <w:r w:rsidRPr="00844982">
          <w:rPr>
            <w:rStyle w:val="Hyperlink"/>
          </w:rPr>
          <w:t>https://ec.europa.eu/health//sites/health/files/files/veterinary/vet_2014-09/regulation/reg_part1_en.pdf</w:t>
        </w:r>
      </w:hyperlink>
      <w:r>
        <w:t xml:space="preserve"> </w:t>
      </w:r>
    </w:p>
  </w:footnote>
  <w:footnote w:id="58">
    <w:p w:rsidR="00C66EF8" w:rsidRDefault="00C66EF8" w:rsidP="00FA16BE">
      <w:pPr>
        <w:pStyle w:val="FootnoteText"/>
        <w:ind w:left="142" w:hanging="142"/>
      </w:pPr>
      <w:r>
        <w:rPr>
          <w:rStyle w:val="FootnoteReference"/>
        </w:rPr>
        <w:footnoteRef/>
      </w:r>
      <w:r>
        <w:t xml:space="preserve"> EC Regulation 726/2004 of 31 March 2004</w:t>
      </w:r>
    </w:p>
  </w:footnote>
  <w:footnote w:id="59">
    <w:p w:rsidR="00C66EF8" w:rsidRDefault="00C66EF8" w:rsidP="00FA16BE">
      <w:pPr>
        <w:pStyle w:val="FootnoteText"/>
        <w:ind w:left="142" w:hanging="142"/>
      </w:pPr>
      <w:r>
        <w:rPr>
          <w:rStyle w:val="FootnoteReference"/>
        </w:rPr>
        <w:footnoteRef/>
      </w:r>
      <w:r>
        <w:t xml:space="preserve"> EMA/MMA 2012, HMA/EMA Guidance document on the identification of commercially confidential information and personal data with the structure of marketing authorisation (MA) application – release of information after the granting of a marketing authorisation, accessed on 4 August 2017 at </w:t>
      </w:r>
      <w:hyperlink r:id="rId25" w:history="1">
        <w:r w:rsidRPr="00925F65">
          <w:rPr>
            <w:rStyle w:val="Hyperlink"/>
          </w:rPr>
          <w:t>http://www.ema.europa.eu/docs/en_GB/document_library/Other/2012/03/WC500124536.pdf</w:t>
        </w:r>
      </w:hyperlink>
      <w:r>
        <w:t xml:space="preserve"> </w:t>
      </w:r>
    </w:p>
  </w:footnote>
  <w:footnote w:id="60">
    <w:p w:rsidR="00C66EF8" w:rsidRDefault="00C66EF8" w:rsidP="00FA16BE">
      <w:pPr>
        <w:pStyle w:val="FootnoteText"/>
        <w:ind w:left="142" w:hanging="142"/>
      </w:pPr>
      <w:r>
        <w:rPr>
          <w:rStyle w:val="FootnoteReference"/>
        </w:rPr>
        <w:footnoteRef/>
      </w:r>
      <w:r>
        <w:t xml:space="preserve"> Title 21--Food and Drugs Chapter I—Food and Drug Administration, Subchapter E--Animal drugs, feeds, and related products, Part 516 -- new animal drugs for minor use and minor species, Subpart C--Index of Legally Marketed Unapproved New Animal Drugs for Minor Species, accessed on 2 August 2017 at </w:t>
      </w:r>
      <w:hyperlink r:id="rId26" w:history="1">
        <w:r w:rsidRPr="00925F65">
          <w:rPr>
            <w:rStyle w:val="Hyperlink"/>
          </w:rPr>
          <w:t>https://www.accessdata.fda.gov/scripts/cdrh/cfdocs/cfcfr/cfrsearch.cfm?fr=516.171</w:t>
        </w:r>
      </w:hyperlink>
      <w:r>
        <w:t xml:space="preserve"> </w:t>
      </w:r>
    </w:p>
  </w:footnote>
  <w:footnote w:id="61">
    <w:p w:rsidR="00C66EF8" w:rsidRDefault="00C66EF8" w:rsidP="00FA16BE">
      <w:pPr>
        <w:pStyle w:val="FootnoteText"/>
        <w:ind w:left="142" w:hanging="142"/>
      </w:pPr>
      <w:r>
        <w:rPr>
          <w:rStyle w:val="FootnoteReference"/>
        </w:rPr>
        <w:footnoteRef/>
      </w:r>
      <w:r>
        <w:t xml:space="preserve"> Title 21--Food and drugs chapter I--Food and Drug Administration, Subchapter A – General, Part 20 public information,  accessed on 2 August 2017 at </w:t>
      </w:r>
      <w:hyperlink r:id="rId27" w:history="1">
        <w:r w:rsidRPr="00925F65">
          <w:rPr>
            <w:rStyle w:val="Hyperlink"/>
          </w:rPr>
          <w:t>https://www.accessdata.fda.gov/scripts/cdrh/cfdocs/cfcfr/CFRSearch.cfm?CFRPart=20&amp;showFR=1&amp;subpartNode=21:1.0.1.1.16.4</w:t>
        </w:r>
      </w:hyperlink>
      <w:r>
        <w:t xml:space="preserve"> </w:t>
      </w:r>
    </w:p>
  </w:footnote>
  <w:footnote w:id="62">
    <w:p w:rsidR="00C66EF8" w:rsidRDefault="00C66EF8" w:rsidP="00FA16BE">
      <w:pPr>
        <w:pStyle w:val="FootnoteText"/>
        <w:ind w:left="142" w:hanging="142"/>
      </w:pPr>
      <w:r>
        <w:rPr>
          <w:rStyle w:val="FootnoteReference"/>
        </w:rPr>
        <w:footnoteRef/>
      </w:r>
      <w:r>
        <w:t xml:space="preserve"> Health Canada  2017, Guidance document - Master Files - Procedures and Administrative Requirements, accessed on 4 August 2017 at </w:t>
      </w:r>
      <w:hyperlink r:id="rId28" w:history="1">
        <w:r w:rsidRPr="00533083">
          <w:rPr>
            <w:rStyle w:val="Hyperlink"/>
          </w:rPr>
          <w:t>http://www.hc-sc.gc.ca/dhp-mps/alt_formats/pdf/prodpharma/applic-demande/guide-ld/mf-guide-ld-fm-eng.pdf</w:t>
        </w:r>
      </w:hyperlink>
      <w:r>
        <w:t xml:space="preserve"> </w:t>
      </w:r>
    </w:p>
  </w:footnote>
  <w:footnote w:id="63">
    <w:p w:rsidR="00C66EF8" w:rsidRDefault="00C66EF8" w:rsidP="00FA16BE">
      <w:pPr>
        <w:pStyle w:val="FootnoteText"/>
        <w:ind w:left="142" w:hanging="142"/>
      </w:pPr>
      <w:r>
        <w:rPr>
          <w:rStyle w:val="FootnoteReference"/>
        </w:rPr>
        <w:footnoteRef/>
      </w:r>
      <w:r>
        <w:t xml:space="preserve"> Health Canada 2017, </w:t>
      </w:r>
      <w:r w:rsidRPr="00A975FE">
        <w:t>Guidance Document - Disclosure of Confidential Business Information under Paragraph 21.1(3)(c) of the Food and Drugs Act</w:t>
      </w:r>
      <w:r>
        <w:t xml:space="preserve">, accessed on 4 August 2017 at </w:t>
      </w:r>
      <w:hyperlink r:id="rId29" w:history="1">
        <w:r w:rsidRPr="00533083">
          <w:rPr>
            <w:rStyle w:val="Hyperlink"/>
          </w:rPr>
          <w:t>https://www.canada.ca/en/health-canada/services/drug-health-product-review-approval/request-disclosure-confidential-business-information/disclosure-confidential-business-information/guidance.html</w:t>
        </w:r>
      </w:hyperlink>
      <w:r>
        <w:t xml:space="preserve"> </w:t>
      </w:r>
    </w:p>
  </w:footnote>
  <w:footnote w:id="64">
    <w:p w:rsidR="00C66EF8" w:rsidRDefault="00C66EF8" w:rsidP="00FA16BE">
      <w:pPr>
        <w:pStyle w:val="FootnoteText"/>
        <w:ind w:left="142" w:hanging="142"/>
      </w:pPr>
      <w:r>
        <w:rPr>
          <w:rStyle w:val="FootnoteReference"/>
        </w:rPr>
        <w:footnoteRef/>
      </w:r>
      <w:r>
        <w:t xml:space="preserve"> New Zealand Government 2017, Medicines Act  1981, accessed on 4 August 2017 at </w:t>
      </w:r>
      <w:hyperlink r:id="rId30" w:history="1">
        <w:r w:rsidRPr="00533083">
          <w:rPr>
            <w:rStyle w:val="Hyperlink"/>
          </w:rPr>
          <w:t>http://www.legislation.govt.nz/act/public/1981/0118/latest/DLM55085.html</w:t>
        </w:r>
      </w:hyperlink>
      <w:r>
        <w:t xml:space="preserve"> </w:t>
      </w:r>
    </w:p>
  </w:footnote>
  <w:footnote w:id="65">
    <w:p w:rsidR="00C66EF8" w:rsidRDefault="00C66EF8" w:rsidP="00DC0060">
      <w:pPr>
        <w:pStyle w:val="FootnoteText"/>
      </w:pPr>
      <w:r>
        <w:rPr>
          <w:rStyle w:val="FootnoteReference"/>
        </w:rPr>
        <w:footnoteRef/>
      </w:r>
      <w:r>
        <w:t xml:space="preserve"> Productivity Commission 2016 Op cit.</w:t>
      </w:r>
    </w:p>
  </w:footnote>
  <w:footnote w:id="66">
    <w:p w:rsidR="00C66EF8" w:rsidRPr="005519F9" w:rsidRDefault="00C66EF8" w:rsidP="00E94791">
      <w:pPr>
        <w:pStyle w:val="FootnoteText"/>
        <w:ind w:left="142" w:hanging="142"/>
        <w:rPr>
          <w:lang w:val="en-US"/>
        </w:rPr>
      </w:pPr>
      <w:r>
        <w:rPr>
          <w:rStyle w:val="FootnoteReference"/>
        </w:rPr>
        <w:footnoteRef/>
      </w:r>
      <w:r>
        <w:t xml:space="preserve"> Productivity Commission 2008, Chemicals and Plastics Regulation, Research Report, Melbourne, accessed on 16 June 2017 at. </w:t>
      </w:r>
      <w:hyperlink r:id="rId31" w:history="1">
        <w:r w:rsidRPr="00E434D7">
          <w:rPr>
            <w:rStyle w:val="Hyperlink"/>
          </w:rPr>
          <w:t>http://www.pc.gov.au/inquiries/completed/chemicals-plastics/report/chemicals-plastics-regulation.pdf</w:t>
        </w:r>
      </w:hyperlink>
    </w:p>
  </w:footnote>
  <w:footnote w:id="67">
    <w:p w:rsidR="00C66EF8" w:rsidRDefault="00C66EF8" w:rsidP="00E94791">
      <w:pPr>
        <w:pStyle w:val="FootnoteText"/>
        <w:ind w:left="142" w:hanging="142"/>
      </w:pPr>
      <w:r>
        <w:rPr>
          <w:rStyle w:val="FootnoteReference"/>
        </w:rPr>
        <w:footnoteRef/>
      </w:r>
      <w:r>
        <w:t xml:space="preserve"> BVL not dated, accessed on 16 July 2017 at </w:t>
      </w:r>
      <w:hyperlink r:id="rId32" w:history="1">
        <w:r w:rsidRPr="00196A89">
          <w:rPr>
            <w:rStyle w:val="Hyperlink"/>
          </w:rPr>
          <w:t>http://www.bvl.bund.de/EN/05_Veterinary_Drugs/veterinary_node.html;jsessionid=7E6A0CA57D1DF385D3A261990D336E88.1_cid332</w:t>
        </w:r>
      </w:hyperlink>
      <w:r>
        <w:t xml:space="preserve"> )</w:t>
      </w:r>
    </w:p>
  </w:footnote>
  <w:footnote w:id="68">
    <w:p w:rsidR="00C66EF8" w:rsidRDefault="00C66EF8" w:rsidP="00E94791">
      <w:pPr>
        <w:pStyle w:val="FootnoteText"/>
        <w:ind w:left="142" w:hanging="142"/>
      </w:pPr>
      <w:r>
        <w:rPr>
          <w:rStyle w:val="FootnoteReference"/>
        </w:rPr>
        <w:footnoteRef/>
      </w:r>
      <w:r>
        <w:t xml:space="preserve"> CVM not dated, accessed on 16 July 2017 at </w:t>
      </w:r>
      <w:hyperlink r:id="rId33" w:history="1">
        <w:r w:rsidRPr="00D0015A">
          <w:rPr>
            <w:rStyle w:val="Hyperlink"/>
          </w:rPr>
          <w:t>https://www.fda.gov/AnimalVeterinary/GuidanceComplianceEnforcement/GuidanceforIndustry/ucm042451.htm</w:t>
        </w:r>
      </w:hyperlink>
      <w:r>
        <w:t xml:space="preserve"> </w:t>
      </w:r>
    </w:p>
  </w:footnote>
  <w:footnote w:id="69">
    <w:p w:rsidR="00C66EF8" w:rsidRDefault="00C66EF8" w:rsidP="00A81AF2">
      <w:pPr>
        <w:pStyle w:val="FootnoteText"/>
        <w:ind w:left="142" w:hanging="142"/>
      </w:pPr>
      <w:r>
        <w:rPr>
          <w:rStyle w:val="FootnoteReference"/>
        </w:rPr>
        <w:footnoteRef/>
      </w:r>
      <w:r>
        <w:t xml:space="preserve"> VDD not dated, accessed on 16 July 2017 at </w:t>
      </w:r>
      <w:hyperlink r:id="rId34" w:history="1">
        <w:r w:rsidRPr="00196A89">
          <w:rPr>
            <w:rStyle w:val="Hyperlink"/>
          </w:rPr>
          <w:t>https://www.lrvhp.ca/public/documents/view/overview</w:t>
        </w:r>
      </w:hyperlink>
    </w:p>
  </w:footnote>
  <w:footnote w:id="70">
    <w:p w:rsidR="00C66EF8" w:rsidRDefault="00C66EF8" w:rsidP="00A81AF2">
      <w:pPr>
        <w:pStyle w:val="FootnoteText"/>
        <w:ind w:left="142" w:hanging="142"/>
      </w:pPr>
      <w:r>
        <w:rPr>
          <w:rStyle w:val="FootnoteReference"/>
        </w:rPr>
        <w:footnoteRef/>
      </w:r>
      <w:r>
        <w:t xml:space="preserve"> NZEPA undated, N</w:t>
      </w:r>
      <w:r w:rsidRPr="007F1A08">
        <w:t xml:space="preserve">ew requirements for labels, safety data sheets and packaging </w:t>
      </w:r>
      <w:r>
        <w:t xml:space="preserve">accessed on 4 August 2017 at </w:t>
      </w:r>
      <w:hyperlink r:id="rId35" w:history="1">
        <w:r w:rsidRPr="00665D56">
          <w:rPr>
            <w:rStyle w:val="Hyperlink"/>
          </w:rPr>
          <w:t>http://www.epa.govt.nz/Publications/OPC_manufacturers_and_importers.pdf</w:t>
        </w:r>
      </w:hyperlink>
      <w:r>
        <w:t xml:space="preserve"> </w:t>
      </w:r>
    </w:p>
  </w:footnote>
  <w:footnote w:id="71">
    <w:p w:rsidR="00C66EF8" w:rsidRDefault="00C66EF8" w:rsidP="00A81AF2">
      <w:pPr>
        <w:pStyle w:val="FootnoteText"/>
        <w:ind w:left="142" w:hanging="142"/>
      </w:pPr>
      <w:r>
        <w:rPr>
          <w:rStyle w:val="FootnoteReference"/>
        </w:rPr>
        <w:footnoteRef/>
      </w:r>
      <w:r>
        <w:t xml:space="preserve"> NZEPA 2017, New requirements for manufacturers and importers of anti-fouling paints, accessed on 4 August 2017 at </w:t>
      </w:r>
      <w:hyperlink r:id="rId36" w:history="1">
        <w:r w:rsidRPr="00665D56">
          <w:rPr>
            <w:rStyle w:val="Hyperlink"/>
          </w:rPr>
          <w:t>http://www.epa.govt.nz/Publications/Antifouling_manufacturers_and_importers.pdf</w:t>
        </w:r>
      </w:hyperlink>
      <w:r>
        <w:t xml:space="preserve"> </w:t>
      </w:r>
    </w:p>
  </w:footnote>
  <w:footnote w:id="72">
    <w:p w:rsidR="00C66EF8" w:rsidRDefault="00C66EF8" w:rsidP="00A81AF2">
      <w:pPr>
        <w:pStyle w:val="FootnoteText"/>
        <w:ind w:left="142" w:hanging="142"/>
      </w:pPr>
      <w:r>
        <w:rPr>
          <w:rStyle w:val="FootnoteReference"/>
        </w:rPr>
        <w:footnoteRef/>
      </w:r>
      <w:r>
        <w:t xml:space="preserve"> The levy applies to individual products and is tiered on the basis of the value of the sales.</w:t>
      </w:r>
    </w:p>
  </w:footnote>
  <w:footnote w:id="73">
    <w:p w:rsidR="00C66EF8" w:rsidRPr="00004915" w:rsidRDefault="00C66EF8" w:rsidP="00A81AF2">
      <w:pPr>
        <w:pStyle w:val="FootnoteText"/>
        <w:ind w:left="142" w:hanging="142"/>
        <w:rPr>
          <w:lang w:val="en-US"/>
        </w:rPr>
      </w:pPr>
      <w:r>
        <w:rPr>
          <w:rStyle w:val="FootnoteReference"/>
        </w:rPr>
        <w:footnoteRef/>
      </w:r>
      <w:r>
        <w:t xml:space="preserve"> See </w:t>
      </w:r>
      <w:hyperlink r:id="rId37" w:history="1">
        <w:r w:rsidRPr="00877FB9">
          <w:rPr>
            <w:rStyle w:val="Hyperlink"/>
          </w:rPr>
          <w:t>https://apvma.gov.au/sites/default/files/docs/apvma-2015-16-ar.pdf</w:t>
        </w:r>
      </w:hyperlink>
      <w:r>
        <w:rPr>
          <w:rStyle w:val="Hyperlink"/>
        </w:rPr>
        <w:t xml:space="preserve"> </w:t>
      </w:r>
      <w:r w:rsidRPr="00250563">
        <w:rPr>
          <w:rStyle w:val="Hyperlink"/>
          <w:color w:val="auto"/>
          <w:u w:val="none"/>
        </w:rPr>
        <w:t>accessed on 20 August 2017</w:t>
      </w:r>
      <w:r w:rsidRPr="00250563">
        <w:rPr>
          <w:rStyle w:val="Hyperlink"/>
          <w:u w:val="none"/>
        </w:rPr>
        <w:t>.</w:t>
      </w:r>
    </w:p>
  </w:footnote>
  <w:footnote w:id="74">
    <w:p w:rsidR="00C66EF8" w:rsidRPr="00250563" w:rsidRDefault="00C66EF8" w:rsidP="00A81AF2">
      <w:pPr>
        <w:pStyle w:val="FootnoteText"/>
        <w:ind w:left="142" w:hanging="142"/>
        <w:rPr>
          <w:lang w:val="en-US"/>
        </w:rPr>
      </w:pPr>
      <w:r>
        <w:rPr>
          <w:rStyle w:val="FootnoteReference"/>
        </w:rPr>
        <w:footnoteRef/>
      </w:r>
      <w:r>
        <w:t xml:space="preserve"> See </w:t>
      </w:r>
      <w:hyperlink r:id="rId38" w:history="1">
        <w:r w:rsidRPr="0055687B">
          <w:rPr>
            <w:rStyle w:val="Hyperlink"/>
          </w:rPr>
          <w:t>https://apvma.gov.au/node/612</w:t>
        </w:r>
      </w:hyperlink>
      <w:r w:rsidRPr="00250563">
        <w:rPr>
          <w:rStyle w:val="Hyperlink"/>
          <w:u w:val="none"/>
        </w:rPr>
        <w:t xml:space="preserve"> </w:t>
      </w:r>
      <w:r w:rsidRPr="00250563">
        <w:rPr>
          <w:rStyle w:val="Hyperlink"/>
          <w:color w:val="auto"/>
          <w:u w:val="none"/>
        </w:rPr>
        <w:t>accessed on 20 August 2017.</w:t>
      </w:r>
    </w:p>
  </w:footnote>
  <w:footnote w:id="75">
    <w:p w:rsidR="00C66EF8" w:rsidRPr="00250563" w:rsidRDefault="00C66EF8" w:rsidP="00A81AF2">
      <w:pPr>
        <w:pStyle w:val="FootnoteText"/>
        <w:ind w:left="142" w:hanging="142"/>
        <w:rPr>
          <w:lang w:val="en-US"/>
        </w:rPr>
      </w:pPr>
      <w:r>
        <w:rPr>
          <w:rStyle w:val="FootnoteReference"/>
        </w:rPr>
        <w:footnoteRef/>
      </w:r>
      <w:r>
        <w:t xml:space="preserve"> See </w:t>
      </w:r>
      <w:hyperlink r:id="rId39" w:history="1">
        <w:r w:rsidRPr="0055687B">
          <w:rPr>
            <w:rStyle w:val="Hyperlink"/>
          </w:rPr>
          <w:t>https://apvma.gov.au/node/10971</w:t>
        </w:r>
      </w:hyperlink>
      <w:r w:rsidRPr="00250563">
        <w:rPr>
          <w:rStyle w:val="Hyperlink"/>
          <w:u w:val="none"/>
        </w:rPr>
        <w:t xml:space="preserve"> </w:t>
      </w:r>
      <w:r w:rsidRPr="00250563">
        <w:rPr>
          <w:rStyle w:val="Hyperlink"/>
          <w:color w:val="auto"/>
          <w:u w:val="none"/>
        </w:rPr>
        <w:t>accessed on 20 August 2017.</w:t>
      </w:r>
    </w:p>
  </w:footnote>
  <w:footnote w:id="76">
    <w:p w:rsidR="00C66EF8" w:rsidRPr="008562F5" w:rsidRDefault="00C66EF8" w:rsidP="00A81AF2">
      <w:pPr>
        <w:pStyle w:val="FootnoteText"/>
        <w:ind w:left="142" w:hanging="142"/>
        <w:rPr>
          <w:lang w:val="en-US"/>
        </w:rPr>
      </w:pPr>
      <w:r>
        <w:rPr>
          <w:rStyle w:val="FootnoteReference"/>
        </w:rPr>
        <w:footnoteRef/>
      </w:r>
      <w:r>
        <w:t xml:space="preserve"> </w:t>
      </w:r>
      <w:r>
        <w:rPr>
          <w:lang w:val="en-US"/>
        </w:rPr>
        <w:t xml:space="preserve">The Agvet Code Regulations define a timeshift application to mean an application that is for approval of an active constituent that is not a previously endorsed active constituent, or registration of a chemical product containing an active constituent that is not an active constituent contained in any other registered chemical product and will by agreement of the applicant and the APVMA, be assessed in accordance with assessment periods set out in a project plan for the application agreed to by the applicant and the APVMA. See </w:t>
      </w:r>
      <w:hyperlink r:id="rId40" w:history="1">
        <w:r w:rsidRPr="00196A89">
          <w:rPr>
            <w:rStyle w:val="Hyperlink"/>
            <w:lang w:val="en-US"/>
          </w:rPr>
          <w:t>https://apvma.gov.au/definition-of-terms/t</w:t>
        </w:r>
      </w:hyperlink>
      <w:r>
        <w:rPr>
          <w:lang w:val="en-US"/>
        </w:rPr>
        <w:t xml:space="preserve"> .</w:t>
      </w:r>
    </w:p>
  </w:footnote>
  <w:footnote w:id="77">
    <w:p w:rsidR="00C66EF8" w:rsidRPr="00C26CC2" w:rsidRDefault="00C66EF8" w:rsidP="00A81AF2">
      <w:pPr>
        <w:pStyle w:val="NormalWeb"/>
        <w:shd w:val="clear" w:color="auto" w:fill="FFFFFF"/>
        <w:spacing w:after="240" w:line="240" w:lineRule="auto"/>
        <w:ind w:left="142" w:hanging="142"/>
        <w:rPr>
          <w:lang w:val="en-US"/>
        </w:rPr>
      </w:pPr>
      <w:r w:rsidRPr="00C26CC2">
        <w:rPr>
          <w:rStyle w:val="FootnoteReference"/>
          <w:sz w:val="16"/>
          <w:szCs w:val="16"/>
        </w:rPr>
        <w:footnoteRef/>
      </w:r>
      <w:r w:rsidRPr="00C26CC2">
        <w:rPr>
          <w:sz w:val="16"/>
          <w:szCs w:val="16"/>
        </w:rPr>
        <w:t xml:space="preserve"> </w:t>
      </w:r>
      <w:r w:rsidRPr="00C26CC2">
        <w:rPr>
          <w:rFonts w:ascii="Arial Narrow" w:hAnsi="Arial Narrow" w:cstheme="minorBidi"/>
          <w:sz w:val="16"/>
          <w:szCs w:val="20"/>
        </w:rPr>
        <w:t>A global joint review is the concurrent evaluation of a new pesticide or variations to a registered pesticide product through a globally coordinated system of evaluations, peer reviews and report sharing. Countries take lead roles in the hazard assessments of proposed pesticides, and their reports are peer-reviewed by other participating countries. These reports are shared and used as the basis for each country’s own risk assessment and decision-making, which may require the provision of data reflecting regional conditions and use patterns. The global joint review process does not extend to evaluation of efficacy and where required each country undertakes its own independent evaluation.</w:t>
      </w:r>
      <w:r>
        <w:rPr>
          <w:rFonts w:ascii="Arial Narrow" w:hAnsi="Arial Narrow" w:cstheme="minorBidi"/>
          <w:sz w:val="16"/>
          <w:szCs w:val="20"/>
        </w:rPr>
        <w:t xml:space="preserve"> </w:t>
      </w:r>
      <w:r w:rsidRPr="00C26CC2">
        <w:rPr>
          <w:rFonts w:ascii="Arial Narrow" w:hAnsi="Arial Narrow" w:cstheme="minorBidi"/>
          <w:sz w:val="16"/>
          <w:szCs w:val="20"/>
        </w:rPr>
        <w:t xml:space="preserve">The </w:t>
      </w:r>
      <w:r>
        <w:rPr>
          <w:rFonts w:ascii="Arial Narrow" w:hAnsi="Arial Narrow" w:cstheme="minorBidi"/>
          <w:sz w:val="16"/>
          <w:szCs w:val="20"/>
        </w:rPr>
        <w:t>OECD</w:t>
      </w:r>
      <w:r w:rsidRPr="00C26CC2">
        <w:rPr>
          <w:rFonts w:ascii="Arial Narrow" w:hAnsi="Arial Narrow" w:cstheme="minorBidi"/>
          <w:sz w:val="16"/>
          <w:szCs w:val="20"/>
        </w:rPr>
        <w:t xml:space="preserve"> has established the framework for conducting the reviews in the Guidance document</w:t>
      </w:r>
      <w:r>
        <w:rPr>
          <w:rFonts w:ascii="Arial Narrow" w:hAnsi="Arial Narrow" w:cstheme="minorBidi"/>
          <w:sz w:val="16"/>
          <w:szCs w:val="20"/>
        </w:rPr>
        <w:t xml:space="preserve"> </w:t>
      </w:r>
      <w:r w:rsidRPr="00C26CC2">
        <w:rPr>
          <w:rFonts w:ascii="Arial Narrow" w:hAnsi="Arial Narrow" w:cstheme="minorBidi"/>
          <w:sz w:val="16"/>
          <w:szCs w:val="20"/>
        </w:rPr>
        <w:t xml:space="preserve">on the planning and implementation of joint reviews of pesticides. </w:t>
      </w:r>
    </w:p>
  </w:footnote>
  <w:footnote w:id="78">
    <w:p w:rsidR="00C66EF8" w:rsidRPr="002E133C" w:rsidRDefault="00C66EF8" w:rsidP="00A81AF2">
      <w:pPr>
        <w:pStyle w:val="FootnoteText"/>
        <w:ind w:left="142" w:hanging="142"/>
        <w:rPr>
          <w:lang w:val="en-US"/>
        </w:rPr>
      </w:pPr>
      <w:r>
        <w:rPr>
          <w:rStyle w:val="FootnoteReference"/>
        </w:rPr>
        <w:footnoteRef/>
      </w:r>
      <w:r>
        <w:t xml:space="preserve"> </w:t>
      </w:r>
      <w:r>
        <w:tab/>
      </w:r>
      <w:r>
        <w:rPr>
          <w:lang w:val="en-US"/>
        </w:rPr>
        <w:t>Safeners are chemicals used in combination with herbicides to reduce the effect of the herbicide on crop plants.</w:t>
      </w:r>
    </w:p>
  </w:footnote>
  <w:footnote w:id="79">
    <w:p w:rsidR="00C66EF8" w:rsidRPr="00286A47" w:rsidRDefault="00C66EF8" w:rsidP="00A81AF2">
      <w:pPr>
        <w:pStyle w:val="FootnoteText"/>
        <w:ind w:left="142" w:hanging="142"/>
        <w:rPr>
          <w:lang w:val="en-US"/>
        </w:rPr>
      </w:pPr>
      <w:r>
        <w:rPr>
          <w:rStyle w:val="FootnoteReference"/>
        </w:rPr>
        <w:footnoteRef/>
      </w:r>
      <w:r>
        <w:tab/>
        <w:t xml:space="preserve"> See </w:t>
      </w:r>
      <w:hyperlink r:id="rId41" w:history="1">
        <w:r w:rsidRPr="00B97C8D">
          <w:rPr>
            <w:rStyle w:val="Hyperlink"/>
          </w:rPr>
          <w:t>https://ec.europa.eu/food/sites/food/files/plant/docs/pesticides_ppp_app-proc_efsa-proc.pdf</w:t>
        </w:r>
      </w:hyperlink>
      <w:r>
        <w:t xml:space="preserve"> accessed on 20 August 2017.</w:t>
      </w:r>
    </w:p>
  </w:footnote>
  <w:footnote w:id="80">
    <w:p w:rsidR="00C66EF8" w:rsidRPr="00A54E73" w:rsidRDefault="00C66EF8" w:rsidP="00A81AF2">
      <w:pPr>
        <w:autoSpaceDE w:val="0"/>
        <w:autoSpaceDN w:val="0"/>
        <w:adjustRightInd w:val="0"/>
        <w:spacing w:after="0" w:line="240" w:lineRule="auto"/>
        <w:ind w:left="142" w:hanging="142"/>
        <w:rPr>
          <w:lang w:val="en-US"/>
        </w:rPr>
      </w:pPr>
      <w:r w:rsidRPr="00A54E73">
        <w:rPr>
          <w:sz w:val="16"/>
          <w:szCs w:val="20"/>
          <w:vertAlign w:val="superscript"/>
          <w:lang w:val="en-US"/>
        </w:rPr>
        <w:footnoteRef/>
      </w:r>
      <w:r>
        <w:rPr>
          <w:sz w:val="16"/>
          <w:szCs w:val="20"/>
          <w:lang w:val="en-US"/>
        </w:rPr>
        <w:t xml:space="preserve"> </w:t>
      </w:r>
      <w:r>
        <w:rPr>
          <w:sz w:val="16"/>
          <w:szCs w:val="20"/>
          <w:lang w:val="en-US"/>
        </w:rPr>
        <w:tab/>
        <w:t>Mattaar H</w:t>
      </w:r>
      <w:r w:rsidRPr="00A54E73">
        <w:rPr>
          <w:sz w:val="16"/>
          <w:szCs w:val="20"/>
          <w:lang w:val="en-US"/>
        </w:rPr>
        <w:t xml:space="preserve"> </w:t>
      </w:r>
      <w:r>
        <w:rPr>
          <w:sz w:val="16"/>
          <w:szCs w:val="20"/>
          <w:lang w:val="en-US"/>
        </w:rPr>
        <w:t xml:space="preserve">2016, </w:t>
      </w:r>
      <w:r w:rsidRPr="00AF1B78">
        <w:rPr>
          <w:i/>
          <w:sz w:val="16"/>
          <w:szCs w:val="20"/>
          <w:lang w:val="en-US"/>
        </w:rPr>
        <w:t>Vademecum 2016</w:t>
      </w:r>
      <w:r w:rsidRPr="00A54E73">
        <w:rPr>
          <w:sz w:val="16"/>
          <w:szCs w:val="20"/>
          <w:lang w:val="en-US"/>
        </w:rPr>
        <w:t>, 3rd edition. Pappas and Associates, Brussels,</w:t>
      </w:r>
      <w:r>
        <w:rPr>
          <w:sz w:val="16"/>
          <w:szCs w:val="20"/>
          <w:lang w:val="en-US"/>
        </w:rPr>
        <w:t xml:space="preserve"> Belgium, pp. 5–16</w:t>
      </w:r>
      <w:r w:rsidRPr="00A54E73">
        <w:rPr>
          <w:sz w:val="16"/>
          <w:szCs w:val="20"/>
          <w:lang w:val="en-US"/>
        </w:rPr>
        <w:t>.</w:t>
      </w:r>
    </w:p>
  </w:footnote>
  <w:footnote w:id="81">
    <w:p w:rsidR="00C66EF8" w:rsidRPr="002E1979" w:rsidRDefault="00C66EF8" w:rsidP="00A81AF2">
      <w:pPr>
        <w:pStyle w:val="FootnoteText"/>
        <w:ind w:left="142" w:hanging="142"/>
        <w:rPr>
          <w:lang w:val="en-US"/>
        </w:rPr>
      </w:pPr>
      <w:r>
        <w:rPr>
          <w:rStyle w:val="FootnoteReference"/>
        </w:rPr>
        <w:footnoteRef/>
      </w:r>
      <w:r>
        <w:t xml:space="preserve"> A Bolar exemption </w:t>
      </w:r>
      <w:r w:rsidRPr="002E1979">
        <w:rPr>
          <w:lang w:val="en-US"/>
        </w:rPr>
        <w:t>is an exception to the exclusive right granted by a patent, permitting use of patented products in experiments for the purpose of obtaining regulatory approval</w:t>
      </w:r>
      <w:r>
        <w:rPr>
          <w:lang w:val="en-US"/>
        </w:rPr>
        <w:t>.</w:t>
      </w:r>
    </w:p>
  </w:footnote>
  <w:footnote w:id="82">
    <w:p w:rsidR="00C66EF8" w:rsidRPr="004D166B" w:rsidRDefault="00C66EF8" w:rsidP="00A81AF2">
      <w:pPr>
        <w:pStyle w:val="FootnoteText"/>
        <w:ind w:left="142" w:hanging="142"/>
        <w:rPr>
          <w:lang w:val="en-US"/>
        </w:rPr>
      </w:pPr>
      <w:r>
        <w:rPr>
          <w:rStyle w:val="FootnoteReference"/>
        </w:rPr>
        <w:footnoteRef/>
      </w:r>
      <w:r>
        <w:t xml:space="preserve"> See </w:t>
      </w:r>
      <w:hyperlink r:id="rId42" w:history="1">
        <w:r w:rsidRPr="00B97C8D">
          <w:rPr>
            <w:rStyle w:val="Hyperlink"/>
          </w:rPr>
          <w:t>http://www.ema.europa.eu/docs/en_GB/document_library/Leaflet/2014/08/WC500171674.pdf</w:t>
        </w:r>
      </w:hyperlink>
      <w:r>
        <w:t xml:space="preserve"> accessed on 20 August 2017</w:t>
      </w:r>
    </w:p>
  </w:footnote>
  <w:footnote w:id="83">
    <w:p w:rsidR="00C66EF8" w:rsidRPr="00F02D81" w:rsidRDefault="00C66EF8" w:rsidP="00A81AF2">
      <w:pPr>
        <w:pStyle w:val="FootnoteText"/>
        <w:ind w:left="142" w:hanging="142"/>
        <w:rPr>
          <w:lang w:val="en-US"/>
        </w:rPr>
      </w:pPr>
      <w:r>
        <w:rPr>
          <w:rStyle w:val="FootnoteReference"/>
        </w:rPr>
        <w:footnoteRef/>
      </w:r>
      <w:r>
        <w:tab/>
        <w:t xml:space="preserve">See </w:t>
      </w:r>
      <w:hyperlink r:id="rId43" w:history="1">
        <w:r w:rsidRPr="00B97C8D">
          <w:rPr>
            <w:rStyle w:val="Hyperlink"/>
          </w:rPr>
          <w:t>http://www.hse.gov.uk/pesticides/topics/pesticide-approvals/pesticides-registration/general/introduction-to-active-substance-approval.htm</w:t>
        </w:r>
      </w:hyperlink>
      <w:r>
        <w:t xml:space="preserve"> accessed on 20 August 2017.</w:t>
      </w:r>
    </w:p>
  </w:footnote>
  <w:footnote w:id="84">
    <w:p w:rsidR="00C66EF8" w:rsidRPr="00112E01" w:rsidRDefault="00C66EF8" w:rsidP="00D22B5D">
      <w:pPr>
        <w:pStyle w:val="FootnoteText"/>
        <w:ind w:left="142" w:hanging="142"/>
        <w:rPr>
          <w:lang w:val="en-US"/>
        </w:rPr>
      </w:pPr>
      <w:r>
        <w:rPr>
          <w:rStyle w:val="FootnoteReference"/>
        </w:rPr>
        <w:footnoteRef/>
      </w:r>
      <w:r>
        <w:t xml:space="preserve"> </w:t>
      </w:r>
      <w:r>
        <w:tab/>
        <w:t xml:space="preserve">See </w:t>
      </w:r>
      <w:hyperlink r:id="rId44" w:history="1">
        <w:r w:rsidRPr="00535C1C">
          <w:rPr>
            <w:rStyle w:val="Hyperlink"/>
          </w:rPr>
          <w:t>https://www.gov.uk/guidance/marketing-authorisations-for-veterinary-medicines#authorisation-routes</w:t>
        </w:r>
      </w:hyperlink>
      <w:r w:rsidRPr="00250563">
        <w:rPr>
          <w:rStyle w:val="Hyperlink"/>
          <w:u w:val="none"/>
        </w:rPr>
        <w:t xml:space="preserve"> </w:t>
      </w:r>
      <w:r w:rsidRPr="00250563">
        <w:rPr>
          <w:rStyle w:val="Hyperlink"/>
          <w:color w:val="auto"/>
          <w:u w:val="none"/>
        </w:rPr>
        <w:t xml:space="preserve">accessed on 20 </w:t>
      </w:r>
      <w:r>
        <w:rPr>
          <w:rStyle w:val="Hyperlink"/>
          <w:color w:val="auto"/>
          <w:u w:val="none"/>
        </w:rPr>
        <w:t>A</w:t>
      </w:r>
      <w:r w:rsidRPr="00250563">
        <w:rPr>
          <w:rStyle w:val="Hyperlink"/>
          <w:color w:val="auto"/>
          <w:u w:val="none"/>
        </w:rPr>
        <w:t>ugust 2017.</w:t>
      </w:r>
    </w:p>
  </w:footnote>
  <w:footnote w:id="85">
    <w:p w:rsidR="00C66EF8" w:rsidRDefault="00C66EF8" w:rsidP="00535C1C">
      <w:pPr>
        <w:pStyle w:val="FootnoteText"/>
        <w:ind w:left="142" w:hanging="142"/>
      </w:pPr>
      <w:r>
        <w:rPr>
          <w:rStyle w:val="FootnoteReference"/>
        </w:rPr>
        <w:footnoteRef/>
      </w:r>
      <w:r>
        <w:t xml:space="preserve"> C</w:t>
      </w:r>
      <w:r w:rsidRPr="008578BB">
        <w:t xml:space="preserve">arroll </w:t>
      </w:r>
      <w:r>
        <w:t>MJ</w:t>
      </w:r>
      <w:r w:rsidRPr="008578BB">
        <w:t xml:space="preserve"> 2016, </w:t>
      </w:r>
      <w:r>
        <w:t>T</w:t>
      </w:r>
      <w:r w:rsidRPr="008578BB">
        <w:t xml:space="preserve">he importance of regulatory data protection or exclusive use and other forms of </w:t>
      </w:r>
      <w:r>
        <w:t>IP</w:t>
      </w:r>
      <w:r w:rsidRPr="008578BB">
        <w:t xml:space="preserve"> rights in the crop protection industry,</w:t>
      </w:r>
      <w:r>
        <w:t xml:space="preserve"> Pest Management Science, 72:9, pp 1631-1637, September 2016 </w:t>
      </w:r>
    </w:p>
  </w:footnote>
  <w:footnote w:id="86">
    <w:p w:rsidR="00C66EF8" w:rsidRPr="00250563" w:rsidRDefault="00C66EF8" w:rsidP="00D22B5D">
      <w:pPr>
        <w:pStyle w:val="FootnoteText"/>
        <w:ind w:left="142" w:hanging="142"/>
        <w:rPr>
          <w:lang w:val="en-US"/>
        </w:rPr>
      </w:pPr>
      <w:r>
        <w:rPr>
          <w:rStyle w:val="FootnoteReference"/>
        </w:rPr>
        <w:footnoteRef/>
      </w:r>
      <w:r>
        <w:t xml:space="preserve"> </w:t>
      </w:r>
      <w:r>
        <w:tab/>
        <w:t xml:space="preserve">See </w:t>
      </w:r>
      <w:hyperlink r:id="rId45" w:history="1">
        <w:r w:rsidRPr="007C5E30">
          <w:rPr>
            <w:rStyle w:val="Hyperlink"/>
          </w:rPr>
          <w:t>https://www.fda.gov/AnimalVeterinary/GuidanceComplianceEnforcement/GuidanceforIndustry/ucm123821.htm</w:t>
        </w:r>
      </w:hyperlink>
      <w:r w:rsidRPr="00250563">
        <w:rPr>
          <w:rStyle w:val="Hyperlink"/>
          <w:u w:val="none"/>
        </w:rPr>
        <w:t xml:space="preserve"> </w:t>
      </w:r>
      <w:r w:rsidRPr="00250563">
        <w:rPr>
          <w:rStyle w:val="Hyperlink"/>
          <w:color w:val="auto"/>
          <w:u w:val="none"/>
        </w:rPr>
        <w:t>accessed on 20</w:t>
      </w:r>
      <w:r>
        <w:rPr>
          <w:rStyle w:val="Hyperlink"/>
          <w:color w:val="auto"/>
          <w:u w:val="none"/>
        </w:rPr>
        <w:t> </w:t>
      </w:r>
      <w:r w:rsidRPr="00250563">
        <w:rPr>
          <w:rStyle w:val="Hyperlink"/>
          <w:color w:val="auto"/>
          <w:u w:val="none"/>
        </w:rPr>
        <w:t>August 2017.</w:t>
      </w:r>
    </w:p>
  </w:footnote>
  <w:footnote w:id="87">
    <w:p w:rsidR="00C66EF8" w:rsidRPr="00250563" w:rsidRDefault="00C66EF8" w:rsidP="00D22B5D">
      <w:pPr>
        <w:pStyle w:val="FootnoteText"/>
        <w:ind w:left="142" w:hanging="142"/>
        <w:rPr>
          <w:lang w:val="en-US"/>
        </w:rPr>
      </w:pPr>
      <w:r>
        <w:rPr>
          <w:rStyle w:val="FootnoteReference"/>
        </w:rPr>
        <w:footnoteRef/>
      </w:r>
      <w:r>
        <w:t xml:space="preserve"> </w:t>
      </w:r>
      <w:r>
        <w:tab/>
        <w:t xml:space="preserve">See </w:t>
      </w:r>
      <w:hyperlink r:id="rId46" w:history="1">
        <w:r w:rsidRPr="007C5E30">
          <w:rPr>
            <w:rStyle w:val="Hyperlink"/>
          </w:rPr>
          <w:t>https://www.fda.gov/downloads/AnimalVeterinary/GuidanceComplianceEnforcement/GuidanceforIndustry/UCM052180.pdf</w:t>
        </w:r>
      </w:hyperlink>
      <w:r w:rsidRPr="00250563">
        <w:rPr>
          <w:rStyle w:val="Hyperlink"/>
          <w:u w:val="none"/>
        </w:rPr>
        <w:t xml:space="preserve"> </w:t>
      </w:r>
      <w:r w:rsidRPr="00250563">
        <w:rPr>
          <w:rStyle w:val="Hyperlink"/>
          <w:color w:val="auto"/>
          <w:u w:val="none"/>
        </w:rPr>
        <w:t>accessed on 20 August 2017.</w:t>
      </w:r>
    </w:p>
  </w:footnote>
  <w:footnote w:id="88">
    <w:p w:rsidR="00C66EF8" w:rsidRPr="00FF78D9" w:rsidRDefault="00C66EF8" w:rsidP="00D22B5D">
      <w:pPr>
        <w:pStyle w:val="FootnoteText"/>
        <w:ind w:left="142" w:hanging="142"/>
        <w:rPr>
          <w:lang w:val="en-US"/>
        </w:rPr>
      </w:pPr>
      <w:r>
        <w:rPr>
          <w:rStyle w:val="FootnoteReference"/>
        </w:rPr>
        <w:footnoteRef/>
      </w:r>
      <w:r>
        <w:t xml:space="preserve"> New Zealand Ministry of Primary Industries, not dated, accessed on 17 July 2017 at </w:t>
      </w:r>
      <w:hyperlink r:id="rId47" w:history="1">
        <w:r w:rsidRPr="00CF741D">
          <w:rPr>
            <w:rStyle w:val="Hyperlink"/>
          </w:rPr>
          <w:t>http://www.foodsafety.govt.nz/industry/acvm/agricultural-chemicals/authorisation/</w:t>
        </w:r>
      </w:hyperlink>
      <w:r>
        <w:t xml:space="preserve"> </w:t>
      </w:r>
    </w:p>
  </w:footnote>
  <w:footnote w:id="89">
    <w:p w:rsidR="00C66EF8" w:rsidRDefault="00C66EF8" w:rsidP="00D22B5D">
      <w:pPr>
        <w:pStyle w:val="FootnoteText"/>
        <w:ind w:left="142" w:hanging="142"/>
      </w:pPr>
      <w:r>
        <w:rPr>
          <w:rStyle w:val="FootnoteReference"/>
        </w:rPr>
        <w:footnoteRef/>
      </w:r>
      <w:r>
        <w:t xml:space="preserve"> New Zealand Ministry of Primary Industries, not dated, accessed on 17 July 2017 at </w:t>
      </w:r>
      <w:hyperlink r:id="rId48" w:history="1">
        <w:r w:rsidRPr="00CF741D">
          <w:rPr>
            <w:rStyle w:val="Hyperlink"/>
          </w:rPr>
          <w:t>http://www.foodsafety.govt.nz/elibrary/industry/acvm_registration-ensures_that.htm</w:t>
        </w:r>
      </w:hyperlink>
      <w:r>
        <w:t xml:space="preserve"> </w:t>
      </w:r>
    </w:p>
  </w:footnote>
  <w:footnote w:id="90">
    <w:p w:rsidR="00C66EF8" w:rsidRPr="00BD5001" w:rsidRDefault="00C66EF8" w:rsidP="00D22B5D">
      <w:pPr>
        <w:pStyle w:val="FootnoteText"/>
        <w:ind w:left="142" w:hanging="142"/>
        <w:rPr>
          <w:lang w:val="en-US"/>
        </w:rPr>
      </w:pPr>
      <w:r>
        <w:rPr>
          <w:rStyle w:val="FootnoteReference"/>
        </w:rPr>
        <w:footnoteRef/>
      </w:r>
      <w:r>
        <w:t xml:space="preserve"> </w:t>
      </w:r>
      <w:r>
        <w:rPr>
          <w:lang w:val="en-US"/>
        </w:rPr>
        <w:t>Productivity Commission (2008), Chemicals and Plastics Regulation, Productivity Commission Research Paper.</w:t>
      </w:r>
    </w:p>
  </w:footnote>
  <w:footnote w:id="91">
    <w:p w:rsidR="00C66EF8" w:rsidRPr="00921A3D" w:rsidRDefault="00C66EF8" w:rsidP="00D22B5D">
      <w:pPr>
        <w:pStyle w:val="FootnoteText"/>
        <w:ind w:left="142" w:hanging="142"/>
        <w:rPr>
          <w:lang w:val="en-US"/>
        </w:rPr>
      </w:pPr>
      <w:r>
        <w:rPr>
          <w:rStyle w:val="FootnoteReference"/>
        </w:rPr>
        <w:footnoteRef/>
      </w:r>
      <w:r>
        <w:t xml:space="preserve"> See </w:t>
      </w:r>
      <w:hyperlink r:id="rId49" w:history="1">
        <w:r w:rsidRPr="00B97C8D">
          <w:rPr>
            <w:rStyle w:val="Hyperlink"/>
          </w:rPr>
          <w:t>https://apvma.gov.au/node/1088</w:t>
        </w:r>
      </w:hyperlink>
      <w:r>
        <w:t xml:space="preserve"> accessed on 20 August 2017.</w:t>
      </w:r>
    </w:p>
  </w:footnote>
  <w:footnote w:id="92">
    <w:p w:rsidR="00C66EF8" w:rsidRPr="00A90111" w:rsidRDefault="00C66EF8" w:rsidP="00D22B5D">
      <w:pPr>
        <w:pStyle w:val="FootnoteText"/>
        <w:ind w:left="142" w:hanging="142"/>
        <w:rPr>
          <w:lang w:val="en-US"/>
        </w:rPr>
      </w:pPr>
      <w:r>
        <w:rPr>
          <w:rStyle w:val="FootnoteReference"/>
        </w:rPr>
        <w:footnoteRef/>
      </w:r>
      <w:r>
        <w:t xml:space="preserve"> See </w:t>
      </w:r>
      <w:hyperlink r:id="rId50" w:history="1">
        <w:r w:rsidRPr="00B97C8D">
          <w:rPr>
            <w:rStyle w:val="Hyperlink"/>
          </w:rPr>
          <w:t>http://ris.pmc.gov.au/sites/default/files/posts/2011/11/04-Better-Regulation-of-AGVET.pdf</w:t>
        </w:r>
      </w:hyperlink>
      <w:r>
        <w:t xml:space="preserve"> accessed on 20 August 2017.</w:t>
      </w:r>
    </w:p>
  </w:footnote>
  <w:footnote w:id="93">
    <w:p w:rsidR="00C66EF8" w:rsidRPr="00762320" w:rsidRDefault="00C66EF8" w:rsidP="00D22B5D">
      <w:pPr>
        <w:pStyle w:val="FootnoteText"/>
        <w:ind w:left="142" w:hanging="142"/>
        <w:rPr>
          <w:lang w:val="en-US"/>
        </w:rPr>
      </w:pPr>
      <w:r>
        <w:rPr>
          <w:rStyle w:val="FootnoteReference"/>
        </w:rPr>
        <w:footnoteRef/>
      </w:r>
      <w:r>
        <w:t xml:space="preserve"> See </w:t>
      </w:r>
      <w:hyperlink r:id="rId51" w:history="1">
        <w:r w:rsidRPr="00BA656D">
          <w:rPr>
            <w:rStyle w:val="Hyperlink"/>
          </w:rPr>
          <w:t>https://apvma.gov.au/node/20231 (accessed 23 May 2017)</w:t>
        </w:r>
      </w:hyperlink>
      <w:r>
        <w:t xml:space="preserve"> accessed on 20 August 2017.</w:t>
      </w:r>
    </w:p>
  </w:footnote>
  <w:footnote w:id="94">
    <w:p w:rsidR="00C66EF8" w:rsidRPr="00CA31E4" w:rsidRDefault="00C66EF8" w:rsidP="008D3BDF">
      <w:pPr>
        <w:pStyle w:val="FootnoteText"/>
        <w:ind w:left="142" w:hanging="142"/>
        <w:rPr>
          <w:lang w:val="en-US"/>
        </w:rPr>
      </w:pPr>
      <w:r>
        <w:rPr>
          <w:rStyle w:val="FootnoteReference"/>
        </w:rPr>
        <w:footnoteRef/>
      </w:r>
      <w:r>
        <w:t xml:space="preserve"> Department of Prime Minister and Cabinet 2011, Better regulation of agricultural and veterinary chemicals - regulation impact statement, November 2011, accessed on 27 October 2017 at </w:t>
      </w:r>
      <w:hyperlink r:id="rId52" w:history="1">
        <w:r w:rsidRPr="008D3BDF">
          <w:rPr>
            <w:rStyle w:val="Hyperlink"/>
          </w:rPr>
          <w:t>http://ris.pmc.gov.au/sites/default/files/posts/2011/11/04-Better-Regulation-of-AGVET.pdf</w:t>
        </w:r>
      </w:hyperlink>
    </w:p>
  </w:footnote>
  <w:footnote w:id="95">
    <w:p w:rsidR="00C66EF8" w:rsidRPr="002A5E2D" w:rsidRDefault="00C66EF8" w:rsidP="00B326D2">
      <w:pPr>
        <w:pStyle w:val="FootnoteText"/>
        <w:ind w:left="142" w:hanging="142"/>
        <w:rPr>
          <w:lang w:val="en-US"/>
        </w:rPr>
      </w:pPr>
      <w:r>
        <w:rPr>
          <w:rStyle w:val="FootnoteReference"/>
        </w:rPr>
        <w:footnoteRef/>
      </w:r>
      <w:r>
        <w:t xml:space="preserve"> See </w:t>
      </w:r>
      <w:hyperlink r:id="rId53" w:history="1">
        <w:r w:rsidRPr="00BA656D">
          <w:rPr>
            <w:rStyle w:val="Hyperlink"/>
          </w:rPr>
          <w:t>https://apvma.gov.au/node/1088</w:t>
        </w:r>
      </w:hyperlink>
      <w:r>
        <w:t xml:space="preserve"> accessed 28 May 2017</w:t>
      </w:r>
    </w:p>
  </w:footnote>
  <w:footnote w:id="96">
    <w:p w:rsidR="00C66EF8" w:rsidRPr="00725B1B" w:rsidRDefault="00C66EF8" w:rsidP="00B326D2">
      <w:pPr>
        <w:pStyle w:val="FootnoteText"/>
        <w:ind w:left="142" w:hanging="142"/>
        <w:rPr>
          <w:lang w:val="en-US"/>
        </w:rPr>
      </w:pPr>
      <w:r>
        <w:rPr>
          <w:rStyle w:val="FootnoteReference"/>
        </w:rPr>
        <w:footnoteRef/>
      </w:r>
      <w:r>
        <w:t xml:space="preserve"> See </w:t>
      </w:r>
      <w:hyperlink r:id="rId54" w:history="1">
        <w:r w:rsidRPr="003E64A3">
          <w:rPr>
            <w:rStyle w:val="Hyperlink"/>
          </w:rPr>
          <w:t>https://apvma.gov.au/node/4161</w:t>
        </w:r>
      </w:hyperlink>
      <w:r>
        <w:t xml:space="preserve"> accessed 1 June 2017</w:t>
      </w:r>
    </w:p>
  </w:footnote>
  <w:footnote w:id="97">
    <w:p w:rsidR="00C66EF8" w:rsidRPr="007130C9" w:rsidRDefault="00C66EF8" w:rsidP="00B326D2">
      <w:pPr>
        <w:pStyle w:val="FootnoteText"/>
        <w:ind w:left="142" w:hanging="142"/>
        <w:rPr>
          <w:lang w:val="en-US"/>
        </w:rPr>
      </w:pPr>
      <w:r>
        <w:rPr>
          <w:rStyle w:val="FootnoteReference"/>
        </w:rPr>
        <w:footnoteRef/>
      </w:r>
      <w:r>
        <w:t xml:space="preserve"> Productivity Commission 2008, Chemicals and Plastics Regulation, Research Report, Melbourne, accessed on 20 August 2017 at </w:t>
      </w:r>
      <w:hyperlink r:id="rId55" w:history="1">
        <w:r w:rsidRPr="008D3BDF">
          <w:rPr>
            <w:rStyle w:val="Hyperlink"/>
          </w:rPr>
          <w:t>http://www.pc.gov.au/inquiries/completed/chemicals-plastics/report/chemicals-plastics-regulation.pdf</w:t>
        </w:r>
      </w:hyperlink>
    </w:p>
  </w:footnote>
  <w:footnote w:id="98">
    <w:p w:rsidR="00C66EF8" w:rsidRPr="00D3231D" w:rsidRDefault="00C66EF8">
      <w:pPr>
        <w:pStyle w:val="FootnoteText"/>
        <w:rPr>
          <w:lang w:val="en-US"/>
        </w:rPr>
      </w:pPr>
      <w:r>
        <w:rPr>
          <w:rStyle w:val="FootnoteReference"/>
        </w:rPr>
        <w:footnoteRef/>
      </w:r>
      <w:r>
        <w:t xml:space="preserve"> </w:t>
      </w:r>
      <w:r>
        <w:rPr>
          <w:lang w:val="en-US"/>
        </w:rPr>
        <w:t>ACIL Tasman 2008, APVMA CRIS review, an independent review of the APVMA and its cost recovery policies, November 2008.</w:t>
      </w:r>
    </w:p>
  </w:footnote>
  <w:footnote w:id="99">
    <w:p w:rsidR="00C66EF8" w:rsidRPr="007134DE" w:rsidRDefault="00C66EF8" w:rsidP="00727629">
      <w:pPr>
        <w:pStyle w:val="FootnoteText"/>
        <w:ind w:left="284" w:hanging="284"/>
        <w:rPr>
          <w:lang w:val="en-US"/>
        </w:rPr>
      </w:pPr>
      <w:r>
        <w:rPr>
          <w:rStyle w:val="FootnoteReference"/>
        </w:rPr>
        <w:footnoteRef/>
      </w:r>
      <w:r>
        <w:t xml:space="preserve"> </w:t>
      </w:r>
      <w:r>
        <w:tab/>
        <w:t xml:space="preserve">See </w:t>
      </w:r>
      <w:hyperlink r:id="rId56" w:history="1">
        <w:r w:rsidRPr="008D3BDF">
          <w:rPr>
            <w:rStyle w:val="Hyperlink"/>
          </w:rPr>
          <w:t>http://www.hse.gov.uk/pesticides/topics/pesticide-approvals/pesticides-registration/streams-and-fees.htm</w:t>
        </w:r>
      </w:hyperlink>
      <w:r w:rsidRPr="007134DE">
        <w:rPr>
          <w:rStyle w:val="Hyperlink"/>
          <w:u w:val="none"/>
        </w:rPr>
        <w:t xml:space="preserve"> </w:t>
      </w:r>
      <w:r w:rsidRPr="007134DE">
        <w:rPr>
          <w:rStyle w:val="Hyperlink"/>
          <w:color w:val="auto"/>
          <w:u w:val="none"/>
        </w:rPr>
        <w:t>accessed on 20 August 2017.</w:t>
      </w:r>
    </w:p>
  </w:footnote>
  <w:footnote w:id="100">
    <w:p w:rsidR="00C66EF8" w:rsidRPr="007134DE" w:rsidRDefault="00C66EF8" w:rsidP="00727629">
      <w:pPr>
        <w:pStyle w:val="FootnoteText"/>
        <w:ind w:left="284" w:hanging="284"/>
        <w:rPr>
          <w:lang w:val="en-US"/>
        </w:rPr>
      </w:pPr>
      <w:r>
        <w:rPr>
          <w:rStyle w:val="FootnoteReference"/>
        </w:rPr>
        <w:footnoteRef/>
      </w:r>
      <w:r>
        <w:t xml:space="preserve"> </w:t>
      </w:r>
      <w:r>
        <w:tab/>
        <w:t xml:space="preserve">See </w:t>
      </w:r>
      <w:hyperlink r:id="rId57" w:history="1">
        <w:r w:rsidRPr="008D3BDF">
          <w:rPr>
            <w:rStyle w:val="Hyperlink"/>
          </w:rPr>
          <w:t>https://www.gov.uk/government/uploads/system/uploads/attachment_data/file/423370/719776_Fees_sheet_6.pdf</w:t>
        </w:r>
      </w:hyperlink>
      <w:r w:rsidRPr="007134DE">
        <w:rPr>
          <w:rStyle w:val="Hyperlink"/>
          <w:u w:val="none"/>
        </w:rPr>
        <w:t xml:space="preserve"> </w:t>
      </w:r>
      <w:r w:rsidRPr="007134DE">
        <w:rPr>
          <w:rStyle w:val="Hyperlink"/>
          <w:color w:val="auto"/>
          <w:u w:val="none"/>
        </w:rPr>
        <w:t>accessed on 20 August 2017</w:t>
      </w:r>
    </w:p>
  </w:footnote>
  <w:footnote w:id="101">
    <w:p w:rsidR="00C66EF8" w:rsidRPr="00DE3112" w:rsidRDefault="00C66EF8" w:rsidP="00EE3881">
      <w:pPr>
        <w:pStyle w:val="FootnoteText"/>
        <w:ind w:left="284" w:hanging="284"/>
        <w:rPr>
          <w:lang w:val="en-US"/>
        </w:rPr>
      </w:pPr>
      <w:r>
        <w:rPr>
          <w:rStyle w:val="FootnoteReference"/>
        </w:rPr>
        <w:footnoteRef/>
      </w:r>
      <w:r>
        <w:t xml:space="preserve"> </w:t>
      </w:r>
      <w:r>
        <w:tab/>
        <w:t xml:space="preserve">Health Canada, not dated, accessed on 17 July 2017 at </w:t>
      </w:r>
      <w:hyperlink r:id="rId58" w:anchor="a3.1" w:history="1">
        <w:r w:rsidRPr="005900E3">
          <w:rPr>
            <w:rStyle w:val="Hyperlink"/>
          </w:rPr>
          <w:t>https://www.canada.ca/en/health-canada/services/consumer-product-safety/reports-publications/pesticides-pest-management/policies-guidelines/fees-charges-regulations.html#a3.1</w:t>
        </w:r>
      </w:hyperlink>
      <w:r>
        <w:t xml:space="preserve"> </w:t>
      </w:r>
    </w:p>
  </w:footnote>
  <w:footnote w:id="102">
    <w:p w:rsidR="00C66EF8" w:rsidRPr="00F364A2" w:rsidRDefault="00C66EF8" w:rsidP="00EE3881">
      <w:pPr>
        <w:pStyle w:val="FootnoteText"/>
        <w:ind w:left="284" w:hanging="284"/>
        <w:rPr>
          <w:lang w:val="en-US"/>
        </w:rPr>
      </w:pPr>
      <w:r>
        <w:rPr>
          <w:rStyle w:val="FootnoteReference"/>
        </w:rPr>
        <w:footnoteRef/>
      </w:r>
      <w:r>
        <w:t xml:space="preserve"> </w:t>
      </w:r>
      <w:r>
        <w:tab/>
        <w:t xml:space="preserve">Health Canada, not dated, accessed on 17 July 2017 at </w:t>
      </w:r>
      <w:hyperlink r:id="rId59" w:history="1">
        <w:r w:rsidRPr="005900E3">
          <w:rPr>
            <w:rStyle w:val="Hyperlink"/>
          </w:rPr>
          <w:t>https://www.canada.ca/content/dam/hc-sc/migration/hc-sc/dhp-mps/alt_formats/pdf/vet/applic-demande/form/author_sell_vet_reg_vendre-eng.pdf</w:t>
        </w:r>
      </w:hyperlink>
      <w:r>
        <w:t xml:space="preserve"> </w:t>
      </w:r>
    </w:p>
  </w:footnote>
  <w:footnote w:id="103">
    <w:p w:rsidR="00C66EF8" w:rsidRPr="00C95FA2" w:rsidRDefault="00C66EF8" w:rsidP="007226E8">
      <w:pPr>
        <w:pStyle w:val="FootnoteText"/>
        <w:ind w:left="284" w:hanging="284"/>
        <w:rPr>
          <w:lang w:val="en-US"/>
        </w:rPr>
      </w:pPr>
      <w:r>
        <w:rPr>
          <w:rStyle w:val="FootnoteReference"/>
        </w:rPr>
        <w:footnoteRef/>
      </w:r>
      <w:r>
        <w:t xml:space="preserve"> </w:t>
      </w:r>
      <w:r>
        <w:tab/>
      </w:r>
      <w:r>
        <w:rPr>
          <w:lang w:val="en-US"/>
        </w:rPr>
        <w:t>CropLife International 2015, Pesticide solutions for minor uses, Position Paper, September 2015.</w:t>
      </w:r>
    </w:p>
  </w:footnote>
  <w:footnote w:id="104">
    <w:p w:rsidR="00C66EF8" w:rsidRDefault="00C66EF8" w:rsidP="007226E8">
      <w:pPr>
        <w:pStyle w:val="FootnoteText"/>
        <w:ind w:left="284" w:hanging="284"/>
      </w:pPr>
      <w:r>
        <w:rPr>
          <w:rStyle w:val="FootnoteReference"/>
        </w:rPr>
        <w:footnoteRef/>
      </w:r>
      <w:r>
        <w:t xml:space="preserve"> </w:t>
      </w:r>
      <w:r>
        <w:tab/>
        <w:t xml:space="preserve">OECD 2011b, Guidance document on regulatory incentives for the registration of pesticide minor uses, Document ENV/JM/MONO(2011)16, accessed on 17 July 2017 at </w:t>
      </w:r>
      <w:hyperlink r:id="rId60" w:history="1">
        <w:r w:rsidRPr="005900E3">
          <w:rPr>
            <w:rStyle w:val="Hyperlink"/>
          </w:rPr>
          <w:t>http://www.oecd.org/officialdocuments/publicdisplaydocumentpdf/?cote=env/jm/mono(2011)16&amp;doclanguage=en</w:t>
        </w:r>
      </w:hyperlink>
      <w:r>
        <w:t xml:space="preserve"> </w:t>
      </w:r>
    </w:p>
  </w:footnote>
  <w:footnote w:id="105">
    <w:p w:rsidR="00C66EF8" w:rsidRPr="00877A15" w:rsidRDefault="00C66EF8" w:rsidP="007226E8">
      <w:pPr>
        <w:pStyle w:val="FootnoteText"/>
        <w:ind w:left="284" w:hanging="284"/>
        <w:rPr>
          <w:lang w:val="en-US"/>
        </w:rPr>
      </w:pPr>
      <w:r>
        <w:rPr>
          <w:rStyle w:val="FootnoteReference"/>
        </w:rPr>
        <w:footnoteRef/>
      </w:r>
      <w:r>
        <w:t xml:space="preserve"> </w:t>
      </w:r>
      <w:r>
        <w:tab/>
        <w:t xml:space="preserve">OECD 2009, Guidance on defining minor uses of pesticides, ENV/JM/MONO(2009)39 accessed on 17 July 2017 at </w:t>
      </w:r>
      <w:hyperlink r:id="rId61" w:history="1">
        <w:r w:rsidRPr="00185606">
          <w:rPr>
            <w:rStyle w:val="Hyperlink"/>
          </w:rPr>
          <w:t>http://www.oecd.org/officialdocuments/publicdisplaydocumentpdf/?cote=env/jm/mono(2009)39&amp;doclanguage=en</w:t>
        </w:r>
      </w:hyperlink>
      <w:r>
        <w:t xml:space="preserve"> </w:t>
      </w:r>
    </w:p>
  </w:footnote>
  <w:footnote w:id="106">
    <w:p w:rsidR="00C66EF8" w:rsidRPr="00BB092B" w:rsidRDefault="00C66EF8" w:rsidP="00727629">
      <w:pPr>
        <w:pStyle w:val="FootnoteText"/>
        <w:ind w:left="284" w:hanging="284"/>
        <w:rPr>
          <w:lang w:val="en-US"/>
        </w:rPr>
      </w:pPr>
      <w:r>
        <w:rPr>
          <w:rStyle w:val="FootnoteReference"/>
        </w:rPr>
        <w:footnoteRef/>
      </w:r>
      <w:r>
        <w:t xml:space="preserve"> </w:t>
      </w:r>
      <w:r>
        <w:tab/>
        <w:t xml:space="preserve">APVMA not dated, accessed on 17 July 2017 at </w:t>
      </w:r>
      <w:hyperlink r:id="rId62" w:history="1">
        <w:r w:rsidRPr="005900E3">
          <w:rPr>
            <w:rStyle w:val="Hyperlink"/>
          </w:rPr>
          <w:t>https://apvma.gov.au/node/10931</w:t>
        </w:r>
      </w:hyperlink>
      <w:r>
        <w:t xml:space="preserve"> </w:t>
      </w:r>
    </w:p>
  </w:footnote>
  <w:footnote w:id="107">
    <w:p w:rsidR="00C66EF8" w:rsidRPr="00575B38" w:rsidRDefault="00C66EF8" w:rsidP="00727629">
      <w:pPr>
        <w:pStyle w:val="FootnoteText"/>
        <w:ind w:left="284" w:hanging="284"/>
        <w:rPr>
          <w:lang w:val="en-US"/>
        </w:rPr>
      </w:pPr>
      <w:r>
        <w:rPr>
          <w:rStyle w:val="FootnoteReference"/>
        </w:rPr>
        <w:footnoteRef/>
      </w:r>
      <w:r>
        <w:t xml:space="preserve"> </w:t>
      </w:r>
      <w:r>
        <w:tab/>
        <w:t xml:space="preserve">EMA 2014, accessed on 17 July 2017 at </w:t>
      </w:r>
      <w:hyperlink r:id="rId63" w:history="1">
        <w:r w:rsidRPr="005900E3">
          <w:rPr>
            <w:rStyle w:val="Hyperlink"/>
          </w:rPr>
          <w:t>http://www.ema.europa.eu/docs/en_GB/document_library/Regulatory_and_procedural_guideline/2014/09/WC500172928.pdf</w:t>
        </w:r>
      </w:hyperlink>
      <w:r>
        <w:t xml:space="preserve"> </w:t>
      </w:r>
    </w:p>
  </w:footnote>
  <w:footnote w:id="108">
    <w:p w:rsidR="00C66EF8" w:rsidRPr="00D10024" w:rsidRDefault="00C66EF8" w:rsidP="00727629">
      <w:pPr>
        <w:pStyle w:val="FootnoteText"/>
        <w:ind w:left="284" w:hanging="284"/>
        <w:rPr>
          <w:lang w:val="en-US"/>
        </w:rPr>
      </w:pPr>
      <w:r>
        <w:rPr>
          <w:rStyle w:val="FootnoteReference"/>
        </w:rPr>
        <w:footnoteRef/>
      </w:r>
      <w:r>
        <w:t xml:space="preserve"> </w:t>
      </w:r>
      <w:r>
        <w:tab/>
        <w:t xml:space="preserve">USEPA, not dated accessed on 17 July 2017 at </w:t>
      </w:r>
      <w:hyperlink r:id="rId64" w:history="1">
        <w:r w:rsidRPr="005900E3">
          <w:rPr>
            <w:rStyle w:val="Hyperlink"/>
          </w:rPr>
          <w:t>https://www.epa.gov/pesticide-registration/minor-uses-and-grower-resources</w:t>
        </w:r>
      </w:hyperlink>
      <w:r>
        <w:t xml:space="preserve"> </w:t>
      </w:r>
    </w:p>
  </w:footnote>
  <w:footnote w:id="109">
    <w:p w:rsidR="00C66EF8" w:rsidRPr="00676017" w:rsidRDefault="00C66EF8" w:rsidP="00727629">
      <w:pPr>
        <w:pStyle w:val="FootnoteText"/>
        <w:ind w:left="284" w:hanging="284"/>
        <w:rPr>
          <w:lang w:val="en-US"/>
        </w:rPr>
      </w:pPr>
      <w:r>
        <w:rPr>
          <w:rStyle w:val="FootnoteReference"/>
        </w:rPr>
        <w:footnoteRef/>
      </w:r>
      <w:r>
        <w:t xml:space="preserve"> </w:t>
      </w:r>
      <w:r>
        <w:tab/>
      </w:r>
      <w:r w:rsidRPr="00185606">
        <w:t>Agriculture and Agri-Food Canada</w:t>
      </w:r>
      <w:r>
        <w:t xml:space="preserve">, not dated, accessed on 17 July 2017 at </w:t>
      </w:r>
      <w:hyperlink r:id="rId65" w:history="1">
        <w:r w:rsidRPr="005900E3">
          <w:rPr>
            <w:rStyle w:val="Hyperlink"/>
          </w:rPr>
          <w:t>http://www.agr.gc.ca/eng/?id=1286197216280</w:t>
        </w:r>
      </w:hyperlink>
      <w:r>
        <w:t xml:space="preserve"> </w:t>
      </w:r>
    </w:p>
  </w:footnote>
  <w:footnote w:id="110">
    <w:p w:rsidR="00C66EF8" w:rsidRDefault="00C66EF8" w:rsidP="00727629">
      <w:pPr>
        <w:pStyle w:val="FootnoteText"/>
        <w:ind w:left="284" w:hanging="284"/>
      </w:pPr>
      <w:r>
        <w:rPr>
          <w:rStyle w:val="FootnoteReference"/>
        </w:rPr>
        <w:footnoteRef/>
      </w:r>
      <w:r>
        <w:t xml:space="preserve"> </w:t>
      </w:r>
      <w:r>
        <w:tab/>
        <w:t xml:space="preserve">IR-4 Program, undated, accessed on 4 August 2017 at </w:t>
      </w:r>
      <w:hyperlink r:id="rId66" w:history="1">
        <w:r w:rsidRPr="0093707B">
          <w:rPr>
            <w:rStyle w:val="Hyperlink"/>
          </w:rPr>
          <w:t>http://ir4.rutgers.edu/</w:t>
        </w:r>
      </w:hyperlink>
      <w:r>
        <w:t xml:space="preserve"> </w:t>
      </w:r>
    </w:p>
  </w:footnote>
  <w:footnote w:id="111">
    <w:p w:rsidR="00C66EF8" w:rsidRDefault="00C66EF8" w:rsidP="00727629">
      <w:pPr>
        <w:pStyle w:val="FootnoteText"/>
        <w:ind w:left="284" w:hanging="284"/>
      </w:pPr>
      <w:r>
        <w:rPr>
          <w:rStyle w:val="FootnoteReference"/>
        </w:rPr>
        <w:footnoteRef/>
      </w:r>
      <w:r>
        <w:t xml:space="preserve"> </w:t>
      </w:r>
      <w:r>
        <w:tab/>
        <w:t xml:space="preserve">Miller SR and Leschewski A 2011, Economic Impacts of the IR-4 Project and IR-4 Project Programs, Center for Economic Analysis, Michigan State University, accessed on 4 August 2017 at </w:t>
      </w:r>
      <w:hyperlink r:id="rId67" w:history="1">
        <w:r w:rsidRPr="0093707B">
          <w:rPr>
            <w:rStyle w:val="Hyperlink"/>
          </w:rPr>
          <w:t>http://ir4.rutgers.edu/Other/IR4EconomicImpact.pdf</w:t>
        </w:r>
      </w:hyperlink>
      <w:r>
        <w:t xml:space="preserve"> </w:t>
      </w:r>
    </w:p>
  </w:footnote>
  <w:footnote w:id="112">
    <w:p w:rsidR="00C66EF8" w:rsidRDefault="00C66EF8" w:rsidP="00727629">
      <w:pPr>
        <w:pStyle w:val="FootnoteText"/>
        <w:ind w:left="284" w:hanging="284"/>
      </w:pPr>
      <w:r>
        <w:rPr>
          <w:rStyle w:val="FootnoteReference"/>
        </w:rPr>
        <w:footnoteRef/>
      </w:r>
      <w:r>
        <w:t xml:space="preserve"> </w:t>
      </w:r>
      <w:r>
        <w:tab/>
        <w:t xml:space="preserve">OECD Working Party on Chemicals, Pesticides and Biotechnology 2011a, OECD Survey of Regulatory Incentives for the Registration of Pesticide Minor Uses: Survey Results, Document ENV/JM/MONO(2011)14, Series on Pesticides No. 62, accessed on 17 July 2017 at </w:t>
      </w:r>
      <w:hyperlink r:id="rId68" w:history="1">
        <w:r w:rsidRPr="00BE1BE9">
          <w:rPr>
            <w:rStyle w:val="Hyperlink"/>
          </w:rPr>
          <w:t>http://www.oecd.org/officialdocuments/publicdisplaydocumentpdf/?cote=env/jm/mono(2011)14&amp;doclanguage=en</w:t>
        </w:r>
      </w:hyperlink>
      <w:r>
        <w:t xml:space="preserve"> </w:t>
      </w:r>
    </w:p>
  </w:footnote>
  <w:footnote w:id="113">
    <w:p w:rsidR="00C66EF8" w:rsidRDefault="00C66EF8" w:rsidP="00727629">
      <w:pPr>
        <w:pStyle w:val="FootnoteText"/>
        <w:ind w:left="284" w:hanging="284"/>
      </w:pPr>
      <w:r>
        <w:rPr>
          <w:rStyle w:val="FootnoteReference"/>
        </w:rPr>
        <w:footnoteRef/>
      </w:r>
      <w:r>
        <w:t xml:space="preserve"> </w:t>
      </w:r>
      <w:r>
        <w:tab/>
        <w:t xml:space="preserve">APVMA not dated, accessed on 17 July 2017 at </w:t>
      </w:r>
      <w:hyperlink r:id="rId69" w:history="1">
        <w:r w:rsidRPr="005900E3">
          <w:rPr>
            <w:rStyle w:val="Hyperlink"/>
          </w:rPr>
          <w:t>https://apvma.gov.au/node/10931</w:t>
        </w:r>
      </w:hyperlink>
      <w:r>
        <w:t xml:space="preserve"> </w:t>
      </w:r>
    </w:p>
  </w:footnote>
  <w:footnote w:id="114">
    <w:p w:rsidR="00C66EF8" w:rsidRPr="002247AF" w:rsidRDefault="00C66EF8" w:rsidP="00727629">
      <w:pPr>
        <w:pStyle w:val="FootnoteText"/>
        <w:ind w:left="284" w:hanging="284"/>
        <w:rPr>
          <w:lang w:val="en-US"/>
        </w:rPr>
      </w:pPr>
      <w:r>
        <w:rPr>
          <w:rStyle w:val="FootnoteReference"/>
        </w:rPr>
        <w:footnoteRef/>
      </w:r>
      <w:r>
        <w:t xml:space="preserve"> </w:t>
      </w:r>
      <w:r>
        <w:tab/>
      </w:r>
      <w:r>
        <w:rPr>
          <w:lang w:val="en-US"/>
        </w:rPr>
        <w:t>Sufficient economic return means in relation to the costs of obtaining registration for a specific use pattern compared with the returns to the registrant from making the use available.</w:t>
      </w:r>
    </w:p>
  </w:footnote>
  <w:footnote w:id="115">
    <w:p w:rsidR="00C66EF8" w:rsidRPr="00853975" w:rsidRDefault="00C66EF8" w:rsidP="00727629">
      <w:pPr>
        <w:pStyle w:val="FootnoteText"/>
        <w:ind w:left="284" w:hanging="284"/>
        <w:rPr>
          <w:lang w:val="en-US"/>
        </w:rPr>
      </w:pPr>
      <w:r>
        <w:rPr>
          <w:rStyle w:val="FootnoteReference"/>
        </w:rPr>
        <w:footnoteRef/>
      </w:r>
      <w:r>
        <w:t xml:space="preserve"> </w:t>
      </w:r>
      <w:r>
        <w:tab/>
      </w:r>
      <w:r>
        <w:rPr>
          <w:lang w:val="en-US"/>
        </w:rPr>
        <w:t>Productivity Commission 2008, Chemicals and Plastics Regulation, Research Report, 2008. p. 213.</w:t>
      </w:r>
    </w:p>
  </w:footnote>
  <w:footnote w:id="116">
    <w:p w:rsidR="00C66EF8" w:rsidRDefault="00C66EF8" w:rsidP="00727629">
      <w:pPr>
        <w:pStyle w:val="FootnoteText"/>
        <w:ind w:left="284" w:hanging="284"/>
      </w:pPr>
      <w:r>
        <w:rPr>
          <w:rStyle w:val="FootnoteReference"/>
        </w:rPr>
        <w:footnoteRef/>
      </w:r>
      <w:r>
        <w:t xml:space="preserve"> </w:t>
      </w:r>
      <w:r>
        <w:tab/>
        <w:t xml:space="preserve">APVMA, not dated, accessed on 17 July 2017 at </w:t>
      </w:r>
      <w:hyperlink r:id="rId70" w:history="1">
        <w:r w:rsidRPr="005900E3">
          <w:rPr>
            <w:rStyle w:val="Hyperlink"/>
          </w:rPr>
          <w:t>https://apvma.gov.au/node/1114</w:t>
        </w:r>
      </w:hyperlink>
      <w:r>
        <w:t xml:space="preserve"> </w:t>
      </w:r>
    </w:p>
  </w:footnote>
  <w:footnote w:id="117">
    <w:p w:rsidR="00C66EF8" w:rsidRPr="00227D5A" w:rsidRDefault="00C66EF8" w:rsidP="00727629">
      <w:pPr>
        <w:pStyle w:val="FootnoteText"/>
        <w:ind w:left="284" w:hanging="284"/>
        <w:rPr>
          <w:lang w:val="en-US"/>
        </w:rPr>
      </w:pPr>
      <w:r>
        <w:rPr>
          <w:rStyle w:val="FootnoteReference"/>
        </w:rPr>
        <w:footnoteRef/>
      </w:r>
      <w:r>
        <w:t xml:space="preserve"> </w:t>
      </w:r>
      <w:r>
        <w:tab/>
        <w:t xml:space="preserve">Horticulture Innovation Australia, not dated, accessed on 16 June 2017 at </w:t>
      </w:r>
      <w:hyperlink r:id="rId71" w:history="1">
        <w:r w:rsidRPr="005508C9">
          <w:rPr>
            <w:rStyle w:val="Hyperlink"/>
          </w:rPr>
          <w:t>http://horticulture.com.au/wp-content/uploads/2017/02/Nursery-Papers-December-2016.pdf</w:t>
        </w:r>
      </w:hyperlink>
      <w:r>
        <w:t xml:space="preserve"> </w:t>
      </w:r>
    </w:p>
  </w:footnote>
  <w:footnote w:id="118">
    <w:p w:rsidR="00C66EF8" w:rsidRDefault="00C66EF8" w:rsidP="00727629">
      <w:pPr>
        <w:pStyle w:val="FootnoteText"/>
        <w:ind w:left="284" w:hanging="284"/>
      </w:pPr>
      <w:r>
        <w:rPr>
          <w:rStyle w:val="FootnoteReference"/>
        </w:rPr>
        <w:footnoteRef/>
      </w:r>
      <w:r>
        <w:t xml:space="preserve"> </w:t>
      </w:r>
      <w:r>
        <w:tab/>
        <w:t>OECD 2011b, Op cit.</w:t>
      </w:r>
    </w:p>
  </w:footnote>
  <w:footnote w:id="119">
    <w:p w:rsidR="00C66EF8" w:rsidRDefault="00C66EF8" w:rsidP="00727629">
      <w:pPr>
        <w:pStyle w:val="FootnoteText"/>
        <w:ind w:left="284" w:hanging="284"/>
      </w:pPr>
      <w:r>
        <w:rPr>
          <w:rStyle w:val="FootnoteReference"/>
        </w:rPr>
        <w:footnoteRef/>
      </w:r>
      <w:r>
        <w:t xml:space="preserve"> </w:t>
      </w:r>
      <w:r>
        <w:tab/>
        <w:t>OECD 2011b, Op Cit</w:t>
      </w:r>
    </w:p>
  </w:footnote>
  <w:footnote w:id="120">
    <w:p w:rsidR="00C66EF8" w:rsidRDefault="00C66EF8" w:rsidP="00727629">
      <w:pPr>
        <w:pStyle w:val="FootnoteText"/>
        <w:ind w:left="284" w:hanging="284"/>
      </w:pPr>
      <w:r>
        <w:rPr>
          <w:rStyle w:val="FootnoteReference"/>
        </w:rPr>
        <w:footnoteRef/>
      </w:r>
      <w:r>
        <w:t xml:space="preserve"> </w:t>
      </w:r>
      <w:r>
        <w:tab/>
        <w:t>Articles 59 – 62 (Chapter 5) and Article 80 of Regulation (EC) No 1107/2009</w:t>
      </w:r>
    </w:p>
  </w:footnote>
  <w:footnote w:id="121">
    <w:p w:rsidR="00C66EF8" w:rsidRDefault="00C66EF8" w:rsidP="00727629">
      <w:pPr>
        <w:pStyle w:val="FootnoteText"/>
        <w:ind w:left="284" w:hanging="284"/>
      </w:pPr>
      <w:r>
        <w:rPr>
          <w:rStyle w:val="FootnoteReference"/>
        </w:rPr>
        <w:footnoteRef/>
      </w:r>
      <w:r>
        <w:t xml:space="preserve"> </w:t>
      </w:r>
      <w:r>
        <w:tab/>
        <w:t>Rainbow R 2017, Delivery of Access to AgVet Chemicals Collaborative System —AgVet Collaborative Forum, a report to the Rural Industries R&amp;D Corporation</w:t>
      </w:r>
    </w:p>
  </w:footnote>
  <w:footnote w:id="122">
    <w:p w:rsidR="00C66EF8" w:rsidRDefault="00C66EF8" w:rsidP="00727629">
      <w:pPr>
        <w:pStyle w:val="FootnoteText"/>
        <w:ind w:left="284" w:hanging="284"/>
      </w:pPr>
      <w:r>
        <w:rPr>
          <w:rStyle w:val="FootnoteReference"/>
        </w:rPr>
        <w:footnoteRef/>
      </w:r>
      <w:r>
        <w:t xml:space="preserve"> </w:t>
      </w:r>
      <w:r>
        <w:tab/>
        <w:t xml:space="preserve">Veterinary products are included in Directive 2001/82/EC and Directive 90/167/EEC outlines the conditions for preparation and marketing of medicated feedstuffs in the EU. </w:t>
      </w:r>
    </w:p>
  </w:footnote>
  <w:footnote w:id="123">
    <w:p w:rsidR="00C66EF8" w:rsidRDefault="00C66EF8" w:rsidP="00727629">
      <w:pPr>
        <w:pStyle w:val="FootnoteText"/>
        <w:ind w:left="284" w:hanging="284"/>
      </w:pPr>
      <w:r>
        <w:rPr>
          <w:rStyle w:val="FootnoteReference"/>
        </w:rPr>
        <w:footnoteRef/>
      </w:r>
      <w:r>
        <w:t xml:space="preserve"> </w:t>
      </w:r>
      <w:r>
        <w:tab/>
        <w:t xml:space="preserve">Variations of authorisations are in Directive 2009/53/EC; Criteria for exemptions of certain products for food-producing animals from requiring a veterinary prescription are in Directive 2006/130/EC. </w:t>
      </w:r>
    </w:p>
  </w:footnote>
  <w:footnote w:id="124">
    <w:p w:rsidR="00C66EF8" w:rsidRDefault="00C66EF8" w:rsidP="00727629">
      <w:pPr>
        <w:pStyle w:val="FootnoteText"/>
        <w:ind w:left="284" w:hanging="284"/>
      </w:pPr>
      <w:r>
        <w:rPr>
          <w:rStyle w:val="FootnoteReference"/>
        </w:rPr>
        <w:footnoteRef/>
      </w:r>
      <w:r>
        <w:t xml:space="preserve"> </w:t>
      </w:r>
      <w:r>
        <w:tab/>
        <w:t xml:space="preserve">Chapter II: Presentation of Particulars and Documents, page 34, Commission Directive 2009/9/EC. </w:t>
      </w:r>
    </w:p>
  </w:footnote>
  <w:footnote w:id="125">
    <w:p w:rsidR="00C66EF8" w:rsidRDefault="00C66EF8" w:rsidP="00727629">
      <w:pPr>
        <w:pStyle w:val="FootnoteText"/>
        <w:ind w:left="284" w:hanging="284"/>
      </w:pPr>
      <w:r>
        <w:rPr>
          <w:rStyle w:val="FootnoteReference"/>
        </w:rPr>
        <w:footnoteRef/>
      </w:r>
      <w:r>
        <w:t xml:space="preserve"> </w:t>
      </w:r>
      <w:r>
        <w:tab/>
        <w:t>Productivity Commission 2016, Intellectual Property Arrangements, Report No 78, September 2016.</w:t>
      </w:r>
    </w:p>
  </w:footnote>
  <w:footnote w:id="126">
    <w:p w:rsidR="00C66EF8" w:rsidRPr="004642EF" w:rsidRDefault="00C66EF8" w:rsidP="00727629">
      <w:pPr>
        <w:pStyle w:val="FootnoteText"/>
        <w:ind w:left="284" w:hanging="284"/>
        <w:rPr>
          <w:rFonts w:ascii="Arial" w:hAnsi="Arial" w:cs="Arial"/>
        </w:rPr>
      </w:pPr>
      <w:r w:rsidRPr="0058590D">
        <w:rPr>
          <w:rStyle w:val="FootnoteReference"/>
        </w:rPr>
        <w:footnoteRef/>
      </w:r>
      <w:r w:rsidRPr="0058590D">
        <w:rPr>
          <w:rStyle w:val="FootnoteReference"/>
        </w:rPr>
        <w:t xml:space="preserve"> </w:t>
      </w:r>
      <w:r>
        <w:tab/>
      </w:r>
      <w:r w:rsidRPr="0058590D">
        <w:t>Medicines Australia 2013. Submission to the Pharmaceutical Patents Review</w:t>
      </w:r>
      <w:r>
        <w:t xml:space="preserve"> accessed on 16 June 2017 at </w:t>
      </w:r>
      <w:r w:rsidRPr="0058590D">
        <w:t xml:space="preserve"> </w:t>
      </w:r>
      <w:hyperlink r:id="rId72" w:history="1">
        <w:r w:rsidRPr="00E0754D">
          <w:rPr>
            <w:rStyle w:val="Hyperlink"/>
          </w:rPr>
          <w:t>https://medicinesaustralia.com.au/wp-content/uploads/sites/52/2010/02/20121218-sub-Pharmaceutical-Patents-Review.pdf</w:t>
        </w:r>
      </w:hyperlink>
      <w:r w:rsidRPr="0058590D">
        <w:t xml:space="preserve"> </w:t>
      </w:r>
    </w:p>
  </w:footnote>
  <w:footnote w:id="127">
    <w:p w:rsidR="00C66EF8" w:rsidRDefault="00C66EF8" w:rsidP="00727629">
      <w:pPr>
        <w:pStyle w:val="FootnoteText"/>
        <w:ind w:left="284" w:hanging="284"/>
      </w:pPr>
      <w:r>
        <w:rPr>
          <w:rStyle w:val="FootnoteReference"/>
        </w:rPr>
        <w:footnoteRef/>
      </w:r>
      <w:r>
        <w:t xml:space="preserve"> </w:t>
      </w:r>
      <w:r>
        <w:tab/>
        <w:t>Harris T, Nicol D, Gruen N 2014, Pharmaceutical Patents Review Report 2013, pp 204-5.</w:t>
      </w:r>
    </w:p>
  </w:footnote>
  <w:footnote w:id="128">
    <w:p w:rsidR="00C66EF8" w:rsidRPr="009E7FDF" w:rsidRDefault="00C66EF8" w:rsidP="00E3779A">
      <w:pPr>
        <w:pStyle w:val="FootnoteText"/>
        <w:ind w:left="284" w:hanging="284"/>
        <w:rPr>
          <w:lang w:val="en-US"/>
        </w:rPr>
      </w:pPr>
      <w:r>
        <w:rPr>
          <w:rStyle w:val="FootnoteReference"/>
        </w:rPr>
        <w:footnoteRef/>
      </w:r>
      <w:r>
        <w:t xml:space="preserve"> </w:t>
      </w:r>
      <w:r>
        <w:tab/>
      </w:r>
      <w:r>
        <w:rPr>
          <w:lang w:val="en-US"/>
        </w:rPr>
        <w:t xml:space="preserve">Pizzeys 2009, Pharmaceutical extensions in Australia, A reference guide, accessed on 20 August 2017 at </w:t>
      </w:r>
      <w:hyperlink r:id="rId73" w:history="1">
        <w:r w:rsidRPr="00A54BAE">
          <w:rPr>
            <w:rStyle w:val="Hyperlink"/>
            <w:lang w:val="en-US"/>
          </w:rPr>
          <w:t>http://www.pizzeys.com.au/Articles/Pharmaceutical%20Extensions%20in%20Australia.pdf</w:t>
        </w:r>
      </w:hyperlink>
    </w:p>
  </w:footnote>
  <w:footnote w:id="129">
    <w:p w:rsidR="00C66EF8" w:rsidRPr="004071A8" w:rsidRDefault="00C66EF8" w:rsidP="00E3779A">
      <w:pPr>
        <w:pStyle w:val="FootnoteText"/>
        <w:ind w:left="284" w:hanging="284"/>
        <w:rPr>
          <w:lang w:val="en-US"/>
        </w:rPr>
      </w:pPr>
      <w:r>
        <w:rPr>
          <w:rStyle w:val="FootnoteReference"/>
        </w:rPr>
        <w:footnoteRef/>
      </w:r>
      <w:r>
        <w:tab/>
        <w:t xml:space="preserve"> See </w:t>
      </w:r>
      <w:hyperlink r:id="rId74" w:history="1">
        <w:r w:rsidRPr="008109A9">
          <w:rPr>
            <w:rStyle w:val="Hyperlink"/>
          </w:rPr>
          <w:t>https://www.fda.gov/downloads/drugs/developmentapprovalprocess/smallbusinessassistance/ucm447307.pdf</w:t>
        </w:r>
      </w:hyperlink>
      <w:r>
        <w:t xml:space="preserve"> accessed on 20 August 2017.</w:t>
      </w:r>
    </w:p>
  </w:footnote>
  <w:footnote w:id="130">
    <w:p w:rsidR="00C66EF8" w:rsidRPr="00B04120" w:rsidRDefault="00C66EF8" w:rsidP="00E3779A">
      <w:pPr>
        <w:pStyle w:val="FootnoteText"/>
        <w:ind w:left="284" w:hanging="284"/>
      </w:pPr>
      <w:r>
        <w:rPr>
          <w:rStyle w:val="FootnoteReference"/>
        </w:rPr>
        <w:footnoteRef/>
      </w:r>
      <w:r>
        <w:t xml:space="preserve"> </w:t>
      </w:r>
      <w:r>
        <w:tab/>
      </w:r>
      <w:r>
        <w:rPr>
          <w:lang w:val="en-US"/>
        </w:rPr>
        <w:t>World Medical Association 2013, Ethical Principles for Medical Research involving human subjects, JAMA 2013(310(20: 2191-2194.</w:t>
      </w:r>
    </w:p>
  </w:footnote>
  <w:footnote w:id="131">
    <w:p w:rsidR="00C66EF8" w:rsidRDefault="00C66EF8" w:rsidP="00AB2314">
      <w:pPr>
        <w:pStyle w:val="FootnoteText"/>
        <w:ind w:left="284" w:hanging="284"/>
      </w:pPr>
      <w:r>
        <w:rPr>
          <w:rStyle w:val="FootnoteReference"/>
        </w:rPr>
        <w:footnoteRef/>
      </w:r>
      <w:r>
        <w:t xml:space="preserve"> </w:t>
      </w:r>
      <w:r>
        <w:tab/>
        <w:t xml:space="preserve">Productivity Commission 2016, Regulation of Australian Agriculture, Inquiry Report </w:t>
      </w:r>
      <w:r w:rsidRPr="00312449">
        <w:t>No. 79, 15 November 2016</w:t>
      </w:r>
      <w:r>
        <w:t>.</w:t>
      </w:r>
    </w:p>
  </w:footnote>
  <w:footnote w:id="132">
    <w:p w:rsidR="00C66EF8" w:rsidRDefault="00C66EF8" w:rsidP="00AB2314">
      <w:pPr>
        <w:pStyle w:val="FootnoteText"/>
        <w:ind w:left="284" w:hanging="284"/>
      </w:pPr>
      <w:r>
        <w:rPr>
          <w:rStyle w:val="FootnoteReference"/>
        </w:rPr>
        <w:footnoteRef/>
      </w:r>
      <w:r>
        <w:tab/>
        <w:t xml:space="preserve">See for example TGA, 2016, </w:t>
      </w:r>
      <w:r w:rsidRPr="00A14C93">
        <w:t>Consultation: Criteria for comparable overseas regulators</w:t>
      </w:r>
      <w:r>
        <w:t xml:space="preserve">, accessed on 2 August 2017 at </w:t>
      </w:r>
      <w:hyperlink r:id="rId75" w:history="1">
        <w:r w:rsidRPr="006B0851">
          <w:rPr>
            <w:rStyle w:val="Hyperlink"/>
          </w:rPr>
          <w:t>https://www.tga.gov.au/consultation/consultation-criteria-comparable-overseas-regulators</w:t>
        </w:r>
      </w:hyperlink>
      <w:r>
        <w:t xml:space="preserve"> </w:t>
      </w:r>
    </w:p>
  </w:footnote>
  <w:footnote w:id="133">
    <w:p w:rsidR="00C66EF8" w:rsidRDefault="00C66EF8" w:rsidP="00AB2314">
      <w:pPr>
        <w:pStyle w:val="FootnoteText"/>
        <w:ind w:left="284" w:hanging="284"/>
      </w:pPr>
      <w:r>
        <w:rPr>
          <w:rStyle w:val="FootnoteReference"/>
        </w:rPr>
        <w:footnoteRef/>
      </w:r>
      <w:r>
        <w:t xml:space="preserve"> </w:t>
      </w:r>
      <w:r>
        <w:tab/>
        <w:t>This use of the term “standards” is not related to Australian Standards or to the work of Standards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6" w:type="dxa"/>
      <w:tblInd w:w="-5328" w:type="dxa"/>
      <w:tblBorders>
        <w:top w:val="single" w:sz="4" w:space="0" w:color="000001"/>
      </w:tblBorders>
      <w:tblLayout w:type="fixed"/>
      <w:tblCellMar>
        <w:left w:w="0" w:type="dxa"/>
        <w:right w:w="0" w:type="dxa"/>
      </w:tblCellMar>
      <w:tblLook w:val="04A0" w:firstRow="1" w:lastRow="0" w:firstColumn="1" w:lastColumn="0" w:noHBand="0" w:noVBand="1"/>
    </w:tblPr>
    <w:tblGrid>
      <w:gridCol w:w="5340"/>
      <w:gridCol w:w="5676"/>
    </w:tblGrid>
    <w:tr w:rsidR="00C66EF8" w:rsidTr="00401D90">
      <w:trPr>
        <w:trHeight w:hRule="exact" w:val="240"/>
      </w:trPr>
      <w:tc>
        <w:tcPr>
          <w:tcW w:w="5340" w:type="dxa"/>
          <w:shd w:val="clear" w:color="auto" w:fill="auto"/>
        </w:tcPr>
        <w:p w:rsidR="00C66EF8" w:rsidRDefault="00C66EF8" w:rsidP="00F1413A">
          <w:pPr>
            <w:pStyle w:val="Header-CompanyName"/>
          </w:pPr>
        </w:p>
      </w:tc>
      <w:tc>
        <w:tcPr>
          <w:tcW w:w="5676" w:type="dxa"/>
          <w:shd w:val="clear" w:color="auto" w:fill="auto"/>
          <w:tcMar>
            <w:top w:w="56" w:type="dxa"/>
            <w:right w:w="0" w:type="dxa"/>
          </w:tcMar>
        </w:tcPr>
        <w:p w:rsidR="00C66EF8" w:rsidRDefault="00C66EF8" w:rsidP="00F1413A">
          <w:pPr>
            <w:pStyle w:val="Header-CompanyName"/>
          </w:pPr>
          <w:r w:rsidRPr="00DD7896">
            <w:rPr>
              <w:spacing w:val="28"/>
            </w:rPr>
            <w:t xml:space="preserve">ACIL ALLEN </w:t>
          </w:r>
          <w:r w:rsidRPr="00DD7896">
            <w:rPr>
              <w:color w:val="BEB6AF"/>
            </w:rPr>
            <w:t>CONSULTING</w:t>
          </w:r>
        </w:p>
      </w:tc>
    </w:tr>
  </w:tbl>
  <w:p w:rsidR="00C66EF8" w:rsidRDefault="00C66EF8" w:rsidP="00F1413A">
    <w:pPr>
      <w:pStyle w:val="spacer"/>
    </w:pPr>
  </w:p>
  <w:tbl>
    <w:tblPr>
      <w:tblW w:w="6120" w:type="dxa"/>
      <w:tblInd w:w="12" w:type="dxa"/>
      <w:tblBorders>
        <w:bottom w:val="single" w:sz="4" w:space="0" w:color="auto"/>
      </w:tblBorders>
      <w:tblLayout w:type="fixed"/>
      <w:tblCellMar>
        <w:left w:w="0" w:type="dxa"/>
        <w:right w:w="0" w:type="dxa"/>
      </w:tblCellMar>
      <w:tblLook w:val="04A0" w:firstRow="1" w:lastRow="0" w:firstColumn="1" w:lastColumn="0" w:noHBand="0" w:noVBand="1"/>
    </w:tblPr>
    <w:tblGrid>
      <w:gridCol w:w="436"/>
      <w:gridCol w:w="5684"/>
    </w:tblGrid>
    <w:tr w:rsidR="00C66EF8" w:rsidTr="00401D90">
      <w:trPr>
        <w:trHeight w:hRule="exact" w:val="1744"/>
      </w:trPr>
      <w:tc>
        <w:tcPr>
          <w:tcW w:w="436" w:type="dxa"/>
          <w:shd w:val="clear" w:color="auto" w:fill="auto"/>
          <w:tcMar>
            <w:right w:w="0" w:type="dxa"/>
          </w:tcMar>
          <w:vAlign w:val="bottom"/>
        </w:tcPr>
        <w:p w:rsidR="00C66EF8" w:rsidRDefault="00C66EF8" w:rsidP="00F1413A">
          <w:pPr>
            <w:pStyle w:val="TOCHeading"/>
          </w:pPr>
        </w:p>
      </w:tc>
      <w:tc>
        <w:tcPr>
          <w:tcW w:w="5684" w:type="dxa"/>
          <w:shd w:val="clear" w:color="auto" w:fill="auto"/>
          <w:tcMar>
            <w:right w:w="88" w:type="dxa"/>
          </w:tcMar>
          <w:vAlign w:val="bottom"/>
        </w:tcPr>
        <w:p w:rsidR="00C66EF8" w:rsidRDefault="00C66EF8" w:rsidP="00F1413A">
          <w:pPr>
            <w:pStyle w:val="TOCHeading"/>
          </w:pPr>
          <w:r>
            <w:t>Contents</w:t>
          </w:r>
        </w:p>
      </w:tc>
    </w:tr>
  </w:tbl>
  <w:p w:rsidR="00C66EF8" w:rsidRPr="007B13DD" w:rsidRDefault="00C66EF8" w:rsidP="00F141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371E4">
          <w:pPr>
            <w:pStyle w:val="Header-CompanyName"/>
          </w:pPr>
        </w:p>
      </w:tc>
      <w:tc>
        <w:tcPr>
          <w:tcW w:w="5730" w:type="dxa"/>
          <w:shd w:val="clear" w:color="auto" w:fill="auto"/>
          <w:tcMar>
            <w:top w:w="56" w:type="dxa"/>
            <w:right w:w="8" w:type="dxa"/>
          </w:tcMar>
        </w:tcPr>
        <w:p w:rsidR="00C66EF8" w:rsidRDefault="00C66EF8" w:rsidP="00F371E4">
          <w:pPr>
            <w:pStyle w:val="Header-CompanyName"/>
          </w:pPr>
          <w:r>
            <w:rPr>
              <w:noProof/>
              <w:lang w:eastAsia="en-AU"/>
            </w:rPr>
            <mc:AlternateContent>
              <mc:Choice Requires="wpg">
                <w:drawing>
                  <wp:anchor distT="0" distB="0" distL="114300" distR="114300" simplePos="0" relativeHeight="252015616" behindDoc="1" locked="1" layoutInCell="1" allowOverlap="1" wp14:anchorId="02742A0C" wp14:editId="3D7DC399">
                    <wp:simplePos x="0" y="0"/>
                    <wp:positionH relativeFrom="page">
                      <wp:posOffset>-1345565</wp:posOffset>
                    </wp:positionH>
                    <wp:positionV relativeFrom="page">
                      <wp:posOffset>24765</wp:posOffset>
                    </wp:positionV>
                    <wp:extent cx="1329690" cy="65405"/>
                    <wp:effectExtent l="0" t="0" r="3810" b="0"/>
                    <wp:wrapNone/>
                    <wp:docPr id="57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79" name="Freeform 57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0" name="Freeform 58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9F559E" id="Group 7" o:spid="_x0000_s1026" style="position:absolute;margin-left:-105.95pt;margin-top:1.95pt;width:104.7pt;height:5.15pt;z-index:-25130086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GcPUetCFgAAjokAAA4AAAAAAAAA&#10;AAAAAAAALgIAAGRycy9lMm9Eb2MueG1sUEsBAi0AFAAGAAgAAAAhAKkXnNPfAAAACAEAAA8AAAAA&#10;AAAAAAAAAAAAnBgAAGRycy9kb3ducmV2LnhtbFBLBQYAAAAABAAEAPMAAACoGQAAAAA=&#10;">
                    <v:shape id="Freeform 57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R9MQA&#10;AADcAAAADwAAAGRycy9kb3ducmV2LnhtbESPUWvCMBSF3wX/Q7iCb5rq1G3VKDIQfNgYq/0Bl+au&#10;KTY3JYm2+/eLMNjj4ZzzHc7uMNhW3MmHxrGCxTwDQVw53XCtoLycZi8gQkTW2DomBT8U4LAfj3aY&#10;a9fzF92LWIsE4ZCjAhNjl0sZKkMWw9x1xMn7dt5iTNLXUnvsE9y2cpllG2mx4bRgsKM3Q9W1uFkF&#10;uHjy+lJuyv5DFqv3lcmW689SqelkOG5BRBrif/ivfdYK1s+v8Di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Uf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8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vJMMA&#10;AADcAAAADwAAAGRycy9kb3ducmV2LnhtbERPTWvCQBC9F/oflin0UnRTW0Wiq2igRfBi1IPHITsm&#10;0exsmt2Y+O/dQ8Hj433Pl72pxI0aV1pW8DmMQBBnVpecKzgefgZTEM4ja6wsk4I7OVguXl/mGGvb&#10;cUq3vc9FCGEXo4LC+zqW0mUFGXRDWxMH7mwbgz7AJpe6wS6Em0qOomgiDZYcGgqsKSkou+5bo+Cj&#10;bLcHmbSnZG3S79/xqrt8/e2Uen/rVzMQnnr/FP+7N1rBeBrmh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2vJM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97184" behindDoc="1" locked="1" layoutInCell="1" allowOverlap="1" wp14:anchorId="243C2F4C" wp14:editId="33EF2D75">
                    <wp:simplePos x="0" y="0"/>
                    <wp:positionH relativeFrom="rightMargin">
                      <wp:posOffset>-1345565</wp:posOffset>
                    </wp:positionH>
                    <wp:positionV relativeFrom="page">
                      <wp:posOffset>24765</wp:posOffset>
                    </wp:positionV>
                    <wp:extent cx="1329690" cy="65405"/>
                    <wp:effectExtent l="0" t="0" r="3810" b="0"/>
                    <wp:wrapNone/>
                    <wp:docPr id="13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4" name="Freeform 1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6" name="Freeform 13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9A7830" id="Group 7" o:spid="_x0000_s1026" style="position:absolute;margin-left:-105.95pt;margin-top:1.95pt;width:104.7pt;height:5.15pt;z-index:-2513192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Cqdkh6PRYAAG+JAAAOAAAAAAAAAAAAAAAA&#10;AC4CAABkcnMvZTJvRG9jLnhtbFBLAQItABQABgAIAAAAIQCpF5zT3wAAAAgBAAAPAAAAAAAAAAAA&#10;AAAAAJcYAABkcnMvZG93bnJldi54bWxQSwUGAAAAAAQABADzAAAAoxkAAAAA&#10;">
                    <v:shape id="Freeform 1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rs8IA&#10;AADcAAAADwAAAGRycy9kb3ducmV2LnhtbERPS2rDMBDdF3oHMYXsGjmJG4Ib2YRAIIuWUscHGKyJ&#10;ZWqNjKTE7u2rQqG7ebzv7KvZDuJOPvSOFayWGQji1umeOwXN5fS8AxEissbBMSn4pgBV+fiwx0K7&#10;iT/pXsdOpBAOBSowMY6FlKE1ZDEs3UicuKvzFmOCvpPa45TC7SDXWbaVFntODQZHOhpqv+qbVYCr&#10;jdeXZttM77LO33KTrV8+GqUWT/PhFUSkOf6L/9xnneZvcv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uz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3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3NcUA&#10;AADcAAAADwAAAGRycy9kb3ducmV2LnhtbERPS2vCQBC+F/wPywi9FN20VpGYjdhApdCLr4PHITsm&#10;abOzaXZj4r/vFgre5uN7TrIeTC2u1LrKsoLnaQSCOLe64kLB6fg+WYJwHlljbZkU3MjBOh09JBhr&#10;2/OergdfiBDCLkYFpfdNLKXLSzLoprYhDtzFtgZ9gG0hdYt9CDe1fImihTRYcWgosaGspPz70BkF&#10;T1X3eZRZd87ezP51O9/0X7OfnVKP42GzAuFp8Hfxv/tDh/mzB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Pc1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371E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17664" behindDoc="1" locked="1" layoutInCell="1" allowOverlap="1" wp14:anchorId="61CD8B4B" wp14:editId="256599E9">
                    <wp:simplePos x="0" y="0"/>
                    <wp:positionH relativeFrom="page">
                      <wp:posOffset>-1345565</wp:posOffset>
                    </wp:positionH>
                    <wp:positionV relativeFrom="page">
                      <wp:posOffset>24765</wp:posOffset>
                    </wp:positionV>
                    <wp:extent cx="1329690" cy="65405"/>
                    <wp:effectExtent l="0" t="0" r="3810" b="0"/>
                    <wp:wrapNone/>
                    <wp:docPr id="58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82" name="Freeform 58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3" name="Freeform 58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386BFF" id="Group 7" o:spid="_x0000_s1026" style="position:absolute;margin-left:-105.95pt;margin-top:1.95pt;width:104.7pt;height:5.15pt;z-index:-25129881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MS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">
                    <v:shape id="Freeform 58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zosMA&#10;AADcAAAADwAAAGRycy9kb3ducmV2LnhtbESPUWvCMBSF3wX/Q7jC3jS1U5HOKGMg7GEi1v6AS3Nt&#10;ypqbkkTb/ftFGOzxcM75Dmd3GG0nHuRD61jBcpGBIK6dbrlRUF2P8y2IEJE1do5JwQ8FOOynkx0W&#10;2g18oUcZG5EgHApUYGLsCylDbchiWLieOHk35y3GJH0jtcchwW0n8yzbSIstpwWDPX0Yqr/Lu1WA&#10;y1evr9WmGk6yXH2tTJavz5VSL7Px/Q1EpDH+h//an1rBepvD8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zo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8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xU8cA&#10;AADcAAAADwAAAGRycy9kb3ducmV2LnhtbESPT2vCQBTE70K/w/IKXqRurLWENKvYgCL04p8eenxk&#10;X5O02bcxuzHx27uFgsdhZn7DpKvB1OJCrassK5hNIxDEudUVFwo+T5unGITzyBpry6TgSg5Wy4dR&#10;iom2PR/ocvSFCBB2CSoovW8SKV1ekkE3tQ1x8L5ta9AH2RZSt9gHuKnlcxS9SoMVh4USG8pKyn+P&#10;nVEwqbqPk8y6r+zdHF62i3X/Mz/vlRo/Dus3EJ4Gfw//t3dawSKe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MV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3760" behindDoc="1" locked="1" layoutInCell="1" allowOverlap="1" wp14:anchorId="79AFB9D7" wp14:editId="6579733A">
                    <wp:simplePos x="0" y="0"/>
                    <wp:positionH relativeFrom="rightMargin">
                      <wp:posOffset>-1345565</wp:posOffset>
                    </wp:positionH>
                    <wp:positionV relativeFrom="page">
                      <wp:posOffset>24765</wp:posOffset>
                    </wp:positionV>
                    <wp:extent cx="1329690" cy="65405"/>
                    <wp:effectExtent l="0" t="0" r="3810" b="0"/>
                    <wp:wrapNone/>
                    <wp:docPr id="1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2" name="Freeform 1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1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F6B74D" id="Group 7" o:spid="_x0000_s1026" style="position:absolute;margin-left:-105.95pt;margin-top:1.95pt;width:104.7pt;height:5.15pt;z-index:-2514227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BAF7jU8FgAAaokAAA4AAAAAAAAAAAAAAAAA&#10;LgIAAGRycy9lMm9Eb2MueG1sUEsBAi0AFAAGAAgAAAAhAKkXnNPfAAAACAEAAA8AAAAAAAAAAAAA&#10;AAAAlhgAAGRycy9kb3ducmV2LnhtbFBLBQYAAAAABAAEAPMAAACiGQAAAAA=&#10;">
                    <v:shape id="Freeform 1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K9cIA&#10;AADbAAAADwAAAGRycy9kb3ducmV2LnhtbESPUWvCMBSF3wf7D+EOfJup1Yl0RhFB8GEi1v6AS3Nt&#10;ypqbkkTb/ftlIOzxcM75Dme9HW0nHuRD61jBbJqBIK6dbrlRUF0P7ysQISJr7ByTgh8KsN28vqyx&#10;0G7gCz3K2IgE4VCgAhNjX0gZakMWw9T1xMm7OW8xJukbqT0OCW47mWfZUlpsOS0Y7GlvqP4u71YB&#10;zuZeX6tlNZxkufhamCz/OFdKTd7G3SeISGP8Dz/bR61gn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Mr1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3iMMA&#10;AADbAAAADwAAAGRycy9kb3ducmV2LnhtbERPu2rDMBTdC/kHcQNdSiM3L4Ib2SSGhkKWOOmQ8WLd&#10;2m6tK9eSY+fvq6HQ8XDe23Q0jbhR52rLCl5mEQjiwuqaSwUfl7fnDQjnkTU2lknBnRykyeRhi7G2&#10;A+d0O/tShBB2MSqovG9jKV1RkUE3sy1x4D5tZ9AH2JVSdziEcNPIeRStpcGaQ0OFLWUVFd/n3ih4&#10;qvvjRWb9NdubfHlY7Yavxc9JqcfpuHsF4Wn0/+I/97tWsAhjw5fwA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3iM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19712" behindDoc="1" locked="1" layoutInCell="1" allowOverlap="1" wp14:anchorId="12D6BA93" wp14:editId="52C0545F">
                    <wp:simplePos x="0" y="0"/>
                    <wp:positionH relativeFrom="page">
                      <wp:posOffset>5928995</wp:posOffset>
                    </wp:positionH>
                    <wp:positionV relativeFrom="page">
                      <wp:posOffset>356235</wp:posOffset>
                    </wp:positionV>
                    <wp:extent cx="1329690" cy="65405"/>
                    <wp:effectExtent l="0" t="0" r="3810" b="0"/>
                    <wp:wrapNone/>
                    <wp:docPr id="58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85" name="Freeform 58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 name="Freeform 58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961FF0" id="Group 7" o:spid="_x0000_s1026" style="position:absolute;margin-left:466.85pt;margin-top:28.05pt;width:104.7pt;height:5.15pt;z-index:-25129676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ZQ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">
                    <v:shape id="Freeform 58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r1sQA&#10;AADcAAAADwAAAGRycy9kb3ducmV2LnhtbESPwWrDMBBE74X8g9hAbo2cNA7BtRxKodBDSqnjD1is&#10;jWVqrYykxs7fR4VCj8PMvGHK42wHcSUfescKNusMBHHrdM+dgub89ngAESKyxsExKbhRgGO1eCix&#10;0G7iL7rWsRMJwqFABSbGsZAytIYshrUbiZN3cd5iTNJ3UnucEtwOcptle2mx57RgcKRXQ+13/WMV&#10;4ObJ63Ozb6YPWe9OO5Nt889GqdVyfnkGEWmO/+G/9rtWkB9y+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K9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8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Sy8cA&#10;AADcAAAADwAAAGRycy9kb3ducmV2LnhtbESPT2vCQBTE7wW/w/IEL0U32ioSXUUDLUIv9c/B4yP7&#10;TKLZtzG7Mem3dwuFHoeZ+Q2zXHemFA+qXWFZwXgUgSBOrS44U3A6fgznIJxH1lhaJgU/5GC96r0s&#10;Mda25T09Dj4TAcIuRgW591UspUtzMuhGtiIO3sXWBn2QdSZ1jW2Am1JOomgmDRYcFnKsKMkpvR0a&#10;o+C1aL6OMmnOydbs3z+nm/b6dv9WatDvNgsQnjr/H/5r77SC6XwGv2fCE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ks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1712" behindDoc="1" locked="1" layoutInCell="1" allowOverlap="1" wp14:anchorId="7F46574D" wp14:editId="48902001">
                    <wp:simplePos x="0" y="0"/>
                    <wp:positionH relativeFrom="rightMargin">
                      <wp:posOffset>-1345565</wp:posOffset>
                    </wp:positionH>
                    <wp:positionV relativeFrom="page">
                      <wp:posOffset>24765</wp:posOffset>
                    </wp:positionV>
                    <wp:extent cx="1329690" cy="65405"/>
                    <wp:effectExtent l="0" t="0" r="3810" b="0"/>
                    <wp:wrapNone/>
                    <wp:docPr id="1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0" name="Freeform 1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1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997B37" id="Group 7" o:spid="_x0000_s1026" style="position:absolute;margin-left:-105.95pt;margin-top:1.95pt;width:104.7pt;height:5.15pt;z-index:-2514247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noMRYAAGqJAAAOAAAAZHJzL2Uyb0RvYy54bWzsPV1vG0mO7wfcfxD8eEDGqv5Sy5jMAvOR&#10;wQFzewNMFvusyPIHzpZ0khJndnH//cgqsrpY3exmj2ffnIfEZrPJ4kexWVVk5d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CIlcnoMRYAAGqJAAAOAAAAAAAAAAAAAAAAAC4CAABkcnMvZTJv&#10;RG9jLnhtbFBLAQItABQABgAIAAAAIQCpF5zT3wAAAAgBAAAPAAAAAAAAAAAAAAAAAIsYAABkcnMv&#10;ZG93bnJldi54bWxQSwUGAAAAAAQABADzAAAAlxkAAAAA&#10;">
                    <v:shape id="Freeform 1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CZL8A&#10;AADbAAAADwAAAGRycy9kb3ducmV2LnhtbERP3WrCMBS+H/gO4QjezVTtZFSjiCB44RirfYBDc9YU&#10;m5OSRFvf3lwMdvnx/W/3o+3Eg3xoHStYzDMQxLXTLTcKquvp/RNEiMgaO8ek4EkB9rvJ2xYL7Qb+&#10;oUcZG5FCOBSowMTYF1KG2pDFMHc9ceJ+nbcYE/SN1B6HFG47ucyytbTYcmow2NPRUH0r71YBLlZe&#10;X6t1NXzJMr/kJlt+fFdKzabjYQMi0hj/xX/us1aQp/X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IJk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taMYA&#10;AADbAAAADwAAAGRycy9kb3ducmV2LnhtbESPT2vCQBTE70K/w/IKvYhutFZK6iZooEXw4r+Dx0f2&#10;NUmbfZtmNyZ++25B6HGYmd8wq3QwtbhS6yrLCmbTCARxbnXFhYLz6X3yCsJ5ZI21ZVJwIwdp8jBa&#10;Yaxtzwe6Hn0hAoRdjApK75tYSpeXZNBNbUMcvE/bGvRBtoXULfYBbmo5j6KlNFhxWCixoayk/PvY&#10;GQXjqtudZNZdso05LD5e1v3X889eqafHYf0GwtPg/8P39lYrWMzg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sta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21760" behindDoc="1" locked="1" layoutInCell="1" allowOverlap="1" wp14:anchorId="1BF3639A" wp14:editId="6340D845">
                    <wp:simplePos x="0" y="0"/>
                    <wp:positionH relativeFrom="page">
                      <wp:posOffset>-1345565</wp:posOffset>
                    </wp:positionH>
                    <wp:positionV relativeFrom="page">
                      <wp:posOffset>24765</wp:posOffset>
                    </wp:positionV>
                    <wp:extent cx="1329690" cy="65405"/>
                    <wp:effectExtent l="0" t="0" r="3810" b="0"/>
                    <wp:wrapNone/>
                    <wp:docPr id="5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88" name="Freeform 58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Freeform 58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510C95" id="Group 7" o:spid="_x0000_s1026" style="position:absolute;margin-left:-105.95pt;margin-top:1.95pt;width:104.7pt;height:5.15pt;z-index:-25129472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lhTRYAAI6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">
                    <v:shape id="Freeform 58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ESMAA&#10;AADcAAAADwAAAGRycy9kb3ducmV2LnhtbERPzYrCMBC+L/gOYYS9ramuilSjyILgQRFrH2BoxqbY&#10;TEqStd233xwEjx/f/2Y32FY8yYfGsYLpJANBXDndcK2gvB2+ViBCRNbYOiYFfxRgtx19bDDXrucr&#10;PYtYixTCIUcFJsYulzJUhiyGieuIE3d33mJM0NdSe+xTuG3lLMuW0mLDqcFgRz+GqkfxaxXg9Nvr&#10;W7ks+7Ms5qe5yWaLS6nU53jYr0FEGuJb/HIftYLFKq1N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GES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8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uccA&#10;AADcAAAADwAAAGRycy9kb3ducmV2LnhtbESPzWvCQBTE74X+D8sreCm68ato6ioaUAq91I+Dx0f2&#10;NUmbfRuzGxP/e7cg9DjMzG+YxaozpbhS7QrLCoaDCARxanXBmYLTcdufgXAeWWNpmRTcyMFq+fy0&#10;wFjblvd0PfhMBAi7GBXk3lexlC7NyaAb2Io4eN+2NuiDrDOpa2wD3JRyFEVv0mDBYSHHipKc0t9D&#10;YxS8Fs3nUSbNOdmY/WQ3Xbc/48uXUr2Xbv0OwlPn/8OP9odWMJ3N4e9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Br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2736" behindDoc="1" locked="1" layoutInCell="1" allowOverlap="1" wp14:anchorId="5C28AA17" wp14:editId="1F122B7E">
                    <wp:simplePos x="0" y="0"/>
                    <wp:positionH relativeFrom="rightMargin">
                      <wp:posOffset>-1345565</wp:posOffset>
                    </wp:positionH>
                    <wp:positionV relativeFrom="page">
                      <wp:posOffset>24765</wp:posOffset>
                    </wp:positionV>
                    <wp:extent cx="1329690" cy="65405"/>
                    <wp:effectExtent l="0" t="0" r="3810" b="0"/>
                    <wp:wrapNone/>
                    <wp:docPr id="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 name="Freeform 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556227" id="Group 7" o:spid="_x0000_s1026" style="position:absolute;margin-left:-105.95pt;margin-top:1.95pt;width:104.7pt;height:5.15pt;z-index:-2514237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1rPB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LJnTWs8FgAAaokAAA4AAAAAAAAAAAAAAAAA&#10;LgIAAGRycy9lMm9Eb2MueG1sUEsBAi0AFAAGAAgAAAAhAKkXnNPfAAAACAEAAA8AAAAAAAAAAAAA&#10;AAAAlhgAAGRycy9kb3ducmV2LnhtbFBLBQYAAAAABAAEAPMAAACiGQAAAAA=&#10;">
                    <v:shape id="Freeform 2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cE8IA&#10;AADbAAAADwAAAGRycy9kb3ducmV2LnhtbESPUWvCMBSF3wf+h3AF32aqdjKqUUQY+DAZq/0Bl+au&#10;KTY3Jcls/fdmIOzxcM75Dme7H20nbuRD61jBYp6BIK6dbrlRUF0+Xt9BhIissXNMCu4UYL+bvGyx&#10;0G7gb7qVsREJwqFABSbGvpAy1IYshrnriZP347zFmKRvpPY4JLjt5DLL1tJiy2nBYE9HQ/W1/LUK&#10;cLHy+lKtq+Esy/wzN9ny7atSajYdDxsQkcb4H362T1pBvoK/L+k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T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O8MYA&#10;AADbAAAADwAAAGRycy9kb3ducmV2LnhtbESPQWvCQBSE7wX/w/IEL6VurFFKdBUbUAq9aOyhx0f2&#10;maTNvo3ZjUn/fbdQ8DjMzDfMejuYWtyodZVlBbNpBII4t7riQsHHef/0AsJ5ZI21ZVLwQw62m9HD&#10;GhNtez7RLfOFCBB2CSoovW8SKV1ekkE3tQ1x8C62NeiDbAupW+wD3NTyOYqW0mDFYaHEhtKS8u+s&#10;Mwoeq+79LNPuM301p/iw2PVf8+tRqcl42K1AeBr8PfzfftMK4hj+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O8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23808" behindDoc="1" locked="1" layoutInCell="1" allowOverlap="1" wp14:anchorId="5BB87FF3" wp14:editId="501169AA">
                    <wp:simplePos x="0" y="0"/>
                    <wp:positionH relativeFrom="page">
                      <wp:posOffset>-1345565</wp:posOffset>
                    </wp:positionH>
                    <wp:positionV relativeFrom="page">
                      <wp:posOffset>24765</wp:posOffset>
                    </wp:positionV>
                    <wp:extent cx="1329690" cy="65405"/>
                    <wp:effectExtent l="0" t="0" r="3810" b="0"/>
                    <wp:wrapNone/>
                    <wp:docPr id="59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91" name="Freeform 59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59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97B53F" id="Group 7" o:spid="_x0000_s1026" style="position:absolute;margin-left:-105.95pt;margin-top:1.95pt;width:104.7pt;height:5.15pt;z-index:-25129267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CUP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4xdCUPRYAAI6JAAAOAAAAAAAAAAAAAAAA&#10;AC4CAABkcnMvZTJvRG9jLnhtbFBLAQItABQABgAIAAAAIQCpF5zT3wAAAAgBAAAPAAAAAAAAAAAA&#10;AAAAAJcYAABkcnMvZG93bnJldi54bWxQSwUGAAAAAAQABADzAAAAoxkAAAAA&#10;">
                    <v:shape id="Freeform 59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7CMQA&#10;AADcAAAADwAAAGRycy9kb3ducmV2LnhtbESPUWvCMBSF34X9h3AHvmlap7JVowxh4MPGsPYHXJpr&#10;U9bclCTa+u/NYLDHwznnO5ztfrSduJEPrWMF+TwDQVw73XKjoDp/zF5BhIissXNMCu4UYL97mmyx&#10;0G7gE93K2IgE4VCgAhNjX0gZakMWw9z1xMm7OG8xJukbqT0OCW47uciytbTYclow2NPBUP1TXq0C&#10;zF+8PlfraviS5fJzabLF6rtSavo8vm9ARBrjf/ivfdQKVm85/J5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uw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CFccA&#10;AADcAAAADwAAAGRycy9kb3ducmV2LnhtbESPQWvCQBSE74X+h+UVvBTdaLXY1FVswFLw0qgHj4/s&#10;a5KafZtmNyb+e7cgeBxm5htmsepNJc7UuNKygvEoAkGcWV1yruCw3wznIJxH1lhZJgUXcrBaPj4s&#10;MNa245TOO5+LAGEXo4LC+zqW0mUFGXQjWxMH78c2Bn2QTS51g12Am0pOouhVGiw5LBRYU1JQdtq1&#10;RsFz2W73MmmPyYdJp5+zdff78vet1OCpX7+D8NT7e/jW/tIKZm8T+D8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Ah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7856" behindDoc="1" locked="1" layoutInCell="1" allowOverlap="1" wp14:anchorId="171B5346" wp14:editId="0E565762">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873851" id="Group 7" o:spid="_x0000_s1026" style="position:absolute;margin-left:-105.95pt;margin-top:1.95pt;width:104.7pt;height:5.15pt;z-index:-2514186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rbejsTnqW/YosGpH/&#10;L3qWmxI8mS686QoQnRzbwhvXVmvo6P6TO5dXvpK+gc2J98KuKRks3RXcF8M1/pDCRxyVEOzRI5Kr&#10;DZ3LrvQV+QNjgvW9IwXF8YPtGrBkRCTfFTdACBK5iKN2QyQ4sHvD9oUBSrBIREpaZ6noXC5Cv/EA&#10;KdG6rOgJ70EjvxFSQulN0iGQ9p1j3bq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cGvvKPRYAAG+JAAAOAAAAAAAAAAAAAAAA&#10;AC4CAABkcnMvZTJvRG9jLnhtbFBLAQItABQABgAIAAAAIQCpF5zT3wAAAAgBAAAPAAAAAAAAAAAA&#10;AAAAAJcYAABkcnMvZG93bnJldi54bWxQSwUGAAAAAAQABADzAAAAox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25856" behindDoc="1" locked="1" layoutInCell="1" allowOverlap="1" wp14:anchorId="375BB9B6" wp14:editId="54F05614">
                    <wp:simplePos x="0" y="0"/>
                    <wp:positionH relativeFrom="page">
                      <wp:posOffset>5928995</wp:posOffset>
                    </wp:positionH>
                    <wp:positionV relativeFrom="page">
                      <wp:posOffset>356235</wp:posOffset>
                    </wp:positionV>
                    <wp:extent cx="1329690" cy="65405"/>
                    <wp:effectExtent l="0" t="0" r="3810" b="0"/>
                    <wp:wrapNone/>
                    <wp:docPr id="59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94" name="Freeform 59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5" name="Freeform 59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32C470" id="Group 7" o:spid="_x0000_s1026" style="position:absolute;margin-left:466.85pt;margin-top:28.05pt;width:104.7pt;height:5.15pt;z-index:-25129062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">
                    <v:shape id="Freeform 59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YkMQA&#10;AADcAAAADwAAAGRycy9kb3ducmV2LnhtbESPwWrDMBBE74X+g9hCb42c1DGtEyWUQKGHhBLHH7BY&#10;G8vUWhlJid2/rwKBHoeZecOst5PtxZV86BwrmM8yEMSN0x23CurT58sbiBCRNfaOScEvBdhuHh/W&#10;WGo38pGuVWxFgnAoUYGJcSilDI0hi2HmBuLknZ23GJP0rdQexwS3vVxkWSEtdpwWDA60M9T8VBer&#10;AOevXp/qoh4Pssr3uckWy+9aqeen6WMFItIU/8P39pdWsHzP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J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aYccA&#10;AADcAAAADwAAAGRycy9kb3ducmV2LnhtbESPT2vCQBTE74LfYXmFXqRuWk2x0VVsoFLwUv8cenxk&#10;n0lq9m2a3Zj47d2C0OMwM79hFqveVOJCjSstK3geRyCIM6tLzhUcDx9PMxDOI2usLJOCKzlYLYeD&#10;BSbadryjy97nIkDYJaig8L5OpHRZQQbd2NbEwTvZxqAPssmlbrALcFPJlyh6lQZLDgsF1pQWlJ33&#10;rVEwKtvtQabtd/pudtNNvO5+Jr9fSj0+9Os5CE+9/w/f259aQfwW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mm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5808" behindDoc="1" locked="1" layoutInCell="1" allowOverlap="1" wp14:anchorId="216311DC" wp14:editId="70B0F4CB">
                    <wp:simplePos x="0" y="0"/>
                    <wp:positionH relativeFrom="rightMargin">
                      <wp:posOffset>-1345565</wp:posOffset>
                    </wp:positionH>
                    <wp:positionV relativeFrom="page">
                      <wp:posOffset>24765</wp:posOffset>
                    </wp:positionV>
                    <wp:extent cx="1329690" cy="65405"/>
                    <wp:effectExtent l="0" t="0" r="3810" b="0"/>
                    <wp:wrapNone/>
                    <wp:docPr id="26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6"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6FEB55" id="Group 7" o:spid="_x0000_s1026" style="position:absolute;margin-left:-105.95pt;margin-top:1.95pt;width:104.7pt;height:5.15pt;z-index:-2514206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lNx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R32BlNxYAAG+JAAAOAAAAAAAAAAAAAAAAAC4CAABk&#10;cnMvZTJvRG9jLnhtbFBLAQItABQABgAIAAAAIQCpF5zT3wAAAAgBAAAPAAAAAAAAAAAAAAAAAJEY&#10;AABkcnMvZG93bnJldi54bWxQSwUGAAAAAAQABADzAAAAnRk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PsMA&#10;AADcAAAADwAAAGRycy9kb3ducmV2LnhtbESPUWvCMBSF3wf+h3CFvc3UzhWpRpGB4MPGWO0PuDTX&#10;ptjclCSz9d+bwWCPh3POdzjb/WR7cSMfOscKlosMBHHjdMetgvp8fFmDCBFZY++YFNwpwH43e9pi&#10;qd3I33SrYisShEOJCkyMQyllaAxZDAs3ECfv4rzFmKRvpfY4JrjtZZ5lhbTYcVowONC7oeZa/VgF&#10;uHz1+lwX9fgpq9XHymT521et1PN8OmxARJrif/ivfdIK8qK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eP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z8cA&#10;AADcAAAADwAAAGRycy9kb3ducmV2LnhtbESPT2vCQBTE74V+h+UVvJS6qVqV1FU0oAhe/Hfw+Mi+&#10;Jmmzb9PsxsRv7wqFHoeZ+Q0zW3SmFFeqXWFZwXs/AkGcWl1wpuB8Wr9NQTiPrLG0TApu5GAxf36a&#10;Yaxtywe6Hn0mAoRdjApy76tYSpfmZND1bUUcvC9bG/RB1pnUNbYBbko5iKKxNFhwWMixoiSn9OfY&#10;GAWvRbM7yaS5JCtzGG0+lu338HevVO+lW36C8NT5//Bfe6sVDMY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27904" behindDoc="1" locked="1" layoutInCell="1" allowOverlap="1" wp14:anchorId="172B569A" wp14:editId="74A5FF6D">
                    <wp:simplePos x="0" y="0"/>
                    <wp:positionH relativeFrom="page">
                      <wp:posOffset>-1345565</wp:posOffset>
                    </wp:positionH>
                    <wp:positionV relativeFrom="page">
                      <wp:posOffset>24765</wp:posOffset>
                    </wp:positionV>
                    <wp:extent cx="1329690" cy="65405"/>
                    <wp:effectExtent l="0" t="0" r="3810" b="0"/>
                    <wp:wrapNone/>
                    <wp:docPr id="59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97" name="Freeform 59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59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4DF53F" id="Group 7" o:spid="_x0000_s1026" style="position:absolute;margin-left:-105.95pt;margin-top:1.95pt;width:104.7pt;height:5.15pt;z-index:-25128857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BqRRYAAI6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">
                    <v:shape id="Freeform 59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G58QA&#10;AADcAAAADwAAAGRycy9kb3ducmV2LnhtbESPUWvCMBSF3wX/Q7iCb5rq1G3VKDIQfNgYq/0Bl+au&#10;KTY3JYm2+/eLMNjj4ZzzHc7uMNhW3MmHxrGCxTwDQVw53XCtoLycZi8gQkTW2DomBT8U4LAfj3aY&#10;a9fzF92LWIsE4ZCjAhNjl0sZKkMWw9x1xMn7dt5iTNLXUnvsE9y2cpllG2mx4bRgsKM3Q9W1uFkF&#10;uHjy+lJuyv5DFqv3lcmW689SqelkOG5BRBrif/ivfdYK1q/P8Di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hu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1/8QA&#10;AADcAAAADwAAAGRycy9kb3ducmV2LnhtbERPTWvCQBC9C/0PyxR6kbppq8Wm2YgGKoKXqj14HLLT&#10;JG12NmY3Jv579yB4fLzvZDGYWpypdZVlBS+TCARxbnXFhYKfw9fzHITzyBpry6TgQg4W6cMowVjb&#10;nnd03vtChBB2MSoovW9iKV1ekkE3sQ1x4H5ta9AH2BZSt9iHcFPL1yh6lwYrDg0lNpSVlP/vO6Ng&#10;XHXbg8y6Y7Yyu+l6tuz/3k7fSj09DstPEJ4Gfxff3ButYPYR1oYz4Qj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Nf/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6832" behindDoc="1" locked="1" layoutInCell="1" allowOverlap="1" wp14:anchorId="4FAC01B6" wp14:editId="14CA8799">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BC9AA0" id="Group 7" o:spid="_x0000_s1026" style="position:absolute;margin-left:-105.95pt;margin-top:1.95pt;width:104.7pt;height:5.15pt;z-index:-2514196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04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YKr95hmM5PkuVqicl+P9DeD8fDr+dvz1RID78BvK+/Xu9Iz/giSL&#10;r16tv0e17r5eFlsAurJYN2vQ/haeNXW1rIPatw9gm95b24ef+L2iXjVu1dCLRVEuvcGume01ji4O&#10;5uUILnTutHR+nZZ+e9gcd175Z9RA1NKatfThtNuhYy6KZ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QL9ODsWAABviQAADgAAAAAAAAAAAAAAAAAu&#10;AgAAZHJzL2Uyb0RvYy54bWxQSwECLQAUAAYACAAAACEAqRec098AAAAIAQAADwAAAAAAAAAAAAAA&#10;AACVGAAAZHJzL2Rvd25yZXYueG1sUEsFBgAAAAAEAAQA8wAAAKE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06797A">
          <w:pPr>
            <w:pStyle w:val="Header-CompanyName"/>
          </w:pPr>
        </w:p>
      </w:tc>
      <w:tc>
        <w:tcPr>
          <w:tcW w:w="5730" w:type="dxa"/>
          <w:shd w:val="clear" w:color="auto" w:fill="auto"/>
          <w:tcMar>
            <w:top w:w="56" w:type="dxa"/>
            <w:right w:w="8" w:type="dxa"/>
          </w:tcMar>
        </w:tcPr>
        <w:p w:rsidR="00C66EF8" w:rsidRDefault="00C66EF8" w:rsidP="0006797A">
          <w:pPr>
            <w:pStyle w:val="Header-CompanyName"/>
          </w:pPr>
          <w:r>
            <w:rPr>
              <w:noProof/>
              <w:lang w:eastAsia="en-AU"/>
            </w:rPr>
            <mc:AlternateContent>
              <mc:Choice Requires="wpg">
                <w:drawing>
                  <wp:anchor distT="0" distB="0" distL="114300" distR="114300" simplePos="0" relativeHeight="252029952" behindDoc="1" locked="1" layoutInCell="1" allowOverlap="1" wp14:anchorId="2FC27392" wp14:editId="51D8663B">
                    <wp:simplePos x="0" y="0"/>
                    <wp:positionH relativeFrom="page">
                      <wp:posOffset>-1345565</wp:posOffset>
                    </wp:positionH>
                    <wp:positionV relativeFrom="page">
                      <wp:posOffset>24765</wp:posOffset>
                    </wp:positionV>
                    <wp:extent cx="1329690" cy="65405"/>
                    <wp:effectExtent l="0" t="0" r="3810" b="0"/>
                    <wp:wrapNone/>
                    <wp:docPr id="59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00" name="Freeform 60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60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72C7A0" id="Group 7" o:spid="_x0000_s1026" style="position:absolute;margin-left:-105.95pt;margin-top:1.95pt;width:104.7pt;height:5.15pt;z-index:-25128652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aMw5CkQWAACOiQAADgAAAAAA&#10;AAAAAAAAAAAuAgAAZHJzL2Uyb0RvYy54bWxQSwECLQAUAAYACAAAACEAqRec098AAAAIAQAADwAA&#10;AAAAAAAAAAAAAACeGAAAZHJzL2Rvd25yZXYueG1sUEsFBgAAAAAEAAQA8wAAAKoZAAAAAA==&#10;">
                    <v:shape id="Freeform 60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aMAA&#10;AADcAAAADwAAAGRycy9kb3ducmV2LnhtbERP3WrCMBS+H+wdwhnsThOdllGNMgbCLiZi7QMcmrOm&#10;2JyUJNru7ZcLYZcf3/92P7le3CnEzrOGxVyBIG686bjVUF8Os3cQMSEb7D2Thl+KsN89P22xNH7k&#10;M92r1IocwrFEDTaloZQyNpYcxrkfiDP344PDlGFopQk45nDXy6VShXTYcW6wONCnpeZa3ZwGXLwF&#10;c6mLejzKavW9smq5PtVav75MHxsQiab0L364v4yGQuX5+Uw+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Hqa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0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omcYA&#10;AADcAAAADwAAAGRycy9kb3ducmV2LnhtbESPT2vCQBTE70K/w/IKXqRutColdRUNKEIv/umhx0f2&#10;NYlm38bsxqTf3i0IHoeZ+Q0zX3amFDeqXWFZwWgYgSBOrS44U/B92rx9gHAeWWNpmRT8kYPl4qU3&#10;x1jblg90O/pMBAi7GBXk3lexlC7NyaAb2oo4eL+2NuiDrDOpa2wD3JRyHEUzabDgsJBjRUlO6eXY&#10;GAWDovk6yaT5SdbmMNlOV+35/bpXqv/arT5BeOr8M/xo77SCWTSC/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domc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26528" behindDoc="1" locked="1" layoutInCell="1" allowOverlap="1" wp14:anchorId="38C0C250" wp14:editId="55EB46B6">
                    <wp:simplePos x="0" y="0"/>
                    <wp:positionH relativeFrom="rightMargin">
                      <wp:posOffset>-1345565</wp:posOffset>
                    </wp:positionH>
                    <wp:positionV relativeFrom="page">
                      <wp:posOffset>24765</wp:posOffset>
                    </wp:positionV>
                    <wp:extent cx="1329690" cy="65405"/>
                    <wp:effectExtent l="0" t="0" r="3810" b="0"/>
                    <wp:wrapNone/>
                    <wp:docPr id="5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9" name="Freeform 5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0" name="Freeform 5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60DA50" id="Group 7" o:spid="_x0000_s1026" style="position:absolute;margin-left:-105.95pt;margin-top:1.95pt;width:104.7pt;height:5.15pt;z-index:-251389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GIPx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LVdcYg/FgAAb4kAAA4AAAAAAAAAAAAA&#10;AAAALgIAAGRycy9lMm9Eb2MueG1sUEsBAi0AFAAGAAgAAAAhAKkXnNPfAAAACAEAAA8AAAAAAAAA&#10;AAAAAAAAmRgAAGRycy9kb3ducmV2LnhtbFBLBQYAAAAABAAEAPMAAAClGQAAAAA=&#10;">
                    <v:shape id="Freeform 52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6cQA&#10;AADcAAAADwAAAGRycy9kb3ducmV2LnhtbESPUWvCMBSF3wf7D+EOfJupncpWjTIGAx+UYe0PuDTX&#10;pqy5KUlm6783grDHwznnO5z1drSduJAPrWMFs2kGgrh2uuVGQXX6fn0HESKyxs4xKbhSgO3m+WmN&#10;hXYDH+lSxkYkCIcCFZgY+0LKUBuyGKauJ07e2XmLMUnfSO1xSHDbyTzLltJiy2nBYE9fhurf8s8q&#10;wNmb16dqWQ0HWc73c5Pli59KqcnL+LkCEWmM/+FHe6cVLPIP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fu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2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mw8MA&#10;AADcAAAADwAAAGRycy9kb3ducmV2LnhtbERPTWvCQBC9C/0PyxR6kbpp1VJSV9GAIngx6sHjkJ0m&#10;abOzMbsx8d+7B8Hj433PFr2pxJUaV1pW8DGKQBBnVpecKzgd1+/fIJxH1lhZJgU3crCYvwxmGGvb&#10;cUrXg89FCGEXo4LC+zqW0mUFGXQjWxMH7tc2Bn2ATS51g10IN5X8jKIvabDk0FBgTUlB2f+hNQqG&#10;Zbs7yqQ9JyuTTjbTZfc3vuyVenvtlz8gPPX+KX64t1rBdBzmhz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Jmw8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06797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06797A">
          <w:pPr>
            <w:pStyle w:val="Header-CompanyName"/>
          </w:pPr>
        </w:p>
      </w:tc>
      <w:tc>
        <w:tcPr>
          <w:tcW w:w="5730" w:type="dxa"/>
          <w:shd w:val="clear" w:color="auto" w:fill="auto"/>
          <w:tcMar>
            <w:top w:w="56" w:type="dxa"/>
            <w:right w:w="8" w:type="dxa"/>
          </w:tcMar>
        </w:tcPr>
        <w:p w:rsidR="00C66EF8" w:rsidRDefault="00C66EF8" w:rsidP="0006797A">
          <w:pPr>
            <w:pStyle w:val="Header-CompanyName"/>
          </w:pPr>
          <w:r>
            <w:rPr>
              <w:noProof/>
              <w:lang w:eastAsia="en-AU"/>
            </w:rPr>
            <mc:AlternateContent>
              <mc:Choice Requires="wpg">
                <w:drawing>
                  <wp:anchor distT="0" distB="0" distL="114300" distR="114300" simplePos="0" relativeHeight="252032000" behindDoc="1" locked="1" layoutInCell="1" allowOverlap="1" wp14:anchorId="491601E1" wp14:editId="6C52F22C">
                    <wp:simplePos x="0" y="0"/>
                    <wp:positionH relativeFrom="page">
                      <wp:posOffset>5928995</wp:posOffset>
                    </wp:positionH>
                    <wp:positionV relativeFrom="page">
                      <wp:posOffset>356235</wp:posOffset>
                    </wp:positionV>
                    <wp:extent cx="1329690" cy="65405"/>
                    <wp:effectExtent l="0" t="0" r="3810" b="0"/>
                    <wp:wrapNone/>
                    <wp:docPr id="60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03" name="Freeform 60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60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93120D" id="Group 7" o:spid="_x0000_s1026" style="position:absolute;margin-left:466.85pt;margin-top:28.05pt;width:104.7pt;height:5.15pt;z-index:-25128448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AcR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">
                    <v:shape id="Freeform 60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0H8MA&#10;AADcAAAADwAAAGRycy9kb3ducmV2LnhtbESPzWrDMBCE74G+g9hCb4mUP1PcKKEUCj2klDp+gMXa&#10;WqbWykhq7Lx9FCjkOMzMN8zuMLlenCnEzrOG5UKBIG686bjVUJ/e588gYkI22HsmDReKcNg/zHZY&#10;Gj/yN52r1IoM4ViiBpvSUEoZG0sO48IPxNn78cFhyjK00gQcM9z1cqVUIR12nBcsDvRmqfmt/pwG&#10;XK6DOdVFPX7KanPcWLXaftVaPz1Ory8gEk3pHv5vfxgNhVrD7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0H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0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LAccA&#10;AADcAAAADwAAAGRycy9kb3ducmV2LnhtbESPT2vCQBTE7wW/w/IEL6VuqlZKzEY0oAi9+KeHHh/Z&#10;Z5I2+zbNbkz89t1CocdhZn7DJOvB1OJGrassK3ieRiCIc6srLhS8X3ZPryCcR9ZYWyYFd3KwTkcP&#10;Ccba9nyi29kXIkDYxaig9L6JpXR5SQbd1DbEwbva1qAPsi2kbrEPcFPLWRQtpcGKw0KJDWUl5V/n&#10;zih4rLq3i8y6j2xrTov9y6b/nH8flZqMh80KhKfB/4f/2getYBkt4PdMO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yw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24480" behindDoc="1" locked="1" layoutInCell="1" allowOverlap="1" wp14:anchorId="3E04912E" wp14:editId="50425C1D">
                    <wp:simplePos x="0" y="0"/>
                    <wp:positionH relativeFrom="rightMargin">
                      <wp:posOffset>-1345565</wp:posOffset>
                    </wp:positionH>
                    <wp:positionV relativeFrom="page">
                      <wp:posOffset>24765</wp:posOffset>
                    </wp:positionV>
                    <wp:extent cx="1329690" cy="65405"/>
                    <wp:effectExtent l="0" t="0" r="3810" b="0"/>
                    <wp:wrapNone/>
                    <wp:docPr id="52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4" name="Freeform 5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5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AD0117" id="Group 7" o:spid="_x0000_s1026" style="position:absolute;margin-left:-105.95pt;margin-top:1.95pt;width:104.7pt;height:5.15pt;z-index:-2513920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ImRoQM8FgAAb4kAAA4AAAAAAAAAAAAAAAAA&#10;LgIAAGRycy9lMm9Eb2MueG1sUEsBAi0AFAAGAAgAAAAhAKkXnNPfAAAACAEAAA8AAAAAAAAAAAAA&#10;AAAAlhgAAGRycy9kb3ducmV2LnhtbFBLBQYAAAAABAAEAPMAAACiGQAAAAA=&#10;">
                    <v:shape id="Freeform 5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HqsMA&#10;AADcAAAADwAAAGRycy9kb3ducmV2LnhtbESPUWvCMBSF3wf7D+EKvs1UrSKdUcZgsIeJWPsDLs1d&#10;U2xuSpLZ+u8XQfDxcM75Dme7H20nruRD61jBfJaBIK6dbrlRUJ2/3jYgQkTW2DkmBTcKsN+9vmyx&#10;0G7gE13L2IgE4VCgAhNjX0gZakMWw8z1xMn7dd5iTNI3UnscEtx2cpFla2mx5bRgsKdPQ/Wl/LMK&#10;cL70+lytq+Egy/wnN9lidayUmk7Gj3cQkcb4DD/a31rBapnD/Uw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Hq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FW8cA&#10;AADcAAAADwAAAGRycy9kb3ducmV2LnhtbESPT2vCQBTE7wW/w/KEXkrdVE2R1FU0UBF68U8PHh/Z&#10;1ySafZtmNyZ+e7cg9DjMzG+Y+bI3lbhS40rLCt5GEQjizOqScwXfx8/XGQjnkTVWlknBjRwsF4On&#10;OSbadryn68HnIkDYJaig8L5OpHRZQQbdyNbEwfuxjUEfZJNL3WAX4KaS4yh6lwZLDgsF1pQWlF0O&#10;rVHwUrZfR5m2p3Rt9tNNvOrOk9+dUs/DfvUBwlPv/8OP9lYriCcx/J0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VxV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06797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06797A">
          <w:pPr>
            <w:pStyle w:val="Header-CompanyName"/>
          </w:pPr>
        </w:p>
      </w:tc>
      <w:tc>
        <w:tcPr>
          <w:tcW w:w="5730" w:type="dxa"/>
          <w:shd w:val="clear" w:color="auto" w:fill="auto"/>
          <w:tcMar>
            <w:top w:w="56" w:type="dxa"/>
            <w:right w:w="8" w:type="dxa"/>
          </w:tcMar>
        </w:tcPr>
        <w:p w:rsidR="00C66EF8" w:rsidRDefault="00C66EF8" w:rsidP="0006797A">
          <w:pPr>
            <w:pStyle w:val="Header-CompanyName"/>
          </w:pPr>
          <w:r>
            <w:rPr>
              <w:noProof/>
              <w:lang w:eastAsia="en-AU"/>
            </w:rPr>
            <mc:AlternateContent>
              <mc:Choice Requires="wpg">
                <w:drawing>
                  <wp:anchor distT="0" distB="0" distL="114300" distR="114300" simplePos="0" relativeHeight="252034048" behindDoc="1" locked="1" layoutInCell="1" allowOverlap="1" wp14:anchorId="2EB4FDFB" wp14:editId="70804DF6">
                    <wp:simplePos x="0" y="0"/>
                    <wp:positionH relativeFrom="page">
                      <wp:posOffset>-1345565</wp:posOffset>
                    </wp:positionH>
                    <wp:positionV relativeFrom="page">
                      <wp:posOffset>24765</wp:posOffset>
                    </wp:positionV>
                    <wp:extent cx="1329690" cy="65405"/>
                    <wp:effectExtent l="0" t="0" r="3810" b="0"/>
                    <wp:wrapNone/>
                    <wp:docPr id="6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06" name="Freeform 60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 name="Freeform 60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E4A66A" id="Group 7" o:spid="_x0000_s1026" style="position:absolute;margin-left:-105.95pt;margin-top:1.95pt;width:104.7pt;height:5.15pt;z-index:-25128243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ucQ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9tbbnEEWAACOiQAADgAAAAAAAAAA&#10;AAAAAAAuAgAAZHJzL2Uyb0RvYy54bWxQSwECLQAUAAYACAAAACEAqRec098AAAAIAQAADwAAAAAA&#10;AAAAAAAAAACbGAAAZHJzL2Rvd25yZXYueG1sUEsFBgAAAAAEAAQA8wAAAKcZAAAAAA==&#10;">
                    <v:shape id="Freeform 60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Xh8MA&#10;AADcAAAADwAAAGRycy9kb3ducmV2LnhtbESPwWrDMBBE74X8g9hCb42UNDXBjRJCIZBDQ4jjD1is&#10;rWVqrYykxu7fV4VAj8PMvGE2u8n14kYhdp41LOYKBHHjTcethvp6eF6DiAnZYO+ZNPxQhN129rDB&#10;0viRL3SrUisyhGOJGmxKQyllbCw5jHM/EGfv0weHKcvQShNwzHDXy6VShXTYcV6wONC7pear+nYa&#10;cPESzLUu6vEkq9XHyqrl67nW+ulx2r+BSDSl//C9fTQaClXA35l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Xh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0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VdscA&#10;AADcAAAADwAAAGRycy9kb3ducmV2LnhtbESPzWvCQBTE70L/h+UVvBTd1PpRUlexgYrgxa+Dx0f2&#10;NUmbfZtmNyb+965Q8DjMzG+Y+bIzpbhQ7QrLCl6HEQji1OqCMwWn49fgHYTzyBpLy6TgSg6Wi6fe&#10;HGNtW97T5eAzESDsYlSQe1/FUro0J4NuaCvi4H3b2qAPss6krrENcFPKURRNpcGCw0KOFSU5pb+H&#10;xih4KZrtUSbNOfk0+/F6smp/3v52SvWfu9UHCE+df4T/2xutYBrN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VX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25504" behindDoc="1" locked="1" layoutInCell="1" allowOverlap="1" wp14:anchorId="1CD4AC8A" wp14:editId="25EBE21B">
                    <wp:simplePos x="0" y="0"/>
                    <wp:positionH relativeFrom="rightMargin">
                      <wp:posOffset>-1345565</wp:posOffset>
                    </wp:positionH>
                    <wp:positionV relativeFrom="page">
                      <wp:posOffset>24765</wp:posOffset>
                    </wp:positionV>
                    <wp:extent cx="1329690" cy="65405"/>
                    <wp:effectExtent l="0" t="0" r="3810" b="0"/>
                    <wp:wrapNone/>
                    <wp:docPr id="53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7" name="Freeform 53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53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CCF08D" id="Group 7" o:spid="_x0000_s1026" style="position:absolute;margin-left:-105.95pt;margin-top:1.95pt;width:104.7pt;height:5.15pt;z-index:-2513909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">
                    <v:shape id="Freeform 53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Z3cQA&#10;AADcAAAADwAAAGRycy9kb3ducmV2LnhtbESPzWrDMBCE74W8g9hAbo3s/LW4kUMJBHpoKHX8AIu1&#10;tUytlZHU2Hn7qhDocZiZb5j9YbK9uJIPnWMF+TIDQdw43XGroL6cHp9BhIissXdMCm4U4FDOHvZY&#10;aDfyJ12r2IoE4VCgAhPjUEgZGkMWw9INxMn7ct5iTNK3UnscE9z2cpVlO2mx47RgcKCjoea7+rEK&#10;MF97fal39XiW1eZ9Y7LV9qNWajGfXl9ARJrif/jeftMKtusn+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2d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3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qxcMA&#10;AADcAAAADwAAAGRycy9kb3ducmV2LnhtbERPTWvCQBC9C/0PyxR6kbpp1VJSV9GAIngx6sHjkJ0m&#10;abOzMbsx8d+7B8Hj433PFr2pxJUaV1pW8DGKQBBnVpecKzgd1+/fIJxH1lhZJgU3crCYvwxmGGvb&#10;cUrXg89FCGEXo4LC+zqW0mUFGXQjWxMH7tc2Bn2ATS51g10IN5X8jKIvabDk0FBgTUlB2f+hNQqG&#10;Zbs7yqQ9JyuTTjbTZfc3vuyVenvtlz8gPPX+KX64t1rBdBzWhj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qxc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0679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9" w:type="dxa"/>
      <w:tblInd w:w="-5625" w:type="dxa"/>
      <w:tblBorders>
        <w:top w:val="single" w:sz="4" w:space="0" w:color="000001"/>
      </w:tblBorders>
      <w:tblLayout w:type="fixed"/>
      <w:tblCellMar>
        <w:left w:w="0" w:type="dxa"/>
        <w:right w:w="0" w:type="dxa"/>
      </w:tblCellMar>
      <w:tblLook w:val="04A0" w:firstRow="1" w:lastRow="0" w:firstColumn="1" w:lastColumn="0" w:noHBand="0" w:noVBand="1"/>
    </w:tblPr>
    <w:tblGrid>
      <w:gridCol w:w="5259"/>
      <w:gridCol w:w="5730"/>
    </w:tblGrid>
    <w:tr w:rsidR="00C66EF8" w:rsidTr="00401D90">
      <w:trPr>
        <w:trHeight w:hRule="exact" w:val="240"/>
      </w:trPr>
      <w:tc>
        <w:tcPr>
          <w:tcW w:w="5259"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sidRPr="00DD7896">
            <w:rPr>
              <w:spacing w:val="28"/>
            </w:rPr>
            <w:t xml:space="preserve">ACIL ALLEN </w:t>
          </w:r>
          <w:r w:rsidRPr="00DD7896">
            <w:rPr>
              <w:color w:val="BEB6AF"/>
            </w:rPr>
            <w:t>CONSULTING</w:t>
          </w:r>
        </w:p>
      </w:tc>
    </w:tr>
  </w:tbl>
  <w:p w:rsidR="00C66EF8" w:rsidRPr="00A32B60" w:rsidRDefault="00C66EF8" w:rsidP="00F141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4F73D0">
          <w:pPr>
            <w:pStyle w:val="Header-CompanyName"/>
          </w:pPr>
        </w:p>
      </w:tc>
      <w:tc>
        <w:tcPr>
          <w:tcW w:w="5730" w:type="dxa"/>
          <w:shd w:val="clear" w:color="auto" w:fill="auto"/>
          <w:tcMar>
            <w:top w:w="56" w:type="dxa"/>
            <w:right w:w="8" w:type="dxa"/>
          </w:tcMar>
        </w:tcPr>
        <w:p w:rsidR="00C66EF8" w:rsidRDefault="00C66EF8" w:rsidP="004F73D0">
          <w:pPr>
            <w:pStyle w:val="Header-CompanyName"/>
          </w:pPr>
          <w:r>
            <w:rPr>
              <w:noProof/>
              <w:lang w:eastAsia="en-AU"/>
            </w:rPr>
            <mc:AlternateContent>
              <mc:Choice Requires="wpg">
                <w:drawing>
                  <wp:anchor distT="0" distB="0" distL="114300" distR="114300" simplePos="0" relativeHeight="252036096" behindDoc="1" locked="1" layoutInCell="1" allowOverlap="1" wp14:anchorId="63B4B002" wp14:editId="25D12AB9">
                    <wp:simplePos x="0" y="0"/>
                    <wp:positionH relativeFrom="page">
                      <wp:posOffset>-1345565</wp:posOffset>
                    </wp:positionH>
                    <wp:positionV relativeFrom="page">
                      <wp:posOffset>24765</wp:posOffset>
                    </wp:positionV>
                    <wp:extent cx="1329690" cy="65405"/>
                    <wp:effectExtent l="0" t="0" r="3810" b="0"/>
                    <wp:wrapNone/>
                    <wp:docPr id="60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09" name="Freeform 60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 name="Freeform 6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A4C373" id="Group 7" o:spid="_x0000_s1026" style="position:absolute;margin-left:-105.95pt;margin-top:1.95pt;width:104.7pt;height:5.15pt;z-index:-25128038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RnA7yjgWAACOiQAADgAAAAAAAAAAAAAAAAAuAgAA&#10;ZHJzL2Uyb0RvYy54bWxQSwECLQAUAAYACAAAACEAqRec098AAAAIAQAADwAAAAAAAAAAAAAAAACS&#10;GAAAZHJzL2Rvd25yZXYueG1sUEsFBgAAAAAEAAQA8wAAAJ4ZAAAAAA==&#10;">
                    <v:shape id="Freeform 60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D9cQA&#10;AADcAAAADwAAAGRycy9kb3ducmV2LnhtbESPzWrDMBCE74W+g9hCbo2Un5rGiRJKINBDS6njB1is&#10;jWVirYykxu7bV4VCj8PMfMPsDpPrxY1C7DxrWMwVCOLGm45bDfX59PgMIiZkg71n0vBNEQ77+7sd&#10;lsaP/Em3KrUiQziWqMGmNJRSxsaSwzj3A3H2Lj44TFmGVpqAY4a7Xi6VKqTDjvOCxYGOlppr9eU0&#10;4GIVzLku6vFdVuu3tVXLp49a69nD9LIFkWhK/+G/9qvRUKgN/J7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Q/X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38QA&#10;AADcAAAADwAAAGRycy9kb3ducmV2LnhtbERPy2rCQBTdF/yH4Qpuiplo2yDRUTSgFLqpj4XLS+aa&#10;pM3ciZmJSf++syh0eTjv1WYwtXhQ6yrLCmZRDII4t7riQsHlvJ8uQDiPrLG2TAp+yMFmPXpaYapt&#10;z0d6nHwhQgi7FBWU3jeplC4vyaCLbEMcuJttDfoA20LqFvsQbmo5j+NEGqw4NJTYUFZS/n3qjILn&#10;qvs4y6y7ZjtzfD28bfuvl/unUpPxsF2C8DT4f/Gf+10rSGZ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9/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5680" behindDoc="1" locked="1" layoutInCell="1" allowOverlap="1" wp14:anchorId="654DF395" wp14:editId="7A8689CB">
                    <wp:simplePos x="0" y="0"/>
                    <wp:positionH relativeFrom="rightMargin">
                      <wp:posOffset>-1345565</wp:posOffset>
                    </wp:positionH>
                    <wp:positionV relativeFrom="page">
                      <wp:posOffset>24765</wp:posOffset>
                    </wp:positionV>
                    <wp:extent cx="1329690" cy="65405"/>
                    <wp:effectExtent l="0" t="0" r="3810" b="0"/>
                    <wp:wrapNone/>
                    <wp:docPr id="10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1" name="Freeform 10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784858" id="Group 7" o:spid="_x0000_s1026" style="position:absolute;margin-left:-105.95pt;margin-top:1.95pt;width:104.7pt;height:5.15pt;z-index:-2513408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chO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WtiXITgWAABviQAADgAAAAAAAAAAAAAAAAAuAgAA&#10;ZHJzL2Uyb0RvYy54bWxQSwECLQAUAAYACAAAACEAqRec098AAAAIAQAADwAAAAAAAAAAAAAAAACS&#10;GAAAZHJzL2Rvd25yZXYueG1sUEsFBgAAAAAEAAQA8wAAAJ4ZAAAAAA==&#10;">
                    <v:shape id="Freeform 10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ClsEA&#10;AADcAAAADwAAAGRycy9kb3ducmV2LnhtbERP3WrCMBS+H/gO4Qi706RORTqjiDDYxcZY7QMcmrOm&#10;2JyUJNru7ZfBYHfn4/s9++PkenGnEDvPGoqlAkHceNNxq6G+vCx2IGJCNth7Jg3fFOF4mD3ssTR+&#10;5E+6V6kVOYRjiRpsSkMpZWwsOYxLPxBn7ssHhynD0EoTcMzhrpcrpbbSYce5weJAZ0vNtbo5DVg8&#10;BXOpt/X4Lqv129qq1eaj1vpxPp2eQSSa0r/4z/1q8nxVwO8z+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ngpb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0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7i8QA&#10;AADcAAAADwAAAGRycy9kb3ducmV2LnhtbERPS2vCQBC+C/6HZYReRDfaKhJdxQaUQi/1cfA4ZMck&#10;mp2N2Y1J/323UOhtPr7nrDadKcWTaldYVjAZRyCIU6sLzhScT7vRAoTzyBpLy6Tgmxxs1v3eCmNt&#10;Wz7Q8+gzEULYxagg976KpXRpTgbd2FbEgbva2qAPsM6krrEN4aaU0yiaS4MFh4YcK0pySu/HxigY&#10;Fs3nSSbNJXk3h7f9bNveXh9fSr0Muu0ShKfO/4v/3B86zI+m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O4v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4F73D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B46B76">
      <w:trPr>
        <w:trHeight w:hRule="exact" w:val="240"/>
      </w:trPr>
      <w:tc>
        <w:tcPr>
          <w:tcW w:w="5258" w:type="dxa"/>
          <w:shd w:val="clear" w:color="auto" w:fill="auto"/>
        </w:tcPr>
        <w:p w:rsidR="00C66EF8" w:rsidRDefault="00C66EF8" w:rsidP="004F73D0">
          <w:pPr>
            <w:pStyle w:val="Header-CompanyName"/>
          </w:pPr>
        </w:p>
      </w:tc>
      <w:tc>
        <w:tcPr>
          <w:tcW w:w="5730" w:type="dxa"/>
          <w:shd w:val="clear" w:color="auto" w:fill="auto"/>
          <w:tcMar>
            <w:top w:w="56" w:type="dxa"/>
            <w:right w:w="8" w:type="dxa"/>
          </w:tcMar>
        </w:tcPr>
        <w:p w:rsidR="00C66EF8" w:rsidRDefault="00C66EF8" w:rsidP="004F73D0">
          <w:pPr>
            <w:pStyle w:val="Header-CompanyName"/>
          </w:pPr>
          <w:r>
            <w:rPr>
              <w:noProof/>
              <w:lang w:eastAsia="en-AU"/>
            </w:rPr>
            <mc:AlternateContent>
              <mc:Choice Requires="wpg">
                <w:drawing>
                  <wp:anchor distT="0" distB="0" distL="114300" distR="114300" simplePos="0" relativeHeight="252038144" behindDoc="1" locked="1" layoutInCell="1" allowOverlap="1" wp14:anchorId="6FD4964F" wp14:editId="49973AFA">
                    <wp:simplePos x="0" y="0"/>
                    <wp:positionH relativeFrom="page">
                      <wp:posOffset>5928995</wp:posOffset>
                    </wp:positionH>
                    <wp:positionV relativeFrom="page">
                      <wp:posOffset>356235</wp:posOffset>
                    </wp:positionV>
                    <wp:extent cx="1329690" cy="65405"/>
                    <wp:effectExtent l="0" t="0" r="3810" b="0"/>
                    <wp:wrapNone/>
                    <wp:docPr id="6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12" name="Freeform 61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 name="Freeform 61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71A488" id="Group 7" o:spid="_x0000_s1026" style="position:absolute;margin-left:466.85pt;margin-top:28.05pt;width:104.7pt;height:5.15pt;z-index:-25127833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SRS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">
                    <v:shape id="Freeform 61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HWcQA&#10;AADcAAAADwAAAGRycy9kb3ducmV2LnhtbESPwWrDMBBE74H+g9hCb4lsNzHBjRJKoNBDSqnjD1is&#10;rWVqrYykxO7fV4FCjsPMvGF2h9kO4ko+9I4V5KsMBHHrdM+dgub8ttyCCBFZ4+CYFPxSgMP+YbHD&#10;SruJv+hax04kCIcKFZgYx0rK0BqyGFZuJE7et/MWY5K+k9rjlOB2kEWWldJiz2nB4EhHQ+1PfbEK&#10;MH/2+tyUzfQh6/VpbbJi89ko9fQ4v76AiDTHe/i//a4VlHkBtzPp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R1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1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FqMcA&#10;AADcAAAADwAAAGRycy9kb3ducmV2LnhtbESPQWvCQBSE74X+h+UJvRTd2KiU1FVsoEXw0mgPPT6y&#10;zySafZtmNyb9964g9DjMzDfMcj2YWlyodZVlBdNJBII4t7riQsH34WP8CsJ5ZI21ZVLwRw7Wq8eH&#10;JSba9pzRZe8LESDsElRQet8kUrq8JINuYhvi4B1ta9AH2RZSt9gHuKnlSxQtpMGKw0KJDaUl5ed9&#10;ZxQ8V93uINPuJ3032exzvulP8e+XUk+jYfMGwtPg/8P39lYrWEx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xa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3632" behindDoc="1" locked="1" layoutInCell="1" allowOverlap="1" wp14:anchorId="16613BD1" wp14:editId="2B407933">
                    <wp:simplePos x="0" y="0"/>
                    <wp:positionH relativeFrom="rightMargin">
                      <wp:posOffset>-1345565</wp:posOffset>
                    </wp:positionH>
                    <wp:positionV relativeFrom="page">
                      <wp:posOffset>24765</wp:posOffset>
                    </wp:positionV>
                    <wp:extent cx="1329690" cy="65405"/>
                    <wp:effectExtent l="0" t="0" r="3810" b="0"/>
                    <wp:wrapNone/>
                    <wp:docPr id="10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4" name="Freeform 10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D4A29A" id="Group 7" o:spid="_x0000_s1026" style="position:absolute;margin-left:-105.95pt;margin-top:1.95pt;width:104.7pt;height:5.15pt;z-index:-2513428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cOx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Jwn8XDsWAABviQAADgAAAAAAAAAAAAAAAAAu&#10;AgAAZHJzL2Uyb0RvYy54bWxQSwECLQAUAAYACAAAACEAqRec098AAAAIAQAADwAAAAAAAAAAAAAA&#10;AACVGAAAZHJzL2Rvd25yZXYueG1sUEsFBgAAAAAEAAQA8wAAAKEZAAAAAA==&#10;">
                    <v:shape id="Freeform 10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hDsEA&#10;AADcAAAADwAAAGRycy9kb3ducmV2LnhtbERP3WrCMBS+H+wdwhnsThNdFemMMoTBLhxjtQ9waM6a&#10;suakJNHWtzfCYHfn4/s92/3kenGhEDvPGhZzBYK48abjVkN9ep9tQMSEbLD3TBquFGG/e3zYYmn8&#10;yN90qVIrcgjHEjXYlIZSythYchjnfiDO3I8PDlOGoZUm4JjDXS+XSq2lw45zg8WBDpaa3+rsNODi&#10;JZhTva7HT1kVx8Kq5eqr1vr5aXp7BZFoSv/iP/eHyfNVAfdn8gV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QIQ7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0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j/8QA&#10;AADcAAAADwAAAGRycy9kb3ducmV2LnhtbERPS2vCQBC+F/oflin0UuqmVYtEV9FAi+DF18HjkB2T&#10;2OxszG5M/PeuIHibj+85k1lnSnGh2hWWFXz1IhDEqdUFZwr2u9/PEQjnkTWWlknBlRzMpq8vE4y1&#10;bXlDl63PRAhhF6OC3PsqltKlORl0PVsRB+5oa4M+wDqTusY2hJtSfkfRjzRYcGjIsaIkp/R/2xgF&#10;H0Wz2smkOSQLsxn8DeftqX9eK/X+1s3HIDx1/il+uJc6zI+GcH8mX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o//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4F73D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4F73D0">
          <w:pPr>
            <w:pStyle w:val="Header-CompanyName"/>
          </w:pPr>
        </w:p>
      </w:tc>
      <w:tc>
        <w:tcPr>
          <w:tcW w:w="5730" w:type="dxa"/>
          <w:shd w:val="clear" w:color="auto" w:fill="auto"/>
          <w:tcMar>
            <w:top w:w="56" w:type="dxa"/>
            <w:right w:w="8" w:type="dxa"/>
          </w:tcMar>
        </w:tcPr>
        <w:p w:rsidR="00C66EF8" w:rsidRDefault="00C66EF8" w:rsidP="004F73D0">
          <w:pPr>
            <w:pStyle w:val="Header-CompanyName"/>
          </w:pPr>
          <w:r>
            <w:rPr>
              <w:noProof/>
              <w:lang w:eastAsia="en-AU"/>
            </w:rPr>
            <mc:AlternateContent>
              <mc:Choice Requires="wpg">
                <w:drawing>
                  <wp:anchor distT="0" distB="0" distL="114300" distR="114300" simplePos="0" relativeHeight="252040192" behindDoc="1" locked="1" layoutInCell="1" allowOverlap="1" wp14:anchorId="278582F3" wp14:editId="47FD5FD8">
                    <wp:simplePos x="0" y="0"/>
                    <wp:positionH relativeFrom="page">
                      <wp:posOffset>-1345565</wp:posOffset>
                    </wp:positionH>
                    <wp:positionV relativeFrom="page">
                      <wp:posOffset>24765</wp:posOffset>
                    </wp:positionV>
                    <wp:extent cx="1329690" cy="65405"/>
                    <wp:effectExtent l="0" t="0" r="3810" b="0"/>
                    <wp:wrapNone/>
                    <wp:docPr id="6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15" name="Freeform 61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 name="Freeform 61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CCEBC0" id="Group 7" o:spid="_x0000_s1026" style="position:absolute;margin-left:-105.95pt;margin-top:1.95pt;width:104.7pt;height:5.15pt;z-index:-25127628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BETB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">
                    <v:shape id="Freeform 61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LcQA&#10;AADcAAAADwAAAGRycy9kb3ducmV2LnhtbESPUWvCMBSF34X9h3AHe9O0TsuoRhkDYQ8TsfYHXJq7&#10;ptjclCTa7t8vwmCPh3POdzjb/WR7cScfOscK8kUGgrhxuuNWQX05zN9AhIissXdMCn4owH73NNti&#10;qd3IZ7pXsRUJwqFEBSbGoZQyNIYshoUbiJP37bzFmKRvpfY4Jrjt5TLLCmmx47RgcKAPQ821ulkF&#10;mL96famLejzKavW1MtlyfaqVenme3jcgIk3xP/zX/tQKinwN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3y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1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mMMcA&#10;AADcAAAADwAAAGRycy9kb3ducmV2LnhtbESPQWvCQBSE7wX/w/KEXkrdWDVI6io20FLworEHj4/s&#10;a5I2+zbNbkz8911B8DjMzDfMajOYWpypdZVlBdNJBII4t7riQsHX8f15CcJ5ZI21ZVJwIQeb9ehh&#10;hYm2PR/onPlCBAi7BBWU3jeJlC4vyaCb2IY4eN+2NeiDbAupW+wD3NTyJYpiabDisFBiQ2lJ+W/W&#10;GQVPVbc7yrQ7pW/mMP9YbPuf2d9eqcfxsH0F4Wnw9/Ct/akVxNMYrmfCE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Zj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4656" behindDoc="1" locked="1" layoutInCell="1" allowOverlap="1" wp14:anchorId="63765CD0" wp14:editId="4ED375BF">
                    <wp:simplePos x="0" y="0"/>
                    <wp:positionH relativeFrom="rightMargin">
                      <wp:posOffset>-1345565</wp:posOffset>
                    </wp:positionH>
                    <wp:positionV relativeFrom="page">
                      <wp:posOffset>24765</wp:posOffset>
                    </wp:positionV>
                    <wp:extent cx="1329690" cy="65405"/>
                    <wp:effectExtent l="0" t="0" r="3810" b="0"/>
                    <wp:wrapNone/>
                    <wp:docPr id="10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7" name="Freeform 10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 name="Freeform 10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5D88EA" id="Group 7" o:spid="_x0000_s1026" style="position:absolute;margin-left:-105.95pt;margin-top:1.95pt;width:104.7pt;height:5.15pt;z-index:-2513418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x1Nx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ZiTx1NxYAAG+JAAAOAAAAAAAAAAAAAAAAAC4CAABk&#10;cnMvZTJvRG9jLnhtbFBLAQItABQABgAIAAAAIQCpF5zT3wAAAAgBAAAPAAAAAAAAAAAAAAAAAJEY&#10;AABkcnMvZG93bnJldi54bWxQSwUGAAAAAAQABADzAAAAnRkAAAAA&#10;">
                    <v:shape id="Freeform 10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ecEA&#10;AADcAAAADwAAAGRycy9kb3ducmV2LnhtbERPzWoCMRC+C32HMIXeNNGqLatRSqHQgyJd9wGGzXSz&#10;uJksSepu394UCt7m4/ud7X50nbhSiK1nDfOZAkFce9Nyo6E6f0xfQcSEbLDzTBp+KcJ+9zDZYmH8&#10;wF90LVMjcgjHAjXYlPpCylhbchhnvifO3LcPDlOGoZEm4JDDXScXSq2lw5Zzg8We3i3Vl/LHacD5&#10;czDnal0NR1kuD0urFqtTpfXT4/i2AZFoTHfxv/vT5PnqBf6ey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v3n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0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MYccA&#10;AADcAAAADwAAAGRycy9kb3ducmV2LnhtbESPQWvCQBCF7wX/wzJCL1I31raU1FVsQBF6qdpDj0N2&#10;mqRmZ9PsxsR/7xyE3mZ4b977ZrEaXK3O1IbKs4HZNAFFnHtbcWHg67h5eAUVIrLF2jMZuFCA1XJ0&#10;t8DU+p73dD7EQkkIhxQNlDE2qdYhL8lhmPqGWLQf3zqMsraFti32Eu5q/ZgkL9phxdJQYkNZSfnp&#10;0DkDk6r7OOqs+87e3f5p+7zuf+d/n8bcj4f1G6hIQ/w33653VvAToZVnZAK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DG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4F73D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97252E">
          <w:pPr>
            <w:pStyle w:val="Header-CompanyName"/>
          </w:pPr>
        </w:p>
      </w:tc>
      <w:tc>
        <w:tcPr>
          <w:tcW w:w="5730" w:type="dxa"/>
          <w:shd w:val="clear" w:color="auto" w:fill="auto"/>
          <w:tcMar>
            <w:top w:w="56" w:type="dxa"/>
            <w:right w:w="8" w:type="dxa"/>
          </w:tcMar>
        </w:tcPr>
        <w:p w:rsidR="00C66EF8" w:rsidRDefault="00C66EF8" w:rsidP="0097252E">
          <w:pPr>
            <w:pStyle w:val="Header-CompanyName"/>
          </w:pPr>
          <w:r>
            <w:rPr>
              <w:noProof/>
              <w:lang w:eastAsia="en-AU"/>
            </w:rPr>
            <mc:AlternateContent>
              <mc:Choice Requires="wpg">
                <w:drawing>
                  <wp:anchor distT="0" distB="0" distL="114300" distR="114300" simplePos="0" relativeHeight="252042240" behindDoc="1" locked="1" layoutInCell="1" allowOverlap="1" wp14:anchorId="293B9C9A" wp14:editId="6EF39044">
                    <wp:simplePos x="0" y="0"/>
                    <wp:positionH relativeFrom="page">
                      <wp:posOffset>-1345565</wp:posOffset>
                    </wp:positionH>
                    <wp:positionV relativeFrom="page">
                      <wp:posOffset>24765</wp:posOffset>
                    </wp:positionV>
                    <wp:extent cx="1329690" cy="65405"/>
                    <wp:effectExtent l="0" t="0" r="3810" b="0"/>
                    <wp:wrapNone/>
                    <wp:docPr id="6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18" name="Freeform 61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 name="Freeform 61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800870" id="Group 7" o:spid="_x0000_s1026" style="position:absolute;margin-left:-105.95pt;margin-top:1.95pt;width:104.7pt;height:5.15pt;z-index:-25127424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a8QxYAAI6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Krda8QxYAAI6JAAAOAAAAAAAA&#10;AAAAAAAAAC4CAABkcnMvZTJvRG9jLnhtbFBLAQItABQABgAIAAAAIQCpF5zT3wAAAAgBAAAPAAAA&#10;AAAAAAAAAAAAAJ0YAABkcnMvZG93bnJldi54bWxQSwUGAAAAAAQABADzAAAAqRkAAAAA&#10;">
                    <v:shape id="Freeform 61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ws8EA&#10;AADcAAAADwAAAGRycy9kb3ducmV2LnhtbERP3UrDMBS+H/gO4QjeubTbLFKbjjEQduEQuz7AoTk2&#10;xeakJHGtb28uBrv8+P6r/WJHcSUfBscK8nUGgrhzeuBeQXt5f34FESKyxtExKfijAPv6YVVhqd3M&#10;X3RtYi9SCIcSFZgYp1LK0BmyGNZuIk7ct/MWY4K+l9rjnMLtKDdZVkiLA6cGgxMdDXU/za9VgPnW&#10;60tbtPNZNruPnck2L5+tUk+Py+ENRKQl3sU390krKPK0Np1JR0D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cL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1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yQscA&#10;AADcAAAADwAAAGRycy9kb3ducmV2LnhtbESPT2vCQBTE7wW/w/KEXopurFU0uooNWIRe6p+Dx0f2&#10;mUSzb9PsxqTf3i0Uehxm5jfMct2ZUtypdoVlBaNhBII4tbrgTMHpuB3MQDiPrLG0TAp+yMF61Xta&#10;Yqxty3u6H3wmAoRdjApy76tYSpfmZNANbUUcvIutDfog60zqGtsAN6V8jaKpNFhwWMixoiSn9HZo&#10;jIKXovk8yqQ5J+9m//Yx2bTX8feXUs/9brMA4anz/+G/9k4rmI7m8HsmH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I8k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38816" behindDoc="1" locked="1" layoutInCell="1" allowOverlap="1" wp14:anchorId="21590697" wp14:editId="6F5E9F67">
                    <wp:simplePos x="0" y="0"/>
                    <wp:positionH relativeFrom="rightMargin">
                      <wp:posOffset>-1345565</wp:posOffset>
                    </wp:positionH>
                    <wp:positionV relativeFrom="page">
                      <wp:posOffset>24765</wp:posOffset>
                    </wp:positionV>
                    <wp:extent cx="1329690" cy="65405"/>
                    <wp:effectExtent l="0" t="0" r="3810" b="0"/>
                    <wp:wrapNone/>
                    <wp:docPr id="55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5" name="Freeform 5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 name="Freeform 5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43A00C" id="Group 7" o:spid="_x0000_s1026" style="position:absolute;margin-left:-105.95pt;margin-top:1.95pt;width:104.7pt;height:5.15pt;z-index:-2513776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Ku6FFjsWAABviQAADgAAAAAAAAAAAAAAAAAu&#10;AgAAZHJzL2Uyb0RvYy54bWxQSwECLQAUAAYACAAAACEAqRec098AAAAIAQAADwAAAAAAAAAAAAAA&#10;AACVGAAAZHJzL2Rvd25yZXYueG1sUEsFBgAAAAAEAAQA8wAAAKEZAAAAAA==&#10;">
                    <v:shape id="Freeform 5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NLMQA&#10;AADcAAAADwAAAGRycy9kb3ducmV2LnhtbESPUWvCMBSF3wf7D+EO9jZTnS2jGmUMhD0oYu0PuDR3&#10;TbG5KUm03b83wmCPh3POdzjr7WR7cSMfOscK5rMMBHHjdMetgvq8e/sAESKyxt4xKfilANvN89Ma&#10;S+1GPtGtiq1IEA4lKjAxDqWUoTFkMczcQJy8H+ctxiR9K7XHMcFtLxdZVkiLHacFgwN9GWou1dUq&#10;wPm71+e6qMeDrJb7pckW+bFW6vVl+lyBiDTF//Bf+1sryIs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zS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RqscA&#10;AADcAAAADwAAAGRycy9kb3ducmV2LnhtbESPS2vDMBCE74X+B7GFXEoj5x3cKCExJBR6aR6HHBdr&#10;a7u1Vo4lx86/jwqBHoeZ+YZZrDpTiivVrrCsYNCPQBCnVhecKTgdt29zEM4jaywtk4IbOVgtn58W&#10;GGvb8p6uB5+JAGEXo4Lc+yqW0qU5GXR9WxEH79vWBn2QdSZ1jW2Am1IOo2gqDRYcFnKsKMkp/T00&#10;RsFr0XweZdKck43Zj3eTdfszunwp1Xvp1u8gPHX+P/xof2gFk+kM/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0a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97252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97252E">
          <w:pPr>
            <w:pStyle w:val="Header-CompanyName"/>
          </w:pPr>
        </w:p>
      </w:tc>
      <w:tc>
        <w:tcPr>
          <w:tcW w:w="5730" w:type="dxa"/>
          <w:shd w:val="clear" w:color="auto" w:fill="auto"/>
          <w:tcMar>
            <w:top w:w="56" w:type="dxa"/>
            <w:right w:w="8" w:type="dxa"/>
          </w:tcMar>
        </w:tcPr>
        <w:p w:rsidR="00C66EF8" w:rsidRDefault="00C66EF8" w:rsidP="0097252E">
          <w:pPr>
            <w:pStyle w:val="Header-CompanyName"/>
          </w:pPr>
          <w:r>
            <w:rPr>
              <w:noProof/>
              <w:lang w:eastAsia="en-AU"/>
            </w:rPr>
            <mc:AlternateContent>
              <mc:Choice Requires="wpg">
                <w:drawing>
                  <wp:anchor distT="0" distB="0" distL="114300" distR="114300" simplePos="0" relativeHeight="252044288" behindDoc="1" locked="1" layoutInCell="1" allowOverlap="1" wp14:anchorId="40AA28A7" wp14:editId="5AE65AA5">
                    <wp:simplePos x="0" y="0"/>
                    <wp:positionH relativeFrom="page">
                      <wp:posOffset>5928995</wp:posOffset>
                    </wp:positionH>
                    <wp:positionV relativeFrom="page">
                      <wp:posOffset>356235</wp:posOffset>
                    </wp:positionV>
                    <wp:extent cx="1329690" cy="65405"/>
                    <wp:effectExtent l="0" t="0" r="3810" b="0"/>
                    <wp:wrapNone/>
                    <wp:docPr id="6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21" name="Freeform 62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 name="Freeform 62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A4858C" id="Group 7" o:spid="_x0000_s1026" style="position:absolute;margin-left:466.85pt;margin-top:28.05pt;width:104.7pt;height:5.15pt;z-index:-25127219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fzP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">
                    <v:shape id="Freeform 62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k8QA&#10;AADcAAAADwAAAGRycy9kb3ducmV2LnhtbESPwWrDMBBE74H+g9hCb4lsNzHBjRJKoNBDSqnjD1is&#10;rWVqrYykxO7fV4FCjsPMvGF2h9kO4ko+9I4V5KsMBHHrdM+dgub8ttyCCBFZ4+CYFPxSgMP+YbHD&#10;SruJv+hax04kCIcKFZgYx0rK0BqyGFZuJE7et/MWY5K+k9rjlOB2kEWWldJiz2nB4EhHQ+1PfbEK&#10;MH/2+tyUzfQh6/VpbbJi89ko9fQ4v76AiDTHe/i//a4VlEUOtzPp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5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qjscA&#10;AADcAAAADwAAAGRycy9kb3ducmV2LnhtbESPQWvCQBSE7wX/w/KEXkrdNFaR1FVsQBF60diDx0f2&#10;NUmbfZtmNyb+e7dQ8DjMzDfMcj2YWlyodZVlBS+TCARxbnXFhYLP0/Z5AcJ5ZI21ZVJwJQfr1ehh&#10;iYm2PR/pkvlCBAi7BBWU3jeJlC4vyaCb2IY4eF+2NeiDbAupW+wD3NQyjqK5NFhxWCixobSk/Cfr&#10;jIKnqvs4ybQ7p+/m+Lqbbfrv6e9BqcfxsHkD4Wnw9/B/e68VzOMY/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Aqo7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36768" behindDoc="1" locked="1" layoutInCell="1" allowOverlap="1" wp14:anchorId="1C161660" wp14:editId="16652058">
                    <wp:simplePos x="0" y="0"/>
                    <wp:positionH relativeFrom="rightMargin">
                      <wp:posOffset>-1345565</wp:posOffset>
                    </wp:positionH>
                    <wp:positionV relativeFrom="page">
                      <wp:posOffset>24765</wp:posOffset>
                    </wp:positionV>
                    <wp:extent cx="1329690" cy="65405"/>
                    <wp:effectExtent l="0" t="0" r="3810" b="0"/>
                    <wp:wrapNone/>
                    <wp:docPr id="55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9" name="Freeform 55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2" name="Freeform 5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5EAE61" id="Group 7" o:spid="_x0000_s1026" style="position:absolute;margin-left:-105.95pt;margin-top:1.95pt;width:104.7pt;height:5.15pt;z-index:-2513797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">
                    <v:shape id="Freeform 55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HKcQA&#10;AADcAAAADwAAAGRycy9kb3ducmV2LnhtbESPUWvCMBSF3wf7D+EOfJupTstWjTIGAx+UYe0PuDTX&#10;pqy5KUlm6783grDHwznnO5z1drSduJAPrWMFs2kGgrh2uuVGQXX6fn0HESKyxs4xKbhSgO3m+WmN&#10;hXYDH+lSxkYkCIcCFZgY+0LKUBuyGKauJ07e2XmLMUnfSO1xSHDbyXmW5dJiy2nBYE9fhurf8s8q&#10;wNmb16cqr4aDLBf7hcnmy59KqcnL+LkCEWmM/+FHe6cVLPMP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xy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k78cA&#10;AADcAAAADwAAAGRycy9kb3ducmV2LnhtbESPQWvCQBSE74X+h+UVvBTdaLWW1FVswFLw0qgHj4/s&#10;a5KafZtmNyb+e7cgeBxm5htmsepNJc7UuNKygvEoAkGcWV1yruCw3wzfQDiPrLGyTAou5GC1fHxY&#10;YKxtxymddz4XAcIuRgWF93UspcsKMuhGtiYO3o9tDPogm1zqBrsAN5WcRNGrNFhyWCiwpqSg7LRr&#10;jYLnst3uZdIekw+TTj9n6+735e9bqcFTv34H4an39/Ct/aUVzOYT+D8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5O/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97252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97252E">
          <w:pPr>
            <w:pStyle w:val="Header-CompanyName"/>
          </w:pPr>
        </w:p>
      </w:tc>
      <w:tc>
        <w:tcPr>
          <w:tcW w:w="5730" w:type="dxa"/>
          <w:shd w:val="clear" w:color="auto" w:fill="auto"/>
          <w:tcMar>
            <w:top w:w="56" w:type="dxa"/>
            <w:right w:w="8" w:type="dxa"/>
          </w:tcMar>
        </w:tcPr>
        <w:p w:rsidR="00C66EF8" w:rsidRDefault="00C66EF8" w:rsidP="0097252E">
          <w:pPr>
            <w:pStyle w:val="Header-CompanyName"/>
          </w:pPr>
          <w:r>
            <w:rPr>
              <w:noProof/>
              <w:lang w:eastAsia="en-AU"/>
            </w:rPr>
            <mc:AlternateContent>
              <mc:Choice Requires="wpg">
                <w:drawing>
                  <wp:anchor distT="0" distB="0" distL="114300" distR="114300" simplePos="0" relativeHeight="252046336" behindDoc="1" locked="1" layoutInCell="1" allowOverlap="1" wp14:anchorId="22000F2C" wp14:editId="7752E0A0">
                    <wp:simplePos x="0" y="0"/>
                    <wp:positionH relativeFrom="page">
                      <wp:posOffset>-1345565</wp:posOffset>
                    </wp:positionH>
                    <wp:positionV relativeFrom="page">
                      <wp:posOffset>24765</wp:posOffset>
                    </wp:positionV>
                    <wp:extent cx="1329690" cy="65405"/>
                    <wp:effectExtent l="0" t="0" r="3810" b="0"/>
                    <wp:wrapNone/>
                    <wp:docPr id="6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24" name="Freeform 6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 name="Freeform 6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9C39F0" id="Group 7" o:spid="_x0000_s1026" style="position:absolute;margin-left:-105.95pt;margin-top:1.95pt;width:104.7pt;height:5.15pt;z-index:-25127014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HbR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CqoWHbRhYAAI6JAAAOAAAA&#10;AAAAAAAAAAAAAC4CAABkcnMvZTJvRG9jLnhtbFBLAQItABQABgAIAAAAIQCpF5zT3wAAAAgBAAAP&#10;AAAAAAAAAAAAAAAAAKAYAABkcnMvZG93bnJldi54bWxQSwUGAAAAAAQABADzAAAArBkAAAAA&#10;">
                    <v:shape id="Freeform 6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C8QA&#10;AADcAAAADwAAAGRycy9kb3ducmV2LnhtbESPwWrDMBBE74X+g9hCbokcxzHBjRJKodBDSqnjD1is&#10;rWVqrYykxs7fR4FCj8PMvGH2x9kO4kI+9I4VrFcZCOLW6Z47Bc35bbkDESKyxsExKbhSgOPh8WGP&#10;lXYTf9Gljp1IEA4VKjAxjpWUoTVkMazcSJy8b+ctxiR9J7XHKcHtIPMsK6XFntOCwZFeDbU/9a9V&#10;gOuN1+embKYPWRenwmT59rNRavE0vzyDiDTH//Bf+10rKPMC7mfS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A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y+sYA&#10;AADcAAAADwAAAGRycy9kb3ducmV2LnhtbESPzWvCQBTE70L/h+UVvEjd+ElJXUUDLYIXP3ro8ZF9&#10;TdJm38bsxsT/3hUEj8PM/IZZrDpTigvVrrCsYDSMQBCnVhecKfg+fb69g3AeWWNpmRRcycFq+dJb&#10;YKxtywe6HH0mAoRdjApy76tYSpfmZNANbUUcvF9bG/RB1pnUNbYBbko5jqK5NFhwWMixoiSn9P/Y&#10;GAWDotmdZNL8JBtzmH7N1u3f5LxXqv/arT9AeOr8M/xob7WC+XgG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y+s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37792" behindDoc="1" locked="1" layoutInCell="1" allowOverlap="1" wp14:anchorId="40967DAD" wp14:editId="6860280B">
                    <wp:simplePos x="0" y="0"/>
                    <wp:positionH relativeFrom="rightMargin">
                      <wp:posOffset>-1345565</wp:posOffset>
                    </wp:positionH>
                    <wp:positionV relativeFrom="page">
                      <wp:posOffset>24765</wp:posOffset>
                    </wp:positionV>
                    <wp:extent cx="1329690" cy="65405"/>
                    <wp:effectExtent l="0" t="0" r="3810" b="0"/>
                    <wp:wrapNone/>
                    <wp:docPr id="5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4" name="Freeform 5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5" name="Freeform 5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0270AF" id="Group 7" o:spid="_x0000_s1026" style="position:absolute;margin-left:-105.95pt;margin-top:1.95pt;width:104.7pt;height:5.15pt;z-index:-2513786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IwyX3k2FgAAb4kAAA4AAAAAAAAAAAAAAAAALgIAAGRy&#10;cy9lMm9Eb2MueG1sUEsBAi0AFAAGAAgAAAAhAKkXnNPfAAAACAEAAA8AAAAAAAAAAAAAAAAAkBgA&#10;AGRycy9kb3ducmV2LnhtbFBLBQYAAAAABAAEAPMAAACcGQAAAAA=&#10;">
                    <v:shape id="Freeform 56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asQA&#10;AADcAAAADwAAAGRycy9kb3ducmV2LnhtbESPwWrDMBBE74X+g9hCb42c1HGLEyWUQKGHhBLHH7BY&#10;G8vUWhlJid2/rwKBHoeZecOst5PtxZV86BwrmM8yEMSN0x23CurT58s7iBCRNfaOScEvBdhuHh/W&#10;WGo38pGuVWxFgnAoUYGJcSilDI0hi2HmBuLknZ23GJP0rdQexwS3vVxkWSEtdpwWDA60M9T8VBer&#10;AOevXp/qoh4Pssr3uckWy+9aqeen6WMFItIU/8P39pdWsHzL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m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8m8cA&#10;AADcAAAADwAAAGRycy9kb3ducmV2LnhtbESPT2vCQBTE74LfYXmFXqRuWk0t0VVsoFLwUv8cenxk&#10;n0lq9m2a3Zj47d2C0OMwM79hFqveVOJCjSstK3geRyCIM6tLzhUcDx9PbyCcR9ZYWSYFV3KwWg4H&#10;C0y07XhHl73PRYCwS1BB4X2dSOmyggy6sa2Jg3eyjUEfZJNL3WAX4KaSL1H0Kg2WHBYKrCktKDvv&#10;W6NgVLbbg0zb7/Td7KabeN39TH6/lHp86NdzEJ56/x++tz+1gngW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J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97252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48384" behindDoc="1" locked="1" layoutInCell="1" allowOverlap="1" wp14:anchorId="71DFD3D0" wp14:editId="32CDC01C">
                    <wp:simplePos x="0" y="0"/>
                    <wp:positionH relativeFrom="page">
                      <wp:posOffset>-1345565</wp:posOffset>
                    </wp:positionH>
                    <wp:positionV relativeFrom="page">
                      <wp:posOffset>24765</wp:posOffset>
                    </wp:positionV>
                    <wp:extent cx="1329690" cy="65405"/>
                    <wp:effectExtent l="0" t="0" r="3810" b="0"/>
                    <wp:wrapNone/>
                    <wp:docPr id="6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27"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028B58" id="Group 7" o:spid="_x0000_s1026" style="position:absolute;margin-left:-105.95pt;margin-top:1.95pt;width:104.7pt;height:5.15pt;z-index:-25126809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zERhYAAIy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CIkrzERhYAAIyJAAAOAAAA&#10;AAAAAAAAAAAAAC4CAABkcnMvZTJvRG9jLnhtbFBLAQItABQABgAIAAAAIQCpF5zT3wAAAAgBAAAP&#10;AAAAAAAAAAAAAAAAAKAYAABkcnMvZG93bnJldi54bWxQSwUGAAAAAAQABADzAAAArBk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ufMQA&#10;AADcAAAADwAAAGRycy9kb3ducmV2LnhtbESPwWrDMBBE74H+g9hCb4kcN3GLEyWUQqGHhFDHH7BY&#10;W8vEWhlJjd2/jwqFHIeZecNs95PtxZV86BwrWC4yEMSN0x23Curzx/wVRIjIGnvHpOCXAux3D7Mt&#10;ltqN/EXXKrYiQTiUqMDEOJRShsaQxbBwA3Hyvp23GJP0rdQexwS3vcyzrJAWO04LBgd6N9Rcqh+r&#10;AJfPXp/roh6PslodVibL16daqafH6W0DItIU7+H/9qdWUOQ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dLn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ZMMA&#10;AADcAAAADwAAAGRycy9kb3ducmV2LnhtbERPy2rCQBTdC/2H4Ra6kTqpLyR1FBtoEdwY7cLlJXOb&#10;RDN30szExL93FoLLw3kv172pxJUaV1pW8DGKQBBnVpecK/g9fr8vQDiPrLGyTApu5GC9ehksMda2&#10;45SuB5+LEMIuRgWF93UspcsKMuhGtiYO3J9tDPoAm1zqBrsQbio5jqK5NFhyaCiwpqSg7HJojYJh&#10;2e6OMmlPyZdJpz+zTXee/O+VenvtN58gPPX+KX64t1rBfBzWhj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ZM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01952" behindDoc="1" locked="1" layoutInCell="1" allowOverlap="1" wp14:anchorId="4BED11CD" wp14:editId="60D0BD36">
                    <wp:simplePos x="0" y="0"/>
                    <wp:positionH relativeFrom="rightMargin">
                      <wp:posOffset>-1345565</wp:posOffset>
                    </wp:positionH>
                    <wp:positionV relativeFrom="page">
                      <wp:posOffset>24765</wp:posOffset>
                    </wp:positionV>
                    <wp:extent cx="1329690" cy="65405"/>
                    <wp:effectExtent l="0" t="0" r="3810" b="0"/>
                    <wp:wrapNone/>
                    <wp:docPr id="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5"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D5DB2F" id="Group 7" o:spid="_x0000_s1026" style="position:absolute;margin-left:-105.95pt;margin-top:1.95pt;width:104.7pt;height:5.15pt;z-index:-2514145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UUQB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AEziUUQBYAAGqJAAAOAAAAAAAAAAAA&#10;AAAAAC4CAABkcnMvZTJvRG9jLnhtbFBLAQItABQABgAIAAAAIQCpF5zT3wAAAAgBAAAPAAAAAAAA&#10;AAAAAAAAAJoYAABkcnMvZG93bnJldi54bWxQSwUGAAAAAAQABADzAAAAphk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Nu8MA&#10;AADbAAAADwAAAGRycy9kb3ducmV2LnhtbESPzWrDMBCE74W8g9hAbo2cXxInSgiFQA8tJY4fYLE2&#10;lom1MpIaO29fFQo9DjPzDbM/DrYVD/KhcaxgNs1AEFdON1wrKK/n1w2IEJE1to5JwZMCHA+jlz3m&#10;2vV8oUcRa5EgHHJUYGLscilDZchimLqOOHk35y3GJH0ttcc+wW0r51m2lhYbTgsGO3ozVN2Lb6sA&#10;Zwuvr+W67D9lsfxYmmy++iqVmoyH0w5EpCH+h//a71rBdgW/X9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Nu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8sUA&#10;AADbAAAADwAAAGRycy9kb3ducmV2LnhtbESPT2vCQBTE70K/w/IKXkQ3WiuSuooNKEIv/jt4fGRf&#10;k2j2bZrdmPTbuwWhx2FmfsMsVp0pxZ1qV1hWMB5FIIhTqwvOFJxPm+EchPPIGkvLpOCXHKyWL70F&#10;xtq2fKD70WciQNjFqCD3voqldGlOBt3IVsTB+7a1QR9knUldYxvgppSTKJpJgwWHhRwrSnJKb8fG&#10;KBgUzddJJs0l+TSH6fZ93V7ffvZK9V+79QcIT53/Dz/bO61gPo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pfyxQAAANs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50432" behindDoc="1" locked="1" layoutInCell="1" allowOverlap="1" wp14:anchorId="7FCE7DBA" wp14:editId="2FBA4AB9">
                    <wp:simplePos x="0" y="0"/>
                    <wp:positionH relativeFrom="page">
                      <wp:posOffset>5928995</wp:posOffset>
                    </wp:positionH>
                    <wp:positionV relativeFrom="page">
                      <wp:posOffset>356235</wp:posOffset>
                    </wp:positionV>
                    <wp:extent cx="1329690" cy="65405"/>
                    <wp:effectExtent l="0" t="0" r="3810" b="0"/>
                    <wp:wrapNone/>
                    <wp:docPr id="6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30" name="Freeform 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 name="Freeform 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BA04CF" id="Group 7" o:spid="_x0000_s1026" style="position:absolute;margin-left:466.85pt;margin-top:28.05pt;width:104.7pt;height:5.15pt;z-index:-25126604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">
                    <v:shape id="Freeform 2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g1cAA&#10;AADcAAAADwAAAGRycy9kb3ducmV2LnhtbERP3WrCMBS+H/gO4Qy809S/Ip1RZCB44RBrH+DQnDVl&#10;zUlJMlvf3lwMdvnx/e8Oo+3Eg3xoHStYzDMQxLXTLTcKqvtptgURIrLGzjEpeFKAw37ytsNCu4Fv&#10;9ChjI1IIhwIVmBj7QspQG7IY5q4nTty38xZjgr6R2uOQwm0nl1mWS4stpwaDPX0aqn/KX6sAFyuv&#10;71VeDV+yXF/WJlturpVS0/fx+AEi0hj/xX/us1aQr9L8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0g1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JMcA&#10;AADcAAAADwAAAGRycy9kb3ducmV2LnhtbESPQWvCQBSE74X+h+UJvRTd2KiU1FVsoEXw0mgPPT6y&#10;zySafZtmNyb9964g9DjMzDfMcj2YWlyodZVlBdNJBII4t7riQsH34WP8CsJ5ZI21ZVLwRw7Wq8eH&#10;JSba9pzRZe8LESDsElRQet8kUrq8JINuYhvi4B1ta9AH2RZSt9gHuKnlSxQtpMGKw0KJDaUl5ed9&#10;ZxQ8V93uINPuJ3032exzvulP8e+XUk+jYfMGwtPg/8P39lYrWMRT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oi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99904" behindDoc="1" locked="1" layoutInCell="1" allowOverlap="1" wp14:anchorId="42F7B55B" wp14:editId="33F53DC0">
                    <wp:simplePos x="0" y="0"/>
                    <wp:positionH relativeFrom="rightMargin">
                      <wp:posOffset>-1345565</wp:posOffset>
                    </wp:positionH>
                    <wp:positionV relativeFrom="page">
                      <wp:posOffset>24765</wp:posOffset>
                    </wp:positionV>
                    <wp:extent cx="1329690" cy="65405"/>
                    <wp:effectExtent l="0" t="0" r="3810" b="0"/>
                    <wp:wrapNone/>
                    <wp:docPr id="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4" name="Freeform 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13A527" id="Group 7" o:spid="_x0000_s1026" style="position:absolute;margin-left:-105.95pt;margin-top:1.95pt;width:104.7pt;height:5.15pt;z-index:-2514165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YOhYAAGmJAAAOAAAAZHJzL2Uyb0RvYy54bWzsPV1vG0mO7wfcfxD8eEDGqv5Sy5jMAvOR&#10;wQFzewNMFvusyPIHzpZ0khJndnH//cgqsrpY3exmj2ffnIfEZlfzu9isKrLy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BlU/yYOhYAAGmJAAAOAAAAAAAAAAAAAAAAAC4C&#10;AABkcnMvZTJvRG9jLnhtbFBLAQItABQABgAIAAAAIQCpF5zT3wAAAAgBAAAPAAAAAAAAAAAAAAAA&#10;AJQYAABkcnMvZG93bnJldi54bWxQSwUGAAAAAAQABADzAAAAoBkAAAAA&#10;">
                    <v:shape id="Freeform 2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cIA&#10;AADbAAAADwAAAGRycy9kb3ducmV2LnhtbESPUWvCMBSF34X9h3AHvs1U7UQ6owxB8GFDrP0Bl+au&#10;KWtuShJt/fdmMPDxcM75DmezG20nbuRD61jBfJaBIK6dbrlRUF0Ob2sQISJr7ByTgjsF2G1fJhss&#10;tBv4TLcyNiJBOBSowMTYF1KG2pDFMHM9cfJ+nLcYk/SN1B6HBLedXGTZSlpsOS0Y7GlvqP4tr1YB&#10;zpdeX6pVNXzLMv/KTbZ4P1VKTV/Hzw8Qkcb4DP+3j1rBOoe/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j79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b9MYA&#10;AADbAAAADwAAAGRycy9kb3ducmV2LnhtbESPT2vCQBTE70K/w/IKXopualVs6io2UBG8+O/g8ZF9&#10;TdJm36bZjYnf3hUKHoeZ+Q0zX3amFBeqXWFZweswAkGcWl1wpuB0/BrMQDiPrLG0TAqu5GC5eOrN&#10;Mda25T1dDj4TAcIuRgW591UspUtzMuiGtiIO3retDfog60zqGtsAN6UcRdFUGiw4LORYUZJT+nto&#10;jIKXotkeZdKck0+zH68nq/bn7W+nVP+5W32A8NT5R/i/vdEKZu9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Sb9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52480" behindDoc="1" locked="1" layoutInCell="1" allowOverlap="1" wp14:anchorId="33B57F5D" wp14:editId="54E3E6A1">
                    <wp:simplePos x="0" y="0"/>
                    <wp:positionH relativeFrom="page">
                      <wp:posOffset>-1345565</wp:posOffset>
                    </wp:positionH>
                    <wp:positionV relativeFrom="page">
                      <wp:posOffset>24765</wp:posOffset>
                    </wp:positionV>
                    <wp:extent cx="1329690" cy="65405"/>
                    <wp:effectExtent l="0" t="0" r="3810" b="0"/>
                    <wp:wrapNone/>
                    <wp:docPr id="6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33" name="Freeform 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 name="Freeform 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1D657B" id="Group 7" o:spid="_x0000_s1026" style="position:absolute;margin-left:-105.95pt;margin-top:1.95pt;width:104.7pt;height:5.15pt;z-index:-25126400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OeRhYAAIy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DQemOeRhYAAIyJAAAOAAAA&#10;AAAAAAAAAAAAAC4CAABkcnMvZTJvRG9jLnhtbFBLAQItABQABgAIAAAAIQCpF5zT3wAAAAgBAAAP&#10;AAAAAAAAAAAAAAAAAKAYAABkcnMvZG93bnJldi54bWxQSwUGAAAAAAQABADzAAAArBkAAAAA&#10;">
                    <v:shape id="Freeform 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sQA&#10;AADcAAAADwAAAGRycy9kb3ducmV2LnhtbESPUWvCMBSF3wf7D+EO9jZTrSujGmUMhD1MxNofcGnu&#10;mmJzU5Jo6783A2GPh3POdzjr7WR7cSUfOscK5rMMBHHjdMetgvq0e/sAESKyxt4xKbhRgO3m+WmN&#10;pXYjH+laxVYkCIcSFZgYh1LK0BiyGGZuIE7er/MWY5K+ldrjmOC2l4ssK6TFjtOCwYG+DDXn6mIV&#10;4Dz3+lQX9biX1fJnabLF+6FW6vVl+lyBiDTF//Cj/a0VFHkO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q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BvMYA&#10;AADcAAAADwAAAGRycy9kb3ducmV2LnhtbESPT2vCQBTE74LfYXmCF9GNfympq9iAUuilag89PrLP&#10;JJp9m2Y3Jv32rlDocZiZ3zDrbWdKcafaFZYVTCcRCOLU6oIzBV/n/fgFhPPIGkvLpOCXHGw3/d4a&#10;Y21bPtL95DMRIOxiVJB7X8VSujQng25iK+LgXWxt0AdZZ1LX2Aa4KeUsilbSYMFhIceKkpzS26kx&#10;CkZF83GWSfOdvJnj4rDctdf5z6dSw0G3ewXhqfP/4b/2u1awmi/geS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wBv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00928" behindDoc="1" locked="1" layoutInCell="1" allowOverlap="1" wp14:anchorId="624EB27C" wp14:editId="002220AF">
                    <wp:simplePos x="0" y="0"/>
                    <wp:positionH relativeFrom="rightMargin">
                      <wp:posOffset>-1345565</wp:posOffset>
                    </wp:positionH>
                    <wp:positionV relativeFrom="page">
                      <wp:posOffset>24765</wp:posOffset>
                    </wp:positionV>
                    <wp:extent cx="1329690" cy="65405"/>
                    <wp:effectExtent l="0" t="0" r="3810" b="0"/>
                    <wp:wrapNone/>
                    <wp:docPr id="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2" name="Freeform 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01D1B0" id="Group 7" o:spid="_x0000_s1026" style="position:absolute;margin-left:-105.95pt;margin-top:1.95pt;width:104.7pt;height:5.15pt;z-index:-2514155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ZJORYAAGmJAAAOAAAAZHJzL2Uyb0RvYy54bWzsPV1vG0mO7wfcfxD8eEDGqv5Sy5jMAvOR&#10;wQFzewNMFvusyPIHzpZ0khJndnH//cgqsrpY3exmj2ffnIfEZlfzu1isKrLz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KHzRkk5FgAAaYkAAA4AAAAAAAAAAAAAAAAALgIA&#10;AGRycy9lMm9Eb2MueG1sUEsBAi0AFAAGAAgAAAAhAKkXnNPfAAAACAEAAA8AAAAAAAAAAAAAAAAA&#10;kxgAAGRycy9kb3ducmV2LnhtbFBLBQYAAAAABAAEAPMAAACfGQAAAAA=&#10;">
                    <v:shape id="Freeform 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Vz8MA&#10;AADbAAAADwAAAGRycy9kb3ducmV2LnhtbESPUWvCMBSF3wf+h3CFvc3UzolWo8hg4MPGsPYHXJpr&#10;U2xuShJt/ffLYLDHwznnO5ztfrSduJMPrWMF81kGgrh2uuVGQXX+eFmBCBFZY+eYFDwowH43edpi&#10;od3AJ7qXsREJwqFABSbGvpAy1IYshpnriZN3cd5iTNI3UnscEtx2Ms+ypbTYclow2NO7ofpa3qwC&#10;nL96fa6W1fAly8XnwmT523el1PN0PGxARBrjf/ivfdQK1jn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Vz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6w8YA&#10;AADbAAAADwAAAGRycy9kb3ducmV2LnhtbESPQWvCQBSE74X+h+UVvEjdqLW0qatoQBG8GO2hx0f2&#10;NUmbfRuzGxP/vVsQehxm5htmvuxNJS7UuNKygvEoAkGcWV1yruDztHl+A+E8ssbKMim4koPl4vFh&#10;jrG2Had0OfpcBAi7GBUU3texlC4ryKAb2Zo4eN+2MeiDbHKpG+wC3FRyEkWv0mDJYaHAmpKCst9j&#10;axQMy3Z/kkn7laxN+rKdrbqf6fmg1OCpX32A8NT7//C9vdMK3qfw9y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6w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5D39F1">
          <w:pPr>
            <w:pStyle w:val="Header-CompanyName"/>
          </w:pPr>
        </w:p>
      </w:tc>
      <w:tc>
        <w:tcPr>
          <w:tcW w:w="5730" w:type="dxa"/>
          <w:shd w:val="clear" w:color="auto" w:fill="auto"/>
          <w:tcMar>
            <w:top w:w="56" w:type="dxa"/>
            <w:right w:w="8" w:type="dxa"/>
          </w:tcMar>
        </w:tcPr>
        <w:p w:rsidR="00C66EF8" w:rsidRDefault="00C66EF8" w:rsidP="005D39F1">
          <w:pPr>
            <w:pStyle w:val="Header-CompanyName"/>
          </w:pPr>
          <w:r>
            <w:rPr>
              <w:noProof/>
              <w:lang w:eastAsia="en-AU"/>
            </w:rPr>
            <mc:AlternateContent>
              <mc:Choice Requires="wpg">
                <w:drawing>
                  <wp:anchor distT="0" distB="0" distL="114300" distR="114300" simplePos="0" relativeHeight="252054528" behindDoc="1" locked="1" layoutInCell="1" allowOverlap="1" wp14:anchorId="77DA5F3E" wp14:editId="0F84CA82">
                    <wp:simplePos x="0" y="0"/>
                    <wp:positionH relativeFrom="page">
                      <wp:posOffset>-1345565</wp:posOffset>
                    </wp:positionH>
                    <wp:positionV relativeFrom="page">
                      <wp:posOffset>24765</wp:posOffset>
                    </wp:positionV>
                    <wp:extent cx="1329690" cy="65405"/>
                    <wp:effectExtent l="0" t="0" r="3810" b="0"/>
                    <wp:wrapNone/>
                    <wp:docPr id="6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36" name="Freeform 63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 name="Freeform 63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098205" id="Group 7" o:spid="_x0000_s1026" style="position:absolute;margin-left:-105.95pt;margin-top:1.95pt;width:104.7pt;height:5.15pt;z-index:-25126195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Czsl97LhYAAI6JAAAOAAAAAAAAAAAAAAAAAC4CAABkcnMvZTJvRG9j&#10;LnhtbFBLAQItABQABgAIAAAAIQCpF5zT3wAAAAgBAAAPAAAAAAAAAAAAAAAAAIgYAABkcnMvZG93&#10;bnJldi54bWxQSwUGAAAAAAQABADzAAAAlBkAAAAA&#10;">
                    <v:shape id="Freeform 63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dOsQA&#10;AADcAAAADwAAAGRycy9kb3ducmV2LnhtbESPzWrDMBCE74G+g9hCbo2cn5riWg4hUMghpdTxAyzW&#10;1jK1VkZSY/ftq0Ahx2FmvmHK/WwHcSUfescK1qsMBHHrdM+dguby9vQCIkRkjYNjUvBLAfbVw6LE&#10;QruJP+lax04kCIcCFZgYx0LK0BqyGFZuJE7el/MWY5K+k9rjlOB2kJssy6XFntOCwZGOhtrv+scq&#10;wPXW60uTN9O7rHfnnck2zx+NUsvH+fAKItIc7+H/9kkryLc5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HT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3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fy8cA&#10;AADcAAAADwAAAGRycy9kb3ducmV2LnhtbESPQWvCQBSE74L/YXlCL6Kb1mpLdBUbaCl4MdpDj4/s&#10;M4lm36bZjUn/fbcgeBxm5htmtelNJa7UuNKygsdpBII4s7rkXMHX8X3yCsJ5ZI2VZVLwSw426+Fg&#10;hbG2Had0PfhcBAi7GBUU3texlC4ryKCb2po4eCfbGPRBNrnUDXYBbir5FEULabDksFBgTUlB2eXQ&#10;GgXjst0dZdJ+J28mff6Yb7vz7Gev1MOo3y5BeOr9PXxrf2oFi9kL/J8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n8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9776" behindDoc="1" locked="1" layoutInCell="1" allowOverlap="1" wp14:anchorId="384C80B0" wp14:editId="69F1B2BC">
                    <wp:simplePos x="0" y="0"/>
                    <wp:positionH relativeFrom="rightMargin">
                      <wp:posOffset>-1345565</wp:posOffset>
                    </wp:positionH>
                    <wp:positionV relativeFrom="page">
                      <wp:posOffset>24765</wp:posOffset>
                    </wp:positionV>
                    <wp:extent cx="1329690" cy="65405"/>
                    <wp:effectExtent l="0" t="0" r="3810" b="0"/>
                    <wp:wrapNone/>
                    <wp:docPr id="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7" name="Freeform 9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8" name="Freeform 1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C3909AB" id="Group 7" o:spid="_x0000_s1026" style="position:absolute;margin-left:-105.95pt;margin-top:1.95pt;width:104.7pt;height:5.15pt;z-index:-2513367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ppNxYAAGy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JewppNxYAAGyJAAAOAAAAAAAAAAAAAAAAAC4CAABk&#10;cnMvZTJvRG9jLnhtbFBLAQItABQABgAIAAAAIQCpF5zT3wAAAAgBAAAPAAAAAAAAAAAAAAAAAJEY&#10;AABkcnMvZG93bnJldi54bWxQSwUGAAAAAAQABADzAAAAnRkAAAAA&#10;">
                    <v:shape id="Freeform 9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qoMQA&#10;AADcAAAADwAAAGRycy9kb3ducmV2LnhtbESPwWrDMBBE74X+g9hCb42c1HGLEyWUQKGHhBLHH7BY&#10;G8vUWhlJid2/rwKBHoeZecOst5PtxZV86BwrmM8yEMSN0x23CurT58s7iBCRNfaOScEvBdhuHh/W&#10;WGo38pGuVWxFgnAoUYGJcSilDI0hi2HmBuLknZ23GJP0rdQexwS3vVxkWSEtdpwWDA60M9T8VBer&#10;AOevXp/qoh4Pssr3uckWy+9aqeen6WMFItIU/8P39pdWsMzf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qq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ZuMMA&#10;AADcAAAADwAAAGRycy9kb3ducmV2LnhtbERPTWvCQBC9C/0PyxR6kbpp1VJSV9GAIngx6sHjkJ0m&#10;abOzMbsx8d+7B8Hj433PFr2pxJUaV1pW8DGKQBBnVpecKzgd1+/fIJxH1lhZJgU3crCYvwxmGGvb&#10;cUrXg89FCGEXo4LC+zqW0mUFGXQjWxMH7tc2Bn2ATS51g10IN5X8jKIvabDk0FBgTUlB2f+hNQqG&#10;Zbs7yqQ9JyuTTjbTZfc3vuyVenvtlz8gPPX+KX64t1rBdBLWhj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IZuM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5D39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92" w:type="dxa"/>
      <w:tblBorders>
        <w:top w:val="single" w:sz="4" w:space="0" w:color="000001"/>
      </w:tblBorders>
      <w:tblLayout w:type="fixed"/>
      <w:tblCellMar>
        <w:left w:w="0" w:type="dxa"/>
        <w:right w:w="0" w:type="dxa"/>
      </w:tblCellMar>
      <w:tblLook w:val="04A0" w:firstRow="1" w:lastRow="0" w:firstColumn="1" w:lastColumn="0" w:noHBand="0" w:noVBand="1"/>
    </w:tblPr>
    <w:tblGrid>
      <w:gridCol w:w="5639"/>
      <w:gridCol w:w="5353"/>
    </w:tblGrid>
    <w:tr w:rsidR="00C66EF8" w:rsidTr="00401D90">
      <w:trPr>
        <w:trHeight w:hRule="exact" w:val="240"/>
      </w:trPr>
      <w:tc>
        <w:tcPr>
          <w:tcW w:w="5639" w:type="dxa"/>
          <w:tcBorders>
            <w:top w:val="single" w:sz="4" w:space="0" w:color="auto"/>
          </w:tcBorders>
          <w:shd w:val="clear" w:color="auto" w:fill="auto"/>
        </w:tcPr>
        <w:p w:rsidR="00C66EF8" w:rsidRDefault="00C66EF8" w:rsidP="00F1413A">
          <w:pPr>
            <w:pStyle w:val="Header-CompanyName"/>
          </w:pPr>
        </w:p>
      </w:tc>
      <w:tc>
        <w:tcPr>
          <w:tcW w:w="5350" w:type="dxa"/>
          <w:tcBorders>
            <w:top w:val="single" w:sz="4" w:space="0" w:color="auto"/>
          </w:tcBorders>
          <w:shd w:val="clear" w:color="auto" w:fill="auto"/>
          <w:tcMar>
            <w:top w:w="56" w:type="dxa"/>
            <w:right w:w="8" w:type="dxa"/>
          </w:tcMar>
        </w:tcPr>
        <w:p w:rsidR="00C66EF8" w:rsidRDefault="00C66EF8" w:rsidP="00F1413A">
          <w:pPr>
            <w:pStyle w:val="Header-CompanyName"/>
          </w:pPr>
        </w:p>
      </w:tc>
    </w:tr>
    <w:tr w:rsidR="00C66EF8" w:rsidTr="00401D90">
      <w:trPr>
        <w:trHeight w:hRule="exact" w:val="1076"/>
      </w:trPr>
      <w:tc>
        <w:tcPr>
          <w:tcW w:w="5639" w:type="dxa"/>
          <w:shd w:val="clear" w:color="auto" w:fill="auto"/>
        </w:tcPr>
        <w:p w:rsidR="00C66EF8" w:rsidRDefault="00C66EF8" w:rsidP="00F1413A">
          <w:pPr>
            <w:pStyle w:val="Header-CompanyName"/>
          </w:pPr>
        </w:p>
      </w:tc>
      <w:tc>
        <w:tcPr>
          <w:tcW w:w="5353" w:type="dxa"/>
          <w:tcBorders>
            <w:top w:val="nil"/>
            <w:bottom w:val="single" w:sz="4" w:space="0" w:color="auto"/>
          </w:tcBorders>
          <w:shd w:val="clear" w:color="auto" w:fill="auto"/>
          <w:tcMar>
            <w:top w:w="56" w:type="dxa"/>
            <w:right w:w="8" w:type="dxa"/>
          </w:tcMar>
        </w:tcPr>
        <w:p w:rsidR="00C66EF8" w:rsidRPr="00DD7896" w:rsidRDefault="00C66EF8" w:rsidP="00F1413A">
          <w:pPr>
            <w:pStyle w:val="Header-CompanyName"/>
            <w:rPr>
              <w:spacing w:val="28"/>
            </w:rPr>
          </w:pPr>
          <w:r>
            <w:rPr>
              <w:noProof/>
              <w:lang w:eastAsia="en-AU"/>
            </w:rPr>
            <mc:AlternateContent>
              <mc:Choice Requires="wps">
                <w:drawing>
                  <wp:anchor distT="0" distB="0" distL="114300" distR="114300" simplePos="0" relativeHeight="252003328" behindDoc="0" locked="1" layoutInCell="1" allowOverlap="1" wp14:anchorId="232C3FDA" wp14:editId="739A55F9">
                    <wp:simplePos x="0" y="0"/>
                    <wp:positionH relativeFrom="page">
                      <wp:posOffset>1809750</wp:posOffset>
                    </wp:positionH>
                    <wp:positionV relativeFrom="page">
                      <wp:posOffset>196215</wp:posOffset>
                    </wp:positionV>
                    <wp:extent cx="781685" cy="382905"/>
                    <wp:effectExtent l="0" t="0" r="0" b="0"/>
                    <wp:wrapNone/>
                    <wp:docPr id="164"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F3B47B" id="cp_sails_contacts" o:spid="_x0000_s1026" style="position:absolute;margin-left:142.5pt;margin-top:15.45pt;width:61.55pt;height:30.1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r>
            <w:rPr>
              <w:noProof/>
              <w:lang w:eastAsia="en-AU"/>
            </w:rPr>
            <mc:AlternateContent>
              <mc:Choice Requires="wps">
                <w:drawing>
                  <wp:anchor distT="0" distB="0" distL="114300" distR="114300" simplePos="0" relativeHeight="251881472" behindDoc="0" locked="1" layoutInCell="1" allowOverlap="1" wp14:anchorId="3F7EB1AF" wp14:editId="7A736249">
                    <wp:simplePos x="0" y="0"/>
                    <wp:positionH relativeFrom="page">
                      <wp:posOffset>1809750</wp:posOffset>
                    </wp:positionH>
                    <wp:positionV relativeFrom="page">
                      <wp:posOffset>196215</wp:posOffset>
                    </wp:positionV>
                    <wp:extent cx="781685" cy="382905"/>
                    <wp:effectExtent l="0" t="0" r="0" b="0"/>
                    <wp:wrapNone/>
                    <wp:docPr id="524"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39EA18" id="cp_sails_contacts" o:spid="_x0000_s1026" style="position:absolute;margin-left:142.5pt;margin-top:15.45pt;width:61.55pt;height:30.1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rsidR="00C66EF8" w:rsidRDefault="00C66EF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5D39F1">
          <w:pPr>
            <w:pStyle w:val="Header-CompanyName"/>
          </w:pPr>
        </w:p>
      </w:tc>
      <w:tc>
        <w:tcPr>
          <w:tcW w:w="5730" w:type="dxa"/>
          <w:shd w:val="clear" w:color="auto" w:fill="auto"/>
          <w:tcMar>
            <w:top w:w="56" w:type="dxa"/>
            <w:right w:w="8" w:type="dxa"/>
          </w:tcMar>
        </w:tcPr>
        <w:p w:rsidR="00C66EF8" w:rsidRDefault="00C66EF8" w:rsidP="005D39F1">
          <w:pPr>
            <w:pStyle w:val="Header-CompanyName"/>
          </w:pPr>
          <w:r>
            <w:rPr>
              <w:noProof/>
              <w:lang w:eastAsia="en-AU"/>
            </w:rPr>
            <mc:AlternateContent>
              <mc:Choice Requires="wpg">
                <w:drawing>
                  <wp:anchor distT="0" distB="0" distL="114300" distR="114300" simplePos="0" relativeHeight="252056576" behindDoc="1" locked="1" layoutInCell="1" allowOverlap="1" wp14:anchorId="2AEE9C9E" wp14:editId="1EFB17AB">
                    <wp:simplePos x="0" y="0"/>
                    <wp:positionH relativeFrom="page">
                      <wp:posOffset>5928995</wp:posOffset>
                    </wp:positionH>
                    <wp:positionV relativeFrom="page">
                      <wp:posOffset>356235</wp:posOffset>
                    </wp:positionV>
                    <wp:extent cx="1329690" cy="65405"/>
                    <wp:effectExtent l="0" t="0" r="3810" b="0"/>
                    <wp:wrapNone/>
                    <wp:docPr id="63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39" name="Freeform 63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64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C030FA" id="Group 7" o:spid="_x0000_s1026" style="position:absolute;margin-left:466.85pt;margin-top:28.05pt;width:104.7pt;height:5.15pt;z-index:-25125990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">
                    <v:shape id="Freeform 63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JSMQA&#10;AADcAAAADwAAAGRycy9kb3ducmV2LnhtbESPzWrDMBCE74W+g9hCb42cn5rWiRJKoZBDQonjB1is&#10;jWVqrYykxs7bR4FAjsPMfMOsNqPtxJl8aB0rmE4yEMS10y03Cqrjz9sHiBCRNXaOScGFAmzWz08r&#10;LLQb+EDnMjYiQTgUqMDE2BdShtqQxTBxPXHyTs5bjEn6RmqPQ4LbTs6yLJcWW04LBnv6NlT/lf9W&#10;AU7nXh+rvBr2slzsFiabvf9WSr2+jF9LEJHG+Ajf21utIJ9/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iU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4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0wsMA&#10;AADcAAAADwAAAGRycy9kb3ducmV2LnhtbERPTWvCQBC9C/0PyxR6kbqpVZHUVTTQIngx2oPHITtN&#10;otnZNLsx8d+7B8Hj430vVr2pxJUaV1pW8DGKQBBnVpecK/g9fr/PQTiPrLGyTApu5GC1fBksMNa2&#10;45SuB5+LEMIuRgWF93UspcsKMuhGtiYO3J9tDPoAm1zqBrsQbio5jqKZNFhyaCiwpqSg7HJojYJh&#10;2e6OMmlPycakk5/pujt//u+Venvt118gPPX+KX64t1rBbBLmh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0w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7728" behindDoc="1" locked="1" layoutInCell="1" allowOverlap="1" wp14:anchorId="7862B381" wp14:editId="7D8D5A90">
                    <wp:simplePos x="0" y="0"/>
                    <wp:positionH relativeFrom="rightMargin">
                      <wp:posOffset>-1345565</wp:posOffset>
                    </wp:positionH>
                    <wp:positionV relativeFrom="page">
                      <wp:posOffset>24765</wp:posOffset>
                    </wp:positionV>
                    <wp:extent cx="1329690" cy="65405"/>
                    <wp:effectExtent l="0" t="0" r="3810" b="0"/>
                    <wp:wrapNone/>
                    <wp:docPr id="11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1" name="Freeform 11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 name="Freeform 11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003568" id="Group 7" o:spid="_x0000_s1026" style="position:absolute;margin-left:-105.95pt;margin-top:1.95pt;width:104.7pt;height:5.15pt;z-index:-2513387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f+EATkcWAABviQAADgAA&#10;AAAAAAAAAAAAAAAuAgAAZHJzL2Uyb0RvYy54bWxQSwECLQAUAAYACAAAACEAqRec098AAAAIAQAA&#10;DwAAAAAAAAAAAAAAAAChGAAAZHJzL2Rvd25yZXYueG1sUEsFBgAAAAAEAAQA8wAAAK0ZAAAAAA==&#10;">
                    <v:shape id="Freeform 11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7VsEA&#10;AADcAAAADwAAAGRycy9kb3ducmV2LnhtbERP3WrCMBS+H/gO4Qi7m2ldJ1KNIoLgxcZY7QMcmmNT&#10;bE5KEm339stgsLvz8f2e7X6yvXiQD51jBfkiA0HcON1xq6C+nF7WIEJE1tg7JgXfFGC/mz1tsdRu&#10;5C96VLEVKYRDiQpMjEMpZWgMWQwLNxAn7uq8xZigb6X2OKZw28tllq2kxY5Tg8GBjoaaW3W3CjB/&#10;9fpSr+rxQ1bFe2Gy5dtnrdTzfDpsQESa4r/4z33WaX6Rw+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NO1b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h08QA&#10;AADcAAAADwAAAGRycy9kb3ducmV2LnhtbERPS2vCQBC+F/oflin0IrrR+iipq2igRfDi69DjkJ0m&#10;abOzMbsx8d+7gtDbfHzPmS87U4oL1a6wrGA4iEAQp1YXnCk4HT/77yCcR9ZYWiYFV3KwXDw/zTHW&#10;tuU9XQ4+EyGEXYwKcu+rWEqX5mTQDWxFHLgfWxv0AdaZ1DW2IdyUchRFU2mw4NCQY0VJTunfoTEK&#10;ekWzPcqk+U7WZj/+mqza37fzTqnXl271AcJT5//FD/dGh/njGd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IdP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5D39F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5D39F1">
          <w:pPr>
            <w:pStyle w:val="Header-CompanyName"/>
          </w:pPr>
        </w:p>
      </w:tc>
      <w:tc>
        <w:tcPr>
          <w:tcW w:w="5730" w:type="dxa"/>
          <w:shd w:val="clear" w:color="auto" w:fill="auto"/>
          <w:tcMar>
            <w:top w:w="56" w:type="dxa"/>
            <w:right w:w="8" w:type="dxa"/>
          </w:tcMar>
        </w:tcPr>
        <w:p w:rsidR="00C66EF8" w:rsidRDefault="00C66EF8" w:rsidP="005D39F1">
          <w:pPr>
            <w:pStyle w:val="Header-CompanyName"/>
          </w:pPr>
          <w:r>
            <w:rPr>
              <w:noProof/>
              <w:lang w:eastAsia="en-AU"/>
            </w:rPr>
            <mc:AlternateContent>
              <mc:Choice Requires="wpg">
                <w:drawing>
                  <wp:anchor distT="0" distB="0" distL="114300" distR="114300" simplePos="0" relativeHeight="252058624" behindDoc="1" locked="1" layoutInCell="1" allowOverlap="1" wp14:anchorId="042E9902" wp14:editId="0AB0992D">
                    <wp:simplePos x="0" y="0"/>
                    <wp:positionH relativeFrom="page">
                      <wp:posOffset>-1345565</wp:posOffset>
                    </wp:positionH>
                    <wp:positionV relativeFrom="page">
                      <wp:posOffset>24765</wp:posOffset>
                    </wp:positionV>
                    <wp:extent cx="1329690" cy="65405"/>
                    <wp:effectExtent l="0" t="0" r="3810" b="0"/>
                    <wp:wrapNone/>
                    <wp:docPr id="6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42" name="Freeform 6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 name="Freeform 64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00B05E" id="Group 7" o:spid="_x0000_s1026" style="position:absolute;margin-left:-105.95pt;margin-top:1.95pt;width:104.7pt;height:5.15pt;z-index:-25125785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liSB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">
                    <v:shape id="Freeform 64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oRMQA&#10;AADcAAAADwAAAGRycy9kb3ducmV2LnhtbESPwWrDMBBE74X+g9hCbokcxzHBjRJKodBDSqnjD1is&#10;rWVqrYykxs7fR4FCj8PMvGH2x9kO4kI+9I4VrFcZCOLW6Z47Bc35bbkDESKyxsExKbhSgOPh8WGP&#10;lXYTf9Gljp1IEA4VKjAxjpWUoTVkMazcSJy8b+ctxiR9J7XHKcHtIPMsK6XFntOCwZFeDbU/9a9V&#10;gOuN1+embKYPWRenwmT59rNRavE0vzyDiDTH//Bf+10rKIsc7mfS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aE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4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qtcYA&#10;AADcAAAADwAAAGRycy9kb3ducmV2LnhtbESPT2vCQBTE74LfYXmCF9GNfympq9iAUuilag89PrLP&#10;JJp9m2Y3Jv32rlDocZiZ3zDrbWdKcafaFZYVTCcRCOLU6oIzBV/n/fgFhPPIGkvLpOCXHGw3/d4a&#10;Y21bPtL95DMRIOxiVJB7X8VSujQng25iK+LgXWxt0AdZZ1LX2Aa4KeUsilbSYMFhIceKkpzS26kx&#10;CkZF83GWSfOdvJnj4rDctdf5z6dSw0G3ewXhqfP/4b/2u1awWszheS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qtc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78752" behindDoc="1" locked="1" layoutInCell="1" allowOverlap="1" wp14:anchorId="32D84C83" wp14:editId="2EFBFD5B">
                    <wp:simplePos x="0" y="0"/>
                    <wp:positionH relativeFrom="rightMargin">
                      <wp:posOffset>-1345565</wp:posOffset>
                    </wp:positionH>
                    <wp:positionV relativeFrom="page">
                      <wp:posOffset>24765</wp:posOffset>
                    </wp:positionV>
                    <wp:extent cx="1329690" cy="65405"/>
                    <wp:effectExtent l="0" t="0" r="3810" b="0"/>
                    <wp:wrapNone/>
                    <wp:docPr id="11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9" name="Freeform 1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945DD3" id="Group 7" o:spid="_x0000_s1026" style="position:absolute;margin-left:-105.95pt;margin-top:1.95pt;width:104.7pt;height:5.15pt;z-index:-2513377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oOPx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AUsOg4/FgAAb4kAAA4AAAAAAAAAAAAA&#10;AAAALgIAAGRycy9lMm9Eb2MueG1sUEsBAi0AFAAGAAgAAAAhAKkXnNPfAAAACAEAAA8AAAAAAAAA&#10;AAAAAAAAmRgAAGRycy9kb3ducmV2LnhtbFBLBQYAAAAABAAEAPMAAAClGQAAAAA=&#10;">
                    <v:shape id="Freeform 12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3UMEA&#10;AADcAAAADwAAAGRycy9kb3ducmV2LnhtbERP3WrCMBS+F3yHcITdaaqrMqtRZDDYxYas9gEOzbEp&#10;NiclibZ7+2Uw2N35+H7P/jjaTjzIh9axguUiA0FcO91yo6C6vM1fQISIrLFzTAq+KcDxMJ3ssdBu&#10;4C96lLERKYRDgQpMjH0hZagNWQwL1xMn7uq8xZigb6T2OKRw28lVlm2kxZZTg8GeXg3Vt/JuFeDy&#10;2etLtamGT1nmH7nJVutzpdTTbDztQEQa47/4z/2u0/x8C7/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7N1D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esgA&#10;AADcAAAADwAAAGRycy9kb3ducmV2LnhtbESPT2vCQBDF74V+h2UKvRTd2NYi0VVsoKXQS/1z8Dhk&#10;xySanY3ZjUm/fedQ8DbDe/PebxarwdXqSm2oPBuYjBNQxLm3FRcG9ruP0QxUiMgWa89k4JcCrJb3&#10;dwtMre95Q9dtLJSEcEjRQBljk2od8pIchrFviEU7+tZhlLUttG2xl3BX6+ckedMOK5aGEhvKSsrP&#10;284ZeKq6753OukP27javn9N1f3q5/Bjz+DCs56AiDfFm/r/+soI/FXx5Ri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i96yAAAANwAAAAPAAAAAAAAAAAAAAAAAJgCAABk&#10;cnMvZG93bnJldi54bWxQSwUGAAAAAAQABAD1AAAAjQ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5D39F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60672" behindDoc="1" locked="1" layoutInCell="1" allowOverlap="1" wp14:anchorId="430102E8" wp14:editId="18D9605D">
                    <wp:simplePos x="0" y="0"/>
                    <wp:positionH relativeFrom="page">
                      <wp:posOffset>-1345565</wp:posOffset>
                    </wp:positionH>
                    <wp:positionV relativeFrom="page">
                      <wp:posOffset>24765</wp:posOffset>
                    </wp:positionV>
                    <wp:extent cx="1329690" cy="65405"/>
                    <wp:effectExtent l="0" t="0" r="3810" b="0"/>
                    <wp:wrapNone/>
                    <wp:docPr id="6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45" name="Freeform 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6" name="Freeform 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F299D6" id="Group 7" o:spid="_x0000_s1026" style="position:absolute;margin-left:-105.95pt;margin-top:1.95pt;width:104.7pt;height:5.15pt;z-index:-25125580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7aQhYAAIy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BVEXtpCFgAAjIkAAA4AAAAAAAAA&#10;AAAAAAAALgIAAGRycy9lMm9Eb2MueG1sUEsBAi0AFAAGAAgAAAAhAKkXnNPfAAAACAEAAA8AAAAA&#10;AAAAAAAAAAAAnBgAAGRycy9kb3ducmV2LnhtbFBLBQYAAAAABAAEAPMAAACoGQAAAAA=&#10;">
                    <v:shape id="Freeform 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wMMQA&#10;AADcAAAADwAAAGRycy9kb3ducmV2LnhtbESPUWvCMBSF3wf7D+EOfJuprpZRjTIGwh4cY7U/4NLc&#10;NcXmpiTR1n9vBoKPh3POdzib3WR7cSEfOscKFvMMBHHjdMetgvq4f30HESKyxt4xKbhSgN32+WmD&#10;pXYj/9Kliq1IEA4lKjAxDqWUoTFkMczdQJy8P+ctxiR9K7XHMcFtL5dZVkiLHacFgwN9GmpO1dkq&#10;wMWb18e6qMdvWeWH3GTL1U+t1Oxl+liDiDTFR/je/tIKinwF/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8D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JLccA&#10;AADcAAAADwAAAGRycy9kb3ducmV2LnhtbESPT2vCQBTE7wW/w/KEXopuajVIdBUNtBR68d/B4yP7&#10;TKLZt2l2Y9Jv3y0UPA4z8xtmue5NJe7UuNKygtdxBII4s7rkXMHp+D6ag3AeWWNlmRT8kIP1avC0&#10;xETbjvd0P/hcBAi7BBUU3teJlC4ryKAb25o4eBfbGPRBNrnUDXYBbio5iaJYGiw5LBRYU1pQdju0&#10;RsFL2X4dZdqe063ZTz9mm+769r1T6nnYbxYgPPX+Ef5vf2oF8TS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SS3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06048" behindDoc="1" locked="1" layoutInCell="1" allowOverlap="1" wp14:anchorId="143355A4" wp14:editId="1069364B">
                    <wp:simplePos x="0" y="0"/>
                    <wp:positionH relativeFrom="rightMargin">
                      <wp:posOffset>-1345565</wp:posOffset>
                    </wp:positionH>
                    <wp:positionV relativeFrom="page">
                      <wp:posOffset>24765</wp:posOffset>
                    </wp:positionV>
                    <wp:extent cx="1329690" cy="65405"/>
                    <wp:effectExtent l="0" t="0" r="3810" b="0"/>
                    <wp:wrapNone/>
                    <wp:docPr id="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4" name="Freeform 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 name="Freeform 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E300CF" id="Group 7" o:spid="_x0000_s1026" style="position:absolute;margin-left:-105.95pt;margin-top:1.95pt;width:104.7pt;height:5.15pt;z-index:-2514104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x8ORYAAGu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KWMXHw5FgAAa4kAAA4AAAAAAAAAAAAAAAAALgIA&#10;AGRycy9lMm9Eb2MueG1sUEsBAi0AFAAGAAgAAAAhAKkXnNPfAAAACAEAAA8AAAAAAAAAAAAAAAAA&#10;kxgAAGRycy9kb3ducmV2LnhtbFBLBQYAAAAABAAEAPMAAACfGQAAAAA=&#10;">
                    <v:shape id="Freeform 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iCsQA&#10;AADcAAAADwAAAGRycy9kb3ducmV2LnhtbESPUWvCMBSF3wf7D+EO9jZTXSujGmUMhD0oYu0PuDR3&#10;TbG5KUm03b83wmCPh3POdzjr7WR7cSMfOscK5rMMBHHjdMetgvq8e/sAESKyxt4xKfilANvN89Ma&#10;S+1GPtGtiq1IEA4lKjAxDqWUoTFkMczcQJy8H+ctxiR9K7XHMcFtLxdZtpQWO04LBgf6MtRcqqtV&#10;gPN3r8/1sh4Pssr3uckWxbFW6vVl+lyBiDTF//Bf+1srKIo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og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8cA&#10;AADcAAAADwAAAGRycy9kb3ducmV2LnhtbESPQWvCQBSE70L/w/IKvUjdtJpSUlfRgCJ4abSHHh/Z&#10;1yRt9m3Mbkz8964g9DjMzDfMfDmYWpypdZVlBS+TCARxbnXFhYKv4+b5HYTzyBpry6TgQg6Wi4fR&#10;HBNte87ofPCFCBB2CSoovW8SKV1ekkE3sQ1x8H5sa9AH2RZSt9gHuKnlaxS9SYMVh4USG0pLyv8O&#10;nVEwrrr9Uabdd7o22Wwbr/rf6elTqafHYfUBwtPg/8P39k4riOM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IP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62720" behindDoc="1" locked="1" layoutInCell="1" allowOverlap="1" wp14:anchorId="0AEC2031" wp14:editId="1F9BA283">
                    <wp:simplePos x="0" y="0"/>
                    <wp:positionH relativeFrom="page">
                      <wp:posOffset>5928995</wp:posOffset>
                    </wp:positionH>
                    <wp:positionV relativeFrom="page">
                      <wp:posOffset>356235</wp:posOffset>
                    </wp:positionV>
                    <wp:extent cx="1329690" cy="65405"/>
                    <wp:effectExtent l="0" t="0" r="381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48" name="Freeform 3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9" name="Freeform 3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88D6E4" id="Group 647" o:spid="_x0000_s1026" style="position:absolute;margin-left:466.85pt;margin-top:28.05pt;width:104.7pt;height:5.15pt;z-index:-25125376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">
                    <v:shape id="Freeform 3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frsAA&#10;AADcAAAADwAAAGRycy9kb3ducmV2LnhtbERP3WrCMBS+H+wdwhnsTlO1FumMIoLgxYZY+wCH5tiU&#10;NSclibZ7++VisMuP73+7n2wvnuRD51jBYp6BIG6c7rhVUN9Osw2IEJE19o5JwQ8F2O9eX7ZYajfy&#10;lZ5VbEUK4VCiAhPjUEoZGkMWw9wNxIm7O28xJuhbqT2OKdz2cpllhbTYcWowONDRUPNdPawCXKy8&#10;vtVFPX7JKv/MTbZcX2ql3t+mwweISFP8F/+5z1pBkae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1frs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dX8cA&#10;AADcAAAADwAAAGRycy9kb3ducmV2LnhtbESPzWvCQBTE74X+D8sreJG68aOiqatoQCn0Uj8OHh/Z&#10;1yRt9m3Mbkz8792C0OMwM79hFqvOlOJKtSssKxgOIhDEqdUFZwpOx+3rDITzyBpLy6TgRg5Wy+en&#10;Bcbatryn68FnIkDYxagg976KpXRpTgbdwFbEwfu2tUEfZJ1JXWMb4KaUoyiaSoMFh4UcK0pySn8P&#10;jVHQL5rPo0yac7Ix+8nubd3+jC9fSvVeuvU7CE+d/w8/2h9awXQyh78z4Qj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73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04000" behindDoc="1" locked="1" layoutInCell="1" allowOverlap="1" wp14:anchorId="2F549A30" wp14:editId="5BABED17">
                    <wp:simplePos x="0" y="0"/>
                    <wp:positionH relativeFrom="rightMargin">
                      <wp:posOffset>-1345565</wp:posOffset>
                    </wp:positionH>
                    <wp:positionV relativeFrom="page">
                      <wp:posOffset>24765</wp:posOffset>
                    </wp:positionV>
                    <wp:extent cx="1329690" cy="65405"/>
                    <wp:effectExtent l="0" t="0" r="3810" b="0"/>
                    <wp:wrapNone/>
                    <wp:docPr id="9" name="Group 9"/>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9" name="Freeform 3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1" name="Freeform 3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462271" id="Group 9" o:spid="_x0000_s1026" style="position:absolute;margin-left:-105.95pt;margin-top:1.95pt;width:104.7pt;height:5.15pt;z-index:-2514124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">
                    <v:shape id="Freeform 3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NlMQA&#10;AADcAAAADwAAAGRycy9kb3ducmV2LnhtbESPwWrDMBBE74X+g9hCb42cNDatEyWUQKGHhBLHH7BY&#10;G8vUWhlJid2/rwKBHoeZecOst5PtxZV86BwrmM8yEMSN0x23CurT58sbiBCRNfaOScEvBdhuHh/W&#10;WGo38pGuVWxFgnAoUYGJcSilDI0hi2HmBuLknZ23GJP0rdQexwS3vVxkWSEtdpwWDA60M9T8VBer&#10;AOevXp/qoh4PslrulyZb5N+1Us9P08cKRKQp/ofv7S+tIM/f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DZ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sRccA&#10;AADcAAAADwAAAGRycy9kb3ducmV2LnhtbESPT2vCQBTE74LfYXmCFzEbbRWJWcUGWgq91D8Hj4/s&#10;M0mbfZtmNyb99t1CocdhZn7DpPvB1OJOrassK1hEMQji3OqKCwWX8/N8A8J5ZI21ZVLwTQ72u/Eo&#10;xUTbno90P/lCBAi7BBWU3jeJlC4vyaCLbEMcvJttDfog20LqFvsAN7VcxvFaGqw4LJTYUFZS/nnq&#10;jIJZ1b2dZdZdsydzfHxZHfqPh693paaT4bAF4Wnw/+G/9qtWsFov4PdMO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7E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64768" behindDoc="1" locked="1" layoutInCell="1" allowOverlap="1" wp14:anchorId="5B4C0D69" wp14:editId="0FAB6444">
                    <wp:simplePos x="0" y="0"/>
                    <wp:positionH relativeFrom="page">
                      <wp:posOffset>-1345565</wp:posOffset>
                    </wp:positionH>
                    <wp:positionV relativeFrom="page">
                      <wp:posOffset>24765</wp:posOffset>
                    </wp:positionV>
                    <wp:extent cx="1329690" cy="65405"/>
                    <wp:effectExtent l="0" t="0" r="3810" b="0"/>
                    <wp:wrapNone/>
                    <wp:docPr id="6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54" name="Freeform 4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5" name="Freeform 4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4E6A03" id="Group 7" o:spid="_x0000_s1026" style="position:absolute;margin-left:-105.95pt;margin-top:1.95pt;width:104.7pt;height:5.15pt;z-index:-25125171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06ShYAAIy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">
                    <v:shape id="Freeform 4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DdsQA&#10;AADcAAAADwAAAGRycy9kb3ducmV2LnhtbESPUWvCMBSF3wf7D+EOfJuprpZRjTIGwh4cY7U/4NLc&#10;NcXmpiTR1n9vBoKPh3POdzib3WR7cSEfOscKFvMMBHHjdMetgvq4f30HESKyxt4xKbhSgN32+WmD&#10;pXYj/9Kliq1IEA4lKjAxDqWUoTFkMczdQJy8P+ctxiR9K7XHMcFtL5dZVkiLHacFgwN9GmpO1dkq&#10;wMWb18e6qMdvWeWH3GTL1U+t1Oxl+liDiDTFR/je/tIKilUO/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w3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Bh8cA&#10;AADcAAAADwAAAGRycy9kb3ducmV2LnhtbESPT2vCQBTE7wW/w/IEL0U32kYkuooNtBR68d/B4yP7&#10;TKLZt2l2Y9Jv3y0UPA4z8xtmtelNJe7UuNKygukkAkGcWV1yruB0fB8vQDiPrLGyTAp+yMFmPXha&#10;YaJtx3u6H3wuAoRdggoK7+tESpcVZNBNbE0cvIttDPogm1zqBrsAN5WcRdFcGiw5LBRYU1pQdju0&#10;RsFz2X4dZdqe0zezf/2It9315Xun1GjYb5cgPPX+Ef5vf2oF8zi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QY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05024" behindDoc="1" locked="1" layoutInCell="1" allowOverlap="1" wp14:anchorId="6DB37A66" wp14:editId="196B7C3D">
                    <wp:simplePos x="0" y="0"/>
                    <wp:positionH relativeFrom="rightMargin">
                      <wp:posOffset>-1345565</wp:posOffset>
                    </wp:positionH>
                    <wp:positionV relativeFrom="page">
                      <wp:posOffset>24765</wp:posOffset>
                    </wp:positionV>
                    <wp:extent cx="1329690" cy="65405"/>
                    <wp:effectExtent l="0" t="0" r="3810" b="0"/>
                    <wp:wrapNone/>
                    <wp:docPr id="1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4" name="Freeform 4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 name="Freeform 4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88376F" id="Group 7" o:spid="_x0000_s1026" style="position:absolute;margin-left:-105.95pt;margin-top:1.95pt;width:104.7pt;height:5.15pt;z-index:-2514114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D+PhYAAGy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j7zA/j4WAABsiQAADgAAAAAAAAAAAAAA&#10;AAAuAgAAZHJzL2Uyb0RvYy54bWxQSwECLQAUAAYACAAAACEAqRec098AAAAIAQAADwAAAAAAAAAA&#10;AAAAAACYGAAAZHJzL2Rvd25yZXYueG1sUEsFBgAAAAAEAAQA8wAAAKQZAAAAAA==&#10;">
                    <v:shape id="Freeform 4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ot8QA&#10;AADcAAAADwAAAGRycy9kb3ducmV2LnhtbESPUWvCMBSF3wf7D+EOfJuprpZRjTIGwh4cY7U/4NLc&#10;NcXmpiTR1n9vBoKPh3POdzib3WR7cSEfOscKFvMMBHHjdMetgvq4f30HESKyxt4xKbhSgN32+WmD&#10;pXYj/9Kliq1IEA4lKjAxDqWUoTFkMczdQJy8P+ctxiR9K7XHMcFtL5dZVkiLHacFgwN9GmpO1dkq&#10;wMWb18e6qMdvWeWH3GTL1U+t1Oxl+liDiDTFR/je/tIKVkUO/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aL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F2MMA&#10;AADcAAAADwAAAGRycy9kb3ducmV2LnhtbERPTWvCQBC9C/0PyxR6kbqpVZHUVTTQIngx2oPHITtN&#10;otnZNLsx8d+7B8Hj430vVr2pxJUaV1pW8DGKQBBnVpecK/g9fr/PQTiPrLGyTApu5GC1fBksMNa2&#10;45SuB5+LEMIuRgWF93UspcsKMuhGtiYO3J9tDPoAm1zqBrsQbio5jqKZNFhyaCiwpqSg7HJojYJh&#10;2e6OMmlPycakk5/pujt//u+Venvt118gPPX+KX64t1rBdBbWhj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F2M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66816" behindDoc="1" locked="1" layoutInCell="1" allowOverlap="1" wp14:anchorId="4CC715AE" wp14:editId="0C97A01C">
                    <wp:simplePos x="0" y="0"/>
                    <wp:positionH relativeFrom="page">
                      <wp:posOffset>-1345565</wp:posOffset>
                    </wp:positionH>
                    <wp:positionV relativeFrom="page">
                      <wp:posOffset>24765</wp:posOffset>
                    </wp:positionV>
                    <wp:extent cx="1329690" cy="65405"/>
                    <wp:effectExtent l="0" t="0" r="3810" b="0"/>
                    <wp:wrapNone/>
                    <wp:docPr id="6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72" name="Freeform 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3" name="Freeform 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1107A4" id="Group 7" o:spid="_x0000_s1026" style="position:absolute;margin-left:-105.95pt;margin-top:1.95pt;width:104.7pt;height:5.15pt;z-index:-25124966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VdRBYAAIy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fCmlXUQWAACMiQAADgAAAAAA&#10;AAAAAAAAAAAuAgAAZHJzL2Uyb0RvYy54bWxQSwECLQAUAAYACAAAACEAqRec098AAAAIAQAADwAA&#10;AAAAAAAAAAAAAACeGAAAZHJzL2Rvd25yZXYueG1sUEsFBgAAAAAEAAQA8wAAAKoZAAAAAA==&#10;">
                    <v:shape id="Freeform 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i+cQA&#10;AADcAAAADwAAAGRycy9kb3ducmV2LnhtbESPwWrDMBBE74H+g9hCb4kcN3GLEyWUQqGHhFDHH7BY&#10;W8vEWhlJjd2/jwqFHIeZecNs95PtxZV86BwrWC4yEMSN0x23Curzx/wVRIjIGnvHpOCXAux3D7Mt&#10;ltqN/EXXKrYiQTiUqMDEOJRShsaQxbBwA3Hyvp23GJP0rdQexwS3vcyzrJAWO04LBgd6N9Rcqh+r&#10;AJfPXp/roh6PslodVibL16daqafH6W0DItIU7+H/9qdWULzk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ov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gCMcA&#10;AADcAAAADwAAAGRycy9kb3ducmV2LnhtbESPQWvCQBSE74L/YXlCL6Kb1mpLdBUbaCl4MdpDj4/s&#10;M4lm36bZjUn/fbcgeBxm5htmtelNJa7UuNKygsdpBII4s7rkXMHX8X3yCsJ5ZI2VZVLwSw426+Fg&#10;hbG2Had0PfhcBAi7GBUU3texlC4ryKCb2po4eCfbGPRBNrnUDXYBbir5FEULabDksFBgTUlB2eXQ&#10;GgXjst0dZdJ+J28mff6Yb7vz7Gev1MOo3y5BeOr9PXxrf2oFi5cZ/J8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A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14240" behindDoc="1" locked="1" layoutInCell="1" allowOverlap="1" wp14:anchorId="4B89FA44" wp14:editId="0752CED6">
                    <wp:simplePos x="0" y="0"/>
                    <wp:positionH relativeFrom="rightMargin">
                      <wp:posOffset>-1345565</wp:posOffset>
                    </wp:positionH>
                    <wp:positionV relativeFrom="page">
                      <wp:posOffset>24765</wp:posOffset>
                    </wp:positionV>
                    <wp:extent cx="1329690" cy="65405"/>
                    <wp:effectExtent l="0" t="0" r="3810" b="0"/>
                    <wp:wrapNone/>
                    <wp:docPr id="1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5" name="Freeform 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C10642" id="Group 7" o:spid="_x0000_s1026" style="position:absolute;margin-left:-105.95pt;margin-top:1.95pt;width:104.7pt;height:5.15pt;z-index:-2514022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TKOB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gWOEyjgWAABqiQAADgAAAAAAAAAAAAAAAAAuAgAA&#10;ZHJzL2Uyb0RvYy54bWxQSwECLQAUAAYACAAAACEAqRec098AAAAIAQAADwAAAAAAAAAAAAAAAACS&#10;GAAAZHJzL2Rvd25yZXYueG1sUEsFBgAAAAAEAAQA8wAAAJ4ZAAAAAA==&#10;">
                    <v:shape id="Freeform 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WrsIA&#10;AADbAAAADwAAAGRycy9kb3ducmV2LnhtbESPzWrDMBCE74W+g9hAb43s/ONGDqVQ6CElxPEDLNbW&#10;MrFWRlJj9+2jQqHHYWa+YfaHyfbiRj50jhXk8wwEceN0x62C+vL+vAMRIrLG3jEp+KEAh/LxYY+F&#10;diOf6VbFViQIhwIVmBiHQsrQGLIY5m4gTt6X8xZjkr6V2uOY4LaXiyzbSIsdpwWDA70Zaq7Vt1WA&#10;+dLrS72px09ZrY4rky3Wp1qpp9n0+gIi0hT/w3/tD61gu4T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tau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ETcYA&#10;AADbAAAADwAAAGRycy9kb3ducmV2LnhtbESPQWvCQBSE74L/YXmCl1I3rbaV6Co2oBS8NNqDx0f2&#10;mUSzb9PsxqT/vlsoeBxm5htmue5NJW7UuNKygqdJBII4s7rkXMHXcfs4B+E8ssbKMin4IQfr1XCw&#10;xFjbjlO6HXwuAoRdjAoK7+tYSpcVZNBNbE0cvLNtDPogm1zqBrsAN5V8jqJXabDksFBgTUlB2fXQ&#10;GgUPZbs/yqQ9Je8mne1eNt1l+v2p1HjUbxYgPPX+Hv5vf2gFbz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BET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68864" behindDoc="1" locked="1" layoutInCell="1" allowOverlap="1" wp14:anchorId="29AF5DBB" wp14:editId="47ABAAB8">
                    <wp:simplePos x="0" y="0"/>
                    <wp:positionH relativeFrom="page">
                      <wp:posOffset>5928995</wp:posOffset>
                    </wp:positionH>
                    <wp:positionV relativeFrom="page">
                      <wp:posOffset>356235</wp:posOffset>
                    </wp:positionV>
                    <wp:extent cx="1329690" cy="65405"/>
                    <wp:effectExtent l="0" t="0" r="3810" b="0"/>
                    <wp:wrapNone/>
                    <wp:docPr id="65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78" name="Freeform 5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5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07A0EC" id="Group 7" o:spid="_x0000_s1026" style="position:absolute;margin-left:466.85pt;margin-top:28.05pt;width:104.7pt;height:5.15pt;z-index:-25124761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">
                    <v:shape id="Freeform 5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VE8EA&#10;AADcAAAADwAAAGRycy9kb3ducmV2LnhtbERP3WrCMBS+H/gO4QjezdSfValGkYGwi41h7QMcmmNT&#10;bE5Kktn69svFYJcf3//+ONpOPMiH1rGCxTwDQVw73XKjoLqeX7cgQkTW2DkmBU8KcDxMXvZYaDfw&#10;hR5lbEQK4VCgAhNjX0gZakMWw9z1xIm7OW8xJugbqT0OKdx2cpllubTYcmow2NO7ofpe/lgFuFh5&#10;fa3yaviS5fpzbbLl23el1Gw6nnYgIo3xX/zn/tAK8k1am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xlR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X4scA&#10;AADcAAAADwAAAGRycy9kb3ducmV2LnhtbESPQWvCQBSE7wX/w/IEL6Vuqta20VU0oBR6qdpDj4/s&#10;axKbfRuzGxP/vSsIPQ4z8w0zX3amFGeqXWFZwfMwAkGcWl1wpuD7sHl6A+E8ssbSMim4kIPlovcw&#10;x1jblnd03vtMBAi7GBXk3lexlC7NyaAb2oo4eL+2NuiDrDOpa2wD3JRyFEVTabDgsJBjRUlO6d++&#10;MQoei+bzIJPmJ1mb3WT7smqP49OXUoN+t5qB8NT5//C9/aEVTF/f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F+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12192" behindDoc="1" locked="1" layoutInCell="1" allowOverlap="1" wp14:anchorId="0ED589D7" wp14:editId="3115A305">
                    <wp:simplePos x="0" y="0"/>
                    <wp:positionH relativeFrom="rightMargin">
                      <wp:posOffset>-1345565</wp:posOffset>
                    </wp:positionH>
                    <wp:positionV relativeFrom="page">
                      <wp:posOffset>24765</wp:posOffset>
                    </wp:positionV>
                    <wp:extent cx="1329690" cy="65405"/>
                    <wp:effectExtent l="0" t="0" r="3810" b="0"/>
                    <wp:wrapNone/>
                    <wp:docPr id="2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8" name="Freeform 5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5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51DBFF" id="Group 7" o:spid="_x0000_s1026" style="position:absolute;margin-left:-105.95pt;margin-top:1.95pt;width:104.7pt;height:5.15pt;z-index:-2514042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wWNRYAAGqJAAAOAAAAZHJzL2Uyb0RvYy54bWzsPV1vG0mO7wfcfxD8eEDGqv5Sy5jMAvOR&#10;wQFzewNMFvusyPIHzpZ0khJndnH//cgqsrpY3exmj2ffnIfEZlfzu1isKrLz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XLhcFjUWAABqiQAADgAAAAAAAAAAAAAAAAAuAgAAZHJz&#10;L2Uyb0RvYy54bWxQSwECLQAUAAYACAAAACEAqRec098AAAAIAQAADwAAAAAAAAAAAAAAAACPGAAA&#10;ZHJzL2Rvd25yZXYueG1sUEsFBgAAAAAEAAQA8wAAAJsZAAAAAA==&#10;">
                    <v:shape id="Freeform 5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1NsMA&#10;AADbAAAADwAAAGRycy9kb3ducmV2LnhtbESPwWrDMBBE74H8g9hAb4mcNHGLGyWEQqGHlFDbH7BY&#10;W8vUWhlJid2/jwqFHoeZecPsj5PtxY186BwrWK8yEMSN0x23CurqbfkMIkRkjb1jUvBDAY6H+WyP&#10;hXYjf9KtjK1IEA4FKjAxDoWUoTFkMazcQJy8L+ctxiR9K7XHMcFtLzdZlkuLHacFgwO9Gmq+y6tV&#10;gOtHr6s6r8cPWW7PW5NtdpdaqYfFdHoBEWmK/+G/9rtW8JTD75f0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11Ns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aOsYA&#10;AADbAAAADwAAAGRycy9kb3ducmV2LnhtbESPzWvCQBTE70L/h+UVvBTd1PpRUlexgYrgxa+Dx0f2&#10;NUmbfZtmNyb+965Q8DjMzG+Y+bIzpbhQ7QrLCl6HEQji1OqCMwWn49fgHYTzyBpLy6TgSg6Wi6fe&#10;HGNtW97T5eAzESDsYlSQe1/FUro0J4NuaCvi4H3b2qAPss6krrENcFPKURRNpcGCw0KOFSU5pb+H&#10;xih4KZrtUSbNOfk0+/F6smp/3v52SvWfu9UHCE+df4T/2xutYDaD+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aO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70912" behindDoc="1" locked="1" layoutInCell="1" allowOverlap="1" wp14:anchorId="5416FF7E" wp14:editId="11545CBE">
                    <wp:simplePos x="0" y="0"/>
                    <wp:positionH relativeFrom="page">
                      <wp:posOffset>-1345565</wp:posOffset>
                    </wp:positionH>
                    <wp:positionV relativeFrom="page">
                      <wp:posOffset>24765</wp:posOffset>
                    </wp:positionV>
                    <wp:extent cx="1329690" cy="65405"/>
                    <wp:effectExtent l="0" t="0" r="381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84" name="Freeform 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51436F" id="Group 659" o:spid="_x0000_s1026" style="position:absolute;margin-left:-105.95pt;margin-top:1.95pt;width:104.7pt;height:5.15pt;z-index:-25124556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nNPRYAAI6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AMMAnNPRYAAI6JAAAOAAAAAAAAAAAAAAAA&#10;AC4CAABkcnMvZTJvRG9jLnhtbFBLAQItABQABgAIAAAAIQCpF5zT3wAAAAgBAAAPAAAAAAAAAAAA&#10;AAAAAJcYAABkcnMvZG93bnJldi54bWxQSwUGAAAAAAQABADzAAAAoxkAAAAA&#10;">
                    <v:shape id="Freeform 6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vMcQA&#10;AADcAAAADwAAAGRycy9kb3ducmV2LnhtbESPUWvCMBSF34X9h3CFvWmqq0U6owxhsIeNsdofcGnu&#10;mmJzU5Jo6783g4GPh3POdzi7w2R7cSUfOscKVssMBHHjdMetgvr0vtiCCBFZY++YFNwowGH/NNth&#10;qd3IP3StYisShEOJCkyMQyllaAxZDEs3ECfv13mLMUnfSu1xTHDby3WWFdJix2nB4EBHQ825ulgF&#10;uHrx+lQX9fglq/wzN9l6810r9Tyf3l5BRJriI/zf/tAKim0Of2fS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7zH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twMcA&#10;AADcAAAADwAAAGRycy9kb3ducmV2LnhtbESPT2vCQBTE7wW/w/IEL0U32ioSXUUDLUIv9c/B4yP7&#10;TKLZtzG7Mem3dwuFHoeZ+Q2zXHemFA+qXWFZwXgUgSBOrS44U3A6fgznIJxH1lhaJgU/5GC96r0s&#10;Mda25T09Dj4TAcIuRgW591UspUtzMuhGtiIO3sXWBn2QdSZ1jW2Am1JOomgmDRYcFnKsKMkpvR0a&#10;o+C1aL6OMmnOydbs3z+nm/b6dv9WatDvNgsQnjr/H/5r77SC2XwKv2fCE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bc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13216" behindDoc="1" locked="1" layoutInCell="1" allowOverlap="1" wp14:anchorId="261BCD36" wp14:editId="139C54A8">
                    <wp:simplePos x="0" y="0"/>
                    <wp:positionH relativeFrom="rightMargin">
                      <wp:posOffset>-1345565</wp:posOffset>
                    </wp:positionH>
                    <wp:positionV relativeFrom="page">
                      <wp:posOffset>24765</wp:posOffset>
                    </wp:positionV>
                    <wp:extent cx="1329690" cy="65405"/>
                    <wp:effectExtent l="0" t="0" r="3810" b="0"/>
                    <wp:wrapNone/>
                    <wp:docPr id="26" name="Group 26"/>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87" name="Freeform 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8" name="Freeform 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CD095E" id="Group 26" o:spid="_x0000_s1026" style="position:absolute;margin-left:-105.95pt;margin-top:1.95pt;width:104.7pt;height:5.15pt;z-index:-2514032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JQORYAAG2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Fl0glA5FgAAbYkAAA4AAAAAAAAAAAAAAAAALgIA&#10;AGRycy9lMm9Eb2MueG1sUEsBAi0AFAAGAAgAAAAhAKkXnNPfAAAACAEAAA8AAAAAAAAAAAAAAAAA&#10;kxgAAGRycy9kb3ducmV2LnhtbFBLBQYAAAAABAAEAPMAAACfGQAAAAA=&#10;">
                    <v:shape id="Freeform 6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xRsQA&#10;AADcAAAADwAAAGRycy9kb3ducmV2LnhtbESPzWrDMBCE74W+g9hCbo2cn7rBiRJKINBDQ4njB1is&#10;rWVirYykxu7bV4FAjsPMfMNsdqPtxJV8aB0rmE0zEMS10y03Cqrz4XUFIkRkjZ1jUvBHAXbb56cN&#10;FtoNfKJrGRuRIBwKVGBi7AspQ23IYpi6njh5P85bjEn6RmqPQ4LbTs6zLJcWW04LBnvaG6ov5a9V&#10;gLOF1+cqr4ajLJdfS5PN374rpSYv48caRKQxPsL39qdWkK/e4XY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cU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XsMA&#10;AADcAAAADwAAAGRycy9kb3ducmV2LnhtbERPy2rCQBTdC/7DcIVuik5srUh0FBtQBDf1sXB5yVyT&#10;aOZOmpmY9O+dRcHl4bwXq86U4kG1KywrGI8iEMSp1QVnCs6nzXAGwnlkjaVlUvBHDlbLfm+BsbYt&#10;H+hx9JkIIexiVJB7X8VSujQng25kK+LAXW1t0AdYZ1LX2IZwU8qPKJpKgwWHhhwrSnJK78fGKHgv&#10;mv1JJs0l+TaHyfZr3d4+f3+Ueht06zkIT51/if/dO61gOgtr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7CX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1413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72960" behindDoc="1" locked="1" layoutInCell="1" allowOverlap="1" wp14:anchorId="1E2F67E1" wp14:editId="1BB0E79A">
                    <wp:simplePos x="0" y="0"/>
                    <wp:positionH relativeFrom="page">
                      <wp:posOffset>-1345565</wp:posOffset>
                    </wp:positionH>
                    <wp:positionV relativeFrom="page">
                      <wp:posOffset>24765</wp:posOffset>
                    </wp:positionV>
                    <wp:extent cx="1329690" cy="65405"/>
                    <wp:effectExtent l="0" t="0" r="3810" b="0"/>
                    <wp:wrapNone/>
                    <wp:docPr id="66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92" name="Freeform 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3" name="Freeform 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32EC60" id="Group 7" o:spid="_x0000_s1026" style="position:absolute;margin-left:-105.95pt;margin-top:1.95pt;width:104.7pt;height:5.15pt;z-index:-25124352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WzThYAAIy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">
                    <v:shape id="Freeform 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EA8QA&#10;AADcAAAADwAAAGRycy9kb3ducmV2LnhtbESPwWrDMBBE74H+g9hCb4kcNzGtEyWUQqGHhFDHH7BY&#10;W8vEWhlJjd2/jwqFHIeZecNs95PtxZV86BwrWC4yEMSN0x23Curzx/wFRIjIGnvHpOCXAux3D7Mt&#10;ltqN/EXXKrYiQTiUqMDEOJRShsaQxbBwA3Hyvp23GJP0rdQexwS3vcyzrJAWO04LBgd6N9Rcqh+r&#10;AJfPXp/roh6PslodVibL16daqafH6W0DItIU7+H/9qdWULzm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RA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G8scA&#10;AADcAAAADwAAAGRycy9kb3ducmV2LnhtbESPQWvCQBSE74L/YXlCL6Kb1iptdBUbaCl4MdpDj4/s&#10;M4lm36bZjUn/fbcgeBxm5htmtelNJa7UuNKygsdpBII4s7rkXMHX8X3yAsJ5ZI2VZVLwSw426+Fg&#10;hbG2Had0PfhcBAi7GBUU3texlC4ryKCb2po4eCfbGPRBNrnUDXYBbir5FEULabDksFBgTUlB2eXQ&#10;GgXjst0dZdJ+J28mff6Yb7vz7Gev1MOo3y5BeOr9PXxrf2oFi9cZ/J8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xv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7968" behindDoc="1" locked="1" layoutInCell="1" allowOverlap="1" wp14:anchorId="6F6861CF" wp14:editId="127D258F">
                    <wp:simplePos x="0" y="0"/>
                    <wp:positionH relativeFrom="rightMargin">
                      <wp:posOffset>-1345565</wp:posOffset>
                    </wp:positionH>
                    <wp:positionV relativeFrom="page">
                      <wp:posOffset>24765</wp:posOffset>
                    </wp:positionV>
                    <wp:extent cx="1329690" cy="65405"/>
                    <wp:effectExtent l="0" t="0" r="3810" b="0"/>
                    <wp:wrapNone/>
                    <wp:docPr id="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5" name="Freeform 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72246F" id="Group 7" o:spid="_x0000_s1026" style="position:absolute;margin-left:-105.95pt;margin-top:1.95pt;width:104.7pt;height:5.15pt;z-index:-2513285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OWQxYAAGe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AnmGOWQxYAAGeJAAAOAAAAAAAA&#10;AAAAAAAAAC4CAABkcnMvZTJvRG9jLnhtbFBLAQItABQABgAIAAAAIQCpF5zT3wAAAAgBAAAPAAAA&#10;AAAAAAAAAAAAAJ0YAABkcnMvZG93bnJldi54bWxQSwUGAAAAAAQABADzAAAAqRkAAAAA&#10;">
                    <v:shape id="Freeform 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FQcEA&#10;AADaAAAADwAAAGRycy9kb3ducmV2LnhtbESP3YrCMBSE7xd8h3CEvVtTf1mqUUQQvNhFrH2AQ3O2&#10;KTYnJYm2+/abBcHLYWa+YTa7wbbiQT40jhVMJxkI4srphmsF5fX48QkiRGSNrWNS8EsBdtvR2wZz&#10;7Xq+0KOItUgQDjkqMDF2uZShMmQxTFxHnLwf5y3GJH0ttcc+wW0rZ1m2khYbTgsGOzoYqm7F3SrA&#10;6dzra7kq+29ZLL4WJpstz6VS7+NhvwYRaYiv8LN90gqW8H8l3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xUHBAAAA2g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UdcUA&#10;AADaAAAADwAAAGRycy9kb3ducmV2LnhtbESPT2vCQBTE7wW/w/KEXkrdWOsfUlfRgCL0UrUHj4/s&#10;M0nNvo3ZjYnf3i0Uehxm5jfMfNmZUtyodoVlBcNBBII4tbrgTMH3cfM6A+E8ssbSMim4k4Plovc0&#10;x1jblvd0O/hMBAi7GBXk3lexlC7NyaAb2Io4eGdbG/RB1pnUNbYBbkr5FkUTabDgsJBjRUlO6eXQ&#10;GAUvRfN5lElzStZm/74dr9qf0fVLqed+t/oA4anz/+G/9k4rmMLvlX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hR1xQAAANo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75008" behindDoc="1" locked="1" layoutInCell="1" allowOverlap="1" wp14:anchorId="77AC4FB0" wp14:editId="287A11CB">
                    <wp:simplePos x="0" y="0"/>
                    <wp:positionH relativeFrom="page">
                      <wp:posOffset>5928995</wp:posOffset>
                    </wp:positionH>
                    <wp:positionV relativeFrom="page">
                      <wp:posOffset>356235</wp:posOffset>
                    </wp:positionV>
                    <wp:extent cx="1329690" cy="65405"/>
                    <wp:effectExtent l="0" t="0" r="3810" b="0"/>
                    <wp:wrapNone/>
                    <wp:docPr id="6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698" name="Freeform 8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9" name="Freeform 8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8F2BFB" id="Group 7" o:spid="_x0000_s1026" style="position:absolute;margin-left:466.85pt;margin-top:28.05pt;width:104.7pt;height:5.15pt;z-index:-25124147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sjPBYAAIy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">
                    <v:shape id="Freeform 8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z6cEA&#10;AADcAAAADwAAAGRycy9kb3ducmV2LnhtbERP3WrCMBS+H/gO4QjezdSfFa1GkYGwi41h7QMcmmNT&#10;bE5Kktn69svFYJcf3//+ONpOPMiH1rGCxTwDQVw73XKjoLqeXzcgQkTW2DkmBU8KcDxMXvZYaDfw&#10;hR5lbEQK4VCgAhNjX0gZakMWw9z1xIm7OW8xJugbqT0OKdx2cpllubTYcmow2NO7ofpe/lgFuFh5&#10;fa3yaviS5fpzbbLl23el1Gw6nnYgIo3xX/zn/tAK8m1am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9c+n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xGMcA&#10;AADcAAAADwAAAGRycy9kb3ducmV2LnhtbESPQWvCQBSE7wX/w/IEL6IbbZUaXcUGWgpejPbQ4yP7&#10;mkSzb9PsxqT/vlsQehxm5htms+tNJW7UuNKygtk0AkGcWV1yruDj/Dp5BuE8ssbKMin4IQe77eBh&#10;g7G2Had0O/lcBAi7GBUU3texlC4ryKCb2po4eF+2MeiDbHKpG+wC3FRyHkVLabDksFBgTUlB2fXU&#10;GgXjsj2cZdJ+Ji8mfXpb7LvL4/dRqdGw369BeOr9f/jeftcKlqsV/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8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5920" behindDoc="1" locked="1" layoutInCell="1" allowOverlap="1" wp14:anchorId="66168D07" wp14:editId="0A2D3A96">
                    <wp:simplePos x="0" y="0"/>
                    <wp:positionH relativeFrom="rightMargin">
                      <wp:posOffset>-1345565</wp:posOffset>
                    </wp:positionH>
                    <wp:positionV relativeFrom="page">
                      <wp:posOffset>24765</wp:posOffset>
                    </wp:positionV>
                    <wp:extent cx="1329690" cy="65405"/>
                    <wp:effectExtent l="0" t="0" r="3810" b="0"/>
                    <wp:wrapNone/>
                    <wp:docPr id="2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1" name="Freeform 8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8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E13A78" id="Group 7" o:spid="_x0000_s1026" style="position:absolute;margin-left:-105.95pt;margin-top:1.95pt;width:104.7pt;height:5.15pt;z-index:-2513305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nN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K7+Iac2FgAAaokAAA4AAAAAAAAAAAAAAAAALgIAAGRy&#10;cy9lMm9Eb2MueG1sUEsBAi0AFAAGAAgAAAAhAKkXnNPfAAAACAEAAA8AAAAAAAAAAAAAAAAAkBgA&#10;AGRycy9kb3ducmV2LnhtbFBLBQYAAAAABAAEAPMAAACcGQAAAAA=&#10;">
                    <v:shape id="Freeform 8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icMA&#10;AADbAAAADwAAAGRycy9kb3ducmV2LnhtbESP3YrCMBSE7xf2HcJZ8G5N/VmRapRlQfBCEWsf4NAc&#10;m2JzUpJou2+/EYS9HGbmG2a9HWwrHuRD41jBZJyBIK6cbrhWUF52n0sQISJrbB2Tgl8KsN28v60x&#10;167nMz2KWIsE4ZCjAhNjl0sZKkMWw9h1xMm7Om8xJulrqT32CW5bOc2yhbTYcFow2NGPoepW3K0C&#10;nMy8vpSLsj/KYn6Ym2z6dSqVGn0M3ysQkYb4H36191rBcgbP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mic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R8cYA&#10;AADbAAAADwAAAGRycy9kb3ducmV2LnhtbESPT2vCQBTE74V+h+UVeim6aa0lxKxiA4rgxX8Hj4/s&#10;a5I2+zbNbkz89q5Q6HGYmd8w6WIwtbhQ6yrLCl7HEQji3OqKCwWn42oUg3AeWWNtmRRcycFi/viQ&#10;YqJtz3u6HHwhAoRdggpK75tESpeXZNCNbUMcvC/bGvRBtoXULfYBbmr5FkUf0mDFYaHEhrKS8p9D&#10;ZxS8VN32KLPunH2a/ft6uuy/J787pZ6fhuUMhKfB/4f/2hutIJ7C/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R8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9" w:type="dxa"/>
      <w:tblInd w:w="-5625" w:type="dxa"/>
      <w:tblBorders>
        <w:top w:val="single" w:sz="4" w:space="0" w:color="000001"/>
      </w:tblBorders>
      <w:tblLayout w:type="fixed"/>
      <w:tblCellMar>
        <w:left w:w="0" w:type="dxa"/>
        <w:right w:w="0" w:type="dxa"/>
      </w:tblCellMar>
      <w:tblLook w:val="04A0" w:firstRow="1" w:lastRow="0" w:firstColumn="1" w:lastColumn="0" w:noHBand="0" w:noVBand="1"/>
    </w:tblPr>
    <w:tblGrid>
      <w:gridCol w:w="5259"/>
      <w:gridCol w:w="5730"/>
    </w:tblGrid>
    <w:tr w:rsidR="00C66EF8" w:rsidTr="00401D90">
      <w:trPr>
        <w:trHeight w:hRule="exact" w:val="240"/>
      </w:trPr>
      <w:tc>
        <w:tcPr>
          <w:tcW w:w="5259"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sidRPr="00DD7896">
            <w:rPr>
              <w:spacing w:val="28"/>
            </w:rPr>
            <w:t xml:space="preserve">ACIL ALLEN </w:t>
          </w:r>
          <w:r w:rsidRPr="00DD7896">
            <w:rPr>
              <w:color w:val="BEB6AF"/>
            </w:rPr>
            <w:t>CONSULTING</w:t>
          </w:r>
        </w:p>
      </w:tc>
    </w:tr>
  </w:tbl>
  <w:p w:rsidR="00C66EF8" w:rsidRPr="00A32B60" w:rsidRDefault="00C66EF8" w:rsidP="00F1413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77056" behindDoc="1" locked="1" layoutInCell="1" allowOverlap="1" wp14:anchorId="78BA95FA" wp14:editId="2918818C">
                    <wp:simplePos x="0" y="0"/>
                    <wp:positionH relativeFrom="page">
                      <wp:posOffset>-1345565</wp:posOffset>
                    </wp:positionH>
                    <wp:positionV relativeFrom="page">
                      <wp:posOffset>24765</wp:posOffset>
                    </wp:positionV>
                    <wp:extent cx="1329690" cy="65405"/>
                    <wp:effectExtent l="0" t="0" r="3810" b="0"/>
                    <wp:wrapNone/>
                    <wp:docPr id="66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96" name="Freeform 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8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73E6B5" id="Group 7" o:spid="_x0000_s1026" style="position:absolute;margin-left:-105.95pt;margin-top:1.95pt;width:104.7pt;height:5.15pt;z-index:-25123942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RYRBYAAIy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XLC0WEQWAACMiQAADgAAAAAA&#10;AAAAAAAAAAAuAgAAZHJzL2Uyb0RvYy54bWxQSwECLQAUAAYACAAAACEAqRec098AAAAIAQAADwAA&#10;AAAAAAAAAAAAAACeGAAAZHJzL2Rvd25yZXYueG1sUEsFBgAAAAAEAAQA8wAAAKoZAAAAAA==&#10;">
                    <v:shape id="Freeform 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Ql8QA&#10;AADcAAAADwAAAGRycy9kb3ducmV2LnhtbESPwWrDMBBE74X+g9hCbo1sJ02LEyWUQCCHllLHH7BY&#10;W8vEWhlJjZ2/rwKBHoeZecNsdpPtxYV86BwryOcZCOLG6Y5bBfXp8PwGIkRkjb1jUnClALvt48MG&#10;S+1G/qZLFVuRIBxKVGBiHEopQ2PIYpi7gTh5P85bjEn6VmqPY4LbXhZZtpIWO04LBgfaG2rO1a9V&#10;gPnC61O9qsdPWS0/liYrXr5qpWZP0/saRKQp/ofv7aNWULzmcDu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kJ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UZccA&#10;AADcAAAADwAAAGRycy9kb3ducmV2LnhtbESPQWvCQBSE74X+h+UVvIhutLaW1FVswFLwYtSDx0f2&#10;NUnNvk2zGxP/vVsQehxm5htmsepNJS7UuNKygsk4AkGcWV1yruB42IzeQDiPrLGyTAqu5GC1fHxY&#10;YKxtxyld9j4XAcIuRgWF93UspcsKMujGtiYO3rdtDPogm1zqBrsAN5WcRtGrNFhyWCiwpqSg7Lxv&#10;jYJh2W4PMmlPyYdJZ58v6+7n+Xen1OCpX7+D8NT7//C9/aUVTOcz+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ZFG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6944" behindDoc="1" locked="1" layoutInCell="1" allowOverlap="1" wp14:anchorId="042D3555" wp14:editId="5563B121">
                    <wp:simplePos x="0" y="0"/>
                    <wp:positionH relativeFrom="rightMargin">
                      <wp:posOffset>-1345565</wp:posOffset>
                    </wp:positionH>
                    <wp:positionV relativeFrom="page">
                      <wp:posOffset>24765</wp:posOffset>
                    </wp:positionV>
                    <wp:extent cx="1329690" cy="65405"/>
                    <wp:effectExtent l="0" t="0" r="3810" b="0"/>
                    <wp:wrapNone/>
                    <wp:docPr id="3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0" name="Freeform 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8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B778C5" id="Group 7" o:spid="_x0000_s1026" style="position:absolute;margin-left:-105.95pt;margin-top:1.95pt;width:104.7pt;height:5.15pt;z-index:-2513295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6uN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xzS6uNxYAAGqJAAAOAAAAAAAAAAAAAAAAAC4CAABk&#10;cnMvZTJvRG9jLnhtbFBLAQItABQABgAIAAAAIQCpF5zT3wAAAAgBAAAPAAAAAAAAAAAAAAAAAJEY&#10;AABkcnMvZG93bnJldi54bWxQSwUGAAAAAAQABADzAAAAnRkAAAAA&#10;">
                    <v:shape id="Freeform 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uI8AA&#10;AADbAAAADwAAAGRycy9kb3ducmV2LnhtbERP3WrCMBS+H+wdwhl4N1N/VrQaZQiCFxvD2gc4NMem&#10;rDkpSbT17c3FYJcf3/92P9pO3MmH1rGC2TQDQVw73XKjoLoc31cgQkTW2DkmBQ8KsN+9vmyx0G7g&#10;M93L2IgUwqFABSbGvpAy1IYshqnriRN3dd5iTNA3UnscUrjt5DzLcmmx5dRgsKeDofq3vFkFOFt4&#10;fanyaviW5fJrabL5x0+l1ORt/NyAiDTGf/Gf+6QVrNP69CX9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SuI8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BL8YA&#10;AADbAAAADwAAAGRycy9kb3ducmV2LnhtbESPT2vCQBTE74V+h+UVvJS68V9pU1fRgCJ4MdpDj4/s&#10;a5I2+zZmNyZ+e1co9DjMzG+Y+bI3lbhQ40rLCkbDCARxZnXJuYLP0+blDYTzyBory6TgSg6Wi8eH&#10;OcbadpzS5ehzESDsYlRQeF/HUrqsIINuaGvi4H3bxqAPssmlbrALcFPJcRS9SoMlh4UCa0oKyn6P&#10;rVHwXLb7k0zar2Rt0ul2tup+JueDUoOnfvUBwlPv/8N/7Z1W8D6C+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sBL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79104" behindDoc="1" locked="1" layoutInCell="1" allowOverlap="1" wp14:anchorId="12592042" wp14:editId="003750C8">
                    <wp:simplePos x="0" y="0"/>
                    <wp:positionH relativeFrom="page">
                      <wp:posOffset>-1345565</wp:posOffset>
                    </wp:positionH>
                    <wp:positionV relativeFrom="page">
                      <wp:posOffset>24765</wp:posOffset>
                    </wp:positionV>
                    <wp:extent cx="1329690" cy="65405"/>
                    <wp:effectExtent l="0" t="0" r="3810" b="0"/>
                    <wp:wrapNone/>
                    <wp:docPr id="6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708"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9"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44D545" id="Group 7" o:spid="_x0000_s1026" style="position:absolute;margin-left:-105.95pt;margin-top:1.95pt;width:104.7pt;height:5.15pt;z-index:-25123737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3mRx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fU9d5kcWAACOiQAADgAA&#10;AAAAAAAAAAAAAAAuAgAAZHJzL2Uyb0RvYy54bWxQSwECLQAUAAYACAAAACEAqRec098AAAAIAQAA&#10;DwAAAAAAAAAAAAAAAAChGAAAZHJzL2Rvd25yZXYueG1sUEsFBgAAAAAEAAQA8wAAAK0ZAAAAAA==&#10;">
                    <v:shape id="Freeform 27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p88EA&#10;AADcAAAADwAAAGRycy9kb3ducmV2LnhtbERP3WrCMBS+H+wdwhl4NxOdc6MaZQwGXihi7QMcmmNT&#10;1pyUJLP17c2FsMuP73+9HV0nrhRi61nDbKpAENfetNxoqM4/r58gYkI22HkmDTeKsN08P62xMH7g&#10;E13L1IgcwrFADTalvpAy1pYcxqnviTN38cFhyjA00gQccrjr5FyppXTYcm6w2NO3pfq3/HMacPYW&#10;zLlaVsNBlov9wqr5+7HSevIyfq1AJBrTv/jh3hkNHyqvzWfy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6f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rAscA&#10;AADcAAAADwAAAGRycy9kb3ducmV2LnhtbESPT2vCQBTE74V+h+UVvEjdqK1to6toQBF68U8PPT6y&#10;zyRt9m3Mbkz89m5B6HGYmd8ws0VnSnGh2hWWFQwHEQji1OqCMwVfx/XzOwjnkTWWlknBlRws5o8P&#10;M4y1bXlPl4PPRICwi1FB7n0VS+nSnAy6ga2Ig3eytUEfZJ1JXWMb4KaUoyiaSIMFh4UcK0pySn8P&#10;jVHQL5rPo0ya72Rl9i+b12X7Mz7vlOo9dcspCE+d/w/f21ut4C36gL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aw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3872" behindDoc="1" locked="1" layoutInCell="1" allowOverlap="1" wp14:anchorId="6C8F221E" wp14:editId="4A1CBEA7">
                    <wp:simplePos x="0" y="0"/>
                    <wp:positionH relativeFrom="rightMargin">
                      <wp:posOffset>-1345565</wp:posOffset>
                    </wp:positionH>
                    <wp:positionV relativeFrom="page">
                      <wp:posOffset>24765</wp:posOffset>
                    </wp:positionV>
                    <wp:extent cx="1329690" cy="65405"/>
                    <wp:effectExtent l="0" t="0" r="3810" b="0"/>
                    <wp:wrapNone/>
                    <wp:docPr id="3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8"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EBCAEA" id="Group 7" o:spid="_x0000_s1026" style="position:absolute;margin-left:-105.95pt;margin-top:1.95pt;width:104.7pt;height:5.15pt;z-index:-2513326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">
                    <v:shape id="Freeform 27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MP8EA&#10;AADcAAAADwAAAGRycy9kb3ducmV2LnhtbERP3WrCMBS+H+wdwhG8m2nVFemMMgaDXShi7QMcmrOm&#10;2JyUJLPd2y+CsLvz8f2e7X6yvbiRD51jBfkiA0HcON1xq6C+fL5sQISIrLF3TAp+KcB+9/y0xVK7&#10;kc90q2IrUgiHEhWYGIdSytAYshgWbiBO3LfzFmOCvpXa45jCbS+XWVZIix2nBoMDfRhqrtWPVYD5&#10;yutLXdTjUVbrw9pky9dTrdR8Nr2/gYg0xX/xw/2l0/y8gPs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XjD/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cB8cA&#10;AADcAAAADwAAAGRycy9kb3ducmV2LnhtbESPS2vDQAyE74X+h0WFXkqyTvogONmE1NBS6CWvQ47C&#10;q9hOvFrHu47df18dCr1JzGjm02I1uFrdqA2VZwOTcQKKOPe24sLAYf8xmoEKEdli7ZkM/FCA1fL+&#10;boGp9T1v6baLhZIQDikaKGNsUq1DXpLDMPYNsWgn3zqMsraFti32Eu5qPU2SN+2wYmkosaGspPyy&#10;65yBp6r73uusO2bvbvvy+bruz8/XjTGPD8N6DirSEP/Nf9dfVvCngi/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0XA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81152" behindDoc="1" locked="1" layoutInCell="1" allowOverlap="1" wp14:anchorId="01A38A00" wp14:editId="79F1E3C9">
                    <wp:simplePos x="0" y="0"/>
                    <wp:positionH relativeFrom="page">
                      <wp:posOffset>5928995</wp:posOffset>
                    </wp:positionH>
                    <wp:positionV relativeFrom="page">
                      <wp:posOffset>356235</wp:posOffset>
                    </wp:positionV>
                    <wp:extent cx="1329690" cy="65405"/>
                    <wp:effectExtent l="0" t="0" r="3810" b="0"/>
                    <wp:wrapNone/>
                    <wp:docPr id="6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714" name="Freeform 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5" name="Freeform 2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2F302A" id="Group 7" o:spid="_x0000_s1026" style="position:absolute;margin-left:466.85pt;margin-top:28.05pt;width:104.7pt;height:5.15pt;z-index:-25123532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KUxYAAI6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">
                    <v:shape id="Freeform 2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K8QA&#10;AADcAAAADwAAAGRycy9kb3ducmV2LnhtbESPwWrDMBBE74X+g9hCb43s1EmLEyWUQKCHhlDHH7BY&#10;W8vEWhlJjd2/rwKBHIeZecOst5PtxYV86BwryGcZCOLG6Y5bBfVp//IOIkRkjb1jUvBHAbabx4c1&#10;ltqN/E2XKrYiQTiUqMDEOJRShsaQxTBzA3Hyfpy3GJP0rdQexwS3vZxn2VJa7DgtGBxoZ6g5V79W&#10;AeavXp/qZT0eZFV8FSabL461Us9P08cKRKQp3sO39qdW8JYX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dS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32scA&#10;AADcAAAADwAAAGRycy9kb3ducmV2LnhtbESPT2vCQBTE7wW/w/IEL6VubNVKdBUbsBR68U8PPT6y&#10;zySafRuzGxO/vVsQehxm5jfMYtWZUlypdoVlBaNhBII4tbrgTMHPYfMyA+E8ssbSMim4kYPVsve0&#10;wFjblnd03ftMBAi7GBXk3lexlC7NyaAb2oo4eEdbG/RB1pnUNbYBbkr5GkVTabDgsJBjRUlO6Xnf&#10;GAXPRfN9kEnzm3yY3fhzsm5Pb5etUoN+t56D8NT5//Cj/aUVvI8m8HcmH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99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1824" behindDoc="1" locked="1" layoutInCell="1" allowOverlap="1" wp14:anchorId="4BCAD9EB" wp14:editId="4016F0A0">
                    <wp:simplePos x="0" y="0"/>
                    <wp:positionH relativeFrom="rightMargin">
                      <wp:posOffset>-1345565</wp:posOffset>
                    </wp:positionH>
                    <wp:positionV relativeFrom="page">
                      <wp:posOffset>24765</wp:posOffset>
                    </wp:positionV>
                    <wp:extent cx="1329690" cy="65405"/>
                    <wp:effectExtent l="0" t="0" r="3810" b="0"/>
                    <wp:wrapNone/>
                    <wp:docPr id="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4" name="Freeform 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5" name="Freeform 2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B5E3E0" id="Group 7" o:spid="_x0000_s1026" style="position:absolute;margin-left:-105.95pt;margin-top:1.95pt;width:104.7pt;height:5.15pt;z-index:-2513346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zQxYAAG6JAAAOAAAAZHJzL2Uyb0RvYy54bWzsPV1vG0mO7wfcfxD8eEDGqv5Sy5jMAvOR&#10;wQFzewNMFvusyPIHzpZ0khJndnH//cgqsrpY3exmj2ffnIfEZlfzu1isKrLz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AO/cwzQxYAAG6JAAAOAAAAAAAA&#10;AAAAAAAAAC4CAABkcnMvZTJvRG9jLnhtbFBLAQItABQABgAIAAAAIQCpF5zT3wAAAAgBAAAPAAAA&#10;AAAAAAAAAAAAAJ0YAABkcnMvZG93bnJldi54bWxQSwUGAAAAAAQABADzAAAAqRkAAAAA&#10;">
                    <v:shape id="Freeform 2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AgcEA&#10;AADcAAAADwAAAGRycy9kb3ducmV2LnhtbERP3WrCMBS+H/gO4Qy8m6nViXRGkYHgxUSsfYBDc9aU&#10;NSclyWx9ezMQdnc+vt+z2Y22EzfyoXWsYD7LQBDXTrfcKKiuh7c1iBCRNXaOScGdAuy2k5cNFtoN&#10;fKFbGRuRQjgUqMDE2BdShtqQxTBzPXHivp23GBP0jdQehxRuO5ln2UpabDk1GOzp01D9U/5aBThf&#10;eH2tVtVwkuXya2my/P1cKTV9HfcfICKN8V/8dB91mp/n8PdMuk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QIH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G3MgA&#10;AADcAAAADwAAAGRycy9kb3ducmV2LnhtbESPT2vCQBDF70K/wzIFL1I3rW2R1FVswCL04p8ePA7Z&#10;aZI2O5tmNyb99s5B8DbDe/PebxarwdXqTG2oPBt4nCagiHNvKy4MfB03D3NQISJbrD2TgX8KsFre&#10;jRaYWt/zns6HWCgJ4ZCigTLGJtU65CU5DFPfEIv27VuHUda20LbFXsJdrZ+S5FU7rFgaSmwoKyn/&#10;PXTOwKTqPo86607Zu9s/f7ys+5/Z386Y8f2wfgMVaYg38/V6awV/JrTyjE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8bcyAAAANwAAAAPAAAAAAAAAAAAAAAAAJgCAABk&#10;cnMvZG93bnJldi54bWxQSwUGAAAAAAQABAD1AAAAjQ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4F5B92">
      <w:trPr>
        <w:trHeight w:hRule="exact" w:val="240"/>
      </w:trPr>
      <w:tc>
        <w:tcPr>
          <w:tcW w:w="5258" w:type="dxa"/>
          <w:shd w:val="clear" w:color="auto" w:fill="auto"/>
        </w:tcPr>
        <w:p w:rsidR="00C66EF8" w:rsidRDefault="00C66EF8" w:rsidP="00FA0091">
          <w:pPr>
            <w:pStyle w:val="Header-CompanyName"/>
          </w:pPr>
        </w:p>
      </w:tc>
      <w:tc>
        <w:tcPr>
          <w:tcW w:w="5730" w:type="dxa"/>
          <w:shd w:val="clear" w:color="auto" w:fill="auto"/>
          <w:tcMar>
            <w:top w:w="56" w:type="dxa"/>
            <w:right w:w="8" w:type="dxa"/>
          </w:tcMar>
        </w:tcPr>
        <w:p w:rsidR="00C66EF8" w:rsidRDefault="00C66EF8" w:rsidP="00FA0091">
          <w:pPr>
            <w:pStyle w:val="Header-CompanyName"/>
          </w:pPr>
          <w:r>
            <w:rPr>
              <w:noProof/>
              <w:lang w:eastAsia="en-AU"/>
            </w:rPr>
            <mc:AlternateContent>
              <mc:Choice Requires="wpg">
                <w:drawing>
                  <wp:anchor distT="0" distB="0" distL="114300" distR="114300" simplePos="0" relativeHeight="252083200" behindDoc="1" locked="1" layoutInCell="1" allowOverlap="1" wp14:anchorId="0DDF4866" wp14:editId="49E919AA">
                    <wp:simplePos x="0" y="0"/>
                    <wp:positionH relativeFrom="page">
                      <wp:posOffset>-1345565</wp:posOffset>
                    </wp:positionH>
                    <wp:positionV relativeFrom="page">
                      <wp:posOffset>24765</wp:posOffset>
                    </wp:positionV>
                    <wp:extent cx="1329690" cy="65405"/>
                    <wp:effectExtent l="0" t="0" r="3810" b="0"/>
                    <wp:wrapNone/>
                    <wp:docPr id="6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720"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1"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FC71B6" id="Group 7" o:spid="_x0000_s1026" style="position:absolute;margin-left:-105.95pt;margin-top:1.95pt;width:104.7pt;height:5.15pt;z-index:-25123328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4YSxYAAI6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">
                    <v:shape id="Freeform 2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5lcEA&#10;AADcAAAADwAAAGRycy9kb3ducmV2LnhtbERPS2rDMBDdF3oHMYHuEtlufriRQwkUumgpcXyAwZpa&#10;JtbISErs3r5aFLp8vP/hONtB3MmH3rGCfJWBIG6d7rlT0FzelnsQISJrHByTgh8KcKweHw5Yajfx&#10;me517EQK4VCiAhPjWEoZWkMWw8qNxIn7dt5iTNB3UnucUrgdZJFlW2mx59RgcKSTofZa36wCzJ+9&#10;vjTbZvqU9fpjbbJi89Uo9bSYX19ARJrjv/jP/a4V7Io0P51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uZX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7ZMcA&#10;AADcAAAADwAAAGRycy9kb3ducmV2LnhtbESPQWvCQBSE7wX/w/KEXqRu1GoluooNWApejPbQ4yP7&#10;TGKzb9PsxqT/vlsQehxm5htmve1NJW7UuNKygsk4AkGcWV1yruDjvH9agnAeWWNlmRT8kIPtZvCw&#10;xljbjlO6nXwuAoRdjAoK7+tYSpcVZNCNbU0cvIttDPogm1zqBrsAN5WcRtFCGiw5LBRYU1JQ9nVq&#10;jYJR2R7OMmk/k1eTPr/Nd9119n1U6nHY71YgPPX+P3xvv2sFL9MJ/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O2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82848" behindDoc="1" locked="1" layoutInCell="1" allowOverlap="1" wp14:anchorId="4B1A0550" wp14:editId="404AAA13">
                    <wp:simplePos x="0" y="0"/>
                    <wp:positionH relativeFrom="rightMargin">
                      <wp:posOffset>-1345565</wp:posOffset>
                    </wp:positionH>
                    <wp:positionV relativeFrom="page">
                      <wp:posOffset>24765</wp:posOffset>
                    </wp:positionV>
                    <wp:extent cx="1329690" cy="65405"/>
                    <wp:effectExtent l="0" t="0" r="3810" b="0"/>
                    <wp:wrapNone/>
                    <wp:docPr id="2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23"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A0E73F" id="Group 7" o:spid="_x0000_s1026" style="position:absolute;margin-left:-105.95pt;margin-top:1.95pt;width:104.7pt;height:5.15pt;z-index:-2513336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hrR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x5r4a0QWAABviQAADgAAAAAA&#10;AAAAAAAAAAAuAgAAZHJzL2Uyb0RvYy54bWxQSwECLQAUAAYACAAAACEAqRec098AAAAIAQAADwAA&#10;AAAAAAAAAAAAAACeGAAAZHJzL2Rvd25yZXYueG1sUEsFBgAAAAAEAAQA8wAAAKoZAAAAAA==&#10;">
                    <v:shape id="Freeform 2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n4sQA&#10;AADcAAAADwAAAGRycy9kb3ducmV2LnhtbESPUWvCMBSF3wf7D+EO9jZTq3OjGmUMBj4ow9ofcGmu&#10;TVlzU5LM1n9vBMHHwznnO5zVZrSdOJMPrWMF00kGgrh2uuVGQXX8efsEESKyxs4xKbhQgM36+WmF&#10;hXYDH+hcxkYkCIcCFZgY+0LKUBuyGCauJ07eyXmLMUnfSO1xSHDbyTzLFtJiy2nBYE/fhuq/8t8q&#10;wOnM62O1qIa9LOe7ucny999KqdeX8WsJItIYH+F7e6sVfOQ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J+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McA&#10;AADcAAAADwAAAGRycy9kb3ducmV2LnhtbESPQWvCQBSE74X+h+UVvIhutLaW1FVswFLwYtSDx0f2&#10;NUnNvk2zGxP/vVsQehxm5htmsepNJS7UuNKygsk4AkGcWV1yruB42IzeQDiPrLGyTAqu5GC1fHxY&#10;YKxtxyld9j4XAcIuRgWF93UspcsKMujGtiYO3rdtDPogm1zqBrsAN5WcRtGrNFhyWCiwpqSg7Lxv&#10;jYJh2W4PMmlPyYdJZ58v6+7n+Xen1OCpX7+D8NT7//C9/aUVzKcz+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mPz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A009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Pr="00137811" w:rsidRDefault="00C66EF8" w:rsidP="0013781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F8" w:rsidRPr="00137811" w:rsidRDefault="00C66EF8" w:rsidP="0013781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33" w:type="dxa"/>
      <w:tblBorders>
        <w:top w:val="single" w:sz="4" w:space="0" w:color="000001"/>
      </w:tblBorders>
      <w:tblLayout w:type="fixed"/>
      <w:tblCellMar>
        <w:left w:w="0" w:type="dxa"/>
        <w:right w:w="0" w:type="dxa"/>
      </w:tblCellMar>
      <w:tblLook w:val="04A0" w:firstRow="1" w:lastRow="0" w:firstColumn="1" w:lastColumn="0" w:noHBand="0" w:noVBand="1"/>
    </w:tblPr>
    <w:tblGrid>
      <w:gridCol w:w="5639"/>
      <w:gridCol w:w="5350"/>
      <w:gridCol w:w="444"/>
    </w:tblGrid>
    <w:tr w:rsidR="00C66EF8" w:rsidTr="00401D90">
      <w:trPr>
        <w:gridAfter w:val="1"/>
        <w:wAfter w:w="444" w:type="dxa"/>
        <w:trHeight w:hRule="exact" w:val="240"/>
      </w:trPr>
      <w:tc>
        <w:tcPr>
          <w:tcW w:w="5639" w:type="dxa"/>
          <w:tcBorders>
            <w:top w:val="single" w:sz="4" w:space="0" w:color="auto"/>
          </w:tcBorders>
          <w:shd w:val="clear" w:color="auto" w:fill="auto"/>
        </w:tcPr>
        <w:p w:rsidR="00C66EF8" w:rsidRDefault="00C66EF8" w:rsidP="006674E0">
          <w:pPr>
            <w:pStyle w:val="Header-CompanyName"/>
          </w:pPr>
        </w:p>
      </w:tc>
      <w:tc>
        <w:tcPr>
          <w:tcW w:w="5350" w:type="dxa"/>
          <w:tcBorders>
            <w:top w:val="single" w:sz="4" w:space="0" w:color="auto"/>
          </w:tcBorders>
          <w:shd w:val="clear" w:color="auto" w:fill="auto"/>
          <w:tcMar>
            <w:top w:w="56" w:type="dxa"/>
            <w:right w:w="8" w:type="dxa"/>
          </w:tcMar>
        </w:tcPr>
        <w:p w:rsidR="00C66EF8" w:rsidRDefault="00C66EF8" w:rsidP="006674E0">
          <w:pPr>
            <w:pStyle w:val="Header-CompanyName"/>
          </w:pPr>
        </w:p>
      </w:tc>
    </w:tr>
    <w:tr w:rsidR="00C66EF8" w:rsidTr="00401D90">
      <w:trPr>
        <w:trHeight w:hRule="exact" w:val="1076"/>
      </w:trPr>
      <w:tc>
        <w:tcPr>
          <w:tcW w:w="5639" w:type="dxa"/>
          <w:shd w:val="clear" w:color="auto" w:fill="auto"/>
        </w:tcPr>
        <w:p w:rsidR="00C66EF8" w:rsidRDefault="00C66EF8" w:rsidP="006674E0">
          <w:pPr>
            <w:pStyle w:val="Header-CompanyName"/>
          </w:pPr>
        </w:p>
      </w:tc>
      <w:tc>
        <w:tcPr>
          <w:tcW w:w="5794" w:type="dxa"/>
          <w:gridSpan w:val="2"/>
          <w:tcBorders>
            <w:top w:val="nil"/>
            <w:bottom w:val="nil"/>
          </w:tcBorders>
          <w:shd w:val="clear" w:color="auto" w:fill="auto"/>
          <w:tcMar>
            <w:top w:w="56" w:type="dxa"/>
            <w:right w:w="8" w:type="dxa"/>
          </w:tcMar>
        </w:tcPr>
        <w:p w:rsidR="00C66EF8" w:rsidRPr="00DD7896" w:rsidRDefault="00C66EF8" w:rsidP="006674E0">
          <w:pPr>
            <w:pStyle w:val="Header-CompanyName"/>
            <w:rPr>
              <w:spacing w:val="28"/>
            </w:rPr>
          </w:pPr>
        </w:p>
      </w:tc>
    </w:tr>
  </w:tbl>
  <w:p w:rsidR="00C66EF8" w:rsidRPr="00137811" w:rsidRDefault="00C66EF8" w:rsidP="001378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5308"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43FBB">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05376" behindDoc="1" locked="1" layoutInCell="1" allowOverlap="1" wp14:anchorId="144C315E" wp14:editId="4A0EAAC8">
                    <wp:simplePos x="0" y="0"/>
                    <wp:positionH relativeFrom="page">
                      <wp:posOffset>-1345565</wp:posOffset>
                    </wp:positionH>
                    <wp:positionV relativeFrom="page">
                      <wp:posOffset>24765</wp:posOffset>
                    </wp:positionV>
                    <wp:extent cx="1329690" cy="65405"/>
                    <wp:effectExtent l="0" t="0" r="3810" b="0"/>
                    <wp:wrapNone/>
                    <wp:docPr id="1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67" name="Freeform 16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 name="Freeform 1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0795B3" id="Group 7" o:spid="_x0000_s1026" style="position:absolute;margin-left:-105.95pt;margin-top:1.95pt;width:104.7pt;height:5.15pt;z-index:-251311104;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ECaVQEcWAACOiQAADgAA&#10;AAAAAAAAAAAAAAAuAgAAZHJzL2Uyb0RvYy54bWxQSwECLQAUAAYACAAAACEAqRec098AAAAIAQAA&#10;DwAAAAAAAAAAAAAAAAChGAAAZHJzL2Rvd25yZXYueG1sUEsFBgAAAAAEAAQA8wAAAK0ZAAAAAA==&#10;">
                    <v:shape id="Freeform 16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a2cIA&#10;AADcAAAADwAAAGRycy9kb3ducmV2LnhtbERP3WrCMBS+F3yHcITdaarTbnRGkcFgFw5Z2wc4NGdN&#10;WXNSkmi7tzeDwe7Ox/d79sfJ9uJGPnSOFaxXGQjixumOWwV19bZ8BhEissbeMSn4oQDHw3y2x0K7&#10;kT/pVsZWpBAOBSowMQ6FlKExZDGs3ECcuC/nLcYEfSu1xzGF215usiyXFjtODQYHejXUfJdXqwDX&#10;j15XdV6PH7Lcnrcm2+wutVIPi+n0AiLSFP/Ff+53nebnT/D7TLpA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VrZ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O9cQA&#10;AADcAAAADwAAAGRycy9kb3ducmV2LnhtbERPS2vCQBC+C/0PyxS8FN3U+iipq9hARfDi6+BxyE6T&#10;tNnZNLsx8d+7QsHbfHzPmS87U4oL1a6wrOB1GIEgTq0uOFNwOn4N3kE4j6yxtEwKruRguXjqzTHW&#10;tuU9XQ4+EyGEXYwKcu+rWEqX5mTQDW1FHLhvWxv0AdaZ1DW2IdyUchRFU2mw4NCQY0VJTunvoTEK&#10;Xopme5RJc04+zX68nqzan7e/nVL95271AcJT5x/if/dGh/mzKd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TvX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85568" behindDoc="1" locked="1" layoutInCell="1" allowOverlap="1" wp14:anchorId="378E70F3" wp14:editId="6E8FD970">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D31BFF" id="Group 7" o:spid="_x0000_s1026" style="position:absolute;margin-left:-105.95pt;margin-top:1.95pt;width:104.7pt;height:5.15pt;z-index:-2514309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OR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S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hxDBg5FgAAb4kAAA4AAAAAAAAAAAAAAAAALgIA&#10;AGRycy9lMm9Eb2MueG1sUEsBAi0AFAAGAAgAAAAhAKkXnNPfAAAACAEAAA8AAAAAAAAAAAAAAAAA&#10;kxgAAGRycy9kb3ducmV2LnhtbFBLBQYAAAAABAAEAPMAAACf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E16C89" w:rsidRDefault="00C66EF8" w:rsidP="00F141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50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43FBB">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07424" behindDoc="1" locked="1" layoutInCell="1" allowOverlap="1" wp14:anchorId="254CAD63" wp14:editId="09A46FB5">
                    <wp:simplePos x="0" y="0"/>
                    <wp:positionH relativeFrom="page">
                      <wp:posOffset>5928995</wp:posOffset>
                    </wp:positionH>
                    <wp:positionV relativeFrom="page">
                      <wp:posOffset>356235</wp:posOffset>
                    </wp:positionV>
                    <wp:extent cx="1329690" cy="65405"/>
                    <wp:effectExtent l="0" t="0" r="3810" b="0"/>
                    <wp:wrapNone/>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78" name="Freeform 1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 name="Freeform 1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BB1E7F" id="Group 7" o:spid="_x0000_s1026" style="position:absolute;margin-left:466.85pt;margin-top:28.05pt;width:104.7pt;height:5.15pt;z-index:-251309056;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2mRxYAAI6JAAAOAAAAZHJzL2Uyb0RvYy54bWzsXVuPG8lufg+Q/yDMYwDvqPomabDeA+zF&#10;iwCbkwXWQZ5ljeaCzEgTSd7xniD/PR+ritXF7mY3e73I0/jBnmGzyeKl2Kwqsvz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">
                    <v:shape id="Freeform 1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dsUA&#10;AADcAAAADwAAAGRycy9kb3ducmV2LnhtbESPzWrDMBCE74W+g9hCb42cnybBiRJKIdBDS4njB1is&#10;jWVqrYykxu7bdw+F3naZ2Zlv98fJ9+pGMXWBDcxnBSjiJtiOWwP15fS0BZUyssU+MBn4oQTHw/3d&#10;HksbRj7TrcqtkhBOJRpwOQ+l1qlx5DHNwkAs2jVEj1nW2GobcZRw3+tFUay1x46lweFAr46ar+rb&#10;G8D5MtpLva7HD12t3leuWDx/1sY8PkwvO1CZpvxv/rt+s4K/EVp5Ri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1h2xQAAANwAAAAPAAAAAAAAAAAAAAAAAJgCAABkcnMv&#10;ZG93bnJldi54bWxQSwUGAAAAAAQABAD1AAAAig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ah8UA&#10;AADcAAAADwAAAGRycy9kb3ducmV2LnhtbERPTWvCQBC9F/wPywheSt2otdXUVTRQEbxU7aHHITtN&#10;otnZmN2Y+O+7hUJv83ifs1h1phQ3ql1hWcFoGIEgTq0uOFPweXp/moFwHlljaZkU3MnBatl7WGCs&#10;bcsHuh19JkIIuxgV5N5XsZQuzcmgG9qKOHDftjboA6wzqWtsQ7gp5TiKXqTBgkNDjhUlOaWXY2MU&#10;PBbN/iST5ivZmMPzdrpuz5Prh1KDfrd+A+Gp8//iP/dOh/mvc/h9Jl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dqH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83520" behindDoc="1" locked="1" layoutInCell="1" allowOverlap="1" wp14:anchorId="1F95A29D" wp14:editId="4A8C1D81">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D718EB" id="Group 7" o:spid="_x0000_s1026" style="position:absolute;margin-left:-105.95pt;margin-top:1.95pt;width:104.7pt;height:5.15pt;z-index:-2514329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0KsGtjsWAABviQAADgAAAAAAAAAAAAAAAAAu&#10;AgAAZHJzL2Uyb0RvYy54bWxQSwECLQAUAAYACAAAACEAqRec098AAAAIAQAADwAAAAAAAAAAAAAA&#10;AACVGAAAZHJzL2Rvd25yZXYueG1sUEsFBgAAAAAEAAQA8wAAAKE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Default="00C66EF8" w:rsidP="00F1413A">
    <w:pPr>
      <w:pStyle w:val="Headersmall"/>
    </w:pPr>
  </w:p>
  <w:tbl>
    <w:tblPr>
      <w:tblW w:w="8488" w:type="dxa"/>
      <w:tblBorders>
        <w:bottom w:val="single" w:sz="4" w:space="0" w:color="auto"/>
      </w:tblBorders>
      <w:tblLayout w:type="fixed"/>
      <w:tblCellMar>
        <w:left w:w="0" w:type="dxa"/>
        <w:right w:w="0" w:type="dxa"/>
      </w:tblCellMar>
      <w:tblLook w:val="04A0" w:firstRow="1" w:lastRow="0" w:firstColumn="1" w:lastColumn="0" w:noHBand="0" w:noVBand="1"/>
    </w:tblPr>
    <w:tblGrid>
      <w:gridCol w:w="8488"/>
    </w:tblGrid>
    <w:tr w:rsidR="00C66EF8" w:rsidTr="00401D90">
      <w:trPr>
        <w:trHeight w:hRule="exact" w:val="1744"/>
      </w:trPr>
      <w:tc>
        <w:tcPr>
          <w:tcW w:w="8488" w:type="dxa"/>
          <w:shd w:val="clear" w:color="auto" w:fill="auto"/>
          <w:tcMar>
            <w:right w:w="0" w:type="dxa"/>
          </w:tcMar>
          <w:vAlign w:val="bottom"/>
        </w:tcPr>
        <w:p w:rsidR="00C66EF8" w:rsidRDefault="00C66EF8" w:rsidP="00C4180B">
          <w:pPr>
            <w:pStyle w:val="TOCHeadingwide"/>
          </w:pPr>
          <w:r>
            <w:t>Contents</w:t>
          </w:r>
        </w:p>
      </w:tc>
    </w:tr>
  </w:tbl>
  <w:p w:rsidR="00C66EF8" w:rsidRPr="00E16C89" w:rsidRDefault="00C66EF8" w:rsidP="00F141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50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1413A">
          <w:pPr>
            <w:pStyle w:val="Header-CompanyName"/>
          </w:pPr>
        </w:p>
      </w:tc>
      <w:tc>
        <w:tcPr>
          <w:tcW w:w="5730" w:type="dxa"/>
          <w:shd w:val="clear" w:color="auto" w:fill="auto"/>
          <w:tcMar>
            <w:top w:w="56" w:type="dxa"/>
            <w:right w:w="8" w:type="dxa"/>
          </w:tcMar>
        </w:tcPr>
        <w:p w:rsidR="00C66EF8" w:rsidRDefault="00C66EF8" w:rsidP="00F1413A">
          <w:pPr>
            <w:pStyle w:val="Header-CompanyName"/>
          </w:pPr>
          <w:r>
            <w:rPr>
              <w:noProof/>
              <w:lang w:eastAsia="en-AU"/>
            </w:rPr>
            <mc:AlternateContent>
              <mc:Choice Requires="wpg">
                <w:drawing>
                  <wp:anchor distT="0" distB="0" distL="114300" distR="114300" simplePos="0" relativeHeight="252009472" behindDoc="1" locked="1" layoutInCell="1" allowOverlap="1" wp14:anchorId="2A917B3F" wp14:editId="2A31E3B3">
                    <wp:simplePos x="0" y="0"/>
                    <wp:positionH relativeFrom="page">
                      <wp:posOffset>5928995</wp:posOffset>
                    </wp:positionH>
                    <wp:positionV relativeFrom="page">
                      <wp:posOffset>356235</wp:posOffset>
                    </wp:positionV>
                    <wp:extent cx="1329690" cy="65405"/>
                    <wp:effectExtent l="0" t="0" r="3810" b="0"/>
                    <wp:wrapNone/>
                    <wp:docPr id="18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81" name="Freeform 18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2" name="Freeform 18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41C0F2" id="Group 7" o:spid="_x0000_s1026" style="position:absolute;margin-left:466.85pt;margin-top:28.05pt;width:104.7pt;height:5.15pt;z-index:-251307008;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BPB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">
                    <v:shape id="Freeform 18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BzMEA&#10;AADcAAAADwAAAGRycy9kb3ducmV2LnhtbERP3WrCMBS+H+wdwhl4N9OqE6lGGQPBi4lY+wCH5tiU&#10;NSclyWx9ezMQdnc+vt+z2Y22EzfyoXWsIJ9mIIhrp1tuFFSX/fsKRIjIGjvHpOBOAXbb15cNFtoN&#10;fKZbGRuRQjgUqMDE2BdShtqQxTB1PXHirs5bjAn6RmqPQwq3nZxl2VJabDk1GOzpy1D9U/5aBZjP&#10;vb5Uy2o4ynLxvTDZ7ONUKTV5Gz/XICKN8V/8dB90mr/K4e+Zd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0gcz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40cUA&#10;AADcAAAADwAAAGRycy9kb3ducmV2LnhtbERPS2vCQBC+F/wPywheSt1Ua5E0G9GAUvDio4ceh+w0&#10;SZudTbMbE/99Vyh4m4/vOclqMLW4UOsqywqepxEI4tzqigsFH+ft0xKE88gaa8uk4EoOVunoIcFY&#10;256PdDn5QoQQdjEqKL1vYildXpJBN7UNceC+bGvQB9gWUrfYh3BTy1kUvUqDFYeGEhvKSsp/Tp1R&#10;8Fh1+7PMus9sY44vu8W6/57/HpSajIf1GwhPg7+L/93vOsxfzuD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DjR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884544" behindDoc="1" locked="1" layoutInCell="1" allowOverlap="1" wp14:anchorId="7C54A7BD" wp14:editId="56B4019C">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1CA465" id="Group 7" o:spid="_x0000_s1026" style="position:absolute;margin-left:-105.95pt;margin-top:1.95pt;width:104.7pt;height:5.15pt;z-index:-2514319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F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Xptyz4WAABviQAADgAAAAAAAAAAAAAA&#10;AAAuAgAAZHJzL2Uyb0RvYy54bWxQSwECLQAUAAYACAAAACEAqRec098AAAAIAQAADwAAAAAAAAAA&#10;AAAAAACYGAAAZHJzL2Rvd25yZXYueG1sUEsFBgAAAAAEAAQA8wAAAKQZA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Default="00C66EF8" w:rsidP="00F1413A">
    <w:pPr>
      <w:pStyle w:val="Headersmall"/>
    </w:pPr>
  </w:p>
  <w:tbl>
    <w:tblPr>
      <w:tblW w:w="8488" w:type="dxa"/>
      <w:tblBorders>
        <w:bottom w:val="single" w:sz="4" w:space="0" w:color="auto"/>
      </w:tblBorders>
      <w:tblLayout w:type="fixed"/>
      <w:tblCellMar>
        <w:left w:w="0" w:type="dxa"/>
        <w:right w:w="0" w:type="dxa"/>
      </w:tblCellMar>
      <w:tblLook w:val="04A0" w:firstRow="1" w:lastRow="0" w:firstColumn="1" w:lastColumn="0" w:noHBand="0" w:noVBand="1"/>
    </w:tblPr>
    <w:tblGrid>
      <w:gridCol w:w="8488"/>
    </w:tblGrid>
    <w:tr w:rsidR="00C66EF8" w:rsidTr="00401D90">
      <w:trPr>
        <w:trHeight w:hRule="exact" w:val="1744"/>
      </w:trPr>
      <w:tc>
        <w:tcPr>
          <w:tcW w:w="8488" w:type="dxa"/>
          <w:shd w:val="clear" w:color="auto" w:fill="auto"/>
          <w:tcMar>
            <w:right w:w="0" w:type="dxa"/>
          </w:tcMar>
          <w:vAlign w:val="bottom"/>
        </w:tcPr>
        <w:p w:rsidR="00C66EF8" w:rsidRDefault="00C66EF8" w:rsidP="00C4180B">
          <w:pPr>
            <w:pStyle w:val="TOCHeadingwide"/>
          </w:pPr>
          <w:r>
            <w:t>Contents</w:t>
          </w:r>
        </w:p>
      </w:tc>
    </w:tr>
  </w:tbl>
  <w:p w:rsidR="00C66EF8" w:rsidRPr="00E16C89" w:rsidRDefault="00C66EF8" w:rsidP="00F141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371E4">
          <w:pPr>
            <w:pStyle w:val="Header-CompanyName"/>
          </w:pPr>
        </w:p>
      </w:tc>
      <w:tc>
        <w:tcPr>
          <w:tcW w:w="5730" w:type="dxa"/>
          <w:shd w:val="clear" w:color="auto" w:fill="auto"/>
          <w:tcMar>
            <w:top w:w="56" w:type="dxa"/>
            <w:right w:w="8" w:type="dxa"/>
          </w:tcMar>
        </w:tcPr>
        <w:p w:rsidR="00C66EF8" w:rsidRDefault="00C66EF8" w:rsidP="00F371E4">
          <w:pPr>
            <w:pStyle w:val="Header-CompanyName"/>
          </w:pPr>
          <w:r>
            <w:rPr>
              <w:noProof/>
              <w:lang w:eastAsia="en-AU"/>
            </w:rPr>
            <mc:AlternateContent>
              <mc:Choice Requires="wpg">
                <w:drawing>
                  <wp:anchor distT="0" distB="0" distL="114300" distR="114300" simplePos="0" relativeHeight="252011520" behindDoc="1" locked="1" layoutInCell="1" allowOverlap="1" wp14:anchorId="2B58560F" wp14:editId="76EA509E">
                    <wp:simplePos x="0" y="0"/>
                    <wp:positionH relativeFrom="page">
                      <wp:posOffset>-1345565</wp:posOffset>
                    </wp:positionH>
                    <wp:positionV relativeFrom="page">
                      <wp:posOffset>24765</wp:posOffset>
                    </wp:positionV>
                    <wp:extent cx="1329690" cy="65405"/>
                    <wp:effectExtent l="0" t="0" r="3810" b="0"/>
                    <wp:wrapNone/>
                    <wp:docPr id="1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84" name="Freeform 1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5" name="Freeform 18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BB8573" id="Group 7" o:spid="_x0000_s1026" style="position:absolute;margin-left:-105.95pt;margin-top:1.95pt;width:104.7pt;height:5.15pt;z-index:-251304960;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npR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Aof3npRhYAAI6JAAAOAAAA&#10;AAAAAAAAAAAAAC4CAABkcnMvZTJvRG9jLnhtbFBLAQItABQABgAIAAAAIQCpF5zT3wAAAAgBAAAP&#10;AAAAAAAAAAAAAAAAAKAYAABkcnMvZG93bnJldi54bWxQSwUGAAAAAAQABADzAAAArBkAAAAA&#10;">
                    <v:shape id="Freeform 1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iVMEA&#10;AADcAAAADwAAAGRycy9kb3ducmV2LnhtbERP3WrCMBS+H/gO4Qi7m6muE6lGEUHwYjJW+wCH5tgU&#10;m5OSRNu9/TIQdnc+vt+z2Y22Ew/yoXWsYD7LQBDXTrfcKKgux7cViBCRNXaOScEPBdhtJy8bLLQb&#10;+JseZWxECuFQoAITY19IGWpDFsPM9cSJuzpvMSboG6k9DincdnKRZUtpseXUYLCng6H6Vt6tApy/&#10;e32pltVwlmX+mZts8fFVKfU6HfdrEJHG+C9+uk86zV/l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IlT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gpcUA&#10;AADcAAAADwAAAGRycy9kb3ducmV2LnhtbERPS2vCQBC+F/oflin0UnTTWkuIWcUGFMGLr4PHITtN&#10;0mZn0+zGxH/vCoXe5uN7TroYTC0u1LrKsoLXcQSCOLe64kLB6bgaxSCcR9ZYWyYFV3KwmD8+pJho&#10;2/OeLgdfiBDCLkEFpfdNIqXLSzLoxrYhDtyXbQ36ANtC6hb7EG5q+RZFH9JgxaGhxIaykvKfQ2cU&#10;vFTd9iiz7px9mv37errsvye/O6Wen4blDISnwf+L/9wbHebHU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aCl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98208" behindDoc="1" locked="1" layoutInCell="1" allowOverlap="1" wp14:anchorId="52AE9291" wp14:editId="0E3996CD">
                    <wp:simplePos x="0" y="0"/>
                    <wp:positionH relativeFrom="rightMargin">
                      <wp:posOffset>-1345565</wp:posOffset>
                    </wp:positionH>
                    <wp:positionV relativeFrom="page">
                      <wp:posOffset>24765</wp:posOffset>
                    </wp:positionV>
                    <wp:extent cx="1329690" cy="65405"/>
                    <wp:effectExtent l="0" t="0" r="3810" b="0"/>
                    <wp:wrapNone/>
                    <wp:docPr id="12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8" name="Freeform 12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12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439393" id="Group 7" o:spid="_x0000_s1026" style="position:absolute;margin-left:-105.95pt;margin-top:1.95pt;width:104.7pt;height:5.15pt;z-index:-2513182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JOQB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DP8fJOQBYAAG+JAAAOAAAAAAAAAAAA&#10;AAAAAC4CAABkcnMvZTJvRG9jLnhtbFBLAQItABQABgAIAAAAIQCpF5zT3wAAAAgBAAAPAAAAAAAA&#10;AAAAAAAAAJoYAABkcnMvZG93bnJldi54bWxQSwUGAAAAAAQABADzAAAAphkAAAAA&#10;">
                    <v:shape id="Freeform 12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3a8QA&#10;AADcAAAADwAAAGRycy9kb3ducmV2LnhtbESPQWvDMAyF74P9B6NBb6vTtCsjrVvGYNDDxliaHyBi&#10;LQ6N5WB7Tfrvp8NgN4n39N6n/XH2g7pSTH1gA6tlAYq4DbbnzkBzfnt8BpUyssUhMBm4UYLj4f5u&#10;j5UNE3/Rtc6dkhBOFRpwOY+V1ql15DEtw0gs2neIHrOssdM24iThftBlUWy1x56lweFIr47aS/3j&#10;DeBqHe252TbTh6437xtXlE+fjTGLh/llByrTnP/Nf9cnK/il0MozMo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d2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1msUA&#10;AADcAAAADwAAAGRycy9kb3ducmV2LnhtbERPTWvCQBC9F/wPywi9lLpR21Kjq9iARfDSaA8eh+yY&#10;RLOzMbsx6b93C4Xe5vE+Z7HqTSVu1LjSsoLxKAJBnFldcq7g+7B5fgfhPLLGyjIp+CEHq+XgYYGx&#10;th2ndNv7XIQQdjEqKLyvYyldVpBBN7I1ceBOtjHoA2xyqRvsQrip5CSK3qTBkkNDgTUlBWWXfWsU&#10;PJXt7iCT9ph8mPTl83XdnafXL6Ueh/16DsJT7//Ff+6tDvMnM/h9Jl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vWa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371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8" w:type="dxa"/>
      <w:tblInd w:w="-2820" w:type="dxa"/>
      <w:tblBorders>
        <w:top w:val="single" w:sz="4" w:space="0" w:color="000001"/>
      </w:tblBorders>
      <w:tblLayout w:type="fixed"/>
      <w:tblCellMar>
        <w:left w:w="0" w:type="dxa"/>
        <w:right w:w="0" w:type="dxa"/>
      </w:tblCellMar>
      <w:tblLook w:val="04A0" w:firstRow="1" w:lastRow="0" w:firstColumn="1" w:lastColumn="0" w:noHBand="0" w:noVBand="1"/>
    </w:tblPr>
    <w:tblGrid>
      <w:gridCol w:w="5258"/>
      <w:gridCol w:w="5730"/>
    </w:tblGrid>
    <w:tr w:rsidR="00C66EF8" w:rsidTr="00D92760">
      <w:trPr>
        <w:trHeight w:hRule="exact" w:val="240"/>
      </w:trPr>
      <w:tc>
        <w:tcPr>
          <w:tcW w:w="5258" w:type="dxa"/>
          <w:shd w:val="clear" w:color="auto" w:fill="auto"/>
        </w:tcPr>
        <w:p w:rsidR="00C66EF8" w:rsidRDefault="00C66EF8" w:rsidP="00F371E4">
          <w:pPr>
            <w:pStyle w:val="Header-CompanyName"/>
          </w:pPr>
        </w:p>
      </w:tc>
      <w:tc>
        <w:tcPr>
          <w:tcW w:w="5730" w:type="dxa"/>
          <w:shd w:val="clear" w:color="auto" w:fill="auto"/>
          <w:tcMar>
            <w:top w:w="56" w:type="dxa"/>
            <w:right w:w="8" w:type="dxa"/>
          </w:tcMar>
        </w:tcPr>
        <w:p w:rsidR="00C66EF8" w:rsidRDefault="00C66EF8" w:rsidP="00F371E4">
          <w:pPr>
            <w:pStyle w:val="Header-CompanyName"/>
          </w:pPr>
          <w:r>
            <w:rPr>
              <w:noProof/>
              <w:lang w:eastAsia="en-AU"/>
            </w:rPr>
            <mc:AlternateContent>
              <mc:Choice Requires="wpg">
                <w:drawing>
                  <wp:anchor distT="0" distB="0" distL="114300" distR="114300" simplePos="0" relativeHeight="252013568" behindDoc="1" locked="1" layoutInCell="1" allowOverlap="1" wp14:anchorId="71FFE7C7" wp14:editId="016BBDE0">
                    <wp:simplePos x="0" y="0"/>
                    <wp:positionH relativeFrom="page">
                      <wp:posOffset>5928995</wp:posOffset>
                    </wp:positionH>
                    <wp:positionV relativeFrom="page">
                      <wp:posOffset>356235</wp:posOffset>
                    </wp:positionV>
                    <wp:extent cx="1329690" cy="65405"/>
                    <wp:effectExtent l="0" t="0" r="3810" b="0"/>
                    <wp:wrapNone/>
                    <wp:docPr id="1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576" name="Freeform 57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7" name="Freeform 57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6DC112" id="Group 7" o:spid="_x0000_s1026" style="position:absolute;margin-left:466.85pt;margin-top:28.05pt;width:104.7pt;height:5.15pt;z-index:-251302912;mso-position-horizontal-relative:page;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">
                    <v:shape id="Freeform 57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sQA&#10;AADcAAAADwAAAGRycy9kb3ducmV2LnhtbESPUWvCMBSF3wf7D+EOfJupTrtRjTIGAx+UYe0PuDTX&#10;pqy5KUlm6783grDHwznnO5z1drSduJAPrWMFs2kGgrh2uuVGQXX6fv0AESKyxs4xKbhSgO3m+WmN&#10;hXYDH+lSxkYkCIcCFZgY+0LKUBuyGKauJ07e2XmLMUnfSO1xSHDbyXmW5dJiy2nBYE9fhurf8s8q&#10;wNmb16cqr4aDLBf7hcnmy59KqcnL+LkCEWmM/+FHe6cVLN9z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xY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7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Hd8cA&#10;AADcAAAADwAAAGRycy9kb3ducmV2LnhtbESPzWvCQBTE74X+D8sreCm68atK6ioaUAq91I+Dx0f2&#10;NUmbfRuzGxP/e7cg9DjMzG+YxaozpbhS7QrLCoaDCARxanXBmYLTcdufg3AeWWNpmRTcyMFq+fy0&#10;wFjblvd0PfhMBAi7GBXk3lexlC7NyaAb2Io4eN+2NuiDrDOpa2wD3JRyFEVv0mDBYSHHipKc0t9D&#10;YxS8Fs3nUSbNOdmY/WQ3Xbc/48uXUr2Xbv0OwlPn/8OP9odWMJ3N4O9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hR3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page" anchory="page"/>
                    <w10:anchorlock/>
                  </v:group>
                </w:pict>
              </mc:Fallback>
            </mc:AlternateContent>
          </w:r>
          <w:r w:rsidRPr="002C3B4B">
            <w:rPr>
              <w:noProof/>
              <w:color w:val="BEB6AF"/>
              <w:lang w:eastAsia="en-AU"/>
            </w:rPr>
            <mc:AlternateContent>
              <mc:Choice Requires="wpg">
                <w:drawing>
                  <wp:anchor distT="0" distB="0" distL="114300" distR="114300" simplePos="0" relativeHeight="251996160" behindDoc="1" locked="1" layoutInCell="1" allowOverlap="1" wp14:anchorId="525AECF2" wp14:editId="0540DBC8">
                    <wp:simplePos x="0" y="0"/>
                    <wp:positionH relativeFrom="rightMargin">
                      <wp:posOffset>-1345565</wp:posOffset>
                    </wp:positionH>
                    <wp:positionV relativeFrom="page">
                      <wp:posOffset>24765</wp:posOffset>
                    </wp:positionV>
                    <wp:extent cx="1329690" cy="65405"/>
                    <wp:effectExtent l="0" t="0" r="3810" b="0"/>
                    <wp:wrapNone/>
                    <wp:docPr id="13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1" name="Freeform 13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3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D74A26" id="Group 7" o:spid="_x0000_s1026" style="position:absolute;margin-left:-105.95pt;margin-top:1.95pt;width:104.7pt;height:5.15pt;z-index:-2513203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e9O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Rer3vTgWAABviQAADgAAAAAAAAAAAAAAAAAuAgAA&#10;ZHJzL2Uyb0RvYy54bWxQSwECLQAUAAYACAAAACEAqRec098AAAAIAQAADwAAAAAAAAAAAAAAAACS&#10;GAAAZHJzL2Rvd25yZXYueG1sUEsFBgAAAAAEAAQA8wAAAJ4ZAAAAAA==&#10;">
                    <v:shape id="Freeform 13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K8EA&#10;AADcAAAADwAAAGRycy9kb3ducmV2LnhtbERP3WrCMBS+H+wdwhl4N9OqE+mMIoLgxUSsfYBDc2zK&#10;mpOSRNu9/TIQdnc+vt+z3o62Ew/yoXWsIJ9mIIhrp1tuFFTXw/sKRIjIGjvHpOCHAmw3ry9rLLQb&#10;+EKPMjYihXAoUIGJsS+kDLUhi2HqeuLE3Zy3GBP0jdQehxRuOznLsqW02HJqMNjT3lD9Xd6tAszn&#10;Xl+rZTWcZLn4Wphs9nGulJq8jbtPEJHG+C9+uo86zZ/n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SCv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3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xNsQA&#10;AADcAAAADwAAAGRycy9kb3ducmV2LnhtbERPS2vCQBC+C/0PywhepG6qtpTUVTSgCF589NDjkJ0m&#10;qdnZmN2Y+O9dQehtPr7nzBadKcWValdYVvA2ikAQp1YXnCn4Pq1fP0E4j6yxtEwKbuRgMX/pzTDW&#10;tuUDXY8+EyGEXYwKcu+rWEqX5mTQjWxFHLhfWxv0AdaZ1DW2IdyUchxFH9JgwaEhx4qSnNLzsTEK&#10;hkWzO8mk+UlW5jDdvC/bv8llr9Sg3y2/QHjq/L/46d7qMH8yhsc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8T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C66EF8" w:rsidRPr="00584A21" w:rsidRDefault="00C66EF8" w:rsidP="00F371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9438BE0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20E084C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F01497"/>
    <w:multiLevelType w:val="multilevel"/>
    <w:tmpl w:val="55DAED7E"/>
    <w:numStyleLink w:val="aaTableListBullets"/>
  </w:abstractNum>
  <w:abstractNum w:abstractNumId="7"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6D671DF"/>
    <w:multiLevelType w:val="hybridMultilevel"/>
    <w:tmpl w:val="0DA6ED1E"/>
    <w:lvl w:ilvl="0" w:tplc="54CA5F08">
      <w:start w:val="1"/>
      <w:numFmt w:val="bullet"/>
      <w:lvlText w:val="—"/>
      <w:lvlJc w:val="left"/>
      <w:pPr>
        <w:ind w:left="264" w:hanging="360"/>
      </w:pPr>
      <w:rPr>
        <w:rFonts w:ascii="HelveticaNeueLT Std Lt Cn" w:hAnsi="HelveticaNeueLT Std Lt Cn" w:hint="default"/>
        <w:sz w:val="20"/>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9"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07FA2EFB"/>
    <w:multiLevelType w:val="multilevel"/>
    <w:tmpl w:val="D4E4AEA8"/>
    <w:numStyleLink w:val="aaReportHeadings"/>
  </w:abstractNum>
  <w:abstractNum w:abstractNumId="11"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3" w15:restartNumberingAfterBreak="0">
    <w:nsid w:val="1046107E"/>
    <w:multiLevelType w:val="multilevel"/>
    <w:tmpl w:val="65D86914"/>
    <w:numStyleLink w:val="BoxList"/>
  </w:abstractNum>
  <w:abstractNum w:abstractNumId="14" w15:restartNumberingAfterBreak="0">
    <w:nsid w:val="133F0CC3"/>
    <w:multiLevelType w:val="multilevel"/>
    <w:tmpl w:val="7FE2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6"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7" w15:restartNumberingAfterBreak="0">
    <w:nsid w:val="1B7502B7"/>
    <w:multiLevelType w:val="multilevel"/>
    <w:tmpl w:val="475CFF34"/>
    <w:numStyleLink w:val="aaReportListBullets"/>
  </w:abstractNum>
  <w:abstractNum w:abstractNumId="18"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4103F2B"/>
    <w:multiLevelType w:val="multilevel"/>
    <w:tmpl w:val="475CFF34"/>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1942"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2"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3" w15:restartNumberingAfterBreak="0">
    <w:nsid w:val="25D6322E"/>
    <w:multiLevelType w:val="multilevel"/>
    <w:tmpl w:val="92A2B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6"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7"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6232C7D"/>
    <w:multiLevelType w:val="multilevel"/>
    <w:tmpl w:val="AB0EE45E"/>
    <w:numStyleLink w:val="BoxListBullets"/>
  </w:abstractNum>
  <w:abstractNum w:abstractNumId="29" w15:restartNumberingAfterBreak="0">
    <w:nsid w:val="389B44FE"/>
    <w:multiLevelType w:val="multilevel"/>
    <w:tmpl w:val="2A9ADEF8"/>
    <w:numStyleLink w:val="aaReportListNumber"/>
  </w:abstractNum>
  <w:abstractNum w:abstractNumId="30"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1" w15:restartNumberingAfterBreak="0">
    <w:nsid w:val="45767BA0"/>
    <w:multiLevelType w:val="multilevel"/>
    <w:tmpl w:val="75081F48"/>
    <w:numStyleLink w:val="aaSideNotesBullets"/>
  </w:abstractNum>
  <w:abstractNum w:abstractNumId="32" w15:restartNumberingAfterBreak="0">
    <w:nsid w:val="47375183"/>
    <w:multiLevelType w:val="multilevel"/>
    <w:tmpl w:val="C958DAD4"/>
    <w:numStyleLink w:val="aaAppendixNumbering"/>
  </w:abstractNum>
  <w:abstractNum w:abstractNumId="33"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4"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6" w15:restartNumberingAfterBreak="0">
    <w:nsid w:val="730424CB"/>
    <w:multiLevelType w:val="multilevel"/>
    <w:tmpl w:val="145205FC"/>
    <w:numStyleLink w:val="aaReportListDash"/>
  </w:abstractNum>
  <w:abstractNum w:abstractNumId="37"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C343541"/>
    <w:multiLevelType w:val="multilevel"/>
    <w:tmpl w:val="30BE6EB8"/>
    <w:numStyleLink w:val="aaTOCList"/>
  </w:abstractNum>
  <w:abstractNum w:abstractNumId="39" w15:restartNumberingAfterBreak="0">
    <w:nsid w:val="7D0906AF"/>
    <w:multiLevelType w:val="multilevel"/>
    <w:tmpl w:val="C1127ADE"/>
    <w:numStyleLink w:val="aaHeadingnonumberList"/>
  </w:abstractNum>
  <w:abstractNum w:abstractNumId="40" w15:restartNumberingAfterBreak="0">
    <w:nsid w:val="7EE32BFD"/>
    <w:multiLevelType w:val="hybridMultilevel"/>
    <w:tmpl w:val="B46E5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5"/>
  </w:num>
  <w:num w:numId="2">
    <w:abstractNumId w:val="11"/>
  </w:num>
  <w:num w:numId="3">
    <w:abstractNumId w:val="33"/>
  </w:num>
  <w:num w:numId="4">
    <w:abstractNumId w:val="3"/>
  </w:num>
  <w:num w:numId="5">
    <w:abstractNumId w:val="2"/>
  </w:num>
  <w:num w:numId="6">
    <w:abstractNumId w:val="1"/>
  </w:num>
  <w:num w:numId="7">
    <w:abstractNumId w:val="0"/>
  </w:num>
  <w:num w:numId="8">
    <w:abstractNumId w:val="24"/>
    <w:lvlOverride w:ilvl="0">
      <w:lvl w:ilvl="0">
        <w:start w:val="1"/>
        <w:numFmt w:val="upperLetter"/>
        <w:pStyle w:val="App-Heading1"/>
        <w:suff w:val="nothing"/>
        <w:lvlText w:val="%1"/>
        <w:lvlJc w:val="left"/>
        <w:pPr>
          <w:ind w:left="1080" w:hanging="1080"/>
        </w:pPr>
        <w:rPr>
          <w:rFonts w:hint="default"/>
        </w:rPr>
      </w:lvl>
    </w:lvlOverride>
  </w:num>
  <w:num w:numId="9">
    <w:abstractNumId w:val="27"/>
  </w:num>
  <w:num w:numId="10">
    <w:abstractNumId w:val="22"/>
  </w:num>
  <w:num w:numId="11">
    <w:abstractNumId w:val="20"/>
  </w:num>
  <w:num w:numId="12">
    <w:abstractNumId w:val="15"/>
  </w:num>
  <w:num w:numId="13">
    <w:abstractNumId w:val="21"/>
  </w:num>
  <w:num w:numId="14">
    <w:abstractNumId w:val="41"/>
  </w:num>
  <w:num w:numId="15">
    <w:abstractNumId w:val="18"/>
  </w:num>
  <w:num w:numId="16">
    <w:abstractNumId w:val="30"/>
  </w:num>
  <w:num w:numId="17">
    <w:abstractNumId w:val="26"/>
  </w:num>
  <w:num w:numId="18">
    <w:abstractNumId w:val="9"/>
  </w:num>
  <w:num w:numId="19">
    <w:abstractNumId w:val="7"/>
  </w:num>
  <w:num w:numId="20">
    <w:abstractNumId w:val="39"/>
  </w:num>
  <w:num w:numId="21">
    <w:abstractNumId w:val="10"/>
  </w:num>
  <w:num w:numId="22">
    <w:abstractNumId w:val="32"/>
  </w:num>
  <w:num w:numId="23">
    <w:abstractNumId w:val="28"/>
  </w:num>
  <w:num w:numId="24">
    <w:abstractNumId w:val="35"/>
  </w:num>
  <w:num w:numId="25">
    <w:abstractNumId w:val="19"/>
  </w:num>
  <w:num w:numId="26">
    <w:abstractNumId w:val="34"/>
  </w:num>
  <w:num w:numId="27">
    <w:abstractNumId w:val="12"/>
  </w:num>
  <w:num w:numId="28">
    <w:abstractNumId w:val="16"/>
  </w:num>
  <w:num w:numId="29">
    <w:abstractNumId w:val="38"/>
  </w:num>
  <w:num w:numId="30">
    <w:abstractNumId w:val="29"/>
  </w:num>
  <w:num w:numId="31">
    <w:abstractNumId w:val="37"/>
  </w:num>
  <w:num w:numId="32">
    <w:abstractNumId w:val="6"/>
  </w:num>
  <w:num w:numId="33">
    <w:abstractNumId w:val="13"/>
  </w:num>
  <w:num w:numId="34">
    <w:abstractNumId w:val="36"/>
  </w:num>
  <w:num w:numId="35">
    <w:abstractNumId w:val="31"/>
  </w:num>
  <w:num w:numId="36">
    <w:abstractNumId w:val="17"/>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0"/>
  </w:num>
  <w:num w:numId="42">
    <w:abstractNumId w:val="23"/>
  </w:num>
  <w:num w:numId="43">
    <w:abstractNumId w:val="40"/>
  </w:num>
  <w:num w:numId="44">
    <w:abstractNumId w:val="14"/>
  </w:num>
  <w:num w:numId="45">
    <w:abstractNumId w:val="8"/>
  </w:num>
  <w:num w:numId="46">
    <w:abstractNumId w:val="10"/>
  </w:num>
  <w:num w:numId="47">
    <w:abstractNumId w:val="5"/>
  </w:num>
  <w:num w:numId="48">
    <w:abstractNumId w:val="17"/>
  </w:num>
  <w:num w:numId="49">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SortMethod w:val="00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Y1NrI0szQ1MDWzsDRQ0lEKTi0uzszPAykwrAUA1z9gcSwAAAA="/>
  </w:docVars>
  <w:rsids>
    <w:rsidRoot w:val="00D95E58"/>
    <w:rsid w:val="0000016D"/>
    <w:rsid w:val="000003FA"/>
    <w:rsid w:val="0000072F"/>
    <w:rsid w:val="00000915"/>
    <w:rsid w:val="000020DC"/>
    <w:rsid w:val="00002520"/>
    <w:rsid w:val="000025A0"/>
    <w:rsid w:val="000026D1"/>
    <w:rsid w:val="00003692"/>
    <w:rsid w:val="0000370F"/>
    <w:rsid w:val="00003A77"/>
    <w:rsid w:val="000041D1"/>
    <w:rsid w:val="00004240"/>
    <w:rsid w:val="00004477"/>
    <w:rsid w:val="0000451C"/>
    <w:rsid w:val="00004915"/>
    <w:rsid w:val="00004A0B"/>
    <w:rsid w:val="00004DB3"/>
    <w:rsid w:val="00004F71"/>
    <w:rsid w:val="0000570F"/>
    <w:rsid w:val="00005BA5"/>
    <w:rsid w:val="00006604"/>
    <w:rsid w:val="0000717E"/>
    <w:rsid w:val="000075BB"/>
    <w:rsid w:val="00007605"/>
    <w:rsid w:val="00007785"/>
    <w:rsid w:val="000077F3"/>
    <w:rsid w:val="00007E9A"/>
    <w:rsid w:val="0001032B"/>
    <w:rsid w:val="0001061F"/>
    <w:rsid w:val="00010A6D"/>
    <w:rsid w:val="00010E69"/>
    <w:rsid w:val="00010EEC"/>
    <w:rsid w:val="0001124F"/>
    <w:rsid w:val="00011698"/>
    <w:rsid w:val="000117A7"/>
    <w:rsid w:val="0001193C"/>
    <w:rsid w:val="00011D89"/>
    <w:rsid w:val="000122BC"/>
    <w:rsid w:val="0001312C"/>
    <w:rsid w:val="00013472"/>
    <w:rsid w:val="000137BF"/>
    <w:rsid w:val="0001405C"/>
    <w:rsid w:val="0001425B"/>
    <w:rsid w:val="00014A77"/>
    <w:rsid w:val="00014C67"/>
    <w:rsid w:val="00014F53"/>
    <w:rsid w:val="000153A4"/>
    <w:rsid w:val="00015522"/>
    <w:rsid w:val="000156BE"/>
    <w:rsid w:val="0001570A"/>
    <w:rsid w:val="00015BA6"/>
    <w:rsid w:val="000160DC"/>
    <w:rsid w:val="0001633D"/>
    <w:rsid w:val="000167A3"/>
    <w:rsid w:val="00016DC1"/>
    <w:rsid w:val="0001703D"/>
    <w:rsid w:val="00017CCF"/>
    <w:rsid w:val="000203F1"/>
    <w:rsid w:val="000205D7"/>
    <w:rsid w:val="00020825"/>
    <w:rsid w:val="000209F7"/>
    <w:rsid w:val="00020B67"/>
    <w:rsid w:val="00021A98"/>
    <w:rsid w:val="00021B15"/>
    <w:rsid w:val="00021BBE"/>
    <w:rsid w:val="00022424"/>
    <w:rsid w:val="00023138"/>
    <w:rsid w:val="000234F1"/>
    <w:rsid w:val="00023554"/>
    <w:rsid w:val="0002372F"/>
    <w:rsid w:val="000238FF"/>
    <w:rsid w:val="0002429A"/>
    <w:rsid w:val="0002476B"/>
    <w:rsid w:val="000249D2"/>
    <w:rsid w:val="00024CC3"/>
    <w:rsid w:val="00024F26"/>
    <w:rsid w:val="000255D2"/>
    <w:rsid w:val="0002583C"/>
    <w:rsid w:val="0002658F"/>
    <w:rsid w:val="00026EA5"/>
    <w:rsid w:val="00026F83"/>
    <w:rsid w:val="0002721B"/>
    <w:rsid w:val="00027259"/>
    <w:rsid w:val="00027663"/>
    <w:rsid w:val="000300EE"/>
    <w:rsid w:val="00030160"/>
    <w:rsid w:val="00030424"/>
    <w:rsid w:val="00030444"/>
    <w:rsid w:val="00030613"/>
    <w:rsid w:val="00030FB5"/>
    <w:rsid w:val="00031E82"/>
    <w:rsid w:val="00033A36"/>
    <w:rsid w:val="00034232"/>
    <w:rsid w:val="00034348"/>
    <w:rsid w:val="00034900"/>
    <w:rsid w:val="00034BD3"/>
    <w:rsid w:val="00035112"/>
    <w:rsid w:val="00035481"/>
    <w:rsid w:val="0003561E"/>
    <w:rsid w:val="00035F91"/>
    <w:rsid w:val="00036289"/>
    <w:rsid w:val="000363C7"/>
    <w:rsid w:val="00036497"/>
    <w:rsid w:val="00036941"/>
    <w:rsid w:val="00036FD8"/>
    <w:rsid w:val="00037862"/>
    <w:rsid w:val="000378A3"/>
    <w:rsid w:val="00037A94"/>
    <w:rsid w:val="00037F29"/>
    <w:rsid w:val="00037F2C"/>
    <w:rsid w:val="0004016E"/>
    <w:rsid w:val="00040A42"/>
    <w:rsid w:val="000412F5"/>
    <w:rsid w:val="0004190F"/>
    <w:rsid w:val="00041B50"/>
    <w:rsid w:val="00041B52"/>
    <w:rsid w:val="00041C29"/>
    <w:rsid w:val="00041F2D"/>
    <w:rsid w:val="0004200D"/>
    <w:rsid w:val="000422C8"/>
    <w:rsid w:val="00042392"/>
    <w:rsid w:val="00042403"/>
    <w:rsid w:val="00042763"/>
    <w:rsid w:val="00042A25"/>
    <w:rsid w:val="00042C7F"/>
    <w:rsid w:val="000435C9"/>
    <w:rsid w:val="00043662"/>
    <w:rsid w:val="000441CD"/>
    <w:rsid w:val="000443A7"/>
    <w:rsid w:val="00044DD1"/>
    <w:rsid w:val="00044F2F"/>
    <w:rsid w:val="0004538B"/>
    <w:rsid w:val="00046770"/>
    <w:rsid w:val="00046AEF"/>
    <w:rsid w:val="00046BCE"/>
    <w:rsid w:val="00046DDD"/>
    <w:rsid w:val="000476DC"/>
    <w:rsid w:val="0004770E"/>
    <w:rsid w:val="00047906"/>
    <w:rsid w:val="00047BF3"/>
    <w:rsid w:val="000506A0"/>
    <w:rsid w:val="00050A08"/>
    <w:rsid w:val="00050C51"/>
    <w:rsid w:val="00050E90"/>
    <w:rsid w:val="00051180"/>
    <w:rsid w:val="00051299"/>
    <w:rsid w:val="0005155A"/>
    <w:rsid w:val="00051735"/>
    <w:rsid w:val="00051F28"/>
    <w:rsid w:val="000525F5"/>
    <w:rsid w:val="000528C5"/>
    <w:rsid w:val="00052C65"/>
    <w:rsid w:val="00052E6F"/>
    <w:rsid w:val="00053CB7"/>
    <w:rsid w:val="00054B7B"/>
    <w:rsid w:val="00054EB3"/>
    <w:rsid w:val="00054F8F"/>
    <w:rsid w:val="000550B6"/>
    <w:rsid w:val="0005529F"/>
    <w:rsid w:val="00055660"/>
    <w:rsid w:val="00055C1D"/>
    <w:rsid w:val="00055D37"/>
    <w:rsid w:val="00055F5C"/>
    <w:rsid w:val="00057099"/>
    <w:rsid w:val="00057286"/>
    <w:rsid w:val="000600AA"/>
    <w:rsid w:val="000607AE"/>
    <w:rsid w:val="00060C32"/>
    <w:rsid w:val="00060D51"/>
    <w:rsid w:val="00060E80"/>
    <w:rsid w:val="00061225"/>
    <w:rsid w:val="00061358"/>
    <w:rsid w:val="000614BC"/>
    <w:rsid w:val="000615DC"/>
    <w:rsid w:val="000617A5"/>
    <w:rsid w:val="0006199B"/>
    <w:rsid w:val="00061B66"/>
    <w:rsid w:val="00061BF1"/>
    <w:rsid w:val="00062668"/>
    <w:rsid w:val="00062E27"/>
    <w:rsid w:val="000634C6"/>
    <w:rsid w:val="000639FD"/>
    <w:rsid w:val="00063FAF"/>
    <w:rsid w:val="00064313"/>
    <w:rsid w:val="000643F2"/>
    <w:rsid w:val="00064CD8"/>
    <w:rsid w:val="00064FC7"/>
    <w:rsid w:val="000650D7"/>
    <w:rsid w:val="00065537"/>
    <w:rsid w:val="000659A4"/>
    <w:rsid w:val="00065BBB"/>
    <w:rsid w:val="00065E94"/>
    <w:rsid w:val="0006645F"/>
    <w:rsid w:val="00066CB7"/>
    <w:rsid w:val="000671EF"/>
    <w:rsid w:val="0006770C"/>
    <w:rsid w:val="00067716"/>
    <w:rsid w:val="00067752"/>
    <w:rsid w:val="0006797A"/>
    <w:rsid w:val="00067D4F"/>
    <w:rsid w:val="000702E5"/>
    <w:rsid w:val="000706B5"/>
    <w:rsid w:val="00070918"/>
    <w:rsid w:val="00071314"/>
    <w:rsid w:val="000715D7"/>
    <w:rsid w:val="000716C6"/>
    <w:rsid w:val="0007195C"/>
    <w:rsid w:val="00071BA6"/>
    <w:rsid w:val="00071C40"/>
    <w:rsid w:val="000720C4"/>
    <w:rsid w:val="000722F4"/>
    <w:rsid w:val="0007234B"/>
    <w:rsid w:val="0007270B"/>
    <w:rsid w:val="0007299A"/>
    <w:rsid w:val="00072C38"/>
    <w:rsid w:val="00072E36"/>
    <w:rsid w:val="000737DC"/>
    <w:rsid w:val="00073B99"/>
    <w:rsid w:val="00073F70"/>
    <w:rsid w:val="0007431E"/>
    <w:rsid w:val="0007443F"/>
    <w:rsid w:val="0007450A"/>
    <w:rsid w:val="00074A62"/>
    <w:rsid w:val="000757EC"/>
    <w:rsid w:val="00076481"/>
    <w:rsid w:val="000764A2"/>
    <w:rsid w:val="00076673"/>
    <w:rsid w:val="00076787"/>
    <w:rsid w:val="000768D9"/>
    <w:rsid w:val="00076FF6"/>
    <w:rsid w:val="00077394"/>
    <w:rsid w:val="00077B73"/>
    <w:rsid w:val="0008017A"/>
    <w:rsid w:val="00080206"/>
    <w:rsid w:val="00080CA7"/>
    <w:rsid w:val="00080CE2"/>
    <w:rsid w:val="00081206"/>
    <w:rsid w:val="000819F2"/>
    <w:rsid w:val="00081B13"/>
    <w:rsid w:val="00081C64"/>
    <w:rsid w:val="00081E27"/>
    <w:rsid w:val="0008282C"/>
    <w:rsid w:val="00082B4B"/>
    <w:rsid w:val="00082DE2"/>
    <w:rsid w:val="00083C7A"/>
    <w:rsid w:val="00083E8E"/>
    <w:rsid w:val="000842C5"/>
    <w:rsid w:val="00084707"/>
    <w:rsid w:val="000848F9"/>
    <w:rsid w:val="00084AA6"/>
    <w:rsid w:val="00084D87"/>
    <w:rsid w:val="00085F77"/>
    <w:rsid w:val="00086CED"/>
    <w:rsid w:val="00086EDA"/>
    <w:rsid w:val="00087E69"/>
    <w:rsid w:val="000905CE"/>
    <w:rsid w:val="000907BA"/>
    <w:rsid w:val="00090E9B"/>
    <w:rsid w:val="000914B1"/>
    <w:rsid w:val="00091B65"/>
    <w:rsid w:val="0009249F"/>
    <w:rsid w:val="00092BAA"/>
    <w:rsid w:val="0009315F"/>
    <w:rsid w:val="000936E9"/>
    <w:rsid w:val="0009383D"/>
    <w:rsid w:val="00093BE8"/>
    <w:rsid w:val="00093DAA"/>
    <w:rsid w:val="0009412F"/>
    <w:rsid w:val="000941CD"/>
    <w:rsid w:val="0009474A"/>
    <w:rsid w:val="000948AF"/>
    <w:rsid w:val="00095431"/>
    <w:rsid w:val="0009543F"/>
    <w:rsid w:val="00095A82"/>
    <w:rsid w:val="000961C6"/>
    <w:rsid w:val="000961E1"/>
    <w:rsid w:val="0009667A"/>
    <w:rsid w:val="00096BBB"/>
    <w:rsid w:val="00096BD6"/>
    <w:rsid w:val="00096C1F"/>
    <w:rsid w:val="00096C56"/>
    <w:rsid w:val="00096E48"/>
    <w:rsid w:val="00096E60"/>
    <w:rsid w:val="000974BB"/>
    <w:rsid w:val="00097ADC"/>
    <w:rsid w:val="000A03EA"/>
    <w:rsid w:val="000A05D0"/>
    <w:rsid w:val="000A09C4"/>
    <w:rsid w:val="000A1101"/>
    <w:rsid w:val="000A130A"/>
    <w:rsid w:val="000A1342"/>
    <w:rsid w:val="000A14AD"/>
    <w:rsid w:val="000A19C5"/>
    <w:rsid w:val="000A21D8"/>
    <w:rsid w:val="000A28EB"/>
    <w:rsid w:val="000A295C"/>
    <w:rsid w:val="000A295D"/>
    <w:rsid w:val="000A3266"/>
    <w:rsid w:val="000A344D"/>
    <w:rsid w:val="000A3A67"/>
    <w:rsid w:val="000A3B34"/>
    <w:rsid w:val="000A4097"/>
    <w:rsid w:val="000A4299"/>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E08"/>
    <w:rsid w:val="000B0809"/>
    <w:rsid w:val="000B0818"/>
    <w:rsid w:val="000B0D62"/>
    <w:rsid w:val="000B120B"/>
    <w:rsid w:val="000B1D09"/>
    <w:rsid w:val="000B203D"/>
    <w:rsid w:val="000B2860"/>
    <w:rsid w:val="000B2A7F"/>
    <w:rsid w:val="000B3031"/>
    <w:rsid w:val="000B309A"/>
    <w:rsid w:val="000B32AA"/>
    <w:rsid w:val="000B32F3"/>
    <w:rsid w:val="000B3A3C"/>
    <w:rsid w:val="000B3A93"/>
    <w:rsid w:val="000B3BDF"/>
    <w:rsid w:val="000B3CEF"/>
    <w:rsid w:val="000B41B9"/>
    <w:rsid w:val="000B479B"/>
    <w:rsid w:val="000B4E2A"/>
    <w:rsid w:val="000B5177"/>
    <w:rsid w:val="000B581E"/>
    <w:rsid w:val="000B5F5C"/>
    <w:rsid w:val="000B69A6"/>
    <w:rsid w:val="000B6A4F"/>
    <w:rsid w:val="000B6A5A"/>
    <w:rsid w:val="000B6BCD"/>
    <w:rsid w:val="000B6ED8"/>
    <w:rsid w:val="000B7498"/>
    <w:rsid w:val="000B7682"/>
    <w:rsid w:val="000B7907"/>
    <w:rsid w:val="000B79F4"/>
    <w:rsid w:val="000C00F2"/>
    <w:rsid w:val="000C0C8F"/>
    <w:rsid w:val="000C1755"/>
    <w:rsid w:val="000C1D03"/>
    <w:rsid w:val="000C1D6D"/>
    <w:rsid w:val="000C20D4"/>
    <w:rsid w:val="000C24B3"/>
    <w:rsid w:val="000C2592"/>
    <w:rsid w:val="000C264C"/>
    <w:rsid w:val="000C2DDD"/>
    <w:rsid w:val="000C2F26"/>
    <w:rsid w:val="000C2F57"/>
    <w:rsid w:val="000C30EA"/>
    <w:rsid w:val="000C3230"/>
    <w:rsid w:val="000C38B6"/>
    <w:rsid w:val="000C38D6"/>
    <w:rsid w:val="000C399A"/>
    <w:rsid w:val="000C3AD9"/>
    <w:rsid w:val="000C3B96"/>
    <w:rsid w:val="000C3CDB"/>
    <w:rsid w:val="000C4897"/>
    <w:rsid w:val="000C498F"/>
    <w:rsid w:val="000C55E7"/>
    <w:rsid w:val="000C5605"/>
    <w:rsid w:val="000C5986"/>
    <w:rsid w:val="000C603C"/>
    <w:rsid w:val="000C606F"/>
    <w:rsid w:val="000C6253"/>
    <w:rsid w:val="000C653C"/>
    <w:rsid w:val="000C675D"/>
    <w:rsid w:val="000C69F2"/>
    <w:rsid w:val="000C6A73"/>
    <w:rsid w:val="000C709A"/>
    <w:rsid w:val="000C710D"/>
    <w:rsid w:val="000C7239"/>
    <w:rsid w:val="000C76DA"/>
    <w:rsid w:val="000C7DA4"/>
    <w:rsid w:val="000D01E0"/>
    <w:rsid w:val="000D0520"/>
    <w:rsid w:val="000D0E47"/>
    <w:rsid w:val="000D1329"/>
    <w:rsid w:val="000D1F10"/>
    <w:rsid w:val="000D219B"/>
    <w:rsid w:val="000D2506"/>
    <w:rsid w:val="000D268F"/>
    <w:rsid w:val="000D295B"/>
    <w:rsid w:val="000D2C75"/>
    <w:rsid w:val="000D3482"/>
    <w:rsid w:val="000D3496"/>
    <w:rsid w:val="000D3A5C"/>
    <w:rsid w:val="000D4260"/>
    <w:rsid w:val="000D47A1"/>
    <w:rsid w:val="000D5594"/>
    <w:rsid w:val="000D576C"/>
    <w:rsid w:val="000D58A1"/>
    <w:rsid w:val="000D59AB"/>
    <w:rsid w:val="000D5E30"/>
    <w:rsid w:val="000D60CB"/>
    <w:rsid w:val="000D66CC"/>
    <w:rsid w:val="000D6B53"/>
    <w:rsid w:val="000D6D58"/>
    <w:rsid w:val="000D6FF8"/>
    <w:rsid w:val="000D720D"/>
    <w:rsid w:val="000D7274"/>
    <w:rsid w:val="000D74E4"/>
    <w:rsid w:val="000D761F"/>
    <w:rsid w:val="000D7648"/>
    <w:rsid w:val="000D7E01"/>
    <w:rsid w:val="000E1B89"/>
    <w:rsid w:val="000E216F"/>
    <w:rsid w:val="000E22A3"/>
    <w:rsid w:val="000E22D8"/>
    <w:rsid w:val="000E2B05"/>
    <w:rsid w:val="000E2CE0"/>
    <w:rsid w:val="000E2DE5"/>
    <w:rsid w:val="000E3153"/>
    <w:rsid w:val="000E33A9"/>
    <w:rsid w:val="000E34A7"/>
    <w:rsid w:val="000E3668"/>
    <w:rsid w:val="000E3700"/>
    <w:rsid w:val="000E3E89"/>
    <w:rsid w:val="000E42D6"/>
    <w:rsid w:val="000E4559"/>
    <w:rsid w:val="000E484D"/>
    <w:rsid w:val="000E4FDE"/>
    <w:rsid w:val="000E5028"/>
    <w:rsid w:val="000E51A4"/>
    <w:rsid w:val="000E57C6"/>
    <w:rsid w:val="000E5BBC"/>
    <w:rsid w:val="000E5CC4"/>
    <w:rsid w:val="000E603E"/>
    <w:rsid w:val="000E61A8"/>
    <w:rsid w:val="000E68D2"/>
    <w:rsid w:val="000E6AA9"/>
    <w:rsid w:val="000E7220"/>
    <w:rsid w:val="000E7555"/>
    <w:rsid w:val="000E7701"/>
    <w:rsid w:val="000E7823"/>
    <w:rsid w:val="000E7EC8"/>
    <w:rsid w:val="000F0032"/>
    <w:rsid w:val="000F02E7"/>
    <w:rsid w:val="000F053E"/>
    <w:rsid w:val="000F0593"/>
    <w:rsid w:val="000F1208"/>
    <w:rsid w:val="000F121E"/>
    <w:rsid w:val="000F1B47"/>
    <w:rsid w:val="000F2200"/>
    <w:rsid w:val="000F2248"/>
    <w:rsid w:val="000F2523"/>
    <w:rsid w:val="000F27C5"/>
    <w:rsid w:val="000F2D22"/>
    <w:rsid w:val="000F30BD"/>
    <w:rsid w:val="000F375F"/>
    <w:rsid w:val="000F3831"/>
    <w:rsid w:val="000F3F37"/>
    <w:rsid w:val="000F428E"/>
    <w:rsid w:val="000F4359"/>
    <w:rsid w:val="000F45B2"/>
    <w:rsid w:val="000F4893"/>
    <w:rsid w:val="000F4CA4"/>
    <w:rsid w:val="000F5396"/>
    <w:rsid w:val="000F5488"/>
    <w:rsid w:val="000F5635"/>
    <w:rsid w:val="000F5AAB"/>
    <w:rsid w:val="000F5C5E"/>
    <w:rsid w:val="000F5DE8"/>
    <w:rsid w:val="000F5EB6"/>
    <w:rsid w:val="000F6322"/>
    <w:rsid w:val="000F638F"/>
    <w:rsid w:val="000F6393"/>
    <w:rsid w:val="000F64FF"/>
    <w:rsid w:val="000F67CE"/>
    <w:rsid w:val="000F7205"/>
    <w:rsid w:val="000F7962"/>
    <w:rsid w:val="000F7F46"/>
    <w:rsid w:val="00100047"/>
    <w:rsid w:val="0010038E"/>
    <w:rsid w:val="00100EB0"/>
    <w:rsid w:val="00100EEE"/>
    <w:rsid w:val="0010123A"/>
    <w:rsid w:val="001013BB"/>
    <w:rsid w:val="0010181C"/>
    <w:rsid w:val="00101B29"/>
    <w:rsid w:val="00101BFE"/>
    <w:rsid w:val="001024C1"/>
    <w:rsid w:val="001025F4"/>
    <w:rsid w:val="001030D3"/>
    <w:rsid w:val="001031C2"/>
    <w:rsid w:val="00103DEB"/>
    <w:rsid w:val="00103FCA"/>
    <w:rsid w:val="001040F1"/>
    <w:rsid w:val="00104245"/>
    <w:rsid w:val="0010554D"/>
    <w:rsid w:val="0010566C"/>
    <w:rsid w:val="001059B8"/>
    <w:rsid w:val="00105B12"/>
    <w:rsid w:val="00105CED"/>
    <w:rsid w:val="00105F70"/>
    <w:rsid w:val="001061FA"/>
    <w:rsid w:val="00106346"/>
    <w:rsid w:val="00106822"/>
    <w:rsid w:val="00106E7C"/>
    <w:rsid w:val="00107585"/>
    <w:rsid w:val="00107CAA"/>
    <w:rsid w:val="00107CD7"/>
    <w:rsid w:val="00107CF2"/>
    <w:rsid w:val="00107F68"/>
    <w:rsid w:val="001100D3"/>
    <w:rsid w:val="00110B20"/>
    <w:rsid w:val="00110FCF"/>
    <w:rsid w:val="00111090"/>
    <w:rsid w:val="001112F5"/>
    <w:rsid w:val="00111850"/>
    <w:rsid w:val="00111A71"/>
    <w:rsid w:val="00111C88"/>
    <w:rsid w:val="00111EDD"/>
    <w:rsid w:val="001123E7"/>
    <w:rsid w:val="00112A55"/>
    <w:rsid w:val="00112B80"/>
    <w:rsid w:val="00112E01"/>
    <w:rsid w:val="001137D6"/>
    <w:rsid w:val="001139EA"/>
    <w:rsid w:val="00113B9A"/>
    <w:rsid w:val="00113BB1"/>
    <w:rsid w:val="00113C4D"/>
    <w:rsid w:val="00113D65"/>
    <w:rsid w:val="00113E0A"/>
    <w:rsid w:val="00114070"/>
    <w:rsid w:val="001141B8"/>
    <w:rsid w:val="00114344"/>
    <w:rsid w:val="001161ED"/>
    <w:rsid w:val="00116243"/>
    <w:rsid w:val="001162CD"/>
    <w:rsid w:val="00116B25"/>
    <w:rsid w:val="00116D13"/>
    <w:rsid w:val="00117074"/>
    <w:rsid w:val="001170FB"/>
    <w:rsid w:val="00117101"/>
    <w:rsid w:val="001175E2"/>
    <w:rsid w:val="0011780C"/>
    <w:rsid w:val="001200DB"/>
    <w:rsid w:val="00120171"/>
    <w:rsid w:val="001203B8"/>
    <w:rsid w:val="00120419"/>
    <w:rsid w:val="0012074F"/>
    <w:rsid w:val="001207D0"/>
    <w:rsid w:val="00120F55"/>
    <w:rsid w:val="001213C5"/>
    <w:rsid w:val="001217A0"/>
    <w:rsid w:val="001219A7"/>
    <w:rsid w:val="00121E37"/>
    <w:rsid w:val="001228BF"/>
    <w:rsid w:val="00122AA8"/>
    <w:rsid w:val="00122E82"/>
    <w:rsid w:val="00123816"/>
    <w:rsid w:val="00123907"/>
    <w:rsid w:val="00123C33"/>
    <w:rsid w:val="00123C34"/>
    <w:rsid w:val="001241AD"/>
    <w:rsid w:val="001241FE"/>
    <w:rsid w:val="00124248"/>
    <w:rsid w:val="00124498"/>
    <w:rsid w:val="001244FE"/>
    <w:rsid w:val="001246F8"/>
    <w:rsid w:val="00124C37"/>
    <w:rsid w:val="00124C3C"/>
    <w:rsid w:val="00125087"/>
    <w:rsid w:val="001259BB"/>
    <w:rsid w:val="0012631F"/>
    <w:rsid w:val="001263A3"/>
    <w:rsid w:val="00126859"/>
    <w:rsid w:val="001268B4"/>
    <w:rsid w:val="00126910"/>
    <w:rsid w:val="0012708F"/>
    <w:rsid w:val="001270E6"/>
    <w:rsid w:val="001271BC"/>
    <w:rsid w:val="00127822"/>
    <w:rsid w:val="00127A04"/>
    <w:rsid w:val="00127F54"/>
    <w:rsid w:val="0013012B"/>
    <w:rsid w:val="00130135"/>
    <w:rsid w:val="00130C28"/>
    <w:rsid w:val="00130D1C"/>
    <w:rsid w:val="00131319"/>
    <w:rsid w:val="001317DA"/>
    <w:rsid w:val="00132876"/>
    <w:rsid w:val="00133183"/>
    <w:rsid w:val="0013329C"/>
    <w:rsid w:val="001336C1"/>
    <w:rsid w:val="00133819"/>
    <w:rsid w:val="00133F6B"/>
    <w:rsid w:val="001341C2"/>
    <w:rsid w:val="001342A6"/>
    <w:rsid w:val="00134334"/>
    <w:rsid w:val="001345FF"/>
    <w:rsid w:val="00134B9D"/>
    <w:rsid w:val="00134F26"/>
    <w:rsid w:val="0013540C"/>
    <w:rsid w:val="00136428"/>
    <w:rsid w:val="00136700"/>
    <w:rsid w:val="00137274"/>
    <w:rsid w:val="0013764F"/>
    <w:rsid w:val="00137811"/>
    <w:rsid w:val="00137899"/>
    <w:rsid w:val="00137FCD"/>
    <w:rsid w:val="00140190"/>
    <w:rsid w:val="0014019A"/>
    <w:rsid w:val="001401FE"/>
    <w:rsid w:val="001404E1"/>
    <w:rsid w:val="00140A78"/>
    <w:rsid w:val="00140B4F"/>
    <w:rsid w:val="00140FED"/>
    <w:rsid w:val="0014128E"/>
    <w:rsid w:val="001416DC"/>
    <w:rsid w:val="0014197B"/>
    <w:rsid w:val="00141CAC"/>
    <w:rsid w:val="00142237"/>
    <w:rsid w:val="0014324F"/>
    <w:rsid w:val="00143318"/>
    <w:rsid w:val="00143CCE"/>
    <w:rsid w:val="00143D6D"/>
    <w:rsid w:val="00143F29"/>
    <w:rsid w:val="001440E5"/>
    <w:rsid w:val="00144128"/>
    <w:rsid w:val="0014453E"/>
    <w:rsid w:val="00145546"/>
    <w:rsid w:val="001455C0"/>
    <w:rsid w:val="001458FD"/>
    <w:rsid w:val="00145B40"/>
    <w:rsid w:val="00146251"/>
    <w:rsid w:val="001464AF"/>
    <w:rsid w:val="00146C35"/>
    <w:rsid w:val="00146D3D"/>
    <w:rsid w:val="00147126"/>
    <w:rsid w:val="0014735E"/>
    <w:rsid w:val="0014742E"/>
    <w:rsid w:val="00147784"/>
    <w:rsid w:val="00147B3C"/>
    <w:rsid w:val="00147B7A"/>
    <w:rsid w:val="00147C49"/>
    <w:rsid w:val="0015051D"/>
    <w:rsid w:val="00150550"/>
    <w:rsid w:val="00150801"/>
    <w:rsid w:val="00150E2C"/>
    <w:rsid w:val="001512EB"/>
    <w:rsid w:val="00151AC4"/>
    <w:rsid w:val="00151E05"/>
    <w:rsid w:val="00151E3B"/>
    <w:rsid w:val="0015216D"/>
    <w:rsid w:val="00152229"/>
    <w:rsid w:val="001527AA"/>
    <w:rsid w:val="00153571"/>
    <w:rsid w:val="0015367D"/>
    <w:rsid w:val="001546EF"/>
    <w:rsid w:val="00154CBB"/>
    <w:rsid w:val="00154E1B"/>
    <w:rsid w:val="00154FFC"/>
    <w:rsid w:val="00155D76"/>
    <w:rsid w:val="00155DA6"/>
    <w:rsid w:val="00156034"/>
    <w:rsid w:val="00156326"/>
    <w:rsid w:val="00156327"/>
    <w:rsid w:val="0015666E"/>
    <w:rsid w:val="001568FA"/>
    <w:rsid w:val="00156C3E"/>
    <w:rsid w:val="00156C76"/>
    <w:rsid w:val="00156D54"/>
    <w:rsid w:val="00156FC1"/>
    <w:rsid w:val="0015717C"/>
    <w:rsid w:val="001571D1"/>
    <w:rsid w:val="0015770D"/>
    <w:rsid w:val="00160065"/>
    <w:rsid w:val="00160289"/>
    <w:rsid w:val="001602F1"/>
    <w:rsid w:val="0016040B"/>
    <w:rsid w:val="001605B6"/>
    <w:rsid w:val="00160ABC"/>
    <w:rsid w:val="00160D9D"/>
    <w:rsid w:val="001612B0"/>
    <w:rsid w:val="00161BFF"/>
    <w:rsid w:val="0016213C"/>
    <w:rsid w:val="00162774"/>
    <w:rsid w:val="001629AC"/>
    <w:rsid w:val="00162A60"/>
    <w:rsid w:val="00162E68"/>
    <w:rsid w:val="00162E69"/>
    <w:rsid w:val="001634DF"/>
    <w:rsid w:val="0016367D"/>
    <w:rsid w:val="00164828"/>
    <w:rsid w:val="001650BE"/>
    <w:rsid w:val="00165B4A"/>
    <w:rsid w:val="00165CEB"/>
    <w:rsid w:val="00165D29"/>
    <w:rsid w:val="00165E5A"/>
    <w:rsid w:val="00165EAE"/>
    <w:rsid w:val="001664D0"/>
    <w:rsid w:val="00166815"/>
    <w:rsid w:val="001668E6"/>
    <w:rsid w:val="00166A6D"/>
    <w:rsid w:val="00166FE6"/>
    <w:rsid w:val="0016714B"/>
    <w:rsid w:val="00167BBD"/>
    <w:rsid w:val="00167C22"/>
    <w:rsid w:val="00167FC3"/>
    <w:rsid w:val="00170383"/>
    <w:rsid w:val="00170588"/>
    <w:rsid w:val="001705BD"/>
    <w:rsid w:val="001708D5"/>
    <w:rsid w:val="00170977"/>
    <w:rsid w:val="00170A0A"/>
    <w:rsid w:val="00170E23"/>
    <w:rsid w:val="001714C7"/>
    <w:rsid w:val="0017154D"/>
    <w:rsid w:val="001717F6"/>
    <w:rsid w:val="00171EF7"/>
    <w:rsid w:val="001732B2"/>
    <w:rsid w:val="00173435"/>
    <w:rsid w:val="001736AA"/>
    <w:rsid w:val="00173B7D"/>
    <w:rsid w:val="00173C5F"/>
    <w:rsid w:val="00174428"/>
    <w:rsid w:val="00174A83"/>
    <w:rsid w:val="00174DBE"/>
    <w:rsid w:val="00174FAD"/>
    <w:rsid w:val="00175802"/>
    <w:rsid w:val="00175BD1"/>
    <w:rsid w:val="00175BF4"/>
    <w:rsid w:val="001760AE"/>
    <w:rsid w:val="00176522"/>
    <w:rsid w:val="00176957"/>
    <w:rsid w:val="00176B29"/>
    <w:rsid w:val="00176DE8"/>
    <w:rsid w:val="0017713B"/>
    <w:rsid w:val="0017726F"/>
    <w:rsid w:val="00177578"/>
    <w:rsid w:val="001777CE"/>
    <w:rsid w:val="00177926"/>
    <w:rsid w:val="00177BC8"/>
    <w:rsid w:val="00177FD5"/>
    <w:rsid w:val="00180903"/>
    <w:rsid w:val="00180A13"/>
    <w:rsid w:val="001810BD"/>
    <w:rsid w:val="001813C6"/>
    <w:rsid w:val="0018170C"/>
    <w:rsid w:val="00181730"/>
    <w:rsid w:val="00181A00"/>
    <w:rsid w:val="0018239A"/>
    <w:rsid w:val="00182545"/>
    <w:rsid w:val="0018259B"/>
    <w:rsid w:val="001827BF"/>
    <w:rsid w:val="001828AB"/>
    <w:rsid w:val="00182BAE"/>
    <w:rsid w:val="00182BDB"/>
    <w:rsid w:val="00182D0C"/>
    <w:rsid w:val="001837E7"/>
    <w:rsid w:val="00183A4E"/>
    <w:rsid w:val="00183BB2"/>
    <w:rsid w:val="00183E6A"/>
    <w:rsid w:val="001841DF"/>
    <w:rsid w:val="001842C0"/>
    <w:rsid w:val="00185606"/>
    <w:rsid w:val="001856A5"/>
    <w:rsid w:val="00185A2F"/>
    <w:rsid w:val="00185BC5"/>
    <w:rsid w:val="00185C51"/>
    <w:rsid w:val="00185CCA"/>
    <w:rsid w:val="00186097"/>
    <w:rsid w:val="00186650"/>
    <w:rsid w:val="00186D5D"/>
    <w:rsid w:val="00186F81"/>
    <w:rsid w:val="00187C2B"/>
    <w:rsid w:val="0019005B"/>
    <w:rsid w:val="001906E7"/>
    <w:rsid w:val="001908E0"/>
    <w:rsid w:val="00190A62"/>
    <w:rsid w:val="00190F2F"/>
    <w:rsid w:val="00191005"/>
    <w:rsid w:val="00192036"/>
    <w:rsid w:val="0019296D"/>
    <w:rsid w:val="00193924"/>
    <w:rsid w:val="00193BC8"/>
    <w:rsid w:val="00193CEB"/>
    <w:rsid w:val="00193E65"/>
    <w:rsid w:val="00194171"/>
    <w:rsid w:val="0019489E"/>
    <w:rsid w:val="00194926"/>
    <w:rsid w:val="00194AB5"/>
    <w:rsid w:val="00195882"/>
    <w:rsid w:val="00195BE9"/>
    <w:rsid w:val="00195E21"/>
    <w:rsid w:val="001961A9"/>
    <w:rsid w:val="0019658E"/>
    <w:rsid w:val="001967FC"/>
    <w:rsid w:val="00197065"/>
    <w:rsid w:val="00197126"/>
    <w:rsid w:val="001977DE"/>
    <w:rsid w:val="001977F8"/>
    <w:rsid w:val="00197872"/>
    <w:rsid w:val="001979E7"/>
    <w:rsid w:val="00197C08"/>
    <w:rsid w:val="00197D23"/>
    <w:rsid w:val="00197DD2"/>
    <w:rsid w:val="001A0665"/>
    <w:rsid w:val="001A079C"/>
    <w:rsid w:val="001A0F1E"/>
    <w:rsid w:val="001A1269"/>
    <w:rsid w:val="001A15D5"/>
    <w:rsid w:val="001A15DA"/>
    <w:rsid w:val="001A171D"/>
    <w:rsid w:val="001A1D04"/>
    <w:rsid w:val="001A2D12"/>
    <w:rsid w:val="001A2D82"/>
    <w:rsid w:val="001A2F0E"/>
    <w:rsid w:val="001A312B"/>
    <w:rsid w:val="001A3354"/>
    <w:rsid w:val="001A3AE4"/>
    <w:rsid w:val="001A4349"/>
    <w:rsid w:val="001A548F"/>
    <w:rsid w:val="001A57C2"/>
    <w:rsid w:val="001A5941"/>
    <w:rsid w:val="001A5FC3"/>
    <w:rsid w:val="001A606C"/>
    <w:rsid w:val="001A6605"/>
    <w:rsid w:val="001A6FBB"/>
    <w:rsid w:val="001A7B73"/>
    <w:rsid w:val="001B0099"/>
    <w:rsid w:val="001B02D6"/>
    <w:rsid w:val="001B04C9"/>
    <w:rsid w:val="001B13B0"/>
    <w:rsid w:val="001B1B58"/>
    <w:rsid w:val="001B24FB"/>
    <w:rsid w:val="001B2702"/>
    <w:rsid w:val="001B2703"/>
    <w:rsid w:val="001B2807"/>
    <w:rsid w:val="001B2897"/>
    <w:rsid w:val="001B3175"/>
    <w:rsid w:val="001B35CE"/>
    <w:rsid w:val="001B3BFE"/>
    <w:rsid w:val="001B3F0A"/>
    <w:rsid w:val="001B4801"/>
    <w:rsid w:val="001B5174"/>
    <w:rsid w:val="001B5742"/>
    <w:rsid w:val="001B58B0"/>
    <w:rsid w:val="001B5DFE"/>
    <w:rsid w:val="001B686B"/>
    <w:rsid w:val="001B68C5"/>
    <w:rsid w:val="001B6E19"/>
    <w:rsid w:val="001B6EFC"/>
    <w:rsid w:val="001B786C"/>
    <w:rsid w:val="001B7A2C"/>
    <w:rsid w:val="001B7EC4"/>
    <w:rsid w:val="001C00C6"/>
    <w:rsid w:val="001C00E9"/>
    <w:rsid w:val="001C0301"/>
    <w:rsid w:val="001C0769"/>
    <w:rsid w:val="001C0E48"/>
    <w:rsid w:val="001C0F40"/>
    <w:rsid w:val="001C10D3"/>
    <w:rsid w:val="001C1236"/>
    <w:rsid w:val="001C1966"/>
    <w:rsid w:val="001C1B18"/>
    <w:rsid w:val="001C1C60"/>
    <w:rsid w:val="001C28A7"/>
    <w:rsid w:val="001C2B88"/>
    <w:rsid w:val="001C2C43"/>
    <w:rsid w:val="001C2F70"/>
    <w:rsid w:val="001C2F8F"/>
    <w:rsid w:val="001C3621"/>
    <w:rsid w:val="001C3EEC"/>
    <w:rsid w:val="001C41D0"/>
    <w:rsid w:val="001C4581"/>
    <w:rsid w:val="001C4C9E"/>
    <w:rsid w:val="001C4E5B"/>
    <w:rsid w:val="001C503F"/>
    <w:rsid w:val="001C5AAB"/>
    <w:rsid w:val="001C5EDD"/>
    <w:rsid w:val="001C62BF"/>
    <w:rsid w:val="001C6804"/>
    <w:rsid w:val="001C700E"/>
    <w:rsid w:val="001C797F"/>
    <w:rsid w:val="001D0035"/>
    <w:rsid w:val="001D024C"/>
    <w:rsid w:val="001D033F"/>
    <w:rsid w:val="001D04A5"/>
    <w:rsid w:val="001D0955"/>
    <w:rsid w:val="001D0AE7"/>
    <w:rsid w:val="001D0F43"/>
    <w:rsid w:val="001D102B"/>
    <w:rsid w:val="001D12CE"/>
    <w:rsid w:val="001D134A"/>
    <w:rsid w:val="001D15A3"/>
    <w:rsid w:val="001D15F9"/>
    <w:rsid w:val="001D27C8"/>
    <w:rsid w:val="001D280E"/>
    <w:rsid w:val="001D28B0"/>
    <w:rsid w:val="001D295A"/>
    <w:rsid w:val="001D2FCC"/>
    <w:rsid w:val="001D33EF"/>
    <w:rsid w:val="001D3C3B"/>
    <w:rsid w:val="001D3E12"/>
    <w:rsid w:val="001D3E95"/>
    <w:rsid w:val="001D442A"/>
    <w:rsid w:val="001D4634"/>
    <w:rsid w:val="001D4716"/>
    <w:rsid w:val="001D4D6F"/>
    <w:rsid w:val="001D4F98"/>
    <w:rsid w:val="001D528B"/>
    <w:rsid w:val="001D570A"/>
    <w:rsid w:val="001D5A53"/>
    <w:rsid w:val="001D5F9D"/>
    <w:rsid w:val="001D61BE"/>
    <w:rsid w:val="001D6229"/>
    <w:rsid w:val="001D6D30"/>
    <w:rsid w:val="001D7350"/>
    <w:rsid w:val="001D7F42"/>
    <w:rsid w:val="001E029A"/>
    <w:rsid w:val="001E0447"/>
    <w:rsid w:val="001E04E5"/>
    <w:rsid w:val="001E096E"/>
    <w:rsid w:val="001E0BB4"/>
    <w:rsid w:val="001E0BF5"/>
    <w:rsid w:val="001E11BA"/>
    <w:rsid w:val="001E18E5"/>
    <w:rsid w:val="001E1AC8"/>
    <w:rsid w:val="001E1F2F"/>
    <w:rsid w:val="001E20D7"/>
    <w:rsid w:val="001E2935"/>
    <w:rsid w:val="001E2BA5"/>
    <w:rsid w:val="001E2D3F"/>
    <w:rsid w:val="001E32CC"/>
    <w:rsid w:val="001E3840"/>
    <w:rsid w:val="001E384E"/>
    <w:rsid w:val="001E39F5"/>
    <w:rsid w:val="001E3CCA"/>
    <w:rsid w:val="001E419C"/>
    <w:rsid w:val="001E489E"/>
    <w:rsid w:val="001E4A25"/>
    <w:rsid w:val="001E4A42"/>
    <w:rsid w:val="001E4C2F"/>
    <w:rsid w:val="001E50B0"/>
    <w:rsid w:val="001E51FE"/>
    <w:rsid w:val="001E55A1"/>
    <w:rsid w:val="001E5731"/>
    <w:rsid w:val="001E58BB"/>
    <w:rsid w:val="001E60A9"/>
    <w:rsid w:val="001E625A"/>
    <w:rsid w:val="001E6423"/>
    <w:rsid w:val="001E67CC"/>
    <w:rsid w:val="001E6BFC"/>
    <w:rsid w:val="001E72C2"/>
    <w:rsid w:val="001E779D"/>
    <w:rsid w:val="001E7AA0"/>
    <w:rsid w:val="001E7B64"/>
    <w:rsid w:val="001F01A0"/>
    <w:rsid w:val="001F02D7"/>
    <w:rsid w:val="001F0349"/>
    <w:rsid w:val="001F0B82"/>
    <w:rsid w:val="001F0DFF"/>
    <w:rsid w:val="001F0F7B"/>
    <w:rsid w:val="001F101B"/>
    <w:rsid w:val="001F12B3"/>
    <w:rsid w:val="001F1BE7"/>
    <w:rsid w:val="001F1CDB"/>
    <w:rsid w:val="001F1F72"/>
    <w:rsid w:val="001F2033"/>
    <w:rsid w:val="001F20A2"/>
    <w:rsid w:val="001F218B"/>
    <w:rsid w:val="001F2450"/>
    <w:rsid w:val="001F2992"/>
    <w:rsid w:val="001F2CB5"/>
    <w:rsid w:val="001F31CC"/>
    <w:rsid w:val="001F3497"/>
    <w:rsid w:val="001F39D3"/>
    <w:rsid w:val="001F3F79"/>
    <w:rsid w:val="001F4B42"/>
    <w:rsid w:val="001F5057"/>
    <w:rsid w:val="001F5576"/>
    <w:rsid w:val="001F571D"/>
    <w:rsid w:val="001F5BE5"/>
    <w:rsid w:val="001F6533"/>
    <w:rsid w:val="001F6AF3"/>
    <w:rsid w:val="001F7026"/>
    <w:rsid w:val="001F71FE"/>
    <w:rsid w:val="001F7CB9"/>
    <w:rsid w:val="001F7D47"/>
    <w:rsid w:val="001F7F6E"/>
    <w:rsid w:val="00200509"/>
    <w:rsid w:val="002011F7"/>
    <w:rsid w:val="002014E8"/>
    <w:rsid w:val="00201AAA"/>
    <w:rsid w:val="00201BDE"/>
    <w:rsid w:val="00201EB1"/>
    <w:rsid w:val="002020D4"/>
    <w:rsid w:val="002025F6"/>
    <w:rsid w:val="0020278F"/>
    <w:rsid w:val="00202B69"/>
    <w:rsid w:val="00202C38"/>
    <w:rsid w:val="002033A6"/>
    <w:rsid w:val="0020367D"/>
    <w:rsid w:val="0020373C"/>
    <w:rsid w:val="00203C5B"/>
    <w:rsid w:val="00203FC6"/>
    <w:rsid w:val="00203FF6"/>
    <w:rsid w:val="002042C0"/>
    <w:rsid w:val="002046D9"/>
    <w:rsid w:val="00204BE8"/>
    <w:rsid w:val="00204E9B"/>
    <w:rsid w:val="00205BC0"/>
    <w:rsid w:val="00205C74"/>
    <w:rsid w:val="002064BF"/>
    <w:rsid w:val="00206950"/>
    <w:rsid w:val="002070C7"/>
    <w:rsid w:val="0020761F"/>
    <w:rsid w:val="00207DC4"/>
    <w:rsid w:val="00207FFE"/>
    <w:rsid w:val="00210137"/>
    <w:rsid w:val="002109B9"/>
    <w:rsid w:val="00210A30"/>
    <w:rsid w:val="00210F62"/>
    <w:rsid w:val="002112FE"/>
    <w:rsid w:val="00211808"/>
    <w:rsid w:val="002120B8"/>
    <w:rsid w:val="002121E8"/>
    <w:rsid w:val="0021239E"/>
    <w:rsid w:val="00212752"/>
    <w:rsid w:val="00212B4E"/>
    <w:rsid w:val="0021371E"/>
    <w:rsid w:val="0021400D"/>
    <w:rsid w:val="00214BD5"/>
    <w:rsid w:val="00215130"/>
    <w:rsid w:val="002154AD"/>
    <w:rsid w:val="0021563F"/>
    <w:rsid w:val="002156ED"/>
    <w:rsid w:val="00215836"/>
    <w:rsid w:val="0021596B"/>
    <w:rsid w:val="002164C7"/>
    <w:rsid w:val="002165C5"/>
    <w:rsid w:val="002166D6"/>
    <w:rsid w:val="00217035"/>
    <w:rsid w:val="00217283"/>
    <w:rsid w:val="002179F6"/>
    <w:rsid w:val="00217BDB"/>
    <w:rsid w:val="00221158"/>
    <w:rsid w:val="00221AA9"/>
    <w:rsid w:val="00221ACF"/>
    <w:rsid w:val="00221BFE"/>
    <w:rsid w:val="00221FD1"/>
    <w:rsid w:val="00222015"/>
    <w:rsid w:val="00222190"/>
    <w:rsid w:val="0022291C"/>
    <w:rsid w:val="002229D9"/>
    <w:rsid w:val="00222AAA"/>
    <w:rsid w:val="00222AF1"/>
    <w:rsid w:val="00222B85"/>
    <w:rsid w:val="00223516"/>
    <w:rsid w:val="00223883"/>
    <w:rsid w:val="00223E9C"/>
    <w:rsid w:val="00224077"/>
    <w:rsid w:val="00224100"/>
    <w:rsid w:val="002247AF"/>
    <w:rsid w:val="00225972"/>
    <w:rsid w:val="00225A4D"/>
    <w:rsid w:val="002261BB"/>
    <w:rsid w:val="0022638B"/>
    <w:rsid w:val="0022675B"/>
    <w:rsid w:val="002269CF"/>
    <w:rsid w:val="00227352"/>
    <w:rsid w:val="002276E1"/>
    <w:rsid w:val="00227846"/>
    <w:rsid w:val="0022796D"/>
    <w:rsid w:val="00227D5A"/>
    <w:rsid w:val="00227E8B"/>
    <w:rsid w:val="0023054E"/>
    <w:rsid w:val="0023156D"/>
    <w:rsid w:val="002315D6"/>
    <w:rsid w:val="00231A31"/>
    <w:rsid w:val="00231D39"/>
    <w:rsid w:val="00231F52"/>
    <w:rsid w:val="00232290"/>
    <w:rsid w:val="00232674"/>
    <w:rsid w:val="00232913"/>
    <w:rsid w:val="00232B16"/>
    <w:rsid w:val="00232BC3"/>
    <w:rsid w:val="00232E21"/>
    <w:rsid w:val="0023338E"/>
    <w:rsid w:val="00233AE0"/>
    <w:rsid w:val="00233D2F"/>
    <w:rsid w:val="00233EC6"/>
    <w:rsid w:val="0023417B"/>
    <w:rsid w:val="00234613"/>
    <w:rsid w:val="00234630"/>
    <w:rsid w:val="00234892"/>
    <w:rsid w:val="0023578A"/>
    <w:rsid w:val="00235E79"/>
    <w:rsid w:val="00236168"/>
    <w:rsid w:val="0023681D"/>
    <w:rsid w:val="00236EB1"/>
    <w:rsid w:val="0023706F"/>
    <w:rsid w:val="002371AC"/>
    <w:rsid w:val="00237650"/>
    <w:rsid w:val="0023774C"/>
    <w:rsid w:val="002377DD"/>
    <w:rsid w:val="002377F5"/>
    <w:rsid w:val="00240188"/>
    <w:rsid w:val="00240C4B"/>
    <w:rsid w:val="00240EA1"/>
    <w:rsid w:val="00240FE0"/>
    <w:rsid w:val="00241186"/>
    <w:rsid w:val="002412A2"/>
    <w:rsid w:val="0024135F"/>
    <w:rsid w:val="00241730"/>
    <w:rsid w:val="00241A5F"/>
    <w:rsid w:val="00242492"/>
    <w:rsid w:val="002428AB"/>
    <w:rsid w:val="0024377D"/>
    <w:rsid w:val="0024398F"/>
    <w:rsid w:val="00243B96"/>
    <w:rsid w:val="00243D71"/>
    <w:rsid w:val="00243EE2"/>
    <w:rsid w:val="0024400B"/>
    <w:rsid w:val="002442D9"/>
    <w:rsid w:val="00244523"/>
    <w:rsid w:val="002448CB"/>
    <w:rsid w:val="00244B96"/>
    <w:rsid w:val="002452FB"/>
    <w:rsid w:val="00245C7E"/>
    <w:rsid w:val="00245DB3"/>
    <w:rsid w:val="002465E3"/>
    <w:rsid w:val="00246FC4"/>
    <w:rsid w:val="0024706B"/>
    <w:rsid w:val="0024738E"/>
    <w:rsid w:val="00247B47"/>
    <w:rsid w:val="002502E6"/>
    <w:rsid w:val="002503DC"/>
    <w:rsid w:val="00250563"/>
    <w:rsid w:val="00250AE6"/>
    <w:rsid w:val="00250B34"/>
    <w:rsid w:val="00250E2F"/>
    <w:rsid w:val="00250EE5"/>
    <w:rsid w:val="002511AC"/>
    <w:rsid w:val="002516F8"/>
    <w:rsid w:val="00251C6F"/>
    <w:rsid w:val="00251EE4"/>
    <w:rsid w:val="00251FFE"/>
    <w:rsid w:val="0025238B"/>
    <w:rsid w:val="00252874"/>
    <w:rsid w:val="002528DF"/>
    <w:rsid w:val="00252CAA"/>
    <w:rsid w:val="002534A2"/>
    <w:rsid w:val="00253509"/>
    <w:rsid w:val="002535C9"/>
    <w:rsid w:val="002536C6"/>
    <w:rsid w:val="00253AAC"/>
    <w:rsid w:val="00253E44"/>
    <w:rsid w:val="00253EDE"/>
    <w:rsid w:val="00253F38"/>
    <w:rsid w:val="00253FF4"/>
    <w:rsid w:val="0025411F"/>
    <w:rsid w:val="002542D9"/>
    <w:rsid w:val="00254637"/>
    <w:rsid w:val="00254814"/>
    <w:rsid w:val="00254A22"/>
    <w:rsid w:val="0025547A"/>
    <w:rsid w:val="00255A10"/>
    <w:rsid w:val="00255B2E"/>
    <w:rsid w:val="00255E9D"/>
    <w:rsid w:val="00255F15"/>
    <w:rsid w:val="00256A23"/>
    <w:rsid w:val="00257371"/>
    <w:rsid w:val="00257494"/>
    <w:rsid w:val="00257828"/>
    <w:rsid w:val="0026025D"/>
    <w:rsid w:val="00260F8A"/>
    <w:rsid w:val="00261530"/>
    <w:rsid w:val="00261711"/>
    <w:rsid w:val="00261C77"/>
    <w:rsid w:val="00261F72"/>
    <w:rsid w:val="00262023"/>
    <w:rsid w:val="0026207C"/>
    <w:rsid w:val="002625B6"/>
    <w:rsid w:val="00262CB7"/>
    <w:rsid w:val="0026306A"/>
    <w:rsid w:val="002631E9"/>
    <w:rsid w:val="00263455"/>
    <w:rsid w:val="00263681"/>
    <w:rsid w:val="00263B7B"/>
    <w:rsid w:val="00264271"/>
    <w:rsid w:val="002643DC"/>
    <w:rsid w:val="00264FC0"/>
    <w:rsid w:val="00265424"/>
    <w:rsid w:val="00265617"/>
    <w:rsid w:val="00265B24"/>
    <w:rsid w:val="00265BA3"/>
    <w:rsid w:val="00265E9B"/>
    <w:rsid w:val="002660B8"/>
    <w:rsid w:val="00266185"/>
    <w:rsid w:val="00266802"/>
    <w:rsid w:val="00266848"/>
    <w:rsid w:val="00266930"/>
    <w:rsid w:val="002676C2"/>
    <w:rsid w:val="002677D9"/>
    <w:rsid w:val="00267881"/>
    <w:rsid w:val="00270002"/>
    <w:rsid w:val="002701A7"/>
    <w:rsid w:val="0027071B"/>
    <w:rsid w:val="00270A04"/>
    <w:rsid w:val="00270CD1"/>
    <w:rsid w:val="00271CEC"/>
    <w:rsid w:val="00272A8A"/>
    <w:rsid w:val="00272AD9"/>
    <w:rsid w:val="00273253"/>
    <w:rsid w:val="0027327D"/>
    <w:rsid w:val="00273502"/>
    <w:rsid w:val="00273598"/>
    <w:rsid w:val="002735B2"/>
    <w:rsid w:val="00273D1E"/>
    <w:rsid w:val="00273E1E"/>
    <w:rsid w:val="002745DC"/>
    <w:rsid w:val="0027462E"/>
    <w:rsid w:val="0027493C"/>
    <w:rsid w:val="00274D60"/>
    <w:rsid w:val="0027561E"/>
    <w:rsid w:val="00275B15"/>
    <w:rsid w:val="00275E27"/>
    <w:rsid w:val="00276388"/>
    <w:rsid w:val="00276555"/>
    <w:rsid w:val="00276DA5"/>
    <w:rsid w:val="00276E0B"/>
    <w:rsid w:val="0027715B"/>
    <w:rsid w:val="002773AA"/>
    <w:rsid w:val="00277B10"/>
    <w:rsid w:val="00277DBB"/>
    <w:rsid w:val="002805A5"/>
    <w:rsid w:val="00280DCC"/>
    <w:rsid w:val="00281430"/>
    <w:rsid w:val="00281FFE"/>
    <w:rsid w:val="00282DC3"/>
    <w:rsid w:val="00282F13"/>
    <w:rsid w:val="00282F14"/>
    <w:rsid w:val="0028317D"/>
    <w:rsid w:val="00283239"/>
    <w:rsid w:val="002834BF"/>
    <w:rsid w:val="00283533"/>
    <w:rsid w:val="0028378E"/>
    <w:rsid w:val="002839D7"/>
    <w:rsid w:val="00283CCB"/>
    <w:rsid w:val="0028428F"/>
    <w:rsid w:val="002846D5"/>
    <w:rsid w:val="00284A62"/>
    <w:rsid w:val="0028527E"/>
    <w:rsid w:val="00285591"/>
    <w:rsid w:val="002857A2"/>
    <w:rsid w:val="00285A87"/>
    <w:rsid w:val="00285BC6"/>
    <w:rsid w:val="00286318"/>
    <w:rsid w:val="00286473"/>
    <w:rsid w:val="002865BC"/>
    <w:rsid w:val="00286740"/>
    <w:rsid w:val="00286A47"/>
    <w:rsid w:val="00286D8F"/>
    <w:rsid w:val="00287A6C"/>
    <w:rsid w:val="00287C8C"/>
    <w:rsid w:val="00287D3B"/>
    <w:rsid w:val="002904B0"/>
    <w:rsid w:val="00290544"/>
    <w:rsid w:val="0029068C"/>
    <w:rsid w:val="0029068D"/>
    <w:rsid w:val="0029152B"/>
    <w:rsid w:val="002919AF"/>
    <w:rsid w:val="00291A31"/>
    <w:rsid w:val="00291D32"/>
    <w:rsid w:val="00291E2E"/>
    <w:rsid w:val="002922A2"/>
    <w:rsid w:val="002922D5"/>
    <w:rsid w:val="00292AD7"/>
    <w:rsid w:val="002934F7"/>
    <w:rsid w:val="002935F7"/>
    <w:rsid w:val="002938D7"/>
    <w:rsid w:val="00293D5E"/>
    <w:rsid w:val="002941B3"/>
    <w:rsid w:val="00294B59"/>
    <w:rsid w:val="00294DBB"/>
    <w:rsid w:val="00294F8A"/>
    <w:rsid w:val="00295064"/>
    <w:rsid w:val="00295379"/>
    <w:rsid w:val="00295C30"/>
    <w:rsid w:val="00295F78"/>
    <w:rsid w:val="0029654D"/>
    <w:rsid w:val="00296A44"/>
    <w:rsid w:val="00296B6C"/>
    <w:rsid w:val="0029794C"/>
    <w:rsid w:val="00297DB7"/>
    <w:rsid w:val="00297EDE"/>
    <w:rsid w:val="00297EFF"/>
    <w:rsid w:val="002A0401"/>
    <w:rsid w:val="002A0473"/>
    <w:rsid w:val="002A04E6"/>
    <w:rsid w:val="002A09EA"/>
    <w:rsid w:val="002A0B49"/>
    <w:rsid w:val="002A193F"/>
    <w:rsid w:val="002A1969"/>
    <w:rsid w:val="002A1A8B"/>
    <w:rsid w:val="002A1F19"/>
    <w:rsid w:val="002A2526"/>
    <w:rsid w:val="002A2555"/>
    <w:rsid w:val="002A2FBC"/>
    <w:rsid w:val="002A311B"/>
    <w:rsid w:val="002A3599"/>
    <w:rsid w:val="002A36F3"/>
    <w:rsid w:val="002A386B"/>
    <w:rsid w:val="002A4153"/>
    <w:rsid w:val="002A4682"/>
    <w:rsid w:val="002A4DB0"/>
    <w:rsid w:val="002A4E75"/>
    <w:rsid w:val="002A53CB"/>
    <w:rsid w:val="002A5530"/>
    <w:rsid w:val="002A5670"/>
    <w:rsid w:val="002A5970"/>
    <w:rsid w:val="002A5E2D"/>
    <w:rsid w:val="002A5EE6"/>
    <w:rsid w:val="002A5FCC"/>
    <w:rsid w:val="002A61E9"/>
    <w:rsid w:val="002A6410"/>
    <w:rsid w:val="002A64D3"/>
    <w:rsid w:val="002A67EE"/>
    <w:rsid w:val="002A696A"/>
    <w:rsid w:val="002A72A9"/>
    <w:rsid w:val="002A7806"/>
    <w:rsid w:val="002A7BB8"/>
    <w:rsid w:val="002A7C85"/>
    <w:rsid w:val="002A7D6D"/>
    <w:rsid w:val="002B003E"/>
    <w:rsid w:val="002B032E"/>
    <w:rsid w:val="002B0C2B"/>
    <w:rsid w:val="002B0CC0"/>
    <w:rsid w:val="002B0EA1"/>
    <w:rsid w:val="002B0F47"/>
    <w:rsid w:val="002B164F"/>
    <w:rsid w:val="002B1A45"/>
    <w:rsid w:val="002B22AB"/>
    <w:rsid w:val="002B2DAA"/>
    <w:rsid w:val="002B2EE2"/>
    <w:rsid w:val="002B3300"/>
    <w:rsid w:val="002B35E7"/>
    <w:rsid w:val="002B3AB8"/>
    <w:rsid w:val="002B3EE3"/>
    <w:rsid w:val="002B4447"/>
    <w:rsid w:val="002B44FC"/>
    <w:rsid w:val="002B4F21"/>
    <w:rsid w:val="002B4F46"/>
    <w:rsid w:val="002B4FCF"/>
    <w:rsid w:val="002B50F0"/>
    <w:rsid w:val="002B5D48"/>
    <w:rsid w:val="002B5FDF"/>
    <w:rsid w:val="002B606C"/>
    <w:rsid w:val="002B7042"/>
    <w:rsid w:val="002B7221"/>
    <w:rsid w:val="002B728F"/>
    <w:rsid w:val="002B776B"/>
    <w:rsid w:val="002B79C8"/>
    <w:rsid w:val="002B7CDD"/>
    <w:rsid w:val="002C0154"/>
    <w:rsid w:val="002C03E4"/>
    <w:rsid w:val="002C089A"/>
    <w:rsid w:val="002C096B"/>
    <w:rsid w:val="002C0E24"/>
    <w:rsid w:val="002C1691"/>
    <w:rsid w:val="002C256B"/>
    <w:rsid w:val="002C2AF5"/>
    <w:rsid w:val="002C2F7C"/>
    <w:rsid w:val="002C3297"/>
    <w:rsid w:val="002C35E8"/>
    <w:rsid w:val="002C3A6D"/>
    <w:rsid w:val="002C3B4B"/>
    <w:rsid w:val="002C3CEB"/>
    <w:rsid w:val="002C3FB3"/>
    <w:rsid w:val="002C4366"/>
    <w:rsid w:val="002C43B2"/>
    <w:rsid w:val="002C52F8"/>
    <w:rsid w:val="002C5A23"/>
    <w:rsid w:val="002C5D24"/>
    <w:rsid w:val="002C5D50"/>
    <w:rsid w:val="002C5D9D"/>
    <w:rsid w:val="002C6607"/>
    <w:rsid w:val="002C6C27"/>
    <w:rsid w:val="002C6C7D"/>
    <w:rsid w:val="002C6C9C"/>
    <w:rsid w:val="002C7034"/>
    <w:rsid w:val="002D0047"/>
    <w:rsid w:val="002D0243"/>
    <w:rsid w:val="002D0ADC"/>
    <w:rsid w:val="002D0BA5"/>
    <w:rsid w:val="002D0D14"/>
    <w:rsid w:val="002D1280"/>
    <w:rsid w:val="002D1587"/>
    <w:rsid w:val="002D1BA0"/>
    <w:rsid w:val="002D214A"/>
    <w:rsid w:val="002D28FD"/>
    <w:rsid w:val="002D2C04"/>
    <w:rsid w:val="002D2D78"/>
    <w:rsid w:val="002D332B"/>
    <w:rsid w:val="002D34A8"/>
    <w:rsid w:val="002D35B6"/>
    <w:rsid w:val="002D388F"/>
    <w:rsid w:val="002D3C65"/>
    <w:rsid w:val="002D3F8B"/>
    <w:rsid w:val="002D4322"/>
    <w:rsid w:val="002D49A3"/>
    <w:rsid w:val="002D49C0"/>
    <w:rsid w:val="002D4B49"/>
    <w:rsid w:val="002D4BCD"/>
    <w:rsid w:val="002D4C25"/>
    <w:rsid w:val="002D50B4"/>
    <w:rsid w:val="002D6918"/>
    <w:rsid w:val="002D715E"/>
    <w:rsid w:val="002D7634"/>
    <w:rsid w:val="002D7985"/>
    <w:rsid w:val="002D7A90"/>
    <w:rsid w:val="002D7B79"/>
    <w:rsid w:val="002D7C05"/>
    <w:rsid w:val="002D7F44"/>
    <w:rsid w:val="002E0237"/>
    <w:rsid w:val="002E02C2"/>
    <w:rsid w:val="002E0A63"/>
    <w:rsid w:val="002E133C"/>
    <w:rsid w:val="002E142B"/>
    <w:rsid w:val="002E1593"/>
    <w:rsid w:val="002E1729"/>
    <w:rsid w:val="002E1979"/>
    <w:rsid w:val="002E1E9D"/>
    <w:rsid w:val="002E20B2"/>
    <w:rsid w:val="002E25B0"/>
    <w:rsid w:val="002E27F3"/>
    <w:rsid w:val="002E28AC"/>
    <w:rsid w:val="002E2A6F"/>
    <w:rsid w:val="002E2F1D"/>
    <w:rsid w:val="002E2FF6"/>
    <w:rsid w:val="002E3745"/>
    <w:rsid w:val="002E3BAB"/>
    <w:rsid w:val="002E3E74"/>
    <w:rsid w:val="002E406B"/>
    <w:rsid w:val="002E43DA"/>
    <w:rsid w:val="002E47C2"/>
    <w:rsid w:val="002E48DB"/>
    <w:rsid w:val="002E4A07"/>
    <w:rsid w:val="002E4CCA"/>
    <w:rsid w:val="002E4CCE"/>
    <w:rsid w:val="002E4EFC"/>
    <w:rsid w:val="002E4F59"/>
    <w:rsid w:val="002E504F"/>
    <w:rsid w:val="002E5139"/>
    <w:rsid w:val="002E54C3"/>
    <w:rsid w:val="002E56F2"/>
    <w:rsid w:val="002E59A0"/>
    <w:rsid w:val="002E5A69"/>
    <w:rsid w:val="002E615C"/>
    <w:rsid w:val="002E632D"/>
    <w:rsid w:val="002E63A7"/>
    <w:rsid w:val="002E6546"/>
    <w:rsid w:val="002E68DE"/>
    <w:rsid w:val="002E6A07"/>
    <w:rsid w:val="002E7019"/>
    <w:rsid w:val="002E72C0"/>
    <w:rsid w:val="002E73C9"/>
    <w:rsid w:val="002E7472"/>
    <w:rsid w:val="002E7BB2"/>
    <w:rsid w:val="002E7F04"/>
    <w:rsid w:val="002E7FB3"/>
    <w:rsid w:val="002F00A4"/>
    <w:rsid w:val="002F0428"/>
    <w:rsid w:val="002F14A0"/>
    <w:rsid w:val="002F173D"/>
    <w:rsid w:val="002F188D"/>
    <w:rsid w:val="002F1995"/>
    <w:rsid w:val="002F1D45"/>
    <w:rsid w:val="002F1F9D"/>
    <w:rsid w:val="002F2AA8"/>
    <w:rsid w:val="002F3098"/>
    <w:rsid w:val="002F3151"/>
    <w:rsid w:val="002F3786"/>
    <w:rsid w:val="002F3A40"/>
    <w:rsid w:val="002F3BAA"/>
    <w:rsid w:val="002F3E05"/>
    <w:rsid w:val="002F4266"/>
    <w:rsid w:val="002F447D"/>
    <w:rsid w:val="002F4891"/>
    <w:rsid w:val="002F492A"/>
    <w:rsid w:val="002F4B42"/>
    <w:rsid w:val="002F4D39"/>
    <w:rsid w:val="002F4DFA"/>
    <w:rsid w:val="002F5AF9"/>
    <w:rsid w:val="002F5BE1"/>
    <w:rsid w:val="002F5E5C"/>
    <w:rsid w:val="002F616A"/>
    <w:rsid w:val="002F6AF0"/>
    <w:rsid w:val="002F6F42"/>
    <w:rsid w:val="002F6F4D"/>
    <w:rsid w:val="002F7031"/>
    <w:rsid w:val="002F70A2"/>
    <w:rsid w:val="002F720D"/>
    <w:rsid w:val="0030022C"/>
    <w:rsid w:val="003002BE"/>
    <w:rsid w:val="00300A7B"/>
    <w:rsid w:val="00300D7B"/>
    <w:rsid w:val="003012ED"/>
    <w:rsid w:val="00301398"/>
    <w:rsid w:val="00301A57"/>
    <w:rsid w:val="003024D6"/>
    <w:rsid w:val="003026CC"/>
    <w:rsid w:val="00302911"/>
    <w:rsid w:val="0030344E"/>
    <w:rsid w:val="00303672"/>
    <w:rsid w:val="003037C8"/>
    <w:rsid w:val="0030389D"/>
    <w:rsid w:val="00303F65"/>
    <w:rsid w:val="00303FD5"/>
    <w:rsid w:val="00304122"/>
    <w:rsid w:val="00305226"/>
    <w:rsid w:val="00305706"/>
    <w:rsid w:val="003057FC"/>
    <w:rsid w:val="00305C52"/>
    <w:rsid w:val="00306045"/>
    <w:rsid w:val="003061EA"/>
    <w:rsid w:val="00306560"/>
    <w:rsid w:val="003067B4"/>
    <w:rsid w:val="00306843"/>
    <w:rsid w:val="00306B83"/>
    <w:rsid w:val="00306C67"/>
    <w:rsid w:val="00306E5A"/>
    <w:rsid w:val="003079BE"/>
    <w:rsid w:val="00307DF3"/>
    <w:rsid w:val="0031004F"/>
    <w:rsid w:val="00310476"/>
    <w:rsid w:val="0031055A"/>
    <w:rsid w:val="003106B8"/>
    <w:rsid w:val="0031077A"/>
    <w:rsid w:val="00310941"/>
    <w:rsid w:val="00310B83"/>
    <w:rsid w:val="00310FE2"/>
    <w:rsid w:val="00311314"/>
    <w:rsid w:val="003116FD"/>
    <w:rsid w:val="0031181D"/>
    <w:rsid w:val="0031260D"/>
    <w:rsid w:val="003128A2"/>
    <w:rsid w:val="00312E4D"/>
    <w:rsid w:val="00313F0B"/>
    <w:rsid w:val="003142D9"/>
    <w:rsid w:val="003142E9"/>
    <w:rsid w:val="00314678"/>
    <w:rsid w:val="003146A7"/>
    <w:rsid w:val="00314E35"/>
    <w:rsid w:val="003154B2"/>
    <w:rsid w:val="00316212"/>
    <w:rsid w:val="00316717"/>
    <w:rsid w:val="00316BDF"/>
    <w:rsid w:val="00316CE3"/>
    <w:rsid w:val="00317831"/>
    <w:rsid w:val="003202A1"/>
    <w:rsid w:val="003202CD"/>
    <w:rsid w:val="00320413"/>
    <w:rsid w:val="003205D0"/>
    <w:rsid w:val="003206D1"/>
    <w:rsid w:val="00320D95"/>
    <w:rsid w:val="003212E1"/>
    <w:rsid w:val="00321A9B"/>
    <w:rsid w:val="00321ECC"/>
    <w:rsid w:val="00322058"/>
    <w:rsid w:val="003222C5"/>
    <w:rsid w:val="003223E6"/>
    <w:rsid w:val="003226D6"/>
    <w:rsid w:val="00322A1F"/>
    <w:rsid w:val="00322E1C"/>
    <w:rsid w:val="00322EB0"/>
    <w:rsid w:val="00322EC6"/>
    <w:rsid w:val="00323591"/>
    <w:rsid w:val="0032415B"/>
    <w:rsid w:val="00324188"/>
    <w:rsid w:val="00324A90"/>
    <w:rsid w:val="00324BD7"/>
    <w:rsid w:val="00324EA1"/>
    <w:rsid w:val="00324F68"/>
    <w:rsid w:val="003252C7"/>
    <w:rsid w:val="003253FA"/>
    <w:rsid w:val="00325C45"/>
    <w:rsid w:val="00325C5F"/>
    <w:rsid w:val="00325FEC"/>
    <w:rsid w:val="003260E8"/>
    <w:rsid w:val="003263D3"/>
    <w:rsid w:val="00326754"/>
    <w:rsid w:val="0032691C"/>
    <w:rsid w:val="0032709D"/>
    <w:rsid w:val="0032740D"/>
    <w:rsid w:val="00327B45"/>
    <w:rsid w:val="00327C26"/>
    <w:rsid w:val="00327DBE"/>
    <w:rsid w:val="00330842"/>
    <w:rsid w:val="003312FF"/>
    <w:rsid w:val="0033175C"/>
    <w:rsid w:val="003318CF"/>
    <w:rsid w:val="0033202A"/>
    <w:rsid w:val="00332373"/>
    <w:rsid w:val="0033265A"/>
    <w:rsid w:val="00332AAD"/>
    <w:rsid w:val="00332E60"/>
    <w:rsid w:val="0033314F"/>
    <w:rsid w:val="00333159"/>
    <w:rsid w:val="00333415"/>
    <w:rsid w:val="0033379E"/>
    <w:rsid w:val="003337BD"/>
    <w:rsid w:val="0033394F"/>
    <w:rsid w:val="003339DC"/>
    <w:rsid w:val="00333BF4"/>
    <w:rsid w:val="00333CAD"/>
    <w:rsid w:val="0033420D"/>
    <w:rsid w:val="00334458"/>
    <w:rsid w:val="0033469B"/>
    <w:rsid w:val="003349C7"/>
    <w:rsid w:val="00334B67"/>
    <w:rsid w:val="00334CE5"/>
    <w:rsid w:val="00335324"/>
    <w:rsid w:val="0033588F"/>
    <w:rsid w:val="00336470"/>
    <w:rsid w:val="003366C7"/>
    <w:rsid w:val="003366C8"/>
    <w:rsid w:val="003373DC"/>
    <w:rsid w:val="00337A9F"/>
    <w:rsid w:val="00337B5A"/>
    <w:rsid w:val="00337D7E"/>
    <w:rsid w:val="00337F66"/>
    <w:rsid w:val="0034013D"/>
    <w:rsid w:val="0034039C"/>
    <w:rsid w:val="003406B4"/>
    <w:rsid w:val="003408DD"/>
    <w:rsid w:val="00340B8D"/>
    <w:rsid w:val="00340C9E"/>
    <w:rsid w:val="00341438"/>
    <w:rsid w:val="00341B9B"/>
    <w:rsid w:val="00343306"/>
    <w:rsid w:val="0034344F"/>
    <w:rsid w:val="003435A9"/>
    <w:rsid w:val="0034369C"/>
    <w:rsid w:val="00343C85"/>
    <w:rsid w:val="00343E05"/>
    <w:rsid w:val="00343E06"/>
    <w:rsid w:val="00343E6B"/>
    <w:rsid w:val="003441A6"/>
    <w:rsid w:val="003441CF"/>
    <w:rsid w:val="0034423F"/>
    <w:rsid w:val="003442C0"/>
    <w:rsid w:val="00344419"/>
    <w:rsid w:val="003448AD"/>
    <w:rsid w:val="00344C1F"/>
    <w:rsid w:val="00344ED7"/>
    <w:rsid w:val="00344F57"/>
    <w:rsid w:val="003450CF"/>
    <w:rsid w:val="00345653"/>
    <w:rsid w:val="00345698"/>
    <w:rsid w:val="003459BB"/>
    <w:rsid w:val="00346642"/>
    <w:rsid w:val="003467D5"/>
    <w:rsid w:val="00346CE1"/>
    <w:rsid w:val="00346E50"/>
    <w:rsid w:val="00346FA1"/>
    <w:rsid w:val="003474DB"/>
    <w:rsid w:val="00347C0E"/>
    <w:rsid w:val="00347F33"/>
    <w:rsid w:val="00347FA4"/>
    <w:rsid w:val="00350027"/>
    <w:rsid w:val="00350292"/>
    <w:rsid w:val="00350A7B"/>
    <w:rsid w:val="00350A93"/>
    <w:rsid w:val="00350C0F"/>
    <w:rsid w:val="00351BCE"/>
    <w:rsid w:val="00352712"/>
    <w:rsid w:val="003528E4"/>
    <w:rsid w:val="00352A4E"/>
    <w:rsid w:val="00353D7D"/>
    <w:rsid w:val="00353EE7"/>
    <w:rsid w:val="00353F70"/>
    <w:rsid w:val="003542B1"/>
    <w:rsid w:val="003543DB"/>
    <w:rsid w:val="00354783"/>
    <w:rsid w:val="0035489D"/>
    <w:rsid w:val="00354DB6"/>
    <w:rsid w:val="00355186"/>
    <w:rsid w:val="003554CA"/>
    <w:rsid w:val="00355C6B"/>
    <w:rsid w:val="00356252"/>
    <w:rsid w:val="003563FF"/>
    <w:rsid w:val="0035663D"/>
    <w:rsid w:val="003568E3"/>
    <w:rsid w:val="00356901"/>
    <w:rsid w:val="003572F5"/>
    <w:rsid w:val="00357711"/>
    <w:rsid w:val="00357BDB"/>
    <w:rsid w:val="00357CEF"/>
    <w:rsid w:val="00357D30"/>
    <w:rsid w:val="00357D56"/>
    <w:rsid w:val="00360288"/>
    <w:rsid w:val="00360423"/>
    <w:rsid w:val="00360701"/>
    <w:rsid w:val="0036105C"/>
    <w:rsid w:val="003615B3"/>
    <w:rsid w:val="00361B2D"/>
    <w:rsid w:val="003624FE"/>
    <w:rsid w:val="003626A9"/>
    <w:rsid w:val="00362B43"/>
    <w:rsid w:val="003631C0"/>
    <w:rsid w:val="00363809"/>
    <w:rsid w:val="00363879"/>
    <w:rsid w:val="003639BD"/>
    <w:rsid w:val="00363A07"/>
    <w:rsid w:val="00363B29"/>
    <w:rsid w:val="00364194"/>
    <w:rsid w:val="003645C6"/>
    <w:rsid w:val="003648BF"/>
    <w:rsid w:val="003658BD"/>
    <w:rsid w:val="003659F3"/>
    <w:rsid w:val="003662F0"/>
    <w:rsid w:val="00366705"/>
    <w:rsid w:val="00366796"/>
    <w:rsid w:val="00366C80"/>
    <w:rsid w:val="00366D74"/>
    <w:rsid w:val="003676C4"/>
    <w:rsid w:val="003676D3"/>
    <w:rsid w:val="0036792A"/>
    <w:rsid w:val="00367C31"/>
    <w:rsid w:val="00370010"/>
    <w:rsid w:val="00370091"/>
    <w:rsid w:val="003702B2"/>
    <w:rsid w:val="00370BC2"/>
    <w:rsid w:val="00370DA3"/>
    <w:rsid w:val="003715D6"/>
    <w:rsid w:val="0037193D"/>
    <w:rsid w:val="00371FE8"/>
    <w:rsid w:val="0037202A"/>
    <w:rsid w:val="0037227A"/>
    <w:rsid w:val="00373096"/>
    <w:rsid w:val="0037312F"/>
    <w:rsid w:val="00373FBE"/>
    <w:rsid w:val="0037467C"/>
    <w:rsid w:val="00374AAB"/>
    <w:rsid w:val="00375053"/>
    <w:rsid w:val="00375429"/>
    <w:rsid w:val="00375454"/>
    <w:rsid w:val="003755B8"/>
    <w:rsid w:val="0037575A"/>
    <w:rsid w:val="00375BF6"/>
    <w:rsid w:val="003765EC"/>
    <w:rsid w:val="00376619"/>
    <w:rsid w:val="00376A4C"/>
    <w:rsid w:val="00376C53"/>
    <w:rsid w:val="00376E22"/>
    <w:rsid w:val="003772EF"/>
    <w:rsid w:val="0037757F"/>
    <w:rsid w:val="003776DA"/>
    <w:rsid w:val="003778A0"/>
    <w:rsid w:val="00377A63"/>
    <w:rsid w:val="00377B4E"/>
    <w:rsid w:val="00380117"/>
    <w:rsid w:val="00380558"/>
    <w:rsid w:val="00380876"/>
    <w:rsid w:val="00381538"/>
    <w:rsid w:val="00381860"/>
    <w:rsid w:val="003820BC"/>
    <w:rsid w:val="00382316"/>
    <w:rsid w:val="00382FC8"/>
    <w:rsid w:val="00383392"/>
    <w:rsid w:val="003834F2"/>
    <w:rsid w:val="00383A9F"/>
    <w:rsid w:val="00383BE9"/>
    <w:rsid w:val="00383D38"/>
    <w:rsid w:val="00383D4F"/>
    <w:rsid w:val="00385115"/>
    <w:rsid w:val="003851AF"/>
    <w:rsid w:val="003854B0"/>
    <w:rsid w:val="003856CF"/>
    <w:rsid w:val="0038571B"/>
    <w:rsid w:val="003857C1"/>
    <w:rsid w:val="00385900"/>
    <w:rsid w:val="0038595F"/>
    <w:rsid w:val="00385AED"/>
    <w:rsid w:val="00385CA3"/>
    <w:rsid w:val="00385D33"/>
    <w:rsid w:val="00386121"/>
    <w:rsid w:val="003863F3"/>
    <w:rsid w:val="00386500"/>
    <w:rsid w:val="00386636"/>
    <w:rsid w:val="00387205"/>
    <w:rsid w:val="0038754D"/>
    <w:rsid w:val="00387576"/>
    <w:rsid w:val="00387680"/>
    <w:rsid w:val="00387864"/>
    <w:rsid w:val="00387915"/>
    <w:rsid w:val="00387B30"/>
    <w:rsid w:val="00387C19"/>
    <w:rsid w:val="003902A5"/>
    <w:rsid w:val="003902B8"/>
    <w:rsid w:val="003905B5"/>
    <w:rsid w:val="00390914"/>
    <w:rsid w:val="00390C9F"/>
    <w:rsid w:val="00390F20"/>
    <w:rsid w:val="00391137"/>
    <w:rsid w:val="003912C2"/>
    <w:rsid w:val="00391558"/>
    <w:rsid w:val="003915FA"/>
    <w:rsid w:val="00391936"/>
    <w:rsid w:val="00391BB2"/>
    <w:rsid w:val="00391E5D"/>
    <w:rsid w:val="00392659"/>
    <w:rsid w:val="0039266B"/>
    <w:rsid w:val="0039292A"/>
    <w:rsid w:val="00392AAA"/>
    <w:rsid w:val="00392C0C"/>
    <w:rsid w:val="003932B6"/>
    <w:rsid w:val="00393706"/>
    <w:rsid w:val="00393CBC"/>
    <w:rsid w:val="00393EA1"/>
    <w:rsid w:val="0039450F"/>
    <w:rsid w:val="003947FB"/>
    <w:rsid w:val="00394DC6"/>
    <w:rsid w:val="00395423"/>
    <w:rsid w:val="003954A0"/>
    <w:rsid w:val="0039559E"/>
    <w:rsid w:val="00396687"/>
    <w:rsid w:val="00396B4D"/>
    <w:rsid w:val="00397517"/>
    <w:rsid w:val="00397601"/>
    <w:rsid w:val="003976EE"/>
    <w:rsid w:val="0039773C"/>
    <w:rsid w:val="00397910"/>
    <w:rsid w:val="00397A0C"/>
    <w:rsid w:val="003A005B"/>
    <w:rsid w:val="003A0580"/>
    <w:rsid w:val="003A1094"/>
    <w:rsid w:val="003A1623"/>
    <w:rsid w:val="003A2253"/>
    <w:rsid w:val="003A2B1B"/>
    <w:rsid w:val="003A2C1E"/>
    <w:rsid w:val="003A343C"/>
    <w:rsid w:val="003A3660"/>
    <w:rsid w:val="003A36D9"/>
    <w:rsid w:val="003A3B58"/>
    <w:rsid w:val="003A3D1E"/>
    <w:rsid w:val="003A410E"/>
    <w:rsid w:val="003A4DAC"/>
    <w:rsid w:val="003A5610"/>
    <w:rsid w:val="003A5716"/>
    <w:rsid w:val="003A59F0"/>
    <w:rsid w:val="003A5BA2"/>
    <w:rsid w:val="003A5DB9"/>
    <w:rsid w:val="003A5F40"/>
    <w:rsid w:val="003A6066"/>
    <w:rsid w:val="003A610E"/>
    <w:rsid w:val="003A6394"/>
    <w:rsid w:val="003A64FF"/>
    <w:rsid w:val="003A6930"/>
    <w:rsid w:val="003A6FC0"/>
    <w:rsid w:val="003A7530"/>
    <w:rsid w:val="003A788B"/>
    <w:rsid w:val="003A7FF4"/>
    <w:rsid w:val="003B0016"/>
    <w:rsid w:val="003B0C8C"/>
    <w:rsid w:val="003B0E20"/>
    <w:rsid w:val="003B154E"/>
    <w:rsid w:val="003B1676"/>
    <w:rsid w:val="003B1774"/>
    <w:rsid w:val="003B18FC"/>
    <w:rsid w:val="003B20FB"/>
    <w:rsid w:val="003B32D6"/>
    <w:rsid w:val="003B3408"/>
    <w:rsid w:val="003B3437"/>
    <w:rsid w:val="003B365C"/>
    <w:rsid w:val="003B3BF7"/>
    <w:rsid w:val="003B3C69"/>
    <w:rsid w:val="003B464B"/>
    <w:rsid w:val="003B46BD"/>
    <w:rsid w:val="003B46DB"/>
    <w:rsid w:val="003B4AF9"/>
    <w:rsid w:val="003B4CD7"/>
    <w:rsid w:val="003B566E"/>
    <w:rsid w:val="003B5757"/>
    <w:rsid w:val="003B58D5"/>
    <w:rsid w:val="003B58DC"/>
    <w:rsid w:val="003B5C58"/>
    <w:rsid w:val="003B6090"/>
    <w:rsid w:val="003B6642"/>
    <w:rsid w:val="003B66D4"/>
    <w:rsid w:val="003B677A"/>
    <w:rsid w:val="003B67B1"/>
    <w:rsid w:val="003B67D7"/>
    <w:rsid w:val="003B6AF8"/>
    <w:rsid w:val="003B76A7"/>
    <w:rsid w:val="003B7A52"/>
    <w:rsid w:val="003B7C06"/>
    <w:rsid w:val="003B7C2F"/>
    <w:rsid w:val="003B7E26"/>
    <w:rsid w:val="003C026B"/>
    <w:rsid w:val="003C0332"/>
    <w:rsid w:val="003C04D5"/>
    <w:rsid w:val="003C0521"/>
    <w:rsid w:val="003C054B"/>
    <w:rsid w:val="003C0AE1"/>
    <w:rsid w:val="003C0F73"/>
    <w:rsid w:val="003C1603"/>
    <w:rsid w:val="003C1625"/>
    <w:rsid w:val="003C1827"/>
    <w:rsid w:val="003C1DC8"/>
    <w:rsid w:val="003C214A"/>
    <w:rsid w:val="003C24B3"/>
    <w:rsid w:val="003C2506"/>
    <w:rsid w:val="003C2601"/>
    <w:rsid w:val="003C2726"/>
    <w:rsid w:val="003C28E0"/>
    <w:rsid w:val="003C29AA"/>
    <w:rsid w:val="003C2E77"/>
    <w:rsid w:val="003C30F3"/>
    <w:rsid w:val="003C3A1B"/>
    <w:rsid w:val="003C5037"/>
    <w:rsid w:val="003C5536"/>
    <w:rsid w:val="003C6340"/>
    <w:rsid w:val="003C6697"/>
    <w:rsid w:val="003C6734"/>
    <w:rsid w:val="003C6A60"/>
    <w:rsid w:val="003C7136"/>
    <w:rsid w:val="003C72A0"/>
    <w:rsid w:val="003D0E24"/>
    <w:rsid w:val="003D0F66"/>
    <w:rsid w:val="003D0FB2"/>
    <w:rsid w:val="003D15A6"/>
    <w:rsid w:val="003D1611"/>
    <w:rsid w:val="003D18E6"/>
    <w:rsid w:val="003D20E7"/>
    <w:rsid w:val="003D242D"/>
    <w:rsid w:val="003D260A"/>
    <w:rsid w:val="003D2AD5"/>
    <w:rsid w:val="003D3199"/>
    <w:rsid w:val="003D375C"/>
    <w:rsid w:val="003D37F8"/>
    <w:rsid w:val="003D3B6A"/>
    <w:rsid w:val="003D3CD2"/>
    <w:rsid w:val="003D4036"/>
    <w:rsid w:val="003D4340"/>
    <w:rsid w:val="003D480A"/>
    <w:rsid w:val="003D4E0F"/>
    <w:rsid w:val="003D69A4"/>
    <w:rsid w:val="003D6B3C"/>
    <w:rsid w:val="003D6E65"/>
    <w:rsid w:val="003D7472"/>
    <w:rsid w:val="003E18A6"/>
    <w:rsid w:val="003E19AC"/>
    <w:rsid w:val="003E21A8"/>
    <w:rsid w:val="003E2545"/>
    <w:rsid w:val="003E2B13"/>
    <w:rsid w:val="003E2D12"/>
    <w:rsid w:val="003E2D83"/>
    <w:rsid w:val="003E3050"/>
    <w:rsid w:val="003E3ABA"/>
    <w:rsid w:val="003E3B40"/>
    <w:rsid w:val="003E41F9"/>
    <w:rsid w:val="003E441D"/>
    <w:rsid w:val="003E471F"/>
    <w:rsid w:val="003E472C"/>
    <w:rsid w:val="003E4D71"/>
    <w:rsid w:val="003E50B4"/>
    <w:rsid w:val="003E64A3"/>
    <w:rsid w:val="003E67EF"/>
    <w:rsid w:val="003E6F2F"/>
    <w:rsid w:val="003E71EC"/>
    <w:rsid w:val="003E761C"/>
    <w:rsid w:val="003E7C20"/>
    <w:rsid w:val="003E7CC7"/>
    <w:rsid w:val="003E7DAC"/>
    <w:rsid w:val="003F0B04"/>
    <w:rsid w:val="003F0C1F"/>
    <w:rsid w:val="003F0E2C"/>
    <w:rsid w:val="003F0FEC"/>
    <w:rsid w:val="003F101F"/>
    <w:rsid w:val="003F112C"/>
    <w:rsid w:val="003F1F29"/>
    <w:rsid w:val="003F2374"/>
    <w:rsid w:val="003F2501"/>
    <w:rsid w:val="003F263B"/>
    <w:rsid w:val="003F2917"/>
    <w:rsid w:val="003F2EB9"/>
    <w:rsid w:val="003F3577"/>
    <w:rsid w:val="003F38F2"/>
    <w:rsid w:val="003F39E8"/>
    <w:rsid w:val="003F3EB5"/>
    <w:rsid w:val="003F414D"/>
    <w:rsid w:val="003F4643"/>
    <w:rsid w:val="003F47D1"/>
    <w:rsid w:val="003F49B0"/>
    <w:rsid w:val="003F4D6D"/>
    <w:rsid w:val="003F5A9D"/>
    <w:rsid w:val="003F5AE3"/>
    <w:rsid w:val="003F5DC4"/>
    <w:rsid w:val="003F5F21"/>
    <w:rsid w:val="003F657F"/>
    <w:rsid w:val="003F69CA"/>
    <w:rsid w:val="003F6BE3"/>
    <w:rsid w:val="003F7CC3"/>
    <w:rsid w:val="003F7CF3"/>
    <w:rsid w:val="003F7DCF"/>
    <w:rsid w:val="00400480"/>
    <w:rsid w:val="0040077B"/>
    <w:rsid w:val="004011B0"/>
    <w:rsid w:val="004013FF"/>
    <w:rsid w:val="0040181E"/>
    <w:rsid w:val="00401BFC"/>
    <w:rsid w:val="00401D90"/>
    <w:rsid w:val="00401F7C"/>
    <w:rsid w:val="0040206F"/>
    <w:rsid w:val="00402093"/>
    <w:rsid w:val="0040224B"/>
    <w:rsid w:val="00402336"/>
    <w:rsid w:val="00402342"/>
    <w:rsid w:val="0040287C"/>
    <w:rsid w:val="00402FA0"/>
    <w:rsid w:val="0040327F"/>
    <w:rsid w:val="00403858"/>
    <w:rsid w:val="00403AB1"/>
    <w:rsid w:val="00403D30"/>
    <w:rsid w:val="00404863"/>
    <w:rsid w:val="00404887"/>
    <w:rsid w:val="00404D8A"/>
    <w:rsid w:val="00404EEE"/>
    <w:rsid w:val="004055F4"/>
    <w:rsid w:val="004057F8"/>
    <w:rsid w:val="0040592C"/>
    <w:rsid w:val="00405AA6"/>
    <w:rsid w:val="00405C28"/>
    <w:rsid w:val="00405C57"/>
    <w:rsid w:val="00406157"/>
    <w:rsid w:val="00406552"/>
    <w:rsid w:val="00406893"/>
    <w:rsid w:val="00406A5B"/>
    <w:rsid w:val="0040707E"/>
    <w:rsid w:val="004071A8"/>
    <w:rsid w:val="00407609"/>
    <w:rsid w:val="00407E5E"/>
    <w:rsid w:val="00407E83"/>
    <w:rsid w:val="0041032B"/>
    <w:rsid w:val="004103DF"/>
    <w:rsid w:val="004106ED"/>
    <w:rsid w:val="00410EAC"/>
    <w:rsid w:val="00411141"/>
    <w:rsid w:val="004111EA"/>
    <w:rsid w:val="00411525"/>
    <w:rsid w:val="00411DD2"/>
    <w:rsid w:val="00412072"/>
    <w:rsid w:val="00412077"/>
    <w:rsid w:val="004127F2"/>
    <w:rsid w:val="004128FC"/>
    <w:rsid w:val="0041294A"/>
    <w:rsid w:val="00412957"/>
    <w:rsid w:val="004129B3"/>
    <w:rsid w:val="00412E77"/>
    <w:rsid w:val="00413040"/>
    <w:rsid w:val="00413317"/>
    <w:rsid w:val="004138F8"/>
    <w:rsid w:val="00413DAD"/>
    <w:rsid w:val="00413FC5"/>
    <w:rsid w:val="00414050"/>
    <w:rsid w:val="00414485"/>
    <w:rsid w:val="004149E0"/>
    <w:rsid w:val="0041562B"/>
    <w:rsid w:val="004157FF"/>
    <w:rsid w:val="004158D4"/>
    <w:rsid w:val="00415CFC"/>
    <w:rsid w:val="00416112"/>
    <w:rsid w:val="00416729"/>
    <w:rsid w:val="004168FB"/>
    <w:rsid w:val="0041716F"/>
    <w:rsid w:val="0041762A"/>
    <w:rsid w:val="004177CD"/>
    <w:rsid w:val="00417C93"/>
    <w:rsid w:val="00417D1D"/>
    <w:rsid w:val="00420455"/>
    <w:rsid w:val="00420693"/>
    <w:rsid w:val="00420936"/>
    <w:rsid w:val="00421BCB"/>
    <w:rsid w:val="00421FCE"/>
    <w:rsid w:val="00422039"/>
    <w:rsid w:val="00422340"/>
    <w:rsid w:val="0042236C"/>
    <w:rsid w:val="004233AB"/>
    <w:rsid w:val="004233DB"/>
    <w:rsid w:val="00423591"/>
    <w:rsid w:val="00423678"/>
    <w:rsid w:val="00423AA0"/>
    <w:rsid w:val="00424225"/>
    <w:rsid w:val="0042435E"/>
    <w:rsid w:val="0042469E"/>
    <w:rsid w:val="00424738"/>
    <w:rsid w:val="004247B2"/>
    <w:rsid w:val="004248A4"/>
    <w:rsid w:val="004248BA"/>
    <w:rsid w:val="00424C7A"/>
    <w:rsid w:val="00425093"/>
    <w:rsid w:val="004251A7"/>
    <w:rsid w:val="0042553A"/>
    <w:rsid w:val="004264B4"/>
    <w:rsid w:val="0042656D"/>
    <w:rsid w:val="00426CCE"/>
    <w:rsid w:val="00427243"/>
    <w:rsid w:val="004275DE"/>
    <w:rsid w:val="00427B86"/>
    <w:rsid w:val="00427EAF"/>
    <w:rsid w:val="00430109"/>
    <w:rsid w:val="0043029A"/>
    <w:rsid w:val="00430A91"/>
    <w:rsid w:val="00430E35"/>
    <w:rsid w:val="00431043"/>
    <w:rsid w:val="0043182B"/>
    <w:rsid w:val="004319CF"/>
    <w:rsid w:val="00431D32"/>
    <w:rsid w:val="00431E22"/>
    <w:rsid w:val="00431F90"/>
    <w:rsid w:val="004329AE"/>
    <w:rsid w:val="00432AF9"/>
    <w:rsid w:val="00433644"/>
    <w:rsid w:val="004336A9"/>
    <w:rsid w:val="00433A1F"/>
    <w:rsid w:val="00433ABF"/>
    <w:rsid w:val="0043403E"/>
    <w:rsid w:val="00434097"/>
    <w:rsid w:val="0043492D"/>
    <w:rsid w:val="004352A3"/>
    <w:rsid w:val="00435383"/>
    <w:rsid w:val="00435933"/>
    <w:rsid w:val="00435997"/>
    <w:rsid w:val="00436D6C"/>
    <w:rsid w:val="00436DA7"/>
    <w:rsid w:val="0043730E"/>
    <w:rsid w:val="00437850"/>
    <w:rsid w:val="00437D51"/>
    <w:rsid w:val="004400AD"/>
    <w:rsid w:val="0044011E"/>
    <w:rsid w:val="004401A5"/>
    <w:rsid w:val="004409BB"/>
    <w:rsid w:val="00440C3E"/>
    <w:rsid w:val="00440DC3"/>
    <w:rsid w:val="00440FC5"/>
    <w:rsid w:val="0044245E"/>
    <w:rsid w:val="00442A4C"/>
    <w:rsid w:val="00442AC6"/>
    <w:rsid w:val="00442E80"/>
    <w:rsid w:val="004438B6"/>
    <w:rsid w:val="00443ADC"/>
    <w:rsid w:val="00443C60"/>
    <w:rsid w:val="00443F64"/>
    <w:rsid w:val="00444091"/>
    <w:rsid w:val="004443C4"/>
    <w:rsid w:val="00444D9D"/>
    <w:rsid w:val="00444F6E"/>
    <w:rsid w:val="004452DD"/>
    <w:rsid w:val="0044568C"/>
    <w:rsid w:val="00445707"/>
    <w:rsid w:val="00445BB8"/>
    <w:rsid w:val="00445FAE"/>
    <w:rsid w:val="00446192"/>
    <w:rsid w:val="004465CE"/>
    <w:rsid w:val="004465E5"/>
    <w:rsid w:val="00446A09"/>
    <w:rsid w:val="00446B26"/>
    <w:rsid w:val="00446D44"/>
    <w:rsid w:val="00447094"/>
    <w:rsid w:val="0044744C"/>
    <w:rsid w:val="004477DF"/>
    <w:rsid w:val="004478C7"/>
    <w:rsid w:val="00447C49"/>
    <w:rsid w:val="00447EDC"/>
    <w:rsid w:val="004500F5"/>
    <w:rsid w:val="004501F9"/>
    <w:rsid w:val="0045029D"/>
    <w:rsid w:val="004507D4"/>
    <w:rsid w:val="0045124D"/>
    <w:rsid w:val="00451493"/>
    <w:rsid w:val="00451689"/>
    <w:rsid w:val="00452100"/>
    <w:rsid w:val="004524FC"/>
    <w:rsid w:val="00452BB0"/>
    <w:rsid w:val="00452C8E"/>
    <w:rsid w:val="00452F38"/>
    <w:rsid w:val="00453339"/>
    <w:rsid w:val="00453693"/>
    <w:rsid w:val="004537D9"/>
    <w:rsid w:val="0045381A"/>
    <w:rsid w:val="0045387A"/>
    <w:rsid w:val="00453C26"/>
    <w:rsid w:val="00453C6F"/>
    <w:rsid w:val="00453D6A"/>
    <w:rsid w:val="0045408D"/>
    <w:rsid w:val="00454532"/>
    <w:rsid w:val="004545AB"/>
    <w:rsid w:val="004553F3"/>
    <w:rsid w:val="004556E5"/>
    <w:rsid w:val="004558FD"/>
    <w:rsid w:val="00455BA5"/>
    <w:rsid w:val="00455C9A"/>
    <w:rsid w:val="00456220"/>
    <w:rsid w:val="004564AA"/>
    <w:rsid w:val="00457A78"/>
    <w:rsid w:val="00457B6A"/>
    <w:rsid w:val="00460F23"/>
    <w:rsid w:val="00461553"/>
    <w:rsid w:val="00461978"/>
    <w:rsid w:val="00461AD3"/>
    <w:rsid w:val="00461E54"/>
    <w:rsid w:val="00461ED3"/>
    <w:rsid w:val="00461F4C"/>
    <w:rsid w:val="00462002"/>
    <w:rsid w:val="00462114"/>
    <w:rsid w:val="00462351"/>
    <w:rsid w:val="0046276B"/>
    <w:rsid w:val="00462890"/>
    <w:rsid w:val="0046349B"/>
    <w:rsid w:val="0046399C"/>
    <w:rsid w:val="00463F17"/>
    <w:rsid w:val="0046407E"/>
    <w:rsid w:val="00464125"/>
    <w:rsid w:val="0046412B"/>
    <w:rsid w:val="0046477A"/>
    <w:rsid w:val="0046493D"/>
    <w:rsid w:val="00464ABE"/>
    <w:rsid w:val="00464AC9"/>
    <w:rsid w:val="00464BAA"/>
    <w:rsid w:val="00464C4E"/>
    <w:rsid w:val="00464C5F"/>
    <w:rsid w:val="00464D38"/>
    <w:rsid w:val="00464EBC"/>
    <w:rsid w:val="00464F2A"/>
    <w:rsid w:val="00464F9C"/>
    <w:rsid w:val="00465595"/>
    <w:rsid w:val="00465D14"/>
    <w:rsid w:val="004661F2"/>
    <w:rsid w:val="004665BC"/>
    <w:rsid w:val="00466CC9"/>
    <w:rsid w:val="00466E44"/>
    <w:rsid w:val="004671E1"/>
    <w:rsid w:val="00467C9E"/>
    <w:rsid w:val="00467EB4"/>
    <w:rsid w:val="004705AB"/>
    <w:rsid w:val="00470833"/>
    <w:rsid w:val="00470A2D"/>
    <w:rsid w:val="004712EC"/>
    <w:rsid w:val="004717D7"/>
    <w:rsid w:val="00471BD6"/>
    <w:rsid w:val="00471BF1"/>
    <w:rsid w:val="00471C1E"/>
    <w:rsid w:val="00471FA8"/>
    <w:rsid w:val="004722AB"/>
    <w:rsid w:val="00472FAC"/>
    <w:rsid w:val="00473076"/>
    <w:rsid w:val="0047365F"/>
    <w:rsid w:val="00473778"/>
    <w:rsid w:val="00473C63"/>
    <w:rsid w:val="00473EE3"/>
    <w:rsid w:val="00474233"/>
    <w:rsid w:val="00474330"/>
    <w:rsid w:val="004743A1"/>
    <w:rsid w:val="004745FE"/>
    <w:rsid w:val="00474631"/>
    <w:rsid w:val="00474821"/>
    <w:rsid w:val="00474BB1"/>
    <w:rsid w:val="00474E9C"/>
    <w:rsid w:val="0047573A"/>
    <w:rsid w:val="00475AF8"/>
    <w:rsid w:val="00475AFC"/>
    <w:rsid w:val="004769BA"/>
    <w:rsid w:val="00476A2F"/>
    <w:rsid w:val="00476AA8"/>
    <w:rsid w:val="00476B83"/>
    <w:rsid w:val="00480133"/>
    <w:rsid w:val="0048014E"/>
    <w:rsid w:val="004801AD"/>
    <w:rsid w:val="0048069A"/>
    <w:rsid w:val="004806DA"/>
    <w:rsid w:val="00480A02"/>
    <w:rsid w:val="004818D4"/>
    <w:rsid w:val="00481B74"/>
    <w:rsid w:val="00482248"/>
    <w:rsid w:val="0048235C"/>
    <w:rsid w:val="004825DA"/>
    <w:rsid w:val="00483067"/>
    <w:rsid w:val="00483696"/>
    <w:rsid w:val="00483861"/>
    <w:rsid w:val="0048443C"/>
    <w:rsid w:val="004844C9"/>
    <w:rsid w:val="00484592"/>
    <w:rsid w:val="004847CB"/>
    <w:rsid w:val="00484ADC"/>
    <w:rsid w:val="00484E6C"/>
    <w:rsid w:val="00484F44"/>
    <w:rsid w:val="0048531A"/>
    <w:rsid w:val="00485C7D"/>
    <w:rsid w:val="00485CF3"/>
    <w:rsid w:val="00485F04"/>
    <w:rsid w:val="0048627B"/>
    <w:rsid w:val="004864A6"/>
    <w:rsid w:val="00486611"/>
    <w:rsid w:val="004866F2"/>
    <w:rsid w:val="0048725E"/>
    <w:rsid w:val="0048735F"/>
    <w:rsid w:val="00487749"/>
    <w:rsid w:val="0048781E"/>
    <w:rsid w:val="00487E2F"/>
    <w:rsid w:val="00487F2B"/>
    <w:rsid w:val="00487FDD"/>
    <w:rsid w:val="00490614"/>
    <w:rsid w:val="00491882"/>
    <w:rsid w:val="00491D47"/>
    <w:rsid w:val="00491E54"/>
    <w:rsid w:val="0049233C"/>
    <w:rsid w:val="004928CA"/>
    <w:rsid w:val="00492B9E"/>
    <w:rsid w:val="00492C75"/>
    <w:rsid w:val="004930F0"/>
    <w:rsid w:val="00493177"/>
    <w:rsid w:val="00493311"/>
    <w:rsid w:val="00493C02"/>
    <w:rsid w:val="004941DA"/>
    <w:rsid w:val="004942CC"/>
    <w:rsid w:val="004944DD"/>
    <w:rsid w:val="004951DC"/>
    <w:rsid w:val="00495263"/>
    <w:rsid w:val="004953AA"/>
    <w:rsid w:val="004958EF"/>
    <w:rsid w:val="00495F9A"/>
    <w:rsid w:val="00496093"/>
    <w:rsid w:val="00496151"/>
    <w:rsid w:val="00496377"/>
    <w:rsid w:val="00497194"/>
    <w:rsid w:val="004979F4"/>
    <w:rsid w:val="00497A52"/>
    <w:rsid w:val="00497D0C"/>
    <w:rsid w:val="00497E06"/>
    <w:rsid w:val="004A006F"/>
    <w:rsid w:val="004A0125"/>
    <w:rsid w:val="004A0A51"/>
    <w:rsid w:val="004A0B85"/>
    <w:rsid w:val="004A0B9D"/>
    <w:rsid w:val="004A1D76"/>
    <w:rsid w:val="004A2130"/>
    <w:rsid w:val="004A2975"/>
    <w:rsid w:val="004A2C2D"/>
    <w:rsid w:val="004A2E6C"/>
    <w:rsid w:val="004A2FA7"/>
    <w:rsid w:val="004A314E"/>
    <w:rsid w:val="004A3462"/>
    <w:rsid w:val="004A4A56"/>
    <w:rsid w:val="004A4A87"/>
    <w:rsid w:val="004A4B73"/>
    <w:rsid w:val="004A5A2D"/>
    <w:rsid w:val="004A5B31"/>
    <w:rsid w:val="004A60EB"/>
    <w:rsid w:val="004A62B0"/>
    <w:rsid w:val="004A728B"/>
    <w:rsid w:val="004A72C7"/>
    <w:rsid w:val="004A731B"/>
    <w:rsid w:val="004A767F"/>
    <w:rsid w:val="004A771B"/>
    <w:rsid w:val="004A7B0B"/>
    <w:rsid w:val="004A7F10"/>
    <w:rsid w:val="004B0041"/>
    <w:rsid w:val="004B01BD"/>
    <w:rsid w:val="004B06E3"/>
    <w:rsid w:val="004B0918"/>
    <w:rsid w:val="004B137B"/>
    <w:rsid w:val="004B13FD"/>
    <w:rsid w:val="004B16A4"/>
    <w:rsid w:val="004B1F25"/>
    <w:rsid w:val="004B224B"/>
    <w:rsid w:val="004B2412"/>
    <w:rsid w:val="004B2775"/>
    <w:rsid w:val="004B27AC"/>
    <w:rsid w:val="004B2901"/>
    <w:rsid w:val="004B290B"/>
    <w:rsid w:val="004B2D3C"/>
    <w:rsid w:val="004B2F17"/>
    <w:rsid w:val="004B36E7"/>
    <w:rsid w:val="004B37C6"/>
    <w:rsid w:val="004B3F0C"/>
    <w:rsid w:val="004B4014"/>
    <w:rsid w:val="004B4307"/>
    <w:rsid w:val="004B459D"/>
    <w:rsid w:val="004B49A8"/>
    <w:rsid w:val="004B4BFF"/>
    <w:rsid w:val="004B4DD6"/>
    <w:rsid w:val="004B4F59"/>
    <w:rsid w:val="004B51B8"/>
    <w:rsid w:val="004B55F4"/>
    <w:rsid w:val="004B5785"/>
    <w:rsid w:val="004B584A"/>
    <w:rsid w:val="004B5A1C"/>
    <w:rsid w:val="004B5A2F"/>
    <w:rsid w:val="004B5A70"/>
    <w:rsid w:val="004B5E23"/>
    <w:rsid w:val="004B649F"/>
    <w:rsid w:val="004B64D3"/>
    <w:rsid w:val="004B6A6A"/>
    <w:rsid w:val="004B6BB2"/>
    <w:rsid w:val="004B75B3"/>
    <w:rsid w:val="004B7BB5"/>
    <w:rsid w:val="004C0551"/>
    <w:rsid w:val="004C0611"/>
    <w:rsid w:val="004C0658"/>
    <w:rsid w:val="004C08B0"/>
    <w:rsid w:val="004C0FC9"/>
    <w:rsid w:val="004C1029"/>
    <w:rsid w:val="004C1B2A"/>
    <w:rsid w:val="004C1EA1"/>
    <w:rsid w:val="004C1EA9"/>
    <w:rsid w:val="004C1FE4"/>
    <w:rsid w:val="004C2042"/>
    <w:rsid w:val="004C263E"/>
    <w:rsid w:val="004C2DF1"/>
    <w:rsid w:val="004C2ED6"/>
    <w:rsid w:val="004C3C03"/>
    <w:rsid w:val="004C46C2"/>
    <w:rsid w:val="004C4E2D"/>
    <w:rsid w:val="004C5227"/>
    <w:rsid w:val="004C5491"/>
    <w:rsid w:val="004C5D2F"/>
    <w:rsid w:val="004C61F3"/>
    <w:rsid w:val="004C6244"/>
    <w:rsid w:val="004C62E8"/>
    <w:rsid w:val="004C6717"/>
    <w:rsid w:val="004C68DF"/>
    <w:rsid w:val="004C6BBE"/>
    <w:rsid w:val="004C6ED9"/>
    <w:rsid w:val="004C70B0"/>
    <w:rsid w:val="004C7363"/>
    <w:rsid w:val="004C7685"/>
    <w:rsid w:val="004C7A6D"/>
    <w:rsid w:val="004C7C78"/>
    <w:rsid w:val="004C7E5D"/>
    <w:rsid w:val="004D033B"/>
    <w:rsid w:val="004D0846"/>
    <w:rsid w:val="004D0DA2"/>
    <w:rsid w:val="004D0F01"/>
    <w:rsid w:val="004D161F"/>
    <w:rsid w:val="004D166B"/>
    <w:rsid w:val="004D1B35"/>
    <w:rsid w:val="004D20BC"/>
    <w:rsid w:val="004D24E5"/>
    <w:rsid w:val="004D2736"/>
    <w:rsid w:val="004D2CFC"/>
    <w:rsid w:val="004D2DFF"/>
    <w:rsid w:val="004D3453"/>
    <w:rsid w:val="004D360C"/>
    <w:rsid w:val="004D3643"/>
    <w:rsid w:val="004D3CEC"/>
    <w:rsid w:val="004D4709"/>
    <w:rsid w:val="004D4B9F"/>
    <w:rsid w:val="004D5D0F"/>
    <w:rsid w:val="004D629D"/>
    <w:rsid w:val="004D6517"/>
    <w:rsid w:val="004D67B0"/>
    <w:rsid w:val="004D6CCD"/>
    <w:rsid w:val="004D737F"/>
    <w:rsid w:val="004D76F2"/>
    <w:rsid w:val="004D7BD2"/>
    <w:rsid w:val="004E0025"/>
    <w:rsid w:val="004E00E2"/>
    <w:rsid w:val="004E0936"/>
    <w:rsid w:val="004E0A7A"/>
    <w:rsid w:val="004E0FED"/>
    <w:rsid w:val="004E1C9B"/>
    <w:rsid w:val="004E1FAE"/>
    <w:rsid w:val="004E23BC"/>
    <w:rsid w:val="004E2E1E"/>
    <w:rsid w:val="004E37BB"/>
    <w:rsid w:val="004E3ED7"/>
    <w:rsid w:val="004E4A42"/>
    <w:rsid w:val="004E5CF9"/>
    <w:rsid w:val="004E60EF"/>
    <w:rsid w:val="004E62F1"/>
    <w:rsid w:val="004E6396"/>
    <w:rsid w:val="004E7892"/>
    <w:rsid w:val="004E7FC1"/>
    <w:rsid w:val="004F0316"/>
    <w:rsid w:val="004F077C"/>
    <w:rsid w:val="004F0A14"/>
    <w:rsid w:val="004F0AB0"/>
    <w:rsid w:val="004F0D13"/>
    <w:rsid w:val="004F0FD3"/>
    <w:rsid w:val="004F100C"/>
    <w:rsid w:val="004F10AC"/>
    <w:rsid w:val="004F1131"/>
    <w:rsid w:val="004F114F"/>
    <w:rsid w:val="004F15C7"/>
    <w:rsid w:val="004F19C0"/>
    <w:rsid w:val="004F22FC"/>
    <w:rsid w:val="004F242E"/>
    <w:rsid w:val="004F2969"/>
    <w:rsid w:val="004F2ADF"/>
    <w:rsid w:val="004F3C97"/>
    <w:rsid w:val="004F3DFE"/>
    <w:rsid w:val="004F4294"/>
    <w:rsid w:val="004F42BA"/>
    <w:rsid w:val="004F4589"/>
    <w:rsid w:val="004F4697"/>
    <w:rsid w:val="004F5302"/>
    <w:rsid w:val="004F5B92"/>
    <w:rsid w:val="004F5BF4"/>
    <w:rsid w:val="004F5CB5"/>
    <w:rsid w:val="004F61BC"/>
    <w:rsid w:val="004F681D"/>
    <w:rsid w:val="004F6B67"/>
    <w:rsid w:val="004F6B7F"/>
    <w:rsid w:val="004F6F1C"/>
    <w:rsid w:val="004F7246"/>
    <w:rsid w:val="004F73D0"/>
    <w:rsid w:val="004F7624"/>
    <w:rsid w:val="004F78AF"/>
    <w:rsid w:val="00500386"/>
    <w:rsid w:val="00500659"/>
    <w:rsid w:val="00501258"/>
    <w:rsid w:val="0050184E"/>
    <w:rsid w:val="00501F10"/>
    <w:rsid w:val="005021FC"/>
    <w:rsid w:val="005025D9"/>
    <w:rsid w:val="005027E8"/>
    <w:rsid w:val="00502851"/>
    <w:rsid w:val="00502F37"/>
    <w:rsid w:val="0050327A"/>
    <w:rsid w:val="005035AB"/>
    <w:rsid w:val="00503667"/>
    <w:rsid w:val="005038CC"/>
    <w:rsid w:val="005039DE"/>
    <w:rsid w:val="00503AE6"/>
    <w:rsid w:val="00504157"/>
    <w:rsid w:val="00504D1E"/>
    <w:rsid w:val="00504F73"/>
    <w:rsid w:val="00505293"/>
    <w:rsid w:val="00506390"/>
    <w:rsid w:val="00506E76"/>
    <w:rsid w:val="00507209"/>
    <w:rsid w:val="005076F5"/>
    <w:rsid w:val="0050777C"/>
    <w:rsid w:val="00507799"/>
    <w:rsid w:val="00507E15"/>
    <w:rsid w:val="005101B0"/>
    <w:rsid w:val="00510600"/>
    <w:rsid w:val="00510632"/>
    <w:rsid w:val="005107B0"/>
    <w:rsid w:val="00510948"/>
    <w:rsid w:val="00511515"/>
    <w:rsid w:val="00511BAD"/>
    <w:rsid w:val="00511DBF"/>
    <w:rsid w:val="005126E8"/>
    <w:rsid w:val="00512ABB"/>
    <w:rsid w:val="00512D23"/>
    <w:rsid w:val="00513670"/>
    <w:rsid w:val="005138C5"/>
    <w:rsid w:val="00513B5A"/>
    <w:rsid w:val="00513D90"/>
    <w:rsid w:val="005140CE"/>
    <w:rsid w:val="00514494"/>
    <w:rsid w:val="00514611"/>
    <w:rsid w:val="00514B3C"/>
    <w:rsid w:val="005150C9"/>
    <w:rsid w:val="0051586C"/>
    <w:rsid w:val="00515E1D"/>
    <w:rsid w:val="00516099"/>
    <w:rsid w:val="00516191"/>
    <w:rsid w:val="0051632B"/>
    <w:rsid w:val="00516345"/>
    <w:rsid w:val="00516E08"/>
    <w:rsid w:val="0051759B"/>
    <w:rsid w:val="005176B0"/>
    <w:rsid w:val="00520017"/>
    <w:rsid w:val="00520329"/>
    <w:rsid w:val="00520356"/>
    <w:rsid w:val="005206D2"/>
    <w:rsid w:val="00520DD1"/>
    <w:rsid w:val="005210F6"/>
    <w:rsid w:val="005212CF"/>
    <w:rsid w:val="005213DA"/>
    <w:rsid w:val="00521486"/>
    <w:rsid w:val="005222D0"/>
    <w:rsid w:val="00522BA5"/>
    <w:rsid w:val="005233E5"/>
    <w:rsid w:val="00523477"/>
    <w:rsid w:val="005239F5"/>
    <w:rsid w:val="00523BDF"/>
    <w:rsid w:val="00523C8D"/>
    <w:rsid w:val="00523E26"/>
    <w:rsid w:val="005240F4"/>
    <w:rsid w:val="00524223"/>
    <w:rsid w:val="00524867"/>
    <w:rsid w:val="0052491C"/>
    <w:rsid w:val="00524977"/>
    <w:rsid w:val="005250F1"/>
    <w:rsid w:val="00525852"/>
    <w:rsid w:val="00525E23"/>
    <w:rsid w:val="005267E0"/>
    <w:rsid w:val="005270F7"/>
    <w:rsid w:val="00527726"/>
    <w:rsid w:val="005277CC"/>
    <w:rsid w:val="00527A15"/>
    <w:rsid w:val="00527C19"/>
    <w:rsid w:val="00527CEB"/>
    <w:rsid w:val="00527D70"/>
    <w:rsid w:val="005300CB"/>
    <w:rsid w:val="0053016A"/>
    <w:rsid w:val="005301C9"/>
    <w:rsid w:val="00530496"/>
    <w:rsid w:val="0053088B"/>
    <w:rsid w:val="00530F03"/>
    <w:rsid w:val="005314A1"/>
    <w:rsid w:val="00532538"/>
    <w:rsid w:val="00532AC6"/>
    <w:rsid w:val="00533354"/>
    <w:rsid w:val="005335AA"/>
    <w:rsid w:val="00533730"/>
    <w:rsid w:val="005337D6"/>
    <w:rsid w:val="00533BC9"/>
    <w:rsid w:val="00533C2A"/>
    <w:rsid w:val="00533F87"/>
    <w:rsid w:val="00534443"/>
    <w:rsid w:val="0053490D"/>
    <w:rsid w:val="005349AD"/>
    <w:rsid w:val="00534A82"/>
    <w:rsid w:val="00534B91"/>
    <w:rsid w:val="00534E3E"/>
    <w:rsid w:val="00534EBD"/>
    <w:rsid w:val="00534EE2"/>
    <w:rsid w:val="00534F2B"/>
    <w:rsid w:val="005354C6"/>
    <w:rsid w:val="00535796"/>
    <w:rsid w:val="0053581A"/>
    <w:rsid w:val="00535AA2"/>
    <w:rsid w:val="00535C1C"/>
    <w:rsid w:val="0053604C"/>
    <w:rsid w:val="0053629C"/>
    <w:rsid w:val="0053647D"/>
    <w:rsid w:val="00536741"/>
    <w:rsid w:val="00536B93"/>
    <w:rsid w:val="00536CD5"/>
    <w:rsid w:val="00537379"/>
    <w:rsid w:val="005374FC"/>
    <w:rsid w:val="0053768C"/>
    <w:rsid w:val="005402AF"/>
    <w:rsid w:val="00540591"/>
    <w:rsid w:val="0054071A"/>
    <w:rsid w:val="005409BA"/>
    <w:rsid w:val="00541197"/>
    <w:rsid w:val="005415D2"/>
    <w:rsid w:val="005415F0"/>
    <w:rsid w:val="00541833"/>
    <w:rsid w:val="005418B5"/>
    <w:rsid w:val="0054202F"/>
    <w:rsid w:val="005428E6"/>
    <w:rsid w:val="00542CD9"/>
    <w:rsid w:val="005433FD"/>
    <w:rsid w:val="00543936"/>
    <w:rsid w:val="00543CC6"/>
    <w:rsid w:val="00543FAC"/>
    <w:rsid w:val="00543FC6"/>
    <w:rsid w:val="00544349"/>
    <w:rsid w:val="0054457E"/>
    <w:rsid w:val="00544620"/>
    <w:rsid w:val="00544C97"/>
    <w:rsid w:val="00544F13"/>
    <w:rsid w:val="00544F3B"/>
    <w:rsid w:val="005450C6"/>
    <w:rsid w:val="005454AD"/>
    <w:rsid w:val="00546375"/>
    <w:rsid w:val="00546525"/>
    <w:rsid w:val="00546D18"/>
    <w:rsid w:val="00546F98"/>
    <w:rsid w:val="005472B9"/>
    <w:rsid w:val="00547DBC"/>
    <w:rsid w:val="005502B5"/>
    <w:rsid w:val="005506B7"/>
    <w:rsid w:val="005509A7"/>
    <w:rsid w:val="00550A62"/>
    <w:rsid w:val="00550DDB"/>
    <w:rsid w:val="00550EDB"/>
    <w:rsid w:val="00551399"/>
    <w:rsid w:val="005513CD"/>
    <w:rsid w:val="005513EA"/>
    <w:rsid w:val="005515EC"/>
    <w:rsid w:val="005519F9"/>
    <w:rsid w:val="00551A0F"/>
    <w:rsid w:val="00551E4B"/>
    <w:rsid w:val="00551F5F"/>
    <w:rsid w:val="00552108"/>
    <w:rsid w:val="005522A9"/>
    <w:rsid w:val="005524B3"/>
    <w:rsid w:val="005524CF"/>
    <w:rsid w:val="005526A1"/>
    <w:rsid w:val="00552F6F"/>
    <w:rsid w:val="005532CA"/>
    <w:rsid w:val="00553691"/>
    <w:rsid w:val="005536D2"/>
    <w:rsid w:val="00553C48"/>
    <w:rsid w:val="00554041"/>
    <w:rsid w:val="00554390"/>
    <w:rsid w:val="005547CB"/>
    <w:rsid w:val="00555113"/>
    <w:rsid w:val="005552C9"/>
    <w:rsid w:val="00555396"/>
    <w:rsid w:val="005553E5"/>
    <w:rsid w:val="00555DBD"/>
    <w:rsid w:val="0055687B"/>
    <w:rsid w:val="00556E95"/>
    <w:rsid w:val="00556ECC"/>
    <w:rsid w:val="00557202"/>
    <w:rsid w:val="00557A49"/>
    <w:rsid w:val="0056035C"/>
    <w:rsid w:val="00560683"/>
    <w:rsid w:val="00560A77"/>
    <w:rsid w:val="00560D7C"/>
    <w:rsid w:val="005610C8"/>
    <w:rsid w:val="00561221"/>
    <w:rsid w:val="00561C6A"/>
    <w:rsid w:val="00561C82"/>
    <w:rsid w:val="005625D5"/>
    <w:rsid w:val="00562DE9"/>
    <w:rsid w:val="005633FD"/>
    <w:rsid w:val="00563754"/>
    <w:rsid w:val="00563A61"/>
    <w:rsid w:val="00564395"/>
    <w:rsid w:val="005647F5"/>
    <w:rsid w:val="00564BC5"/>
    <w:rsid w:val="00564C3E"/>
    <w:rsid w:val="005651A7"/>
    <w:rsid w:val="005657F9"/>
    <w:rsid w:val="005663EB"/>
    <w:rsid w:val="005667C7"/>
    <w:rsid w:val="0056693C"/>
    <w:rsid w:val="00566C6C"/>
    <w:rsid w:val="00566FC7"/>
    <w:rsid w:val="0056738F"/>
    <w:rsid w:val="00567511"/>
    <w:rsid w:val="0056761B"/>
    <w:rsid w:val="00567A91"/>
    <w:rsid w:val="00567DF1"/>
    <w:rsid w:val="00567E38"/>
    <w:rsid w:val="00570017"/>
    <w:rsid w:val="0057006A"/>
    <w:rsid w:val="005702B0"/>
    <w:rsid w:val="0057160A"/>
    <w:rsid w:val="00571D52"/>
    <w:rsid w:val="00571F7A"/>
    <w:rsid w:val="0057243C"/>
    <w:rsid w:val="00572767"/>
    <w:rsid w:val="00572990"/>
    <w:rsid w:val="00572A93"/>
    <w:rsid w:val="00572CE9"/>
    <w:rsid w:val="005732FA"/>
    <w:rsid w:val="00573CCE"/>
    <w:rsid w:val="00573D69"/>
    <w:rsid w:val="005741EB"/>
    <w:rsid w:val="0057464C"/>
    <w:rsid w:val="00574A5B"/>
    <w:rsid w:val="0057528E"/>
    <w:rsid w:val="00575B38"/>
    <w:rsid w:val="00575B3E"/>
    <w:rsid w:val="00575F57"/>
    <w:rsid w:val="00576001"/>
    <w:rsid w:val="0057665E"/>
    <w:rsid w:val="005769B6"/>
    <w:rsid w:val="00576B1F"/>
    <w:rsid w:val="00576DC9"/>
    <w:rsid w:val="00577005"/>
    <w:rsid w:val="00577172"/>
    <w:rsid w:val="005771AC"/>
    <w:rsid w:val="005775C7"/>
    <w:rsid w:val="00577BFA"/>
    <w:rsid w:val="00577EAB"/>
    <w:rsid w:val="00577EE1"/>
    <w:rsid w:val="0058079F"/>
    <w:rsid w:val="00580C68"/>
    <w:rsid w:val="00580C8D"/>
    <w:rsid w:val="00580CF7"/>
    <w:rsid w:val="00580D5C"/>
    <w:rsid w:val="00581160"/>
    <w:rsid w:val="00581277"/>
    <w:rsid w:val="00581385"/>
    <w:rsid w:val="00581542"/>
    <w:rsid w:val="005818C6"/>
    <w:rsid w:val="00581CE8"/>
    <w:rsid w:val="00581F27"/>
    <w:rsid w:val="0058230D"/>
    <w:rsid w:val="00582976"/>
    <w:rsid w:val="005829DA"/>
    <w:rsid w:val="00582ACC"/>
    <w:rsid w:val="00582D67"/>
    <w:rsid w:val="00582E2C"/>
    <w:rsid w:val="00583037"/>
    <w:rsid w:val="005835E9"/>
    <w:rsid w:val="00583B65"/>
    <w:rsid w:val="00583FB5"/>
    <w:rsid w:val="00584035"/>
    <w:rsid w:val="005840F1"/>
    <w:rsid w:val="0058427F"/>
    <w:rsid w:val="005842C2"/>
    <w:rsid w:val="0058466F"/>
    <w:rsid w:val="00584837"/>
    <w:rsid w:val="00584A21"/>
    <w:rsid w:val="00585198"/>
    <w:rsid w:val="00585338"/>
    <w:rsid w:val="00585431"/>
    <w:rsid w:val="005854BD"/>
    <w:rsid w:val="0058584C"/>
    <w:rsid w:val="0058590D"/>
    <w:rsid w:val="00586E4E"/>
    <w:rsid w:val="00587070"/>
    <w:rsid w:val="00587339"/>
    <w:rsid w:val="005877AE"/>
    <w:rsid w:val="00590709"/>
    <w:rsid w:val="00590A9D"/>
    <w:rsid w:val="00590CD1"/>
    <w:rsid w:val="00590F8B"/>
    <w:rsid w:val="005912FC"/>
    <w:rsid w:val="00591CE7"/>
    <w:rsid w:val="00591D54"/>
    <w:rsid w:val="00591DFD"/>
    <w:rsid w:val="00591E91"/>
    <w:rsid w:val="0059257B"/>
    <w:rsid w:val="00592CE7"/>
    <w:rsid w:val="00592F4F"/>
    <w:rsid w:val="00592F5C"/>
    <w:rsid w:val="005931B3"/>
    <w:rsid w:val="005938D7"/>
    <w:rsid w:val="00593952"/>
    <w:rsid w:val="00593FB1"/>
    <w:rsid w:val="00594032"/>
    <w:rsid w:val="00594497"/>
    <w:rsid w:val="00594530"/>
    <w:rsid w:val="00595245"/>
    <w:rsid w:val="00595880"/>
    <w:rsid w:val="00595F52"/>
    <w:rsid w:val="00597285"/>
    <w:rsid w:val="00597F5E"/>
    <w:rsid w:val="005A0A81"/>
    <w:rsid w:val="005A0CB2"/>
    <w:rsid w:val="005A0E92"/>
    <w:rsid w:val="005A13A3"/>
    <w:rsid w:val="005A1DBB"/>
    <w:rsid w:val="005A202E"/>
    <w:rsid w:val="005A22A3"/>
    <w:rsid w:val="005A23DF"/>
    <w:rsid w:val="005A280F"/>
    <w:rsid w:val="005A28D1"/>
    <w:rsid w:val="005A2917"/>
    <w:rsid w:val="005A297C"/>
    <w:rsid w:val="005A2B1B"/>
    <w:rsid w:val="005A3567"/>
    <w:rsid w:val="005A3C26"/>
    <w:rsid w:val="005A3DD2"/>
    <w:rsid w:val="005A402E"/>
    <w:rsid w:val="005A4229"/>
    <w:rsid w:val="005A43D3"/>
    <w:rsid w:val="005A57F4"/>
    <w:rsid w:val="005A5926"/>
    <w:rsid w:val="005A5E15"/>
    <w:rsid w:val="005A6028"/>
    <w:rsid w:val="005A6494"/>
    <w:rsid w:val="005A662D"/>
    <w:rsid w:val="005A6A91"/>
    <w:rsid w:val="005A6B91"/>
    <w:rsid w:val="005A6C67"/>
    <w:rsid w:val="005A6F4A"/>
    <w:rsid w:val="005A7075"/>
    <w:rsid w:val="005A7347"/>
    <w:rsid w:val="005A7460"/>
    <w:rsid w:val="005B00F6"/>
    <w:rsid w:val="005B082D"/>
    <w:rsid w:val="005B0CDF"/>
    <w:rsid w:val="005B1629"/>
    <w:rsid w:val="005B1D4A"/>
    <w:rsid w:val="005B21C4"/>
    <w:rsid w:val="005B226F"/>
    <w:rsid w:val="005B22F2"/>
    <w:rsid w:val="005B2EC7"/>
    <w:rsid w:val="005B2F25"/>
    <w:rsid w:val="005B2F97"/>
    <w:rsid w:val="005B2FCB"/>
    <w:rsid w:val="005B3427"/>
    <w:rsid w:val="005B3D67"/>
    <w:rsid w:val="005B49FB"/>
    <w:rsid w:val="005B4AF1"/>
    <w:rsid w:val="005B5071"/>
    <w:rsid w:val="005B55C5"/>
    <w:rsid w:val="005B5C6A"/>
    <w:rsid w:val="005B5D4E"/>
    <w:rsid w:val="005B600A"/>
    <w:rsid w:val="005B6103"/>
    <w:rsid w:val="005B6298"/>
    <w:rsid w:val="005B63AF"/>
    <w:rsid w:val="005B67FA"/>
    <w:rsid w:val="005B6C93"/>
    <w:rsid w:val="005B6EEF"/>
    <w:rsid w:val="005B732E"/>
    <w:rsid w:val="005B7490"/>
    <w:rsid w:val="005B75E4"/>
    <w:rsid w:val="005B79D9"/>
    <w:rsid w:val="005B7E2E"/>
    <w:rsid w:val="005C06EB"/>
    <w:rsid w:val="005C0960"/>
    <w:rsid w:val="005C09F5"/>
    <w:rsid w:val="005C2039"/>
    <w:rsid w:val="005C24F4"/>
    <w:rsid w:val="005C29EE"/>
    <w:rsid w:val="005C2FBD"/>
    <w:rsid w:val="005C3036"/>
    <w:rsid w:val="005C3165"/>
    <w:rsid w:val="005C3854"/>
    <w:rsid w:val="005C3C40"/>
    <w:rsid w:val="005C3EDE"/>
    <w:rsid w:val="005C4732"/>
    <w:rsid w:val="005C4D52"/>
    <w:rsid w:val="005C504F"/>
    <w:rsid w:val="005C56F6"/>
    <w:rsid w:val="005C5AFB"/>
    <w:rsid w:val="005C5B94"/>
    <w:rsid w:val="005C5C5F"/>
    <w:rsid w:val="005C6723"/>
    <w:rsid w:val="005C6C54"/>
    <w:rsid w:val="005C7245"/>
    <w:rsid w:val="005C740B"/>
    <w:rsid w:val="005C77F7"/>
    <w:rsid w:val="005C7839"/>
    <w:rsid w:val="005D0133"/>
    <w:rsid w:val="005D07E4"/>
    <w:rsid w:val="005D0A99"/>
    <w:rsid w:val="005D0F43"/>
    <w:rsid w:val="005D102D"/>
    <w:rsid w:val="005D1602"/>
    <w:rsid w:val="005D1703"/>
    <w:rsid w:val="005D205D"/>
    <w:rsid w:val="005D269D"/>
    <w:rsid w:val="005D2758"/>
    <w:rsid w:val="005D2878"/>
    <w:rsid w:val="005D2CB1"/>
    <w:rsid w:val="005D2E61"/>
    <w:rsid w:val="005D3831"/>
    <w:rsid w:val="005D39F1"/>
    <w:rsid w:val="005D3C88"/>
    <w:rsid w:val="005D3E2B"/>
    <w:rsid w:val="005D4083"/>
    <w:rsid w:val="005D4177"/>
    <w:rsid w:val="005D45D5"/>
    <w:rsid w:val="005D45D8"/>
    <w:rsid w:val="005D4EE7"/>
    <w:rsid w:val="005D52DF"/>
    <w:rsid w:val="005D55B0"/>
    <w:rsid w:val="005D56E4"/>
    <w:rsid w:val="005D58C1"/>
    <w:rsid w:val="005D5B96"/>
    <w:rsid w:val="005D609F"/>
    <w:rsid w:val="005D64D8"/>
    <w:rsid w:val="005D6B89"/>
    <w:rsid w:val="005D6F2B"/>
    <w:rsid w:val="005D710B"/>
    <w:rsid w:val="005D72EB"/>
    <w:rsid w:val="005D75B1"/>
    <w:rsid w:val="005D777C"/>
    <w:rsid w:val="005D7A11"/>
    <w:rsid w:val="005D7DA5"/>
    <w:rsid w:val="005D7EE2"/>
    <w:rsid w:val="005D7F9F"/>
    <w:rsid w:val="005E0073"/>
    <w:rsid w:val="005E04CF"/>
    <w:rsid w:val="005E04E2"/>
    <w:rsid w:val="005E09EE"/>
    <w:rsid w:val="005E12A1"/>
    <w:rsid w:val="005E12AB"/>
    <w:rsid w:val="005E1339"/>
    <w:rsid w:val="005E137F"/>
    <w:rsid w:val="005E151F"/>
    <w:rsid w:val="005E15AC"/>
    <w:rsid w:val="005E17A4"/>
    <w:rsid w:val="005E1913"/>
    <w:rsid w:val="005E2097"/>
    <w:rsid w:val="005E2345"/>
    <w:rsid w:val="005E2385"/>
    <w:rsid w:val="005E23AC"/>
    <w:rsid w:val="005E2418"/>
    <w:rsid w:val="005E2572"/>
    <w:rsid w:val="005E27DF"/>
    <w:rsid w:val="005E2D35"/>
    <w:rsid w:val="005E2FF4"/>
    <w:rsid w:val="005E3322"/>
    <w:rsid w:val="005E3E10"/>
    <w:rsid w:val="005E4286"/>
    <w:rsid w:val="005E4355"/>
    <w:rsid w:val="005E47DD"/>
    <w:rsid w:val="005E4BDD"/>
    <w:rsid w:val="005E54D9"/>
    <w:rsid w:val="005E5764"/>
    <w:rsid w:val="005E5BD3"/>
    <w:rsid w:val="005E5BD9"/>
    <w:rsid w:val="005E6297"/>
    <w:rsid w:val="005E7332"/>
    <w:rsid w:val="005E75CE"/>
    <w:rsid w:val="005E77EE"/>
    <w:rsid w:val="005E7C7F"/>
    <w:rsid w:val="005F08F5"/>
    <w:rsid w:val="005F0E16"/>
    <w:rsid w:val="005F0E8F"/>
    <w:rsid w:val="005F1045"/>
    <w:rsid w:val="005F1543"/>
    <w:rsid w:val="005F2338"/>
    <w:rsid w:val="005F29ED"/>
    <w:rsid w:val="005F2B55"/>
    <w:rsid w:val="005F2E1B"/>
    <w:rsid w:val="005F3598"/>
    <w:rsid w:val="005F389F"/>
    <w:rsid w:val="005F402E"/>
    <w:rsid w:val="005F4098"/>
    <w:rsid w:val="005F4307"/>
    <w:rsid w:val="005F4418"/>
    <w:rsid w:val="005F51C9"/>
    <w:rsid w:val="005F54C5"/>
    <w:rsid w:val="005F5B17"/>
    <w:rsid w:val="005F6142"/>
    <w:rsid w:val="005F68B2"/>
    <w:rsid w:val="005F6AAC"/>
    <w:rsid w:val="005F6D6A"/>
    <w:rsid w:val="005F6F16"/>
    <w:rsid w:val="005F6FD4"/>
    <w:rsid w:val="005F7545"/>
    <w:rsid w:val="005F7823"/>
    <w:rsid w:val="005F798F"/>
    <w:rsid w:val="0060020D"/>
    <w:rsid w:val="0060026E"/>
    <w:rsid w:val="0060045B"/>
    <w:rsid w:val="0060058E"/>
    <w:rsid w:val="0060095D"/>
    <w:rsid w:val="00600AA4"/>
    <w:rsid w:val="006013CB"/>
    <w:rsid w:val="0060157C"/>
    <w:rsid w:val="00601888"/>
    <w:rsid w:val="006019DF"/>
    <w:rsid w:val="00601A82"/>
    <w:rsid w:val="00602084"/>
    <w:rsid w:val="006020FB"/>
    <w:rsid w:val="0060215D"/>
    <w:rsid w:val="006024D2"/>
    <w:rsid w:val="00603BCF"/>
    <w:rsid w:val="00603E7D"/>
    <w:rsid w:val="00603FA5"/>
    <w:rsid w:val="00604541"/>
    <w:rsid w:val="00604A0D"/>
    <w:rsid w:val="00605328"/>
    <w:rsid w:val="00605727"/>
    <w:rsid w:val="006057D8"/>
    <w:rsid w:val="00605859"/>
    <w:rsid w:val="00605DC5"/>
    <w:rsid w:val="00606326"/>
    <w:rsid w:val="006075A4"/>
    <w:rsid w:val="00607CC5"/>
    <w:rsid w:val="00610574"/>
    <w:rsid w:val="0061085E"/>
    <w:rsid w:val="00611126"/>
    <w:rsid w:val="0061161B"/>
    <w:rsid w:val="00611D77"/>
    <w:rsid w:val="00612639"/>
    <w:rsid w:val="00612838"/>
    <w:rsid w:val="00612951"/>
    <w:rsid w:val="00612D0F"/>
    <w:rsid w:val="00612ECB"/>
    <w:rsid w:val="006139EA"/>
    <w:rsid w:val="00613A5F"/>
    <w:rsid w:val="00613A76"/>
    <w:rsid w:val="00613BC1"/>
    <w:rsid w:val="00614C6B"/>
    <w:rsid w:val="00614D35"/>
    <w:rsid w:val="00614EB3"/>
    <w:rsid w:val="00614FBF"/>
    <w:rsid w:val="00615049"/>
    <w:rsid w:val="00615E4E"/>
    <w:rsid w:val="00615FAA"/>
    <w:rsid w:val="0061614C"/>
    <w:rsid w:val="0061618D"/>
    <w:rsid w:val="006161E1"/>
    <w:rsid w:val="00616836"/>
    <w:rsid w:val="0061695E"/>
    <w:rsid w:val="00616F81"/>
    <w:rsid w:val="0061720A"/>
    <w:rsid w:val="006174A9"/>
    <w:rsid w:val="0061752A"/>
    <w:rsid w:val="0061757A"/>
    <w:rsid w:val="00617929"/>
    <w:rsid w:val="00617B42"/>
    <w:rsid w:val="00617B6C"/>
    <w:rsid w:val="00617DF4"/>
    <w:rsid w:val="00620244"/>
    <w:rsid w:val="0062050C"/>
    <w:rsid w:val="00620949"/>
    <w:rsid w:val="006209A6"/>
    <w:rsid w:val="006210B3"/>
    <w:rsid w:val="00621F82"/>
    <w:rsid w:val="0062243A"/>
    <w:rsid w:val="0062246B"/>
    <w:rsid w:val="0062274E"/>
    <w:rsid w:val="0062293A"/>
    <w:rsid w:val="00622AF8"/>
    <w:rsid w:val="00622C66"/>
    <w:rsid w:val="00622EC4"/>
    <w:rsid w:val="0062372D"/>
    <w:rsid w:val="00623830"/>
    <w:rsid w:val="00623872"/>
    <w:rsid w:val="006239B6"/>
    <w:rsid w:val="00623AFF"/>
    <w:rsid w:val="00624217"/>
    <w:rsid w:val="0062429B"/>
    <w:rsid w:val="00624676"/>
    <w:rsid w:val="0062488C"/>
    <w:rsid w:val="00625534"/>
    <w:rsid w:val="006256DE"/>
    <w:rsid w:val="006264F3"/>
    <w:rsid w:val="006265EA"/>
    <w:rsid w:val="00626AEE"/>
    <w:rsid w:val="00626C92"/>
    <w:rsid w:val="0062733E"/>
    <w:rsid w:val="0062797A"/>
    <w:rsid w:val="006306AC"/>
    <w:rsid w:val="0063071F"/>
    <w:rsid w:val="0063096A"/>
    <w:rsid w:val="0063096C"/>
    <w:rsid w:val="00630C68"/>
    <w:rsid w:val="00630F01"/>
    <w:rsid w:val="00630F49"/>
    <w:rsid w:val="006310D1"/>
    <w:rsid w:val="00631B70"/>
    <w:rsid w:val="00631EC0"/>
    <w:rsid w:val="006321C6"/>
    <w:rsid w:val="00632430"/>
    <w:rsid w:val="00632594"/>
    <w:rsid w:val="00632924"/>
    <w:rsid w:val="006332B9"/>
    <w:rsid w:val="00633A4C"/>
    <w:rsid w:val="00633AC7"/>
    <w:rsid w:val="00633C81"/>
    <w:rsid w:val="00633D33"/>
    <w:rsid w:val="006342AB"/>
    <w:rsid w:val="00634903"/>
    <w:rsid w:val="0063495B"/>
    <w:rsid w:val="00634F5C"/>
    <w:rsid w:val="006353B1"/>
    <w:rsid w:val="006353F1"/>
    <w:rsid w:val="00635EC7"/>
    <w:rsid w:val="00635F8E"/>
    <w:rsid w:val="00636130"/>
    <w:rsid w:val="00636596"/>
    <w:rsid w:val="0063674E"/>
    <w:rsid w:val="006368BC"/>
    <w:rsid w:val="00636BBC"/>
    <w:rsid w:val="0063753A"/>
    <w:rsid w:val="00637AEF"/>
    <w:rsid w:val="00637B10"/>
    <w:rsid w:val="00637F9B"/>
    <w:rsid w:val="006402C2"/>
    <w:rsid w:val="006402C8"/>
    <w:rsid w:val="00640ACD"/>
    <w:rsid w:val="00640BF0"/>
    <w:rsid w:val="0064155F"/>
    <w:rsid w:val="00641598"/>
    <w:rsid w:val="0064164D"/>
    <w:rsid w:val="006416E1"/>
    <w:rsid w:val="0064197A"/>
    <w:rsid w:val="00641C8D"/>
    <w:rsid w:val="00642449"/>
    <w:rsid w:val="00642580"/>
    <w:rsid w:val="00642847"/>
    <w:rsid w:val="00642933"/>
    <w:rsid w:val="00642B62"/>
    <w:rsid w:val="0064302B"/>
    <w:rsid w:val="00643037"/>
    <w:rsid w:val="00643236"/>
    <w:rsid w:val="00643420"/>
    <w:rsid w:val="006435C9"/>
    <w:rsid w:val="00643C59"/>
    <w:rsid w:val="00643E1F"/>
    <w:rsid w:val="00644ACB"/>
    <w:rsid w:val="006450C4"/>
    <w:rsid w:val="006451E1"/>
    <w:rsid w:val="0064550D"/>
    <w:rsid w:val="0064604A"/>
    <w:rsid w:val="0064639A"/>
    <w:rsid w:val="0064666E"/>
    <w:rsid w:val="006466A2"/>
    <w:rsid w:val="00646DAB"/>
    <w:rsid w:val="0064724A"/>
    <w:rsid w:val="00647C3D"/>
    <w:rsid w:val="00647FA6"/>
    <w:rsid w:val="00647FE8"/>
    <w:rsid w:val="006504FB"/>
    <w:rsid w:val="0065074D"/>
    <w:rsid w:val="00650A9A"/>
    <w:rsid w:val="00650B0B"/>
    <w:rsid w:val="0065123B"/>
    <w:rsid w:val="0065161A"/>
    <w:rsid w:val="00651848"/>
    <w:rsid w:val="00651B99"/>
    <w:rsid w:val="00651D1A"/>
    <w:rsid w:val="0065225A"/>
    <w:rsid w:val="006523BB"/>
    <w:rsid w:val="0065247B"/>
    <w:rsid w:val="006524A9"/>
    <w:rsid w:val="00652599"/>
    <w:rsid w:val="006526C8"/>
    <w:rsid w:val="00652A2B"/>
    <w:rsid w:val="00652D4D"/>
    <w:rsid w:val="00653261"/>
    <w:rsid w:val="006537AB"/>
    <w:rsid w:val="006543DC"/>
    <w:rsid w:val="006544E6"/>
    <w:rsid w:val="0065463A"/>
    <w:rsid w:val="006546FF"/>
    <w:rsid w:val="00654867"/>
    <w:rsid w:val="00654EA8"/>
    <w:rsid w:val="00654EBA"/>
    <w:rsid w:val="00654F88"/>
    <w:rsid w:val="0065561A"/>
    <w:rsid w:val="00655D10"/>
    <w:rsid w:val="00655E36"/>
    <w:rsid w:val="00655FEF"/>
    <w:rsid w:val="00656397"/>
    <w:rsid w:val="006564EC"/>
    <w:rsid w:val="0065658C"/>
    <w:rsid w:val="00656CA0"/>
    <w:rsid w:val="00656EAA"/>
    <w:rsid w:val="00657C2B"/>
    <w:rsid w:val="00657F1B"/>
    <w:rsid w:val="00657FB8"/>
    <w:rsid w:val="00657FD0"/>
    <w:rsid w:val="006601A1"/>
    <w:rsid w:val="00660447"/>
    <w:rsid w:val="00660797"/>
    <w:rsid w:val="006607B0"/>
    <w:rsid w:val="00660852"/>
    <w:rsid w:val="006612D7"/>
    <w:rsid w:val="006615C3"/>
    <w:rsid w:val="00661C53"/>
    <w:rsid w:val="006625D5"/>
    <w:rsid w:val="0066260A"/>
    <w:rsid w:val="00662715"/>
    <w:rsid w:val="00662B00"/>
    <w:rsid w:val="00662FE7"/>
    <w:rsid w:val="0066334B"/>
    <w:rsid w:val="006634C8"/>
    <w:rsid w:val="0066366B"/>
    <w:rsid w:val="00663AC0"/>
    <w:rsid w:val="00663FD7"/>
    <w:rsid w:val="006645D1"/>
    <w:rsid w:val="00664BB3"/>
    <w:rsid w:val="00665011"/>
    <w:rsid w:val="00665E8C"/>
    <w:rsid w:val="00666515"/>
    <w:rsid w:val="00666D3F"/>
    <w:rsid w:val="00666F50"/>
    <w:rsid w:val="006674E0"/>
    <w:rsid w:val="006677A3"/>
    <w:rsid w:val="00667C9C"/>
    <w:rsid w:val="006706D2"/>
    <w:rsid w:val="00670F00"/>
    <w:rsid w:val="00670F18"/>
    <w:rsid w:val="00671B8C"/>
    <w:rsid w:val="00671BE7"/>
    <w:rsid w:val="00671DA2"/>
    <w:rsid w:val="00672238"/>
    <w:rsid w:val="0067235A"/>
    <w:rsid w:val="006725E1"/>
    <w:rsid w:val="0067277B"/>
    <w:rsid w:val="0067278D"/>
    <w:rsid w:val="00672996"/>
    <w:rsid w:val="00672C8E"/>
    <w:rsid w:val="00673456"/>
    <w:rsid w:val="00673B1C"/>
    <w:rsid w:val="00673CF0"/>
    <w:rsid w:val="00673D6C"/>
    <w:rsid w:val="00673DAD"/>
    <w:rsid w:val="00674091"/>
    <w:rsid w:val="006745EE"/>
    <w:rsid w:val="00674F2E"/>
    <w:rsid w:val="006758DC"/>
    <w:rsid w:val="00675D21"/>
    <w:rsid w:val="00676017"/>
    <w:rsid w:val="006761D0"/>
    <w:rsid w:val="006763ED"/>
    <w:rsid w:val="00676405"/>
    <w:rsid w:val="00676885"/>
    <w:rsid w:val="00676D7F"/>
    <w:rsid w:val="0067714F"/>
    <w:rsid w:val="00677A97"/>
    <w:rsid w:val="00677BA8"/>
    <w:rsid w:val="0068007B"/>
    <w:rsid w:val="006812A0"/>
    <w:rsid w:val="00681BFB"/>
    <w:rsid w:val="00681C2C"/>
    <w:rsid w:val="00681CBE"/>
    <w:rsid w:val="006823A4"/>
    <w:rsid w:val="00682834"/>
    <w:rsid w:val="00682D6E"/>
    <w:rsid w:val="00683D2F"/>
    <w:rsid w:val="00683E6D"/>
    <w:rsid w:val="00684186"/>
    <w:rsid w:val="00685109"/>
    <w:rsid w:val="00685281"/>
    <w:rsid w:val="0068536A"/>
    <w:rsid w:val="00685423"/>
    <w:rsid w:val="0068543D"/>
    <w:rsid w:val="006856E6"/>
    <w:rsid w:val="0068594D"/>
    <w:rsid w:val="00685B43"/>
    <w:rsid w:val="00685F5E"/>
    <w:rsid w:val="00685F9C"/>
    <w:rsid w:val="00686506"/>
    <w:rsid w:val="0068692F"/>
    <w:rsid w:val="00686938"/>
    <w:rsid w:val="006873B1"/>
    <w:rsid w:val="0068783A"/>
    <w:rsid w:val="00687856"/>
    <w:rsid w:val="006879A3"/>
    <w:rsid w:val="0069025A"/>
    <w:rsid w:val="0069034F"/>
    <w:rsid w:val="00690B71"/>
    <w:rsid w:val="00690C6C"/>
    <w:rsid w:val="006910CD"/>
    <w:rsid w:val="006912EC"/>
    <w:rsid w:val="0069189A"/>
    <w:rsid w:val="006918CC"/>
    <w:rsid w:val="00692111"/>
    <w:rsid w:val="0069310F"/>
    <w:rsid w:val="00693247"/>
    <w:rsid w:val="00693282"/>
    <w:rsid w:val="006932E5"/>
    <w:rsid w:val="0069344D"/>
    <w:rsid w:val="00693567"/>
    <w:rsid w:val="00693AC8"/>
    <w:rsid w:val="00693DAE"/>
    <w:rsid w:val="00693E46"/>
    <w:rsid w:val="00694069"/>
    <w:rsid w:val="0069445C"/>
    <w:rsid w:val="00694AD6"/>
    <w:rsid w:val="00694DFA"/>
    <w:rsid w:val="00694F03"/>
    <w:rsid w:val="006955FB"/>
    <w:rsid w:val="00695B6C"/>
    <w:rsid w:val="00695D38"/>
    <w:rsid w:val="006964D0"/>
    <w:rsid w:val="006965DE"/>
    <w:rsid w:val="0069671F"/>
    <w:rsid w:val="00696991"/>
    <w:rsid w:val="00696B0A"/>
    <w:rsid w:val="00696B2D"/>
    <w:rsid w:val="00696C78"/>
    <w:rsid w:val="00697379"/>
    <w:rsid w:val="006973E9"/>
    <w:rsid w:val="00697BB8"/>
    <w:rsid w:val="006A0302"/>
    <w:rsid w:val="006A0A44"/>
    <w:rsid w:val="006A0BD9"/>
    <w:rsid w:val="006A0E41"/>
    <w:rsid w:val="006A0EEA"/>
    <w:rsid w:val="006A1055"/>
    <w:rsid w:val="006A14C1"/>
    <w:rsid w:val="006A17BD"/>
    <w:rsid w:val="006A1FF6"/>
    <w:rsid w:val="006A20AC"/>
    <w:rsid w:val="006A23C8"/>
    <w:rsid w:val="006A256D"/>
    <w:rsid w:val="006A2952"/>
    <w:rsid w:val="006A2C4D"/>
    <w:rsid w:val="006A2F0D"/>
    <w:rsid w:val="006A3032"/>
    <w:rsid w:val="006A3716"/>
    <w:rsid w:val="006A3E21"/>
    <w:rsid w:val="006A40A7"/>
    <w:rsid w:val="006A4757"/>
    <w:rsid w:val="006A48B5"/>
    <w:rsid w:val="006A4A87"/>
    <w:rsid w:val="006A50B7"/>
    <w:rsid w:val="006A55D1"/>
    <w:rsid w:val="006A5676"/>
    <w:rsid w:val="006A5AA9"/>
    <w:rsid w:val="006A63F4"/>
    <w:rsid w:val="006A6B82"/>
    <w:rsid w:val="006A6C49"/>
    <w:rsid w:val="006A73DB"/>
    <w:rsid w:val="006B141E"/>
    <w:rsid w:val="006B1493"/>
    <w:rsid w:val="006B16FE"/>
    <w:rsid w:val="006B1752"/>
    <w:rsid w:val="006B1B3C"/>
    <w:rsid w:val="006B1C2D"/>
    <w:rsid w:val="006B29E6"/>
    <w:rsid w:val="006B2CED"/>
    <w:rsid w:val="006B31E4"/>
    <w:rsid w:val="006B33EC"/>
    <w:rsid w:val="006B35B6"/>
    <w:rsid w:val="006B3A87"/>
    <w:rsid w:val="006B3B9A"/>
    <w:rsid w:val="006B4085"/>
    <w:rsid w:val="006B4320"/>
    <w:rsid w:val="006B521B"/>
    <w:rsid w:val="006B5448"/>
    <w:rsid w:val="006B5480"/>
    <w:rsid w:val="006B5502"/>
    <w:rsid w:val="006B6076"/>
    <w:rsid w:val="006B62D1"/>
    <w:rsid w:val="006B6509"/>
    <w:rsid w:val="006B6691"/>
    <w:rsid w:val="006B6846"/>
    <w:rsid w:val="006B68D1"/>
    <w:rsid w:val="006B6D6C"/>
    <w:rsid w:val="006B6E5A"/>
    <w:rsid w:val="006B72A9"/>
    <w:rsid w:val="006B7656"/>
    <w:rsid w:val="006B766A"/>
    <w:rsid w:val="006B77F8"/>
    <w:rsid w:val="006C00B5"/>
    <w:rsid w:val="006C05D3"/>
    <w:rsid w:val="006C0C95"/>
    <w:rsid w:val="006C13D6"/>
    <w:rsid w:val="006C17E6"/>
    <w:rsid w:val="006C1B4E"/>
    <w:rsid w:val="006C1BBB"/>
    <w:rsid w:val="006C236F"/>
    <w:rsid w:val="006C23AD"/>
    <w:rsid w:val="006C23BE"/>
    <w:rsid w:val="006C280C"/>
    <w:rsid w:val="006C2F11"/>
    <w:rsid w:val="006C3CFB"/>
    <w:rsid w:val="006C43B2"/>
    <w:rsid w:val="006C49F9"/>
    <w:rsid w:val="006C4B37"/>
    <w:rsid w:val="006C4C54"/>
    <w:rsid w:val="006C4D8C"/>
    <w:rsid w:val="006C59E7"/>
    <w:rsid w:val="006C5A45"/>
    <w:rsid w:val="006C5FD0"/>
    <w:rsid w:val="006C6278"/>
    <w:rsid w:val="006C661C"/>
    <w:rsid w:val="006C6770"/>
    <w:rsid w:val="006C6841"/>
    <w:rsid w:val="006C6ECE"/>
    <w:rsid w:val="006C73BB"/>
    <w:rsid w:val="006C7546"/>
    <w:rsid w:val="006C79F0"/>
    <w:rsid w:val="006C7A57"/>
    <w:rsid w:val="006D0481"/>
    <w:rsid w:val="006D0530"/>
    <w:rsid w:val="006D069E"/>
    <w:rsid w:val="006D1375"/>
    <w:rsid w:val="006D1AF9"/>
    <w:rsid w:val="006D1E6B"/>
    <w:rsid w:val="006D1EEE"/>
    <w:rsid w:val="006D1F1B"/>
    <w:rsid w:val="006D1F3C"/>
    <w:rsid w:val="006D22F1"/>
    <w:rsid w:val="006D23A3"/>
    <w:rsid w:val="006D2677"/>
    <w:rsid w:val="006D2994"/>
    <w:rsid w:val="006D2C7D"/>
    <w:rsid w:val="006D3006"/>
    <w:rsid w:val="006D306F"/>
    <w:rsid w:val="006D3386"/>
    <w:rsid w:val="006D3517"/>
    <w:rsid w:val="006D37E0"/>
    <w:rsid w:val="006D3B57"/>
    <w:rsid w:val="006D3D5C"/>
    <w:rsid w:val="006D4403"/>
    <w:rsid w:val="006D5191"/>
    <w:rsid w:val="006D541F"/>
    <w:rsid w:val="006D5772"/>
    <w:rsid w:val="006D5840"/>
    <w:rsid w:val="006D584A"/>
    <w:rsid w:val="006D5D75"/>
    <w:rsid w:val="006D5DA9"/>
    <w:rsid w:val="006D6088"/>
    <w:rsid w:val="006D6436"/>
    <w:rsid w:val="006D6500"/>
    <w:rsid w:val="006D6630"/>
    <w:rsid w:val="006D7589"/>
    <w:rsid w:val="006D760C"/>
    <w:rsid w:val="006D7B60"/>
    <w:rsid w:val="006D7CD6"/>
    <w:rsid w:val="006E0443"/>
    <w:rsid w:val="006E045C"/>
    <w:rsid w:val="006E055D"/>
    <w:rsid w:val="006E068C"/>
    <w:rsid w:val="006E0743"/>
    <w:rsid w:val="006E094F"/>
    <w:rsid w:val="006E0E93"/>
    <w:rsid w:val="006E117F"/>
    <w:rsid w:val="006E149F"/>
    <w:rsid w:val="006E1EF5"/>
    <w:rsid w:val="006E20B8"/>
    <w:rsid w:val="006E2260"/>
    <w:rsid w:val="006E2AAF"/>
    <w:rsid w:val="006E3211"/>
    <w:rsid w:val="006E3226"/>
    <w:rsid w:val="006E37B2"/>
    <w:rsid w:val="006E392F"/>
    <w:rsid w:val="006E39C1"/>
    <w:rsid w:val="006E3A09"/>
    <w:rsid w:val="006E3D96"/>
    <w:rsid w:val="006E3F7C"/>
    <w:rsid w:val="006E4560"/>
    <w:rsid w:val="006E4637"/>
    <w:rsid w:val="006E49C5"/>
    <w:rsid w:val="006E5A95"/>
    <w:rsid w:val="006E5F19"/>
    <w:rsid w:val="006E68F0"/>
    <w:rsid w:val="006E694A"/>
    <w:rsid w:val="006E6CED"/>
    <w:rsid w:val="006E6D38"/>
    <w:rsid w:val="006E6FB4"/>
    <w:rsid w:val="006E7439"/>
    <w:rsid w:val="006E75C8"/>
    <w:rsid w:val="006E78ED"/>
    <w:rsid w:val="006E7FCC"/>
    <w:rsid w:val="006F0527"/>
    <w:rsid w:val="006F08AF"/>
    <w:rsid w:val="006F0A40"/>
    <w:rsid w:val="006F0BE7"/>
    <w:rsid w:val="006F0F3D"/>
    <w:rsid w:val="006F10DF"/>
    <w:rsid w:val="006F1630"/>
    <w:rsid w:val="006F1A7D"/>
    <w:rsid w:val="006F1D1C"/>
    <w:rsid w:val="006F20F0"/>
    <w:rsid w:val="006F27D0"/>
    <w:rsid w:val="006F29AA"/>
    <w:rsid w:val="006F2B50"/>
    <w:rsid w:val="006F2FE7"/>
    <w:rsid w:val="006F3253"/>
    <w:rsid w:val="006F3441"/>
    <w:rsid w:val="006F34F0"/>
    <w:rsid w:val="006F3A54"/>
    <w:rsid w:val="006F3C04"/>
    <w:rsid w:val="006F3D21"/>
    <w:rsid w:val="006F47A7"/>
    <w:rsid w:val="006F4B40"/>
    <w:rsid w:val="006F4B9E"/>
    <w:rsid w:val="006F4E59"/>
    <w:rsid w:val="006F5038"/>
    <w:rsid w:val="006F510F"/>
    <w:rsid w:val="006F590C"/>
    <w:rsid w:val="006F5A6C"/>
    <w:rsid w:val="006F5BD3"/>
    <w:rsid w:val="006F6004"/>
    <w:rsid w:val="006F65A8"/>
    <w:rsid w:val="006F65D1"/>
    <w:rsid w:val="006F6F15"/>
    <w:rsid w:val="006F7042"/>
    <w:rsid w:val="006F743A"/>
    <w:rsid w:val="006F74E6"/>
    <w:rsid w:val="006F766A"/>
    <w:rsid w:val="006F7872"/>
    <w:rsid w:val="006F7AAD"/>
    <w:rsid w:val="006F7B9C"/>
    <w:rsid w:val="006F7E2F"/>
    <w:rsid w:val="0070042C"/>
    <w:rsid w:val="007005F4"/>
    <w:rsid w:val="00700631"/>
    <w:rsid w:val="0070080F"/>
    <w:rsid w:val="00700852"/>
    <w:rsid w:val="00700D10"/>
    <w:rsid w:val="00700D7B"/>
    <w:rsid w:val="00701444"/>
    <w:rsid w:val="00701555"/>
    <w:rsid w:val="0070173F"/>
    <w:rsid w:val="00701922"/>
    <w:rsid w:val="00701C50"/>
    <w:rsid w:val="00701E80"/>
    <w:rsid w:val="00701F68"/>
    <w:rsid w:val="0070269C"/>
    <w:rsid w:val="007026F0"/>
    <w:rsid w:val="007027A4"/>
    <w:rsid w:val="00702ADC"/>
    <w:rsid w:val="00702CE6"/>
    <w:rsid w:val="00702E10"/>
    <w:rsid w:val="00702ED7"/>
    <w:rsid w:val="007039BB"/>
    <w:rsid w:val="00703ACD"/>
    <w:rsid w:val="0070532B"/>
    <w:rsid w:val="00705393"/>
    <w:rsid w:val="00705F48"/>
    <w:rsid w:val="00706008"/>
    <w:rsid w:val="0070614D"/>
    <w:rsid w:val="00706449"/>
    <w:rsid w:val="00706932"/>
    <w:rsid w:val="0070694B"/>
    <w:rsid w:val="00706A13"/>
    <w:rsid w:val="00706BFD"/>
    <w:rsid w:val="00706C7A"/>
    <w:rsid w:val="00706DA5"/>
    <w:rsid w:val="0070735D"/>
    <w:rsid w:val="00707445"/>
    <w:rsid w:val="007074FD"/>
    <w:rsid w:val="007100B7"/>
    <w:rsid w:val="007101A1"/>
    <w:rsid w:val="00710CC0"/>
    <w:rsid w:val="00711061"/>
    <w:rsid w:val="00711226"/>
    <w:rsid w:val="007113A4"/>
    <w:rsid w:val="00711946"/>
    <w:rsid w:val="007119E5"/>
    <w:rsid w:val="00711AE7"/>
    <w:rsid w:val="007130C9"/>
    <w:rsid w:val="007134DE"/>
    <w:rsid w:val="00713569"/>
    <w:rsid w:val="00713C3C"/>
    <w:rsid w:val="0071487B"/>
    <w:rsid w:val="00714B7F"/>
    <w:rsid w:val="00714F67"/>
    <w:rsid w:val="00716502"/>
    <w:rsid w:val="007166F4"/>
    <w:rsid w:val="00716AEC"/>
    <w:rsid w:val="00716DC7"/>
    <w:rsid w:val="00716EA0"/>
    <w:rsid w:val="007170A8"/>
    <w:rsid w:val="007171CE"/>
    <w:rsid w:val="00717323"/>
    <w:rsid w:val="0071738B"/>
    <w:rsid w:val="007176E5"/>
    <w:rsid w:val="00717851"/>
    <w:rsid w:val="0072056A"/>
    <w:rsid w:val="0072066E"/>
    <w:rsid w:val="00720BE2"/>
    <w:rsid w:val="00720E7B"/>
    <w:rsid w:val="00721082"/>
    <w:rsid w:val="00721194"/>
    <w:rsid w:val="0072127D"/>
    <w:rsid w:val="00721A35"/>
    <w:rsid w:val="00721C54"/>
    <w:rsid w:val="00721D9A"/>
    <w:rsid w:val="00721F9A"/>
    <w:rsid w:val="007222BF"/>
    <w:rsid w:val="007222FE"/>
    <w:rsid w:val="007226E8"/>
    <w:rsid w:val="007228EC"/>
    <w:rsid w:val="00722BED"/>
    <w:rsid w:val="00722DE2"/>
    <w:rsid w:val="007244AE"/>
    <w:rsid w:val="0072485A"/>
    <w:rsid w:val="0072498A"/>
    <w:rsid w:val="00724AE2"/>
    <w:rsid w:val="00724DA9"/>
    <w:rsid w:val="00725007"/>
    <w:rsid w:val="00725B1B"/>
    <w:rsid w:val="00725E6E"/>
    <w:rsid w:val="00725E80"/>
    <w:rsid w:val="00725F58"/>
    <w:rsid w:val="00725FA6"/>
    <w:rsid w:val="00726283"/>
    <w:rsid w:val="007263A0"/>
    <w:rsid w:val="007266BE"/>
    <w:rsid w:val="00726C52"/>
    <w:rsid w:val="00726F0D"/>
    <w:rsid w:val="00727126"/>
    <w:rsid w:val="007271E1"/>
    <w:rsid w:val="00727481"/>
    <w:rsid w:val="00727629"/>
    <w:rsid w:val="007277DC"/>
    <w:rsid w:val="0073009A"/>
    <w:rsid w:val="0073065D"/>
    <w:rsid w:val="00730D6E"/>
    <w:rsid w:val="00730DDA"/>
    <w:rsid w:val="007311F0"/>
    <w:rsid w:val="007312ED"/>
    <w:rsid w:val="007315BC"/>
    <w:rsid w:val="007319D1"/>
    <w:rsid w:val="00731C25"/>
    <w:rsid w:val="007323D4"/>
    <w:rsid w:val="007323DA"/>
    <w:rsid w:val="00732F34"/>
    <w:rsid w:val="00733789"/>
    <w:rsid w:val="007340A8"/>
    <w:rsid w:val="00734A28"/>
    <w:rsid w:val="00734D18"/>
    <w:rsid w:val="007363B4"/>
    <w:rsid w:val="007363B9"/>
    <w:rsid w:val="0073657E"/>
    <w:rsid w:val="0073659A"/>
    <w:rsid w:val="00736635"/>
    <w:rsid w:val="0073676B"/>
    <w:rsid w:val="00736DBC"/>
    <w:rsid w:val="00736F3A"/>
    <w:rsid w:val="00736F42"/>
    <w:rsid w:val="0073702F"/>
    <w:rsid w:val="007370BD"/>
    <w:rsid w:val="0073719D"/>
    <w:rsid w:val="00737629"/>
    <w:rsid w:val="00737B19"/>
    <w:rsid w:val="00737C45"/>
    <w:rsid w:val="00737C99"/>
    <w:rsid w:val="00737CB2"/>
    <w:rsid w:val="00740CF4"/>
    <w:rsid w:val="00740EA8"/>
    <w:rsid w:val="0074139E"/>
    <w:rsid w:val="00741CEF"/>
    <w:rsid w:val="00742230"/>
    <w:rsid w:val="007430C7"/>
    <w:rsid w:val="0074348B"/>
    <w:rsid w:val="00743612"/>
    <w:rsid w:val="00743814"/>
    <w:rsid w:val="00743B25"/>
    <w:rsid w:val="00743F5C"/>
    <w:rsid w:val="007444AE"/>
    <w:rsid w:val="007444F0"/>
    <w:rsid w:val="00744875"/>
    <w:rsid w:val="00745816"/>
    <w:rsid w:val="00746535"/>
    <w:rsid w:val="00746642"/>
    <w:rsid w:val="00746766"/>
    <w:rsid w:val="00746D77"/>
    <w:rsid w:val="0074787D"/>
    <w:rsid w:val="00747CF3"/>
    <w:rsid w:val="007505F9"/>
    <w:rsid w:val="00750A6B"/>
    <w:rsid w:val="00750B68"/>
    <w:rsid w:val="00750B98"/>
    <w:rsid w:val="007513D6"/>
    <w:rsid w:val="00751A16"/>
    <w:rsid w:val="007521B9"/>
    <w:rsid w:val="007523A4"/>
    <w:rsid w:val="007523C9"/>
    <w:rsid w:val="007524C1"/>
    <w:rsid w:val="0075294B"/>
    <w:rsid w:val="00753012"/>
    <w:rsid w:val="0075302F"/>
    <w:rsid w:val="007530DA"/>
    <w:rsid w:val="0075378D"/>
    <w:rsid w:val="007537B5"/>
    <w:rsid w:val="00753CAB"/>
    <w:rsid w:val="00753E24"/>
    <w:rsid w:val="0075422E"/>
    <w:rsid w:val="0075442F"/>
    <w:rsid w:val="0075461F"/>
    <w:rsid w:val="0075478A"/>
    <w:rsid w:val="00754C18"/>
    <w:rsid w:val="00754E31"/>
    <w:rsid w:val="00754E33"/>
    <w:rsid w:val="00754EFE"/>
    <w:rsid w:val="00755331"/>
    <w:rsid w:val="00755631"/>
    <w:rsid w:val="00755709"/>
    <w:rsid w:val="00755846"/>
    <w:rsid w:val="00755848"/>
    <w:rsid w:val="00755F77"/>
    <w:rsid w:val="0075615A"/>
    <w:rsid w:val="00756458"/>
    <w:rsid w:val="007565CA"/>
    <w:rsid w:val="007566CD"/>
    <w:rsid w:val="00756805"/>
    <w:rsid w:val="00756842"/>
    <w:rsid w:val="0075687D"/>
    <w:rsid w:val="00756B82"/>
    <w:rsid w:val="007570B4"/>
    <w:rsid w:val="00757187"/>
    <w:rsid w:val="0075719E"/>
    <w:rsid w:val="00757213"/>
    <w:rsid w:val="00757403"/>
    <w:rsid w:val="00757916"/>
    <w:rsid w:val="007579CC"/>
    <w:rsid w:val="00757BEB"/>
    <w:rsid w:val="00760096"/>
    <w:rsid w:val="00760996"/>
    <w:rsid w:val="00760AE8"/>
    <w:rsid w:val="00760C34"/>
    <w:rsid w:val="00761436"/>
    <w:rsid w:val="00762140"/>
    <w:rsid w:val="00762320"/>
    <w:rsid w:val="00762797"/>
    <w:rsid w:val="00762D2B"/>
    <w:rsid w:val="00763543"/>
    <w:rsid w:val="00763A96"/>
    <w:rsid w:val="00763AAD"/>
    <w:rsid w:val="007642A5"/>
    <w:rsid w:val="00764E98"/>
    <w:rsid w:val="00764F25"/>
    <w:rsid w:val="0076566D"/>
    <w:rsid w:val="00765EC5"/>
    <w:rsid w:val="0076691E"/>
    <w:rsid w:val="00766BD9"/>
    <w:rsid w:val="00766DC5"/>
    <w:rsid w:val="00767141"/>
    <w:rsid w:val="007671D1"/>
    <w:rsid w:val="00767881"/>
    <w:rsid w:val="00770C2C"/>
    <w:rsid w:val="00770E58"/>
    <w:rsid w:val="00770F90"/>
    <w:rsid w:val="0077189B"/>
    <w:rsid w:val="0077196A"/>
    <w:rsid w:val="00771F38"/>
    <w:rsid w:val="00772012"/>
    <w:rsid w:val="0077232A"/>
    <w:rsid w:val="0077255C"/>
    <w:rsid w:val="00772E54"/>
    <w:rsid w:val="00773154"/>
    <w:rsid w:val="007737C3"/>
    <w:rsid w:val="00773A39"/>
    <w:rsid w:val="00773EC2"/>
    <w:rsid w:val="00774D03"/>
    <w:rsid w:val="00775324"/>
    <w:rsid w:val="007755B8"/>
    <w:rsid w:val="00775A58"/>
    <w:rsid w:val="00775ED3"/>
    <w:rsid w:val="00775F4B"/>
    <w:rsid w:val="00776066"/>
    <w:rsid w:val="00776144"/>
    <w:rsid w:val="007764BA"/>
    <w:rsid w:val="0077654F"/>
    <w:rsid w:val="0077665A"/>
    <w:rsid w:val="00776694"/>
    <w:rsid w:val="00776842"/>
    <w:rsid w:val="00776BD7"/>
    <w:rsid w:val="00776D78"/>
    <w:rsid w:val="00777894"/>
    <w:rsid w:val="00777C69"/>
    <w:rsid w:val="00781B7A"/>
    <w:rsid w:val="007824AF"/>
    <w:rsid w:val="0078275D"/>
    <w:rsid w:val="00783B17"/>
    <w:rsid w:val="00783C91"/>
    <w:rsid w:val="00783C92"/>
    <w:rsid w:val="007844EB"/>
    <w:rsid w:val="0078487A"/>
    <w:rsid w:val="0078488D"/>
    <w:rsid w:val="00784A1E"/>
    <w:rsid w:val="00784FE8"/>
    <w:rsid w:val="0078508A"/>
    <w:rsid w:val="007850CE"/>
    <w:rsid w:val="00785391"/>
    <w:rsid w:val="007855D0"/>
    <w:rsid w:val="00785BB5"/>
    <w:rsid w:val="00786466"/>
    <w:rsid w:val="00786EF6"/>
    <w:rsid w:val="00786FEE"/>
    <w:rsid w:val="00787611"/>
    <w:rsid w:val="00787E29"/>
    <w:rsid w:val="007915B2"/>
    <w:rsid w:val="007923A2"/>
    <w:rsid w:val="007923AB"/>
    <w:rsid w:val="00792E30"/>
    <w:rsid w:val="00792E52"/>
    <w:rsid w:val="0079315D"/>
    <w:rsid w:val="007933EF"/>
    <w:rsid w:val="00793714"/>
    <w:rsid w:val="00793D6C"/>
    <w:rsid w:val="007941D2"/>
    <w:rsid w:val="00794A7C"/>
    <w:rsid w:val="00794B42"/>
    <w:rsid w:val="007954E2"/>
    <w:rsid w:val="007955A7"/>
    <w:rsid w:val="00796289"/>
    <w:rsid w:val="007963FE"/>
    <w:rsid w:val="00796649"/>
    <w:rsid w:val="0079668C"/>
    <w:rsid w:val="00796B1E"/>
    <w:rsid w:val="00797162"/>
    <w:rsid w:val="0079770F"/>
    <w:rsid w:val="007A0139"/>
    <w:rsid w:val="007A0200"/>
    <w:rsid w:val="007A0A03"/>
    <w:rsid w:val="007A1175"/>
    <w:rsid w:val="007A28B7"/>
    <w:rsid w:val="007A2A66"/>
    <w:rsid w:val="007A34C6"/>
    <w:rsid w:val="007A351D"/>
    <w:rsid w:val="007A3E1E"/>
    <w:rsid w:val="007A3F84"/>
    <w:rsid w:val="007A3FA5"/>
    <w:rsid w:val="007A3FE9"/>
    <w:rsid w:val="007A4FA2"/>
    <w:rsid w:val="007A5421"/>
    <w:rsid w:val="007A5A20"/>
    <w:rsid w:val="007A62A6"/>
    <w:rsid w:val="007A63B4"/>
    <w:rsid w:val="007A695D"/>
    <w:rsid w:val="007A6F97"/>
    <w:rsid w:val="007A7360"/>
    <w:rsid w:val="007A75B3"/>
    <w:rsid w:val="007A7613"/>
    <w:rsid w:val="007A7F79"/>
    <w:rsid w:val="007B0109"/>
    <w:rsid w:val="007B0B7F"/>
    <w:rsid w:val="007B1BB4"/>
    <w:rsid w:val="007B21EE"/>
    <w:rsid w:val="007B266D"/>
    <w:rsid w:val="007B2A7E"/>
    <w:rsid w:val="007B2BCF"/>
    <w:rsid w:val="007B2D7B"/>
    <w:rsid w:val="007B399A"/>
    <w:rsid w:val="007B39C6"/>
    <w:rsid w:val="007B3E9C"/>
    <w:rsid w:val="007B42AD"/>
    <w:rsid w:val="007B461B"/>
    <w:rsid w:val="007B49BB"/>
    <w:rsid w:val="007B4A06"/>
    <w:rsid w:val="007B4A2E"/>
    <w:rsid w:val="007B4AB9"/>
    <w:rsid w:val="007B4B16"/>
    <w:rsid w:val="007B4C25"/>
    <w:rsid w:val="007B4D86"/>
    <w:rsid w:val="007B5761"/>
    <w:rsid w:val="007B5CE6"/>
    <w:rsid w:val="007B5D4F"/>
    <w:rsid w:val="007B6024"/>
    <w:rsid w:val="007B61AB"/>
    <w:rsid w:val="007B66AF"/>
    <w:rsid w:val="007B690C"/>
    <w:rsid w:val="007B6DB8"/>
    <w:rsid w:val="007B6FBE"/>
    <w:rsid w:val="007B7069"/>
    <w:rsid w:val="007B73AA"/>
    <w:rsid w:val="007B7AEA"/>
    <w:rsid w:val="007B7BDC"/>
    <w:rsid w:val="007C0B6D"/>
    <w:rsid w:val="007C0CC7"/>
    <w:rsid w:val="007C0DB9"/>
    <w:rsid w:val="007C111B"/>
    <w:rsid w:val="007C1270"/>
    <w:rsid w:val="007C12D5"/>
    <w:rsid w:val="007C1438"/>
    <w:rsid w:val="007C1682"/>
    <w:rsid w:val="007C205A"/>
    <w:rsid w:val="007C20D5"/>
    <w:rsid w:val="007C22BD"/>
    <w:rsid w:val="007C23F8"/>
    <w:rsid w:val="007C28E7"/>
    <w:rsid w:val="007C3208"/>
    <w:rsid w:val="007C32D2"/>
    <w:rsid w:val="007C336C"/>
    <w:rsid w:val="007C37EF"/>
    <w:rsid w:val="007C3845"/>
    <w:rsid w:val="007C3927"/>
    <w:rsid w:val="007C39CB"/>
    <w:rsid w:val="007C3D00"/>
    <w:rsid w:val="007C3D1E"/>
    <w:rsid w:val="007C3FE7"/>
    <w:rsid w:val="007C44B7"/>
    <w:rsid w:val="007C4863"/>
    <w:rsid w:val="007C4AEB"/>
    <w:rsid w:val="007C4B68"/>
    <w:rsid w:val="007C5074"/>
    <w:rsid w:val="007C5472"/>
    <w:rsid w:val="007C5C3D"/>
    <w:rsid w:val="007C5D60"/>
    <w:rsid w:val="007C5DA6"/>
    <w:rsid w:val="007C5E30"/>
    <w:rsid w:val="007C61D7"/>
    <w:rsid w:val="007C6343"/>
    <w:rsid w:val="007C6F55"/>
    <w:rsid w:val="007C732E"/>
    <w:rsid w:val="007C74C2"/>
    <w:rsid w:val="007C77D0"/>
    <w:rsid w:val="007C7A28"/>
    <w:rsid w:val="007C7B54"/>
    <w:rsid w:val="007C7E1E"/>
    <w:rsid w:val="007D07E2"/>
    <w:rsid w:val="007D11B1"/>
    <w:rsid w:val="007D1415"/>
    <w:rsid w:val="007D1603"/>
    <w:rsid w:val="007D1742"/>
    <w:rsid w:val="007D1860"/>
    <w:rsid w:val="007D1AA7"/>
    <w:rsid w:val="007D1AFB"/>
    <w:rsid w:val="007D1D4C"/>
    <w:rsid w:val="007D1E65"/>
    <w:rsid w:val="007D2061"/>
    <w:rsid w:val="007D2283"/>
    <w:rsid w:val="007D236B"/>
    <w:rsid w:val="007D276A"/>
    <w:rsid w:val="007D29B6"/>
    <w:rsid w:val="007D2BE2"/>
    <w:rsid w:val="007D2D13"/>
    <w:rsid w:val="007D2D48"/>
    <w:rsid w:val="007D2DAC"/>
    <w:rsid w:val="007D2DBB"/>
    <w:rsid w:val="007D2F41"/>
    <w:rsid w:val="007D37C6"/>
    <w:rsid w:val="007D3E13"/>
    <w:rsid w:val="007D40DD"/>
    <w:rsid w:val="007D49FD"/>
    <w:rsid w:val="007D4C1E"/>
    <w:rsid w:val="007D4EAB"/>
    <w:rsid w:val="007D509F"/>
    <w:rsid w:val="007D5C4F"/>
    <w:rsid w:val="007D627D"/>
    <w:rsid w:val="007D63D0"/>
    <w:rsid w:val="007D63DB"/>
    <w:rsid w:val="007D64E4"/>
    <w:rsid w:val="007D677D"/>
    <w:rsid w:val="007D6AEE"/>
    <w:rsid w:val="007D7143"/>
    <w:rsid w:val="007D72C3"/>
    <w:rsid w:val="007D73FB"/>
    <w:rsid w:val="007D76E1"/>
    <w:rsid w:val="007D7BBE"/>
    <w:rsid w:val="007E01C5"/>
    <w:rsid w:val="007E041A"/>
    <w:rsid w:val="007E0801"/>
    <w:rsid w:val="007E0BB0"/>
    <w:rsid w:val="007E1A8F"/>
    <w:rsid w:val="007E1AC6"/>
    <w:rsid w:val="007E1C90"/>
    <w:rsid w:val="007E1CE7"/>
    <w:rsid w:val="007E2381"/>
    <w:rsid w:val="007E2EC4"/>
    <w:rsid w:val="007E31CA"/>
    <w:rsid w:val="007E368A"/>
    <w:rsid w:val="007E3BBC"/>
    <w:rsid w:val="007E3F27"/>
    <w:rsid w:val="007E404E"/>
    <w:rsid w:val="007E48B2"/>
    <w:rsid w:val="007E4A4C"/>
    <w:rsid w:val="007E4AE0"/>
    <w:rsid w:val="007E4CD8"/>
    <w:rsid w:val="007E4D7C"/>
    <w:rsid w:val="007E563C"/>
    <w:rsid w:val="007E599B"/>
    <w:rsid w:val="007E5C49"/>
    <w:rsid w:val="007E601C"/>
    <w:rsid w:val="007E6299"/>
    <w:rsid w:val="007E632A"/>
    <w:rsid w:val="007E6545"/>
    <w:rsid w:val="007E6690"/>
    <w:rsid w:val="007E67A3"/>
    <w:rsid w:val="007E67CE"/>
    <w:rsid w:val="007E6846"/>
    <w:rsid w:val="007E6B1A"/>
    <w:rsid w:val="007E6D7B"/>
    <w:rsid w:val="007E7441"/>
    <w:rsid w:val="007E7782"/>
    <w:rsid w:val="007E7970"/>
    <w:rsid w:val="007E7C00"/>
    <w:rsid w:val="007E7EA2"/>
    <w:rsid w:val="007F0836"/>
    <w:rsid w:val="007F0FA5"/>
    <w:rsid w:val="007F1036"/>
    <w:rsid w:val="007F10A0"/>
    <w:rsid w:val="007F13BE"/>
    <w:rsid w:val="007F14CC"/>
    <w:rsid w:val="007F1515"/>
    <w:rsid w:val="007F1754"/>
    <w:rsid w:val="007F1E43"/>
    <w:rsid w:val="007F268B"/>
    <w:rsid w:val="007F2776"/>
    <w:rsid w:val="007F2804"/>
    <w:rsid w:val="007F2DEC"/>
    <w:rsid w:val="007F2EFD"/>
    <w:rsid w:val="007F339E"/>
    <w:rsid w:val="007F35B4"/>
    <w:rsid w:val="007F3A2D"/>
    <w:rsid w:val="007F3AA0"/>
    <w:rsid w:val="007F4DF6"/>
    <w:rsid w:val="007F5209"/>
    <w:rsid w:val="007F5210"/>
    <w:rsid w:val="007F5422"/>
    <w:rsid w:val="007F55BB"/>
    <w:rsid w:val="007F5B6A"/>
    <w:rsid w:val="007F603A"/>
    <w:rsid w:val="007F6339"/>
    <w:rsid w:val="007F65C0"/>
    <w:rsid w:val="007F6937"/>
    <w:rsid w:val="007F6A54"/>
    <w:rsid w:val="007F6D4D"/>
    <w:rsid w:val="007F7075"/>
    <w:rsid w:val="007F70C7"/>
    <w:rsid w:val="007F7316"/>
    <w:rsid w:val="007F7549"/>
    <w:rsid w:val="007F7935"/>
    <w:rsid w:val="00800AEE"/>
    <w:rsid w:val="00800C94"/>
    <w:rsid w:val="00800DC7"/>
    <w:rsid w:val="0080134D"/>
    <w:rsid w:val="00801AEA"/>
    <w:rsid w:val="00801F5D"/>
    <w:rsid w:val="0080267C"/>
    <w:rsid w:val="00802E41"/>
    <w:rsid w:val="00803880"/>
    <w:rsid w:val="00803C87"/>
    <w:rsid w:val="00803DA2"/>
    <w:rsid w:val="0080413C"/>
    <w:rsid w:val="00804760"/>
    <w:rsid w:val="008048ED"/>
    <w:rsid w:val="00804C8F"/>
    <w:rsid w:val="00804CC5"/>
    <w:rsid w:val="00804E22"/>
    <w:rsid w:val="00804ECB"/>
    <w:rsid w:val="008052BF"/>
    <w:rsid w:val="008054FE"/>
    <w:rsid w:val="00805574"/>
    <w:rsid w:val="00805800"/>
    <w:rsid w:val="00805E23"/>
    <w:rsid w:val="00806128"/>
    <w:rsid w:val="00806152"/>
    <w:rsid w:val="008068AA"/>
    <w:rsid w:val="008068FB"/>
    <w:rsid w:val="00806FE4"/>
    <w:rsid w:val="0080717B"/>
    <w:rsid w:val="008079E4"/>
    <w:rsid w:val="00807BAC"/>
    <w:rsid w:val="0081083F"/>
    <w:rsid w:val="008109A9"/>
    <w:rsid w:val="008118D7"/>
    <w:rsid w:val="008119E6"/>
    <w:rsid w:val="00811CCE"/>
    <w:rsid w:val="008123B8"/>
    <w:rsid w:val="00812A46"/>
    <w:rsid w:val="00812CE5"/>
    <w:rsid w:val="00812E5D"/>
    <w:rsid w:val="00812FDE"/>
    <w:rsid w:val="008133A4"/>
    <w:rsid w:val="00813C7E"/>
    <w:rsid w:val="00814C35"/>
    <w:rsid w:val="00814FD1"/>
    <w:rsid w:val="008151A3"/>
    <w:rsid w:val="00815274"/>
    <w:rsid w:val="00815CE1"/>
    <w:rsid w:val="0081611A"/>
    <w:rsid w:val="008168F7"/>
    <w:rsid w:val="00816A18"/>
    <w:rsid w:val="00816B75"/>
    <w:rsid w:val="008170C3"/>
    <w:rsid w:val="00817108"/>
    <w:rsid w:val="008172CB"/>
    <w:rsid w:val="0082027A"/>
    <w:rsid w:val="008202EE"/>
    <w:rsid w:val="008203E5"/>
    <w:rsid w:val="00820780"/>
    <w:rsid w:val="008209B6"/>
    <w:rsid w:val="0082106C"/>
    <w:rsid w:val="00821E04"/>
    <w:rsid w:val="0082200E"/>
    <w:rsid w:val="0082269E"/>
    <w:rsid w:val="0082308F"/>
    <w:rsid w:val="00823E69"/>
    <w:rsid w:val="00824705"/>
    <w:rsid w:val="00825259"/>
    <w:rsid w:val="008252C5"/>
    <w:rsid w:val="0082535C"/>
    <w:rsid w:val="0082541A"/>
    <w:rsid w:val="0082569A"/>
    <w:rsid w:val="00825B2A"/>
    <w:rsid w:val="00825B41"/>
    <w:rsid w:val="00826314"/>
    <w:rsid w:val="008263F4"/>
    <w:rsid w:val="008269DF"/>
    <w:rsid w:val="00826CEA"/>
    <w:rsid w:val="00826DE8"/>
    <w:rsid w:val="00827B85"/>
    <w:rsid w:val="00827C39"/>
    <w:rsid w:val="00827EAF"/>
    <w:rsid w:val="00830065"/>
    <w:rsid w:val="0083044B"/>
    <w:rsid w:val="008309A2"/>
    <w:rsid w:val="0083161A"/>
    <w:rsid w:val="00831D90"/>
    <w:rsid w:val="008321E2"/>
    <w:rsid w:val="00832257"/>
    <w:rsid w:val="008328C6"/>
    <w:rsid w:val="00832EB4"/>
    <w:rsid w:val="008331D6"/>
    <w:rsid w:val="00834271"/>
    <w:rsid w:val="0083545F"/>
    <w:rsid w:val="0083577B"/>
    <w:rsid w:val="00835A54"/>
    <w:rsid w:val="00835BCD"/>
    <w:rsid w:val="00836332"/>
    <w:rsid w:val="0083634D"/>
    <w:rsid w:val="00836AA9"/>
    <w:rsid w:val="00836F04"/>
    <w:rsid w:val="00836FB1"/>
    <w:rsid w:val="0083766E"/>
    <w:rsid w:val="00840271"/>
    <w:rsid w:val="008403B0"/>
    <w:rsid w:val="00840829"/>
    <w:rsid w:val="0084099B"/>
    <w:rsid w:val="00840F9F"/>
    <w:rsid w:val="00841280"/>
    <w:rsid w:val="008412E1"/>
    <w:rsid w:val="008416F0"/>
    <w:rsid w:val="00842153"/>
    <w:rsid w:val="008427CC"/>
    <w:rsid w:val="00842946"/>
    <w:rsid w:val="00842F9E"/>
    <w:rsid w:val="00843595"/>
    <w:rsid w:val="008435FC"/>
    <w:rsid w:val="00843B32"/>
    <w:rsid w:val="0084411A"/>
    <w:rsid w:val="008445DC"/>
    <w:rsid w:val="008447F1"/>
    <w:rsid w:val="0084499E"/>
    <w:rsid w:val="00844B6E"/>
    <w:rsid w:val="00844BB6"/>
    <w:rsid w:val="00844E23"/>
    <w:rsid w:val="008451E9"/>
    <w:rsid w:val="00846AD7"/>
    <w:rsid w:val="00846D1F"/>
    <w:rsid w:val="00847302"/>
    <w:rsid w:val="008478C4"/>
    <w:rsid w:val="00847B5D"/>
    <w:rsid w:val="00850025"/>
    <w:rsid w:val="00850319"/>
    <w:rsid w:val="00850572"/>
    <w:rsid w:val="008505C4"/>
    <w:rsid w:val="00850BCD"/>
    <w:rsid w:val="00850DB8"/>
    <w:rsid w:val="008510B9"/>
    <w:rsid w:val="008513E8"/>
    <w:rsid w:val="0085165F"/>
    <w:rsid w:val="00851834"/>
    <w:rsid w:val="00851BA2"/>
    <w:rsid w:val="00853975"/>
    <w:rsid w:val="00853E8F"/>
    <w:rsid w:val="0085486C"/>
    <w:rsid w:val="008551BA"/>
    <w:rsid w:val="00855729"/>
    <w:rsid w:val="0085599F"/>
    <w:rsid w:val="00855A01"/>
    <w:rsid w:val="00855CEC"/>
    <w:rsid w:val="00855DB7"/>
    <w:rsid w:val="00855E74"/>
    <w:rsid w:val="0085616B"/>
    <w:rsid w:val="008562F5"/>
    <w:rsid w:val="0085690C"/>
    <w:rsid w:val="00856CC8"/>
    <w:rsid w:val="00856FED"/>
    <w:rsid w:val="0085755D"/>
    <w:rsid w:val="00857684"/>
    <w:rsid w:val="00857819"/>
    <w:rsid w:val="008578BB"/>
    <w:rsid w:val="008600AA"/>
    <w:rsid w:val="00860AD3"/>
    <w:rsid w:val="00860B4C"/>
    <w:rsid w:val="00860EF3"/>
    <w:rsid w:val="00861123"/>
    <w:rsid w:val="00861161"/>
    <w:rsid w:val="008611CB"/>
    <w:rsid w:val="00861226"/>
    <w:rsid w:val="0086196D"/>
    <w:rsid w:val="00861C56"/>
    <w:rsid w:val="008623CE"/>
    <w:rsid w:val="00862980"/>
    <w:rsid w:val="00862A2D"/>
    <w:rsid w:val="00862A42"/>
    <w:rsid w:val="00863201"/>
    <w:rsid w:val="008632F1"/>
    <w:rsid w:val="00863688"/>
    <w:rsid w:val="008637CA"/>
    <w:rsid w:val="00863A03"/>
    <w:rsid w:val="00864227"/>
    <w:rsid w:val="00864347"/>
    <w:rsid w:val="00864A97"/>
    <w:rsid w:val="0086526B"/>
    <w:rsid w:val="008657F5"/>
    <w:rsid w:val="00865BE0"/>
    <w:rsid w:val="00865DE8"/>
    <w:rsid w:val="00865E14"/>
    <w:rsid w:val="00866033"/>
    <w:rsid w:val="00866793"/>
    <w:rsid w:val="008667DA"/>
    <w:rsid w:val="008669DC"/>
    <w:rsid w:val="0086706B"/>
    <w:rsid w:val="0086795D"/>
    <w:rsid w:val="00867B0A"/>
    <w:rsid w:val="00867B99"/>
    <w:rsid w:val="008705A6"/>
    <w:rsid w:val="00870725"/>
    <w:rsid w:val="0087072E"/>
    <w:rsid w:val="00870EB7"/>
    <w:rsid w:val="008715DC"/>
    <w:rsid w:val="00871640"/>
    <w:rsid w:val="0087187C"/>
    <w:rsid w:val="008719B1"/>
    <w:rsid w:val="00871AC9"/>
    <w:rsid w:val="00871B9A"/>
    <w:rsid w:val="00871E2B"/>
    <w:rsid w:val="008723B5"/>
    <w:rsid w:val="008724A8"/>
    <w:rsid w:val="008725C2"/>
    <w:rsid w:val="00872F1B"/>
    <w:rsid w:val="00873025"/>
    <w:rsid w:val="0087330E"/>
    <w:rsid w:val="0087369C"/>
    <w:rsid w:val="0087390E"/>
    <w:rsid w:val="00874165"/>
    <w:rsid w:val="00874ABE"/>
    <w:rsid w:val="00874AE0"/>
    <w:rsid w:val="00874DB4"/>
    <w:rsid w:val="00874E14"/>
    <w:rsid w:val="008752AD"/>
    <w:rsid w:val="00875559"/>
    <w:rsid w:val="0087605D"/>
    <w:rsid w:val="008762F0"/>
    <w:rsid w:val="0087688C"/>
    <w:rsid w:val="008768AF"/>
    <w:rsid w:val="00876F43"/>
    <w:rsid w:val="00877569"/>
    <w:rsid w:val="00877619"/>
    <w:rsid w:val="00877812"/>
    <w:rsid w:val="00877909"/>
    <w:rsid w:val="00877A15"/>
    <w:rsid w:val="00877FB9"/>
    <w:rsid w:val="008800E3"/>
    <w:rsid w:val="0088053D"/>
    <w:rsid w:val="0088065D"/>
    <w:rsid w:val="00880705"/>
    <w:rsid w:val="008809D9"/>
    <w:rsid w:val="00880CEC"/>
    <w:rsid w:val="008812B7"/>
    <w:rsid w:val="008812C4"/>
    <w:rsid w:val="008813F2"/>
    <w:rsid w:val="00881906"/>
    <w:rsid w:val="00881F24"/>
    <w:rsid w:val="00882ED0"/>
    <w:rsid w:val="00882F11"/>
    <w:rsid w:val="00882F32"/>
    <w:rsid w:val="008832A9"/>
    <w:rsid w:val="008832B5"/>
    <w:rsid w:val="00883585"/>
    <w:rsid w:val="00883948"/>
    <w:rsid w:val="00883B4B"/>
    <w:rsid w:val="00883E8F"/>
    <w:rsid w:val="00883E96"/>
    <w:rsid w:val="008846FD"/>
    <w:rsid w:val="00884FA5"/>
    <w:rsid w:val="00885109"/>
    <w:rsid w:val="00885748"/>
    <w:rsid w:val="0088578A"/>
    <w:rsid w:val="00885D20"/>
    <w:rsid w:val="0088642A"/>
    <w:rsid w:val="008864A6"/>
    <w:rsid w:val="00886DD3"/>
    <w:rsid w:val="0088731D"/>
    <w:rsid w:val="008873FA"/>
    <w:rsid w:val="008879C6"/>
    <w:rsid w:val="00887E2A"/>
    <w:rsid w:val="00887FC8"/>
    <w:rsid w:val="008903C6"/>
    <w:rsid w:val="00890425"/>
    <w:rsid w:val="00890427"/>
    <w:rsid w:val="0089048C"/>
    <w:rsid w:val="00890B48"/>
    <w:rsid w:val="008915FD"/>
    <w:rsid w:val="008916C1"/>
    <w:rsid w:val="00891B17"/>
    <w:rsid w:val="00891E7B"/>
    <w:rsid w:val="00891F0D"/>
    <w:rsid w:val="008925DD"/>
    <w:rsid w:val="0089281F"/>
    <w:rsid w:val="00892F90"/>
    <w:rsid w:val="00893839"/>
    <w:rsid w:val="0089387A"/>
    <w:rsid w:val="008938C0"/>
    <w:rsid w:val="008939ED"/>
    <w:rsid w:val="00893AC4"/>
    <w:rsid w:val="00893C5F"/>
    <w:rsid w:val="00894068"/>
    <w:rsid w:val="008949F2"/>
    <w:rsid w:val="00894B56"/>
    <w:rsid w:val="00894F79"/>
    <w:rsid w:val="00895249"/>
    <w:rsid w:val="00895285"/>
    <w:rsid w:val="008952EF"/>
    <w:rsid w:val="00895433"/>
    <w:rsid w:val="00895562"/>
    <w:rsid w:val="008956BC"/>
    <w:rsid w:val="0089571B"/>
    <w:rsid w:val="00896099"/>
    <w:rsid w:val="008967C0"/>
    <w:rsid w:val="00896BE8"/>
    <w:rsid w:val="008970FF"/>
    <w:rsid w:val="00897505"/>
    <w:rsid w:val="00897C0A"/>
    <w:rsid w:val="008A0682"/>
    <w:rsid w:val="008A0910"/>
    <w:rsid w:val="008A0C6D"/>
    <w:rsid w:val="008A0DE5"/>
    <w:rsid w:val="008A0E38"/>
    <w:rsid w:val="008A0F17"/>
    <w:rsid w:val="008A1394"/>
    <w:rsid w:val="008A18DB"/>
    <w:rsid w:val="008A18F2"/>
    <w:rsid w:val="008A1912"/>
    <w:rsid w:val="008A19C7"/>
    <w:rsid w:val="008A1C24"/>
    <w:rsid w:val="008A2414"/>
    <w:rsid w:val="008A264F"/>
    <w:rsid w:val="008A294D"/>
    <w:rsid w:val="008A2A32"/>
    <w:rsid w:val="008A2CF5"/>
    <w:rsid w:val="008A359C"/>
    <w:rsid w:val="008A3723"/>
    <w:rsid w:val="008A3808"/>
    <w:rsid w:val="008A3E2D"/>
    <w:rsid w:val="008A4371"/>
    <w:rsid w:val="008A4647"/>
    <w:rsid w:val="008A4999"/>
    <w:rsid w:val="008A4C7D"/>
    <w:rsid w:val="008A4E3C"/>
    <w:rsid w:val="008A5503"/>
    <w:rsid w:val="008A5898"/>
    <w:rsid w:val="008A68EA"/>
    <w:rsid w:val="008A6B3B"/>
    <w:rsid w:val="008A7E8F"/>
    <w:rsid w:val="008B059D"/>
    <w:rsid w:val="008B0669"/>
    <w:rsid w:val="008B09BF"/>
    <w:rsid w:val="008B0F09"/>
    <w:rsid w:val="008B1164"/>
    <w:rsid w:val="008B13D5"/>
    <w:rsid w:val="008B155D"/>
    <w:rsid w:val="008B170F"/>
    <w:rsid w:val="008B1758"/>
    <w:rsid w:val="008B2132"/>
    <w:rsid w:val="008B2191"/>
    <w:rsid w:val="008B222C"/>
    <w:rsid w:val="008B2FC0"/>
    <w:rsid w:val="008B3068"/>
    <w:rsid w:val="008B33F2"/>
    <w:rsid w:val="008B35B2"/>
    <w:rsid w:val="008B3686"/>
    <w:rsid w:val="008B4196"/>
    <w:rsid w:val="008B459A"/>
    <w:rsid w:val="008B46AE"/>
    <w:rsid w:val="008B4760"/>
    <w:rsid w:val="008B4AC9"/>
    <w:rsid w:val="008B4C43"/>
    <w:rsid w:val="008B4CF2"/>
    <w:rsid w:val="008B4DEF"/>
    <w:rsid w:val="008B4E21"/>
    <w:rsid w:val="008B5413"/>
    <w:rsid w:val="008B551D"/>
    <w:rsid w:val="008B55B4"/>
    <w:rsid w:val="008B5EA4"/>
    <w:rsid w:val="008B6058"/>
    <w:rsid w:val="008B620A"/>
    <w:rsid w:val="008B637D"/>
    <w:rsid w:val="008B6582"/>
    <w:rsid w:val="008B6707"/>
    <w:rsid w:val="008B6714"/>
    <w:rsid w:val="008B696C"/>
    <w:rsid w:val="008B6A0C"/>
    <w:rsid w:val="008B6C21"/>
    <w:rsid w:val="008B6C34"/>
    <w:rsid w:val="008B6E28"/>
    <w:rsid w:val="008B774A"/>
    <w:rsid w:val="008B7F4A"/>
    <w:rsid w:val="008C024A"/>
    <w:rsid w:val="008C0669"/>
    <w:rsid w:val="008C068D"/>
    <w:rsid w:val="008C11F7"/>
    <w:rsid w:val="008C1509"/>
    <w:rsid w:val="008C1EC0"/>
    <w:rsid w:val="008C26DF"/>
    <w:rsid w:val="008C2925"/>
    <w:rsid w:val="008C2C4C"/>
    <w:rsid w:val="008C2CCB"/>
    <w:rsid w:val="008C36FA"/>
    <w:rsid w:val="008C394C"/>
    <w:rsid w:val="008C3992"/>
    <w:rsid w:val="008C4273"/>
    <w:rsid w:val="008C42F7"/>
    <w:rsid w:val="008C47B1"/>
    <w:rsid w:val="008C4848"/>
    <w:rsid w:val="008C49A9"/>
    <w:rsid w:val="008C4E32"/>
    <w:rsid w:val="008C4FAB"/>
    <w:rsid w:val="008C5A3B"/>
    <w:rsid w:val="008C5A99"/>
    <w:rsid w:val="008C5F45"/>
    <w:rsid w:val="008C677E"/>
    <w:rsid w:val="008C693A"/>
    <w:rsid w:val="008C6D67"/>
    <w:rsid w:val="008C6EAF"/>
    <w:rsid w:val="008C701C"/>
    <w:rsid w:val="008C73D6"/>
    <w:rsid w:val="008C7792"/>
    <w:rsid w:val="008C795E"/>
    <w:rsid w:val="008C7B87"/>
    <w:rsid w:val="008C7DAA"/>
    <w:rsid w:val="008D0AA9"/>
    <w:rsid w:val="008D138E"/>
    <w:rsid w:val="008D1631"/>
    <w:rsid w:val="008D1FC4"/>
    <w:rsid w:val="008D24BC"/>
    <w:rsid w:val="008D2701"/>
    <w:rsid w:val="008D2939"/>
    <w:rsid w:val="008D2993"/>
    <w:rsid w:val="008D2AED"/>
    <w:rsid w:val="008D2B4E"/>
    <w:rsid w:val="008D2B61"/>
    <w:rsid w:val="008D2F38"/>
    <w:rsid w:val="008D362E"/>
    <w:rsid w:val="008D3BDF"/>
    <w:rsid w:val="008D41FC"/>
    <w:rsid w:val="008D43FF"/>
    <w:rsid w:val="008D447D"/>
    <w:rsid w:val="008D4539"/>
    <w:rsid w:val="008D473F"/>
    <w:rsid w:val="008D4CEF"/>
    <w:rsid w:val="008D550C"/>
    <w:rsid w:val="008D5826"/>
    <w:rsid w:val="008D5B72"/>
    <w:rsid w:val="008D639E"/>
    <w:rsid w:val="008D690C"/>
    <w:rsid w:val="008D6996"/>
    <w:rsid w:val="008D734A"/>
    <w:rsid w:val="008D7716"/>
    <w:rsid w:val="008D7720"/>
    <w:rsid w:val="008D772A"/>
    <w:rsid w:val="008D7889"/>
    <w:rsid w:val="008D7A0A"/>
    <w:rsid w:val="008D7AE0"/>
    <w:rsid w:val="008D7B92"/>
    <w:rsid w:val="008E00D6"/>
    <w:rsid w:val="008E07A0"/>
    <w:rsid w:val="008E2473"/>
    <w:rsid w:val="008E2D8C"/>
    <w:rsid w:val="008E3AA2"/>
    <w:rsid w:val="008E408E"/>
    <w:rsid w:val="008E4644"/>
    <w:rsid w:val="008E472D"/>
    <w:rsid w:val="008E4C9B"/>
    <w:rsid w:val="008E4EA3"/>
    <w:rsid w:val="008E4EF5"/>
    <w:rsid w:val="008E52FB"/>
    <w:rsid w:val="008E539C"/>
    <w:rsid w:val="008E602E"/>
    <w:rsid w:val="008E6163"/>
    <w:rsid w:val="008E62AC"/>
    <w:rsid w:val="008E6565"/>
    <w:rsid w:val="008E68E6"/>
    <w:rsid w:val="008E6AB0"/>
    <w:rsid w:val="008E6C05"/>
    <w:rsid w:val="008E7041"/>
    <w:rsid w:val="008E711F"/>
    <w:rsid w:val="008E7316"/>
    <w:rsid w:val="008E76B7"/>
    <w:rsid w:val="008E7C27"/>
    <w:rsid w:val="008E7CDC"/>
    <w:rsid w:val="008E7E9B"/>
    <w:rsid w:val="008F0341"/>
    <w:rsid w:val="008F0548"/>
    <w:rsid w:val="008F0D7E"/>
    <w:rsid w:val="008F0FDE"/>
    <w:rsid w:val="008F1112"/>
    <w:rsid w:val="008F1186"/>
    <w:rsid w:val="008F17EE"/>
    <w:rsid w:val="008F1992"/>
    <w:rsid w:val="008F1B4D"/>
    <w:rsid w:val="008F2440"/>
    <w:rsid w:val="008F249F"/>
    <w:rsid w:val="008F269C"/>
    <w:rsid w:val="008F271F"/>
    <w:rsid w:val="008F2B97"/>
    <w:rsid w:val="008F31FE"/>
    <w:rsid w:val="008F34BF"/>
    <w:rsid w:val="008F39A7"/>
    <w:rsid w:val="008F4751"/>
    <w:rsid w:val="008F516F"/>
    <w:rsid w:val="008F5675"/>
    <w:rsid w:val="008F5D08"/>
    <w:rsid w:val="008F5EC4"/>
    <w:rsid w:val="008F6B01"/>
    <w:rsid w:val="008F6DEB"/>
    <w:rsid w:val="008F6E58"/>
    <w:rsid w:val="008F74EC"/>
    <w:rsid w:val="008F7677"/>
    <w:rsid w:val="008F78F3"/>
    <w:rsid w:val="008F791C"/>
    <w:rsid w:val="008F7CB3"/>
    <w:rsid w:val="008F7F93"/>
    <w:rsid w:val="008F7FD6"/>
    <w:rsid w:val="009000DF"/>
    <w:rsid w:val="009005D5"/>
    <w:rsid w:val="009008DA"/>
    <w:rsid w:val="009008FD"/>
    <w:rsid w:val="0090091D"/>
    <w:rsid w:val="00900E51"/>
    <w:rsid w:val="009012A4"/>
    <w:rsid w:val="009012AB"/>
    <w:rsid w:val="0090146C"/>
    <w:rsid w:val="00901632"/>
    <w:rsid w:val="009017E9"/>
    <w:rsid w:val="009017FF"/>
    <w:rsid w:val="00901B98"/>
    <w:rsid w:val="00901C4B"/>
    <w:rsid w:val="00902420"/>
    <w:rsid w:val="009025DB"/>
    <w:rsid w:val="0090273E"/>
    <w:rsid w:val="00902AFD"/>
    <w:rsid w:val="009030F3"/>
    <w:rsid w:val="00903260"/>
    <w:rsid w:val="009032BD"/>
    <w:rsid w:val="0090378E"/>
    <w:rsid w:val="00903A8B"/>
    <w:rsid w:val="00903D06"/>
    <w:rsid w:val="00903FB5"/>
    <w:rsid w:val="00904DE3"/>
    <w:rsid w:val="00905574"/>
    <w:rsid w:val="0090566C"/>
    <w:rsid w:val="009060B4"/>
    <w:rsid w:val="009061A6"/>
    <w:rsid w:val="0090656C"/>
    <w:rsid w:val="00906643"/>
    <w:rsid w:val="009068BF"/>
    <w:rsid w:val="00907E4F"/>
    <w:rsid w:val="00907ED8"/>
    <w:rsid w:val="0091006E"/>
    <w:rsid w:val="009103BD"/>
    <w:rsid w:val="00910957"/>
    <w:rsid w:val="0091099D"/>
    <w:rsid w:val="00910BEC"/>
    <w:rsid w:val="00910E35"/>
    <w:rsid w:val="009117D4"/>
    <w:rsid w:val="00911BC0"/>
    <w:rsid w:val="0091230A"/>
    <w:rsid w:val="00912E20"/>
    <w:rsid w:val="0091307E"/>
    <w:rsid w:val="00913396"/>
    <w:rsid w:val="0091345E"/>
    <w:rsid w:val="009134D5"/>
    <w:rsid w:val="00913B6A"/>
    <w:rsid w:val="00913F3F"/>
    <w:rsid w:val="0091440D"/>
    <w:rsid w:val="009144D8"/>
    <w:rsid w:val="0091473B"/>
    <w:rsid w:val="009149C7"/>
    <w:rsid w:val="00914E87"/>
    <w:rsid w:val="00914EF5"/>
    <w:rsid w:val="009155D5"/>
    <w:rsid w:val="009155FF"/>
    <w:rsid w:val="00915726"/>
    <w:rsid w:val="009157C0"/>
    <w:rsid w:val="00915DAB"/>
    <w:rsid w:val="00915ED4"/>
    <w:rsid w:val="00916115"/>
    <w:rsid w:val="0091629E"/>
    <w:rsid w:val="00916792"/>
    <w:rsid w:val="00916B9D"/>
    <w:rsid w:val="00916C30"/>
    <w:rsid w:val="00917418"/>
    <w:rsid w:val="00917B25"/>
    <w:rsid w:val="009206A9"/>
    <w:rsid w:val="00920B83"/>
    <w:rsid w:val="00920F87"/>
    <w:rsid w:val="0092113D"/>
    <w:rsid w:val="009216E6"/>
    <w:rsid w:val="00921A3D"/>
    <w:rsid w:val="00921B4C"/>
    <w:rsid w:val="00921BBD"/>
    <w:rsid w:val="00921E3D"/>
    <w:rsid w:val="00922EBC"/>
    <w:rsid w:val="00923A52"/>
    <w:rsid w:val="0092407F"/>
    <w:rsid w:val="009240BC"/>
    <w:rsid w:val="00924C0A"/>
    <w:rsid w:val="00924D22"/>
    <w:rsid w:val="00924DC1"/>
    <w:rsid w:val="00924FFC"/>
    <w:rsid w:val="0092534E"/>
    <w:rsid w:val="0092605F"/>
    <w:rsid w:val="00926364"/>
    <w:rsid w:val="00926845"/>
    <w:rsid w:val="00926D23"/>
    <w:rsid w:val="00926D64"/>
    <w:rsid w:val="00927055"/>
    <w:rsid w:val="00927208"/>
    <w:rsid w:val="009277B1"/>
    <w:rsid w:val="00927BA2"/>
    <w:rsid w:val="00927BB7"/>
    <w:rsid w:val="00927CD6"/>
    <w:rsid w:val="00927F8D"/>
    <w:rsid w:val="009300B1"/>
    <w:rsid w:val="0093016D"/>
    <w:rsid w:val="0093039B"/>
    <w:rsid w:val="00930797"/>
    <w:rsid w:val="00931108"/>
    <w:rsid w:val="009315F1"/>
    <w:rsid w:val="0093176A"/>
    <w:rsid w:val="00931D8B"/>
    <w:rsid w:val="00931FB9"/>
    <w:rsid w:val="009320A8"/>
    <w:rsid w:val="00932328"/>
    <w:rsid w:val="00932CAE"/>
    <w:rsid w:val="00932F3E"/>
    <w:rsid w:val="00933389"/>
    <w:rsid w:val="009336C4"/>
    <w:rsid w:val="00933DB4"/>
    <w:rsid w:val="00933FF7"/>
    <w:rsid w:val="009346B2"/>
    <w:rsid w:val="009349A9"/>
    <w:rsid w:val="00934FC2"/>
    <w:rsid w:val="00934FDA"/>
    <w:rsid w:val="00935335"/>
    <w:rsid w:val="00935AE7"/>
    <w:rsid w:val="00935C69"/>
    <w:rsid w:val="009360D2"/>
    <w:rsid w:val="00936993"/>
    <w:rsid w:val="00936C95"/>
    <w:rsid w:val="00936E09"/>
    <w:rsid w:val="00936F7F"/>
    <w:rsid w:val="00937046"/>
    <w:rsid w:val="009373F0"/>
    <w:rsid w:val="00937782"/>
    <w:rsid w:val="0093784E"/>
    <w:rsid w:val="00937CA4"/>
    <w:rsid w:val="009400F1"/>
    <w:rsid w:val="00940373"/>
    <w:rsid w:val="00940E36"/>
    <w:rsid w:val="0094181B"/>
    <w:rsid w:val="00942129"/>
    <w:rsid w:val="009422C2"/>
    <w:rsid w:val="00942369"/>
    <w:rsid w:val="00942611"/>
    <w:rsid w:val="00942DE7"/>
    <w:rsid w:val="00943684"/>
    <w:rsid w:val="00943CD5"/>
    <w:rsid w:val="009442D4"/>
    <w:rsid w:val="00944713"/>
    <w:rsid w:val="009447EF"/>
    <w:rsid w:val="00945B7E"/>
    <w:rsid w:val="009460F9"/>
    <w:rsid w:val="009463CB"/>
    <w:rsid w:val="009468A5"/>
    <w:rsid w:val="00946D73"/>
    <w:rsid w:val="009470B4"/>
    <w:rsid w:val="009476AE"/>
    <w:rsid w:val="009476CD"/>
    <w:rsid w:val="00947C22"/>
    <w:rsid w:val="00947FCB"/>
    <w:rsid w:val="00950450"/>
    <w:rsid w:val="009509B6"/>
    <w:rsid w:val="0095103D"/>
    <w:rsid w:val="009514EC"/>
    <w:rsid w:val="00951877"/>
    <w:rsid w:val="00952375"/>
    <w:rsid w:val="009523C1"/>
    <w:rsid w:val="00952918"/>
    <w:rsid w:val="00952F9A"/>
    <w:rsid w:val="0095321D"/>
    <w:rsid w:val="009532D1"/>
    <w:rsid w:val="00954258"/>
    <w:rsid w:val="00954800"/>
    <w:rsid w:val="00954F5A"/>
    <w:rsid w:val="00954FDD"/>
    <w:rsid w:val="00955298"/>
    <w:rsid w:val="009554C3"/>
    <w:rsid w:val="0095554F"/>
    <w:rsid w:val="00955646"/>
    <w:rsid w:val="009557FC"/>
    <w:rsid w:val="00955FC7"/>
    <w:rsid w:val="00955FDC"/>
    <w:rsid w:val="0095646E"/>
    <w:rsid w:val="0095692E"/>
    <w:rsid w:val="00957104"/>
    <w:rsid w:val="00957666"/>
    <w:rsid w:val="00957C82"/>
    <w:rsid w:val="00957FFE"/>
    <w:rsid w:val="009606C6"/>
    <w:rsid w:val="00960949"/>
    <w:rsid w:val="00960C78"/>
    <w:rsid w:val="00960C7B"/>
    <w:rsid w:val="009613ED"/>
    <w:rsid w:val="009616BC"/>
    <w:rsid w:val="009618FE"/>
    <w:rsid w:val="00961B81"/>
    <w:rsid w:val="00962269"/>
    <w:rsid w:val="00962488"/>
    <w:rsid w:val="00962CD6"/>
    <w:rsid w:val="0096325B"/>
    <w:rsid w:val="009633A2"/>
    <w:rsid w:val="00963F03"/>
    <w:rsid w:val="00963FC9"/>
    <w:rsid w:val="0096483B"/>
    <w:rsid w:val="00964BFE"/>
    <w:rsid w:val="00965410"/>
    <w:rsid w:val="0096560A"/>
    <w:rsid w:val="00965A53"/>
    <w:rsid w:val="00965E0D"/>
    <w:rsid w:val="0096603B"/>
    <w:rsid w:val="0096604A"/>
    <w:rsid w:val="00966262"/>
    <w:rsid w:val="00966454"/>
    <w:rsid w:val="0096661C"/>
    <w:rsid w:val="00966A6B"/>
    <w:rsid w:val="00966B6B"/>
    <w:rsid w:val="009673E1"/>
    <w:rsid w:val="0096741C"/>
    <w:rsid w:val="00967555"/>
    <w:rsid w:val="009675BD"/>
    <w:rsid w:val="0096789E"/>
    <w:rsid w:val="009678C1"/>
    <w:rsid w:val="00967C8B"/>
    <w:rsid w:val="00970928"/>
    <w:rsid w:val="00970ACA"/>
    <w:rsid w:val="00970F74"/>
    <w:rsid w:val="009715EA"/>
    <w:rsid w:val="0097187D"/>
    <w:rsid w:val="00971AFB"/>
    <w:rsid w:val="00971FB9"/>
    <w:rsid w:val="009722AA"/>
    <w:rsid w:val="0097252E"/>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EDB"/>
    <w:rsid w:val="00976901"/>
    <w:rsid w:val="00976F5C"/>
    <w:rsid w:val="0097722E"/>
    <w:rsid w:val="0097731D"/>
    <w:rsid w:val="00977D2A"/>
    <w:rsid w:val="009800EE"/>
    <w:rsid w:val="00980120"/>
    <w:rsid w:val="00980335"/>
    <w:rsid w:val="00980472"/>
    <w:rsid w:val="00980812"/>
    <w:rsid w:val="009808E4"/>
    <w:rsid w:val="00980DF1"/>
    <w:rsid w:val="00980EC8"/>
    <w:rsid w:val="00981245"/>
    <w:rsid w:val="00981C1F"/>
    <w:rsid w:val="00981E36"/>
    <w:rsid w:val="0098260B"/>
    <w:rsid w:val="00982AD7"/>
    <w:rsid w:val="009834CC"/>
    <w:rsid w:val="00983654"/>
    <w:rsid w:val="00983EEB"/>
    <w:rsid w:val="009842C4"/>
    <w:rsid w:val="009849F4"/>
    <w:rsid w:val="00984BB8"/>
    <w:rsid w:val="00984FC3"/>
    <w:rsid w:val="00985531"/>
    <w:rsid w:val="00985671"/>
    <w:rsid w:val="009863EE"/>
    <w:rsid w:val="0098656B"/>
    <w:rsid w:val="0098660A"/>
    <w:rsid w:val="009869BE"/>
    <w:rsid w:val="00986A1C"/>
    <w:rsid w:val="00986BEA"/>
    <w:rsid w:val="00987013"/>
    <w:rsid w:val="00987422"/>
    <w:rsid w:val="00987430"/>
    <w:rsid w:val="00987493"/>
    <w:rsid w:val="0098753A"/>
    <w:rsid w:val="00987962"/>
    <w:rsid w:val="009901D9"/>
    <w:rsid w:val="00990575"/>
    <w:rsid w:val="009905AB"/>
    <w:rsid w:val="0099063A"/>
    <w:rsid w:val="009906FE"/>
    <w:rsid w:val="009907FB"/>
    <w:rsid w:val="00990953"/>
    <w:rsid w:val="00990AF2"/>
    <w:rsid w:val="00990EB4"/>
    <w:rsid w:val="00991A49"/>
    <w:rsid w:val="00991E79"/>
    <w:rsid w:val="009921B0"/>
    <w:rsid w:val="009922BB"/>
    <w:rsid w:val="00992575"/>
    <w:rsid w:val="00992849"/>
    <w:rsid w:val="009928CD"/>
    <w:rsid w:val="00992DB8"/>
    <w:rsid w:val="009938B9"/>
    <w:rsid w:val="00993B88"/>
    <w:rsid w:val="00994D83"/>
    <w:rsid w:val="0099512A"/>
    <w:rsid w:val="0099549F"/>
    <w:rsid w:val="009955E2"/>
    <w:rsid w:val="009956C9"/>
    <w:rsid w:val="009956E8"/>
    <w:rsid w:val="00995CE4"/>
    <w:rsid w:val="00996FF4"/>
    <w:rsid w:val="00997498"/>
    <w:rsid w:val="009974FB"/>
    <w:rsid w:val="009975FF"/>
    <w:rsid w:val="00997A6C"/>
    <w:rsid w:val="009A1613"/>
    <w:rsid w:val="009A17B4"/>
    <w:rsid w:val="009A1959"/>
    <w:rsid w:val="009A1DCA"/>
    <w:rsid w:val="009A2726"/>
    <w:rsid w:val="009A2A3C"/>
    <w:rsid w:val="009A2DD5"/>
    <w:rsid w:val="009A3DCA"/>
    <w:rsid w:val="009A42F2"/>
    <w:rsid w:val="009A464D"/>
    <w:rsid w:val="009A4747"/>
    <w:rsid w:val="009A4AC9"/>
    <w:rsid w:val="009A4BED"/>
    <w:rsid w:val="009A4E33"/>
    <w:rsid w:val="009A50B3"/>
    <w:rsid w:val="009A51AD"/>
    <w:rsid w:val="009A5854"/>
    <w:rsid w:val="009A5A6C"/>
    <w:rsid w:val="009A6882"/>
    <w:rsid w:val="009A68CA"/>
    <w:rsid w:val="009A6EFF"/>
    <w:rsid w:val="009A7190"/>
    <w:rsid w:val="009A7361"/>
    <w:rsid w:val="009B0087"/>
    <w:rsid w:val="009B00D1"/>
    <w:rsid w:val="009B02EE"/>
    <w:rsid w:val="009B06A0"/>
    <w:rsid w:val="009B08DD"/>
    <w:rsid w:val="009B0BED"/>
    <w:rsid w:val="009B0F18"/>
    <w:rsid w:val="009B136B"/>
    <w:rsid w:val="009B1A31"/>
    <w:rsid w:val="009B1E82"/>
    <w:rsid w:val="009B1F06"/>
    <w:rsid w:val="009B222F"/>
    <w:rsid w:val="009B2739"/>
    <w:rsid w:val="009B325E"/>
    <w:rsid w:val="009B35FE"/>
    <w:rsid w:val="009B38D1"/>
    <w:rsid w:val="009B3965"/>
    <w:rsid w:val="009B3A73"/>
    <w:rsid w:val="009B4385"/>
    <w:rsid w:val="009B484E"/>
    <w:rsid w:val="009B4F44"/>
    <w:rsid w:val="009B5405"/>
    <w:rsid w:val="009B5717"/>
    <w:rsid w:val="009B5DA7"/>
    <w:rsid w:val="009B6142"/>
    <w:rsid w:val="009B6864"/>
    <w:rsid w:val="009B6985"/>
    <w:rsid w:val="009B6D93"/>
    <w:rsid w:val="009B7150"/>
    <w:rsid w:val="009B731F"/>
    <w:rsid w:val="009B74E0"/>
    <w:rsid w:val="009B7A46"/>
    <w:rsid w:val="009B7F8E"/>
    <w:rsid w:val="009C0838"/>
    <w:rsid w:val="009C091D"/>
    <w:rsid w:val="009C0944"/>
    <w:rsid w:val="009C0CEE"/>
    <w:rsid w:val="009C0D45"/>
    <w:rsid w:val="009C1463"/>
    <w:rsid w:val="009C163F"/>
    <w:rsid w:val="009C16DE"/>
    <w:rsid w:val="009C19DD"/>
    <w:rsid w:val="009C1C91"/>
    <w:rsid w:val="009C1FFE"/>
    <w:rsid w:val="009C2530"/>
    <w:rsid w:val="009C2D03"/>
    <w:rsid w:val="009C2D5A"/>
    <w:rsid w:val="009C30A7"/>
    <w:rsid w:val="009C3237"/>
    <w:rsid w:val="009C3720"/>
    <w:rsid w:val="009C42EA"/>
    <w:rsid w:val="009C437D"/>
    <w:rsid w:val="009C48A8"/>
    <w:rsid w:val="009C4AD2"/>
    <w:rsid w:val="009C5165"/>
    <w:rsid w:val="009C5208"/>
    <w:rsid w:val="009C535C"/>
    <w:rsid w:val="009C5786"/>
    <w:rsid w:val="009C5863"/>
    <w:rsid w:val="009C5AFD"/>
    <w:rsid w:val="009C5C6F"/>
    <w:rsid w:val="009C65C2"/>
    <w:rsid w:val="009C662D"/>
    <w:rsid w:val="009C6CF2"/>
    <w:rsid w:val="009C738F"/>
    <w:rsid w:val="009C7592"/>
    <w:rsid w:val="009C75D5"/>
    <w:rsid w:val="009C7D8B"/>
    <w:rsid w:val="009D0047"/>
    <w:rsid w:val="009D0B3F"/>
    <w:rsid w:val="009D0BA8"/>
    <w:rsid w:val="009D0E66"/>
    <w:rsid w:val="009D13C4"/>
    <w:rsid w:val="009D1501"/>
    <w:rsid w:val="009D19BF"/>
    <w:rsid w:val="009D201F"/>
    <w:rsid w:val="009D2D5C"/>
    <w:rsid w:val="009D2FC0"/>
    <w:rsid w:val="009D351E"/>
    <w:rsid w:val="009D378F"/>
    <w:rsid w:val="009D3C34"/>
    <w:rsid w:val="009D42F0"/>
    <w:rsid w:val="009D4300"/>
    <w:rsid w:val="009D47E9"/>
    <w:rsid w:val="009D4AA7"/>
    <w:rsid w:val="009D5201"/>
    <w:rsid w:val="009D5F22"/>
    <w:rsid w:val="009D5FBF"/>
    <w:rsid w:val="009D60DF"/>
    <w:rsid w:val="009D667C"/>
    <w:rsid w:val="009D6713"/>
    <w:rsid w:val="009D6A00"/>
    <w:rsid w:val="009D6B2E"/>
    <w:rsid w:val="009D6B98"/>
    <w:rsid w:val="009D72B9"/>
    <w:rsid w:val="009D7B04"/>
    <w:rsid w:val="009D7C81"/>
    <w:rsid w:val="009D7F82"/>
    <w:rsid w:val="009E00A3"/>
    <w:rsid w:val="009E0B73"/>
    <w:rsid w:val="009E1542"/>
    <w:rsid w:val="009E1878"/>
    <w:rsid w:val="009E1CDF"/>
    <w:rsid w:val="009E2141"/>
    <w:rsid w:val="009E2580"/>
    <w:rsid w:val="009E27A1"/>
    <w:rsid w:val="009E282D"/>
    <w:rsid w:val="009E2AA2"/>
    <w:rsid w:val="009E3EDC"/>
    <w:rsid w:val="009E433F"/>
    <w:rsid w:val="009E442A"/>
    <w:rsid w:val="009E458B"/>
    <w:rsid w:val="009E4B96"/>
    <w:rsid w:val="009E4C5F"/>
    <w:rsid w:val="009E4C85"/>
    <w:rsid w:val="009E4C90"/>
    <w:rsid w:val="009E5047"/>
    <w:rsid w:val="009E53B6"/>
    <w:rsid w:val="009E5790"/>
    <w:rsid w:val="009E5959"/>
    <w:rsid w:val="009E5F5E"/>
    <w:rsid w:val="009E6149"/>
    <w:rsid w:val="009E6BAF"/>
    <w:rsid w:val="009E6BB0"/>
    <w:rsid w:val="009E721C"/>
    <w:rsid w:val="009E7780"/>
    <w:rsid w:val="009E7FDF"/>
    <w:rsid w:val="009F036F"/>
    <w:rsid w:val="009F0FAC"/>
    <w:rsid w:val="009F1961"/>
    <w:rsid w:val="009F1B03"/>
    <w:rsid w:val="009F204E"/>
    <w:rsid w:val="009F2213"/>
    <w:rsid w:val="009F26CE"/>
    <w:rsid w:val="009F2B79"/>
    <w:rsid w:val="009F2C4A"/>
    <w:rsid w:val="009F3AE6"/>
    <w:rsid w:val="009F3BAE"/>
    <w:rsid w:val="009F3F52"/>
    <w:rsid w:val="009F4014"/>
    <w:rsid w:val="009F4CA7"/>
    <w:rsid w:val="009F4DF0"/>
    <w:rsid w:val="009F4E9E"/>
    <w:rsid w:val="009F4F40"/>
    <w:rsid w:val="009F5569"/>
    <w:rsid w:val="009F56EE"/>
    <w:rsid w:val="009F59E8"/>
    <w:rsid w:val="009F5B7B"/>
    <w:rsid w:val="009F5D31"/>
    <w:rsid w:val="009F5E1F"/>
    <w:rsid w:val="009F61AC"/>
    <w:rsid w:val="009F67FF"/>
    <w:rsid w:val="009F68B7"/>
    <w:rsid w:val="009F6F16"/>
    <w:rsid w:val="009F786F"/>
    <w:rsid w:val="009F7AC1"/>
    <w:rsid w:val="00A00635"/>
    <w:rsid w:val="00A0068F"/>
    <w:rsid w:val="00A007AA"/>
    <w:rsid w:val="00A0094E"/>
    <w:rsid w:val="00A00DA2"/>
    <w:rsid w:val="00A01419"/>
    <w:rsid w:val="00A018B7"/>
    <w:rsid w:val="00A01BDB"/>
    <w:rsid w:val="00A01D41"/>
    <w:rsid w:val="00A01E7C"/>
    <w:rsid w:val="00A01FD1"/>
    <w:rsid w:val="00A024DB"/>
    <w:rsid w:val="00A02D27"/>
    <w:rsid w:val="00A03303"/>
    <w:rsid w:val="00A041D9"/>
    <w:rsid w:val="00A05514"/>
    <w:rsid w:val="00A06444"/>
    <w:rsid w:val="00A06773"/>
    <w:rsid w:val="00A06DBF"/>
    <w:rsid w:val="00A07119"/>
    <w:rsid w:val="00A07C25"/>
    <w:rsid w:val="00A07C73"/>
    <w:rsid w:val="00A07D18"/>
    <w:rsid w:val="00A07EAC"/>
    <w:rsid w:val="00A10A9B"/>
    <w:rsid w:val="00A10B6D"/>
    <w:rsid w:val="00A1103E"/>
    <w:rsid w:val="00A110F9"/>
    <w:rsid w:val="00A116B2"/>
    <w:rsid w:val="00A12066"/>
    <w:rsid w:val="00A12E46"/>
    <w:rsid w:val="00A131DB"/>
    <w:rsid w:val="00A133BF"/>
    <w:rsid w:val="00A136E1"/>
    <w:rsid w:val="00A1370C"/>
    <w:rsid w:val="00A13CC5"/>
    <w:rsid w:val="00A13F24"/>
    <w:rsid w:val="00A13F95"/>
    <w:rsid w:val="00A1444A"/>
    <w:rsid w:val="00A14A5C"/>
    <w:rsid w:val="00A14A6D"/>
    <w:rsid w:val="00A14BD2"/>
    <w:rsid w:val="00A14C93"/>
    <w:rsid w:val="00A15210"/>
    <w:rsid w:val="00A1529D"/>
    <w:rsid w:val="00A152EB"/>
    <w:rsid w:val="00A153EE"/>
    <w:rsid w:val="00A1555D"/>
    <w:rsid w:val="00A157BB"/>
    <w:rsid w:val="00A158D0"/>
    <w:rsid w:val="00A1592A"/>
    <w:rsid w:val="00A15EE0"/>
    <w:rsid w:val="00A1603E"/>
    <w:rsid w:val="00A16A56"/>
    <w:rsid w:val="00A16B6D"/>
    <w:rsid w:val="00A16BFF"/>
    <w:rsid w:val="00A17022"/>
    <w:rsid w:val="00A17564"/>
    <w:rsid w:val="00A1796C"/>
    <w:rsid w:val="00A17A13"/>
    <w:rsid w:val="00A17FC8"/>
    <w:rsid w:val="00A20301"/>
    <w:rsid w:val="00A20C38"/>
    <w:rsid w:val="00A20EFC"/>
    <w:rsid w:val="00A21C6F"/>
    <w:rsid w:val="00A21D7E"/>
    <w:rsid w:val="00A21DE7"/>
    <w:rsid w:val="00A22510"/>
    <w:rsid w:val="00A2266C"/>
    <w:rsid w:val="00A22A97"/>
    <w:rsid w:val="00A22B02"/>
    <w:rsid w:val="00A22C6A"/>
    <w:rsid w:val="00A23071"/>
    <w:rsid w:val="00A23E1A"/>
    <w:rsid w:val="00A242DB"/>
    <w:rsid w:val="00A24348"/>
    <w:rsid w:val="00A24610"/>
    <w:rsid w:val="00A2476C"/>
    <w:rsid w:val="00A2487E"/>
    <w:rsid w:val="00A24CF1"/>
    <w:rsid w:val="00A25132"/>
    <w:rsid w:val="00A25366"/>
    <w:rsid w:val="00A257D8"/>
    <w:rsid w:val="00A26385"/>
    <w:rsid w:val="00A2646C"/>
    <w:rsid w:val="00A267D5"/>
    <w:rsid w:val="00A26A27"/>
    <w:rsid w:val="00A26CC6"/>
    <w:rsid w:val="00A26CF5"/>
    <w:rsid w:val="00A26EA1"/>
    <w:rsid w:val="00A270F4"/>
    <w:rsid w:val="00A2787F"/>
    <w:rsid w:val="00A279B5"/>
    <w:rsid w:val="00A27CD4"/>
    <w:rsid w:val="00A3019E"/>
    <w:rsid w:val="00A3063B"/>
    <w:rsid w:val="00A30F1E"/>
    <w:rsid w:val="00A314C5"/>
    <w:rsid w:val="00A31590"/>
    <w:rsid w:val="00A3184A"/>
    <w:rsid w:val="00A318E7"/>
    <w:rsid w:val="00A31F92"/>
    <w:rsid w:val="00A3215B"/>
    <w:rsid w:val="00A32181"/>
    <w:rsid w:val="00A3288C"/>
    <w:rsid w:val="00A32B60"/>
    <w:rsid w:val="00A32C5E"/>
    <w:rsid w:val="00A32D27"/>
    <w:rsid w:val="00A32E09"/>
    <w:rsid w:val="00A32F23"/>
    <w:rsid w:val="00A33348"/>
    <w:rsid w:val="00A334B5"/>
    <w:rsid w:val="00A33ADD"/>
    <w:rsid w:val="00A33E45"/>
    <w:rsid w:val="00A34379"/>
    <w:rsid w:val="00A34402"/>
    <w:rsid w:val="00A34421"/>
    <w:rsid w:val="00A348D1"/>
    <w:rsid w:val="00A34C7B"/>
    <w:rsid w:val="00A34E31"/>
    <w:rsid w:val="00A35225"/>
    <w:rsid w:val="00A35586"/>
    <w:rsid w:val="00A35A8B"/>
    <w:rsid w:val="00A35AF5"/>
    <w:rsid w:val="00A35FEB"/>
    <w:rsid w:val="00A360D5"/>
    <w:rsid w:val="00A36136"/>
    <w:rsid w:val="00A361A6"/>
    <w:rsid w:val="00A3671F"/>
    <w:rsid w:val="00A36B56"/>
    <w:rsid w:val="00A36D23"/>
    <w:rsid w:val="00A37202"/>
    <w:rsid w:val="00A374D1"/>
    <w:rsid w:val="00A37EFF"/>
    <w:rsid w:val="00A404A6"/>
    <w:rsid w:val="00A40594"/>
    <w:rsid w:val="00A4063F"/>
    <w:rsid w:val="00A40C3C"/>
    <w:rsid w:val="00A40E1F"/>
    <w:rsid w:val="00A412F0"/>
    <w:rsid w:val="00A415D9"/>
    <w:rsid w:val="00A4162D"/>
    <w:rsid w:val="00A41A5B"/>
    <w:rsid w:val="00A4207B"/>
    <w:rsid w:val="00A421C7"/>
    <w:rsid w:val="00A42ED1"/>
    <w:rsid w:val="00A430ED"/>
    <w:rsid w:val="00A4316F"/>
    <w:rsid w:val="00A439BA"/>
    <w:rsid w:val="00A448D2"/>
    <w:rsid w:val="00A44E11"/>
    <w:rsid w:val="00A44FBF"/>
    <w:rsid w:val="00A457A6"/>
    <w:rsid w:val="00A45947"/>
    <w:rsid w:val="00A4649E"/>
    <w:rsid w:val="00A46C59"/>
    <w:rsid w:val="00A4731F"/>
    <w:rsid w:val="00A473D4"/>
    <w:rsid w:val="00A47F63"/>
    <w:rsid w:val="00A50A4B"/>
    <w:rsid w:val="00A51477"/>
    <w:rsid w:val="00A51563"/>
    <w:rsid w:val="00A51C5A"/>
    <w:rsid w:val="00A51EA4"/>
    <w:rsid w:val="00A523CE"/>
    <w:rsid w:val="00A52536"/>
    <w:rsid w:val="00A527E2"/>
    <w:rsid w:val="00A52972"/>
    <w:rsid w:val="00A529C9"/>
    <w:rsid w:val="00A52E69"/>
    <w:rsid w:val="00A53B5F"/>
    <w:rsid w:val="00A54215"/>
    <w:rsid w:val="00A54728"/>
    <w:rsid w:val="00A54BAE"/>
    <w:rsid w:val="00A54E73"/>
    <w:rsid w:val="00A55025"/>
    <w:rsid w:val="00A55EE1"/>
    <w:rsid w:val="00A56368"/>
    <w:rsid w:val="00A5672F"/>
    <w:rsid w:val="00A56BEC"/>
    <w:rsid w:val="00A56CF9"/>
    <w:rsid w:val="00A56F1E"/>
    <w:rsid w:val="00A5706E"/>
    <w:rsid w:val="00A570C4"/>
    <w:rsid w:val="00A57302"/>
    <w:rsid w:val="00A5735B"/>
    <w:rsid w:val="00A574BD"/>
    <w:rsid w:val="00A57650"/>
    <w:rsid w:val="00A578ED"/>
    <w:rsid w:val="00A57A09"/>
    <w:rsid w:val="00A57F59"/>
    <w:rsid w:val="00A603E0"/>
    <w:rsid w:val="00A604B8"/>
    <w:rsid w:val="00A607EE"/>
    <w:rsid w:val="00A609A0"/>
    <w:rsid w:val="00A60B5D"/>
    <w:rsid w:val="00A60CDC"/>
    <w:rsid w:val="00A60CF0"/>
    <w:rsid w:val="00A60D49"/>
    <w:rsid w:val="00A610BF"/>
    <w:rsid w:val="00A61B6A"/>
    <w:rsid w:val="00A61CB1"/>
    <w:rsid w:val="00A628A5"/>
    <w:rsid w:val="00A62A61"/>
    <w:rsid w:val="00A62FA5"/>
    <w:rsid w:val="00A63404"/>
    <w:rsid w:val="00A6359C"/>
    <w:rsid w:val="00A6367B"/>
    <w:rsid w:val="00A64061"/>
    <w:rsid w:val="00A64749"/>
    <w:rsid w:val="00A6483D"/>
    <w:rsid w:val="00A649B3"/>
    <w:rsid w:val="00A64A92"/>
    <w:rsid w:val="00A658C3"/>
    <w:rsid w:val="00A65F81"/>
    <w:rsid w:val="00A6681D"/>
    <w:rsid w:val="00A66986"/>
    <w:rsid w:val="00A66B07"/>
    <w:rsid w:val="00A66E97"/>
    <w:rsid w:val="00A67A80"/>
    <w:rsid w:val="00A67C19"/>
    <w:rsid w:val="00A70483"/>
    <w:rsid w:val="00A70692"/>
    <w:rsid w:val="00A70BBF"/>
    <w:rsid w:val="00A70C45"/>
    <w:rsid w:val="00A70D46"/>
    <w:rsid w:val="00A71209"/>
    <w:rsid w:val="00A71253"/>
    <w:rsid w:val="00A716EA"/>
    <w:rsid w:val="00A724D0"/>
    <w:rsid w:val="00A724ED"/>
    <w:rsid w:val="00A728D4"/>
    <w:rsid w:val="00A7312B"/>
    <w:rsid w:val="00A731C4"/>
    <w:rsid w:val="00A731E6"/>
    <w:rsid w:val="00A734E2"/>
    <w:rsid w:val="00A7358A"/>
    <w:rsid w:val="00A73726"/>
    <w:rsid w:val="00A73DBD"/>
    <w:rsid w:val="00A7471E"/>
    <w:rsid w:val="00A74B22"/>
    <w:rsid w:val="00A74C64"/>
    <w:rsid w:val="00A74D9B"/>
    <w:rsid w:val="00A74DE0"/>
    <w:rsid w:val="00A75306"/>
    <w:rsid w:val="00A753F5"/>
    <w:rsid w:val="00A7543E"/>
    <w:rsid w:val="00A7561D"/>
    <w:rsid w:val="00A75CD1"/>
    <w:rsid w:val="00A76258"/>
    <w:rsid w:val="00A762A0"/>
    <w:rsid w:val="00A76427"/>
    <w:rsid w:val="00A76663"/>
    <w:rsid w:val="00A769AC"/>
    <w:rsid w:val="00A773B7"/>
    <w:rsid w:val="00A775A0"/>
    <w:rsid w:val="00A77C17"/>
    <w:rsid w:val="00A77FEC"/>
    <w:rsid w:val="00A80216"/>
    <w:rsid w:val="00A803F7"/>
    <w:rsid w:val="00A805FB"/>
    <w:rsid w:val="00A80CA7"/>
    <w:rsid w:val="00A814DB"/>
    <w:rsid w:val="00A8189F"/>
    <w:rsid w:val="00A81AF2"/>
    <w:rsid w:val="00A82793"/>
    <w:rsid w:val="00A830F1"/>
    <w:rsid w:val="00A83277"/>
    <w:rsid w:val="00A834B9"/>
    <w:rsid w:val="00A8394B"/>
    <w:rsid w:val="00A83E88"/>
    <w:rsid w:val="00A84C19"/>
    <w:rsid w:val="00A84F3B"/>
    <w:rsid w:val="00A851D9"/>
    <w:rsid w:val="00A8550D"/>
    <w:rsid w:val="00A85551"/>
    <w:rsid w:val="00A8579F"/>
    <w:rsid w:val="00A866F9"/>
    <w:rsid w:val="00A86F56"/>
    <w:rsid w:val="00A86FE0"/>
    <w:rsid w:val="00A871FC"/>
    <w:rsid w:val="00A87424"/>
    <w:rsid w:val="00A87555"/>
    <w:rsid w:val="00A87777"/>
    <w:rsid w:val="00A90111"/>
    <w:rsid w:val="00A907B7"/>
    <w:rsid w:val="00A90882"/>
    <w:rsid w:val="00A909E3"/>
    <w:rsid w:val="00A90A83"/>
    <w:rsid w:val="00A90AA1"/>
    <w:rsid w:val="00A91221"/>
    <w:rsid w:val="00A91314"/>
    <w:rsid w:val="00A916A2"/>
    <w:rsid w:val="00A91B82"/>
    <w:rsid w:val="00A91FD1"/>
    <w:rsid w:val="00A92BF4"/>
    <w:rsid w:val="00A93158"/>
    <w:rsid w:val="00A93BE8"/>
    <w:rsid w:val="00A93E8B"/>
    <w:rsid w:val="00A93FC9"/>
    <w:rsid w:val="00A94AA1"/>
    <w:rsid w:val="00A94C3E"/>
    <w:rsid w:val="00A95255"/>
    <w:rsid w:val="00A95286"/>
    <w:rsid w:val="00A952B4"/>
    <w:rsid w:val="00A956AB"/>
    <w:rsid w:val="00A95734"/>
    <w:rsid w:val="00A957E1"/>
    <w:rsid w:val="00A964A7"/>
    <w:rsid w:val="00A965E6"/>
    <w:rsid w:val="00A968A2"/>
    <w:rsid w:val="00A968B0"/>
    <w:rsid w:val="00A968FF"/>
    <w:rsid w:val="00A96DE0"/>
    <w:rsid w:val="00A96F35"/>
    <w:rsid w:val="00A96F96"/>
    <w:rsid w:val="00A970B5"/>
    <w:rsid w:val="00A9747C"/>
    <w:rsid w:val="00A97841"/>
    <w:rsid w:val="00A97888"/>
    <w:rsid w:val="00AA128B"/>
    <w:rsid w:val="00AA14E5"/>
    <w:rsid w:val="00AA2095"/>
    <w:rsid w:val="00AA216F"/>
    <w:rsid w:val="00AA2371"/>
    <w:rsid w:val="00AA26AF"/>
    <w:rsid w:val="00AA2B86"/>
    <w:rsid w:val="00AA2F1B"/>
    <w:rsid w:val="00AA3058"/>
    <w:rsid w:val="00AA31BE"/>
    <w:rsid w:val="00AA3EFA"/>
    <w:rsid w:val="00AA48D4"/>
    <w:rsid w:val="00AA4BDB"/>
    <w:rsid w:val="00AA4DEE"/>
    <w:rsid w:val="00AA50C1"/>
    <w:rsid w:val="00AA50D9"/>
    <w:rsid w:val="00AA5933"/>
    <w:rsid w:val="00AA5E82"/>
    <w:rsid w:val="00AA5EEC"/>
    <w:rsid w:val="00AA5FE8"/>
    <w:rsid w:val="00AA616E"/>
    <w:rsid w:val="00AA6451"/>
    <w:rsid w:val="00AA6700"/>
    <w:rsid w:val="00AA6ACF"/>
    <w:rsid w:val="00AA74BD"/>
    <w:rsid w:val="00AA759B"/>
    <w:rsid w:val="00AA77A3"/>
    <w:rsid w:val="00AA79D7"/>
    <w:rsid w:val="00AB0299"/>
    <w:rsid w:val="00AB05D3"/>
    <w:rsid w:val="00AB0942"/>
    <w:rsid w:val="00AB0CD1"/>
    <w:rsid w:val="00AB0FB9"/>
    <w:rsid w:val="00AB1021"/>
    <w:rsid w:val="00AB11B4"/>
    <w:rsid w:val="00AB15F8"/>
    <w:rsid w:val="00AB161C"/>
    <w:rsid w:val="00AB1B3A"/>
    <w:rsid w:val="00AB1CB9"/>
    <w:rsid w:val="00AB1F35"/>
    <w:rsid w:val="00AB1F4C"/>
    <w:rsid w:val="00AB2079"/>
    <w:rsid w:val="00AB2161"/>
    <w:rsid w:val="00AB2314"/>
    <w:rsid w:val="00AB2854"/>
    <w:rsid w:val="00AB2BCC"/>
    <w:rsid w:val="00AB3243"/>
    <w:rsid w:val="00AB3881"/>
    <w:rsid w:val="00AB3B1D"/>
    <w:rsid w:val="00AB3B51"/>
    <w:rsid w:val="00AB3C74"/>
    <w:rsid w:val="00AB3D43"/>
    <w:rsid w:val="00AB4814"/>
    <w:rsid w:val="00AB4EC2"/>
    <w:rsid w:val="00AB51F5"/>
    <w:rsid w:val="00AB5593"/>
    <w:rsid w:val="00AB59F3"/>
    <w:rsid w:val="00AB5F57"/>
    <w:rsid w:val="00AB5FBB"/>
    <w:rsid w:val="00AB5FCA"/>
    <w:rsid w:val="00AB60F8"/>
    <w:rsid w:val="00AB6114"/>
    <w:rsid w:val="00AB67E8"/>
    <w:rsid w:val="00AB6E41"/>
    <w:rsid w:val="00AB6F0F"/>
    <w:rsid w:val="00AB7851"/>
    <w:rsid w:val="00AB7C63"/>
    <w:rsid w:val="00AB7D7B"/>
    <w:rsid w:val="00AC015F"/>
    <w:rsid w:val="00AC0168"/>
    <w:rsid w:val="00AC07E1"/>
    <w:rsid w:val="00AC0924"/>
    <w:rsid w:val="00AC0CFB"/>
    <w:rsid w:val="00AC0D79"/>
    <w:rsid w:val="00AC0D87"/>
    <w:rsid w:val="00AC0E6E"/>
    <w:rsid w:val="00AC1233"/>
    <w:rsid w:val="00AC1572"/>
    <w:rsid w:val="00AC16EB"/>
    <w:rsid w:val="00AC1B91"/>
    <w:rsid w:val="00AC1C80"/>
    <w:rsid w:val="00AC1CF5"/>
    <w:rsid w:val="00AC2040"/>
    <w:rsid w:val="00AC25A3"/>
    <w:rsid w:val="00AC269E"/>
    <w:rsid w:val="00AC2AB0"/>
    <w:rsid w:val="00AC36B0"/>
    <w:rsid w:val="00AC3A71"/>
    <w:rsid w:val="00AC3C1E"/>
    <w:rsid w:val="00AC3F3A"/>
    <w:rsid w:val="00AC40A7"/>
    <w:rsid w:val="00AC43CD"/>
    <w:rsid w:val="00AC44C7"/>
    <w:rsid w:val="00AC4782"/>
    <w:rsid w:val="00AC4A1A"/>
    <w:rsid w:val="00AC4A44"/>
    <w:rsid w:val="00AC4BE3"/>
    <w:rsid w:val="00AC50D4"/>
    <w:rsid w:val="00AC5943"/>
    <w:rsid w:val="00AC5A9F"/>
    <w:rsid w:val="00AC69DB"/>
    <w:rsid w:val="00AC6EC7"/>
    <w:rsid w:val="00AC779D"/>
    <w:rsid w:val="00AC794C"/>
    <w:rsid w:val="00AC7AB2"/>
    <w:rsid w:val="00AD055F"/>
    <w:rsid w:val="00AD062F"/>
    <w:rsid w:val="00AD0B31"/>
    <w:rsid w:val="00AD0D6B"/>
    <w:rsid w:val="00AD162C"/>
    <w:rsid w:val="00AD1682"/>
    <w:rsid w:val="00AD1FAA"/>
    <w:rsid w:val="00AD201A"/>
    <w:rsid w:val="00AD3B2C"/>
    <w:rsid w:val="00AD3DF4"/>
    <w:rsid w:val="00AD40B5"/>
    <w:rsid w:val="00AD42DB"/>
    <w:rsid w:val="00AD5AAA"/>
    <w:rsid w:val="00AD5FAE"/>
    <w:rsid w:val="00AD6322"/>
    <w:rsid w:val="00AD65CD"/>
    <w:rsid w:val="00AD730D"/>
    <w:rsid w:val="00AE02B8"/>
    <w:rsid w:val="00AE02C1"/>
    <w:rsid w:val="00AE094B"/>
    <w:rsid w:val="00AE0C7D"/>
    <w:rsid w:val="00AE0EEE"/>
    <w:rsid w:val="00AE129F"/>
    <w:rsid w:val="00AE13ED"/>
    <w:rsid w:val="00AE1643"/>
    <w:rsid w:val="00AE1C7C"/>
    <w:rsid w:val="00AE1E44"/>
    <w:rsid w:val="00AE20B0"/>
    <w:rsid w:val="00AE2244"/>
    <w:rsid w:val="00AE295F"/>
    <w:rsid w:val="00AE29C9"/>
    <w:rsid w:val="00AE2BB3"/>
    <w:rsid w:val="00AE32DD"/>
    <w:rsid w:val="00AE3AF1"/>
    <w:rsid w:val="00AE3D16"/>
    <w:rsid w:val="00AE3D53"/>
    <w:rsid w:val="00AE3D7D"/>
    <w:rsid w:val="00AE4913"/>
    <w:rsid w:val="00AE4C0F"/>
    <w:rsid w:val="00AE5109"/>
    <w:rsid w:val="00AE525C"/>
    <w:rsid w:val="00AE60C5"/>
    <w:rsid w:val="00AE6208"/>
    <w:rsid w:val="00AE63A2"/>
    <w:rsid w:val="00AE644A"/>
    <w:rsid w:val="00AE6911"/>
    <w:rsid w:val="00AE6FBB"/>
    <w:rsid w:val="00AE6FF9"/>
    <w:rsid w:val="00AE706E"/>
    <w:rsid w:val="00AE7D64"/>
    <w:rsid w:val="00AF02C8"/>
    <w:rsid w:val="00AF05DD"/>
    <w:rsid w:val="00AF06FC"/>
    <w:rsid w:val="00AF08CF"/>
    <w:rsid w:val="00AF08FC"/>
    <w:rsid w:val="00AF0A41"/>
    <w:rsid w:val="00AF0C86"/>
    <w:rsid w:val="00AF11A8"/>
    <w:rsid w:val="00AF153B"/>
    <w:rsid w:val="00AF1827"/>
    <w:rsid w:val="00AF1B78"/>
    <w:rsid w:val="00AF264A"/>
    <w:rsid w:val="00AF2CF4"/>
    <w:rsid w:val="00AF2FF7"/>
    <w:rsid w:val="00AF30E8"/>
    <w:rsid w:val="00AF32FE"/>
    <w:rsid w:val="00AF3643"/>
    <w:rsid w:val="00AF37AC"/>
    <w:rsid w:val="00AF3C10"/>
    <w:rsid w:val="00AF40C5"/>
    <w:rsid w:val="00AF4126"/>
    <w:rsid w:val="00AF41A9"/>
    <w:rsid w:val="00AF42EB"/>
    <w:rsid w:val="00AF45EE"/>
    <w:rsid w:val="00AF48FE"/>
    <w:rsid w:val="00AF4AD7"/>
    <w:rsid w:val="00AF4F70"/>
    <w:rsid w:val="00AF4F97"/>
    <w:rsid w:val="00AF52F5"/>
    <w:rsid w:val="00AF58E8"/>
    <w:rsid w:val="00AF59E4"/>
    <w:rsid w:val="00AF61C4"/>
    <w:rsid w:val="00AF634D"/>
    <w:rsid w:val="00AF6929"/>
    <w:rsid w:val="00AF6B34"/>
    <w:rsid w:val="00AF712C"/>
    <w:rsid w:val="00AF7AE5"/>
    <w:rsid w:val="00B0015B"/>
    <w:rsid w:val="00B004FF"/>
    <w:rsid w:val="00B0079D"/>
    <w:rsid w:val="00B00931"/>
    <w:rsid w:val="00B00FB5"/>
    <w:rsid w:val="00B0142C"/>
    <w:rsid w:val="00B0142F"/>
    <w:rsid w:val="00B01639"/>
    <w:rsid w:val="00B0174E"/>
    <w:rsid w:val="00B0180E"/>
    <w:rsid w:val="00B019F3"/>
    <w:rsid w:val="00B01C3A"/>
    <w:rsid w:val="00B01CF1"/>
    <w:rsid w:val="00B01DB7"/>
    <w:rsid w:val="00B02252"/>
    <w:rsid w:val="00B0249A"/>
    <w:rsid w:val="00B0254F"/>
    <w:rsid w:val="00B02589"/>
    <w:rsid w:val="00B02D4A"/>
    <w:rsid w:val="00B02F3F"/>
    <w:rsid w:val="00B03CA8"/>
    <w:rsid w:val="00B04120"/>
    <w:rsid w:val="00B0454D"/>
    <w:rsid w:val="00B04597"/>
    <w:rsid w:val="00B0589F"/>
    <w:rsid w:val="00B061FA"/>
    <w:rsid w:val="00B06461"/>
    <w:rsid w:val="00B06A80"/>
    <w:rsid w:val="00B06BAD"/>
    <w:rsid w:val="00B06FFA"/>
    <w:rsid w:val="00B07121"/>
    <w:rsid w:val="00B071EB"/>
    <w:rsid w:val="00B07455"/>
    <w:rsid w:val="00B07912"/>
    <w:rsid w:val="00B10265"/>
    <w:rsid w:val="00B10A19"/>
    <w:rsid w:val="00B111C3"/>
    <w:rsid w:val="00B11560"/>
    <w:rsid w:val="00B11614"/>
    <w:rsid w:val="00B1174C"/>
    <w:rsid w:val="00B118BF"/>
    <w:rsid w:val="00B1192F"/>
    <w:rsid w:val="00B11C08"/>
    <w:rsid w:val="00B11C43"/>
    <w:rsid w:val="00B12190"/>
    <w:rsid w:val="00B1249C"/>
    <w:rsid w:val="00B124D1"/>
    <w:rsid w:val="00B12AFE"/>
    <w:rsid w:val="00B12B43"/>
    <w:rsid w:val="00B12F39"/>
    <w:rsid w:val="00B13252"/>
    <w:rsid w:val="00B13257"/>
    <w:rsid w:val="00B13417"/>
    <w:rsid w:val="00B1386C"/>
    <w:rsid w:val="00B13907"/>
    <w:rsid w:val="00B1394D"/>
    <w:rsid w:val="00B139E6"/>
    <w:rsid w:val="00B13B30"/>
    <w:rsid w:val="00B13DAE"/>
    <w:rsid w:val="00B13F2F"/>
    <w:rsid w:val="00B14318"/>
    <w:rsid w:val="00B14E2C"/>
    <w:rsid w:val="00B14F2E"/>
    <w:rsid w:val="00B15073"/>
    <w:rsid w:val="00B154B1"/>
    <w:rsid w:val="00B157E3"/>
    <w:rsid w:val="00B159FF"/>
    <w:rsid w:val="00B15BC3"/>
    <w:rsid w:val="00B15C7C"/>
    <w:rsid w:val="00B162F9"/>
    <w:rsid w:val="00B16391"/>
    <w:rsid w:val="00B1692B"/>
    <w:rsid w:val="00B16984"/>
    <w:rsid w:val="00B17127"/>
    <w:rsid w:val="00B17279"/>
    <w:rsid w:val="00B172B6"/>
    <w:rsid w:val="00B172D9"/>
    <w:rsid w:val="00B178FA"/>
    <w:rsid w:val="00B17A42"/>
    <w:rsid w:val="00B17C44"/>
    <w:rsid w:val="00B20681"/>
    <w:rsid w:val="00B20766"/>
    <w:rsid w:val="00B208F3"/>
    <w:rsid w:val="00B20996"/>
    <w:rsid w:val="00B20C8A"/>
    <w:rsid w:val="00B20F3A"/>
    <w:rsid w:val="00B21CCC"/>
    <w:rsid w:val="00B21D37"/>
    <w:rsid w:val="00B222F4"/>
    <w:rsid w:val="00B22544"/>
    <w:rsid w:val="00B22ADE"/>
    <w:rsid w:val="00B22B36"/>
    <w:rsid w:val="00B22B7C"/>
    <w:rsid w:val="00B2310B"/>
    <w:rsid w:val="00B2311D"/>
    <w:rsid w:val="00B23201"/>
    <w:rsid w:val="00B2361E"/>
    <w:rsid w:val="00B23EDC"/>
    <w:rsid w:val="00B2408D"/>
    <w:rsid w:val="00B241F7"/>
    <w:rsid w:val="00B24384"/>
    <w:rsid w:val="00B24CBC"/>
    <w:rsid w:val="00B2544A"/>
    <w:rsid w:val="00B2585A"/>
    <w:rsid w:val="00B25AA0"/>
    <w:rsid w:val="00B261E6"/>
    <w:rsid w:val="00B262D0"/>
    <w:rsid w:val="00B263E8"/>
    <w:rsid w:val="00B2644B"/>
    <w:rsid w:val="00B26458"/>
    <w:rsid w:val="00B264C3"/>
    <w:rsid w:val="00B26680"/>
    <w:rsid w:val="00B26988"/>
    <w:rsid w:val="00B27193"/>
    <w:rsid w:val="00B271AF"/>
    <w:rsid w:val="00B273A0"/>
    <w:rsid w:val="00B279BA"/>
    <w:rsid w:val="00B305BF"/>
    <w:rsid w:val="00B30BC1"/>
    <w:rsid w:val="00B30C7E"/>
    <w:rsid w:val="00B30D11"/>
    <w:rsid w:val="00B31731"/>
    <w:rsid w:val="00B31A4C"/>
    <w:rsid w:val="00B32083"/>
    <w:rsid w:val="00B320E4"/>
    <w:rsid w:val="00B324B8"/>
    <w:rsid w:val="00B326D2"/>
    <w:rsid w:val="00B32882"/>
    <w:rsid w:val="00B3295C"/>
    <w:rsid w:val="00B33122"/>
    <w:rsid w:val="00B33958"/>
    <w:rsid w:val="00B33A86"/>
    <w:rsid w:val="00B33B1F"/>
    <w:rsid w:val="00B33DE8"/>
    <w:rsid w:val="00B344CE"/>
    <w:rsid w:val="00B3458D"/>
    <w:rsid w:val="00B34752"/>
    <w:rsid w:val="00B34C40"/>
    <w:rsid w:val="00B3517C"/>
    <w:rsid w:val="00B35FC0"/>
    <w:rsid w:val="00B36294"/>
    <w:rsid w:val="00B36545"/>
    <w:rsid w:val="00B37241"/>
    <w:rsid w:val="00B3768A"/>
    <w:rsid w:val="00B3773D"/>
    <w:rsid w:val="00B379FE"/>
    <w:rsid w:val="00B401D0"/>
    <w:rsid w:val="00B4087E"/>
    <w:rsid w:val="00B40DDA"/>
    <w:rsid w:val="00B412CB"/>
    <w:rsid w:val="00B417B4"/>
    <w:rsid w:val="00B41A86"/>
    <w:rsid w:val="00B41CFE"/>
    <w:rsid w:val="00B41D3E"/>
    <w:rsid w:val="00B420C2"/>
    <w:rsid w:val="00B4250A"/>
    <w:rsid w:val="00B426D7"/>
    <w:rsid w:val="00B43347"/>
    <w:rsid w:val="00B435A3"/>
    <w:rsid w:val="00B43A40"/>
    <w:rsid w:val="00B44271"/>
    <w:rsid w:val="00B4442B"/>
    <w:rsid w:val="00B445E9"/>
    <w:rsid w:val="00B4490B"/>
    <w:rsid w:val="00B452D8"/>
    <w:rsid w:val="00B45BBD"/>
    <w:rsid w:val="00B4600C"/>
    <w:rsid w:val="00B4699B"/>
    <w:rsid w:val="00B46B76"/>
    <w:rsid w:val="00B47490"/>
    <w:rsid w:val="00B476CD"/>
    <w:rsid w:val="00B50195"/>
    <w:rsid w:val="00B50257"/>
    <w:rsid w:val="00B50281"/>
    <w:rsid w:val="00B505B6"/>
    <w:rsid w:val="00B50A70"/>
    <w:rsid w:val="00B50CE4"/>
    <w:rsid w:val="00B50D59"/>
    <w:rsid w:val="00B51B70"/>
    <w:rsid w:val="00B51D4E"/>
    <w:rsid w:val="00B51E7E"/>
    <w:rsid w:val="00B52072"/>
    <w:rsid w:val="00B52A39"/>
    <w:rsid w:val="00B52C4E"/>
    <w:rsid w:val="00B53203"/>
    <w:rsid w:val="00B53344"/>
    <w:rsid w:val="00B538BE"/>
    <w:rsid w:val="00B53BC2"/>
    <w:rsid w:val="00B5441F"/>
    <w:rsid w:val="00B54872"/>
    <w:rsid w:val="00B54A7A"/>
    <w:rsid w:val="00B54BDF"/>
    <w:rsid w:val="00B54C7C"/>
    <w:rsid w:val="00B54C87"/>
    <w:rsid w:val="00B54CB3"/>
    <w:rsid w:val="00B54E7F"/>
    <w:rsid w:val="00B5590A"/>
    <w:rsid w:val="00B55AD1"/>
    <w:rsid w:val="00B55D6C"/>
    <w:rsid w:val="00B55E6D"/>
    <w:rsid w:val="00B5616F"/>
    <w:rsid w:val="00B563A7"/>
    <w:rsid w:val="00B5694D"/>
    <w:rsid w:val="00B56A72"/>
    <w:rsid w:val="00B5742A"/>
    <w:rsid w:val="00B577D2"/>
    <w:rsid w:val="00B57816"/>
    <w:rsid w:val="00B57A19"/>
    <w:rsid w:val="00B60F89"/>
    <w:rsid w:val="00B610D8"/>
    <w:rsid w:val="00B61393"/>
    <w:rsid w:val="00B614FD"/>
    <w:rsid w:val="00B61883"/>
    <w:rsid w:val="00B62096"/>
    <w:rsid w:val="00B62672"/>
    <w:rsid w:val="00B628D2"/>
    <w:rsid w:val="00B628F1"/>
    <w:rsid w:val="00B62B97"/>
    <w:rsid w:val="00B6332A"/>
    <w:rsid w:val="00B63847"/>
    <w:rsid w:val="00B639B1"/>
    <w:rsid w:val="00B63A1A"/>
    <w:rsid w:val="00B63A30"/>
    <w:rsid w:val="00B64413"/>
    <w:rsid w:val="00B6500B"/>
    <w:rsid w:val="00B65436"/>
    <w:rsid w:val="00B65693"/>
    <w:rsid w:val="00B65F74"/>
    <w:rsid w:val="00B65F9B"/>
    <w:rsid w:val="00B662B7"/>
    <w:rsid w:val="00B664FD"/>
    <w:rsid w:val="00B66B1C"/>
    <w:rsid w:val="00B67102"/>
    <w:rsid w:val="00B671FF"/>
    <w:rsid w:val="00B677B0"/>
    <w:rsid w:val="00B67868"/>
    <w:rsid w:val="00B67BB4"/>
    <w:rsid w:val="00B67C92"/>
    <w:rsid w:val="00B67EA0"/>
    <w:rsid w:val="00B70692"/>
    <w:rsid w:val="00B70F9D"/>
    <w:rsid w:val="00B71B66"/>
    <w:rsid w:val="00B71BC5"/>
    <w:rsid w:val="00B71FD2"/>
    <w:rsid w:val="00B722F7"/>
    <w:rsid w:val="00B72AB8"/>
    <w:rsid w:val="00B72C74"/>
    <w:rsid w:val="00B72D4C"/>
    <w:rsid w:val="00B72E4C"/>
    <w:rsid w:val="00B737C7"/>
    <w:rsid w:val="00B73AAD"/>
    <w:rsid w:val="00B743E8"/>
    <w:rsid w:val="00B745FC"/>
    <w:rsid w:val="00B75091"/>
    <w:rsid w:val="00B75C89"/>
    <w:rsid w:val="00B762E9"/>
    <w:rsid w:val="00B762F8"/>
    <w:rsid w:val="00B76D6B"/>
    <w:rsid w:val="00B770E8"/>
    <w:rsid w:val="00B772B7"/>
    <w:rsid w:val="00B77910"/>
    <w:rsid w:val="00B77911"/>
    <w:rsid w:val="00B77B1C"/>
    <w:rsid w:val="00B77EEF"/>
    <w:rsid w:val="00B809DD"/>
    <w:rsid w:val="00B80AE2"/>
    <w:rsid w:val="00B82368"/>
    <w:rsid w:val="00B82417"/>
    <w:rsid w:val="00B82567"/>
    <w:rsid w:val="00B83104"/>
    <w:rsid w:val="00B83AC4"/>
    <w:rsid w:val="00B83DB5"/>
    <w:rsid w:val="00B84721"/>
    <w:rsid w:val="00B84A1A"/>
    <w:rsid w:val="00B853C3"/>
    <w:rsid w:val="00B856BB"/>
    <w:rsid w:val="00B862A9"/>
    <w:rsid w:val="00B86603"/>
    <w:rsid w:val="00B868B6"/>
    <w:rsid w:val="00B86A7E"/>
    <w:rsid w:val="00B86B11"/>
    <w:rsid w:val="00B86C7A"/>
    <w:rsid w:val="00B870DA"/>
    <w:rsid w:val="00B871C9"/>
    <w:rsid w:val="00B87439"/>
    <w:rsid w:val="00B87864"/>
    <w:rsid w:val="00B879AB"/>
    <w:rsid w:val="00B87EB2"/>
    <w:rsid w:val="00B90589"/>
    <w:rsid w:val="00B907EA"/>
    <w:rsid w:val="00B90B0F"/>
    <w:rsid w:val="00B90FB4"/>
    <w:rsid w:val="00B91E8F"/>
    <w:rsid w:val="00B91EEE"/>
    <w:rsid w:val="00B92EE0"/>
    <w:rsid w:val="00B932AC"/>
    <w:rsid w:val="00B93CF5"/>
    <w:rsid w:val="00B94006"/>
    <w:rsid w:val="00B942A7"/>
    <w:rsid w:val="00B94822"/>
    <w:rsid w:val="00B94BE9"/>
    <w:rsid w:val="00B94C30"/>
    <w:rsid w:val="00B952F4"/>
    <w:rsid w:val="00B953BB"/>
    <w:rsid w:val="00B95831"/>
    <w:rsid w:val="00B95935"/>
    <w:rsid w:val="00B95946"/>
    <w:rsid w:val="00B95C20"/>
    <w:rsid w:val="00B95C84"/>
    <w:rsid w:val="00B962DE"/>
    <w:rsid w:val="00B96FAC"/>
    <w:rsid w:val="00B96FAE"/>
    <w:rsid w:val="00B977D1"/>
    <w:rsid w:val="00B9782A"/>
    <w:rsid w:val="00B9794E"/>
    <w:rsid w:val="00B97BE5"/>
    <w:rsid w:val="00BA013B"/>
    <w:rsid w:val="00BA019D"/>
    <w:rsid w:val="00BA04A2"/>
    <w:rsid w:val="00BA069E"/>
    <w:rsid w:val="00BA1073"/>
    <w:rsid w:val="00BA14AE"/>
    <w:rsid w:val="00BA1766"/>
    <w:rsid w:val="00BA18A5"/>
    <w:rsid w:val="00BA1973"/>
    <w:rsid w:val="00BA1E29"/>
    <w:rsid w:val="00BA1F94"/>
    <w:rsid w:val="00BA2004"/>
    <w:rsid w:val="00BA2AE3"/>
    <w:rsid w:val="00BA31D3"/>
    <w:rsid w:val="00BA3660"/>
    <w:rsid w:val="00BA3791"/>
    <w:rsid w:val="00BA3ACB"/>
    <w:rsid w:val="00BA3DEE"/>
    <w:rsid w:val="00BA3EF3"/>
    <w:rsid w:val="00BA4562"/>
    <w:rsid w:val="00BA4D5D"/>
    <w:rsid w:val="00BA5113"/>
    <w:rsid w:val="00BA533F"/>
    <w:rsid w:val="00BA544F"/>
    <w:rsid w:val="00BA577A"/>
    <w:rsid w:val="00BA583C"/>
    <w:rsid w:val="00BA58BB"/>
    <w:rsid w:val="00BA5C50"/>
    <w:rsid w:val="00BA6108"/>
    <w:rsid w:val="00BA6398"/>
    <w:rsid w:val="00BA63C9"/>
    <w:rsid w:val="00BA66B3"/>
    <w:rsid w:val="00BA6A03"/>
    <w:rsid w:val="00BA6CE3"/>
    <w:rsid w:val="00BA6DA6"/>
    <w:rsid w:val="00BA6E00"/>
    <w:rsid w:val="00BA7446"/>
    <w:rsid w:val="00BA789D"/>
    <w:rsid w:val="00BA7919"/>
    <w:rsid w:val="00BA7A7D"/>
    <w:rsid w:val="00BA7BDF"/>
    <w:rsid w:val="00BB043F"/>
    <w:rsid w:val="00BB04E1"/>
    <w:rsid w:val="00BB092B"/>
    <w:rsid w:val="00BB0C28"/>
    <w:rsid w:val="00BB0D87"/>
    <w:rsid w:val="00BB13A7"/>
    <w:rsid w:val="00BB1540"/>
    <w:rsid w:val="00BB19F6"/>
    <w:rsid w:val="00BB2185"/>
    <w:rsid w:val="00BB22AC"/>
    <w:rsid w:val="00BB2DBA"/>
    <w:rsid w:val="00BB2F3C"/>
    <w:rsid w:val="00BB31C5"/>
    <w:rsid w:val="00BB552B"/>
    <w:rsid w:val="00BB5619"/>
    <w:rsid w:val="00BB56A2"/>
    <w:rsid w:val="00BB5BEB"/>
    <w:rsid w:val="00BB5E96"/>
    <w:rsid w:val="00BB6A70"/>
    <w:rsid w:val="00BB6B76"/>
    <w:rsid w:val="00BB6CF3"/>
    <w:rsid w:val="00BB74F9"/>
    <w:rsid w:val="00BB753B"/>
    <w:rsid w:val="00BB7BA6"/>
    <w:rsid w:val="00BB7BFF"/>
    <w:rsid w:val="00BB7E7F"/>
    <w:rsid w:val="00BC054B"/>
    <w:rsid w:val="00BC08D0"/>
    <w:rsid w:val="00BC0BCB"/>
    <w:rsid w:val="00BC0CFC"/>
    <w:rsid w:val="00BC1377"/>
    <w:rsid w:val="00BC1394"/>
    <w:rsid w:val="00BC17B7"/>
    <w:rsid w:val="00BC1CF1"/>
    <w:rsid w:val="00BC235C"/>
    <w:rsid w:val="00BC23DA"/>
    <w:rsid w:val="00BC2856"/>
    <w:rsid w:val="00BC29FA"/>
    <w:rsid w:val="00BC2A44"/>
    <w:rsid w:val="00BC2AB6"/>
    <w:rsid w:val="00BC2D4F"/>
    <w:rsid w:val="00BC30AB"/>
    <w:rsid w:val="00BC353D"/>
    <w:rsid w:val="00BC387F"/>
    <w:rsid w:val="00BC39E3"/>
    <w:rsid w:val="00BC41EC"/>
    <w:rsid w:val="00BC4690"/>
    <w:rsid w:val="00BC4693"/>
    <w:rsid w:val="00BC480E"/>
    <w:rsid w:val="00BC4B42"/>
    <w:rsid w:val="00BC4EF6"/>
    <w:rsid w:val="00BC5662"/>
    <w:rsid w:val="00BC5FF2"/>
    <w:rsid w:val="00BC62F1"/>
    <w:rsid w:val="00BC64EF"/>
    <w:rsid w:val="00BC6C45"/>
    <w:rsid w:val="00BC739D"/>
    <w:rsid w:val="00BC7680"/>
    <w:rsid w:val="00BC7B81"/>
    <w:rsid w:val="00BC7BE8"/>
    <w:rsid w:val="00BC7FB8"/>
    <w:rsid w:val="00BD04A8"/>
    <w:rsid w:val="00BD0C07"/>
    <w:rsid w:val="00BD0D39"/>
    <w:rsid w:val="00BD0EFF"/>
    <w:rsid w:val="00BD0F4B"/>
    <w:rsid w:val="00BD0FD1"/>
    <w:rsid w:val="00BD1797"/>
    <w:rsid w:val="00BD18C3"/>
    <w:rsid w:val="00BD1CC1"/>
    <w:rsid w:val="00BD1D44"/>
    <w:rsid w:val="00BD24D7"/>
    <w:rsid w:val="00BD2861"/>
    <w:rsid w:val="00BD2DF5"/>
    <w:rsid w:val="00BD2F06"/>
    <w:rsid w:val="00BD3219"/>
    <w:rsid w:val="00BD32CB"/>
    <w:rsid w:val="00BD345F"/>
    <w:rsid w:val="00BD35A6"/>
    <w:rsid w:val="00BD381E"/>
    <w:rsid w:val="00BD3D65"/>
    <w:rsid w:val="00BD5001"/>
    <w:rsid w:val="00BD50BA"/>
    <w:rsid w:val="00BD52DE"/>
    <w:rsid w:val="00BD5EE2"/>
    <w:rsid w:val="00BD6182"/>
    <w:rsid w:val="00BD65F5"/>
    <w:rsid w:val="00BD6B26"/>
    <w:rsid w:val="00BD6DEF"/>
    <w:rsid w:val="00BD7789"/>
    <w:rsid w:val="00BD7983"/>
    <w:rsid w:val="00BE01EB"/>
    <w:rsid w:val="00BE0322"/>
    <w:rsid w:val="00BE04A4"/>
    <w:rsid w:val="00BE0B5B"/>
    <w:rsid w:val="00BE0CB0"/>
    <w:rsid w:val="00BE0F08"/>
    <w:rsid w:val="00BE1167"/>
    <w:rsid w:val="00BE119F"/>
    <w:rsid w:val="00BE2B68"/>
    <w:rsid w:val="00BE32CA"/>
    <w:rsid w:val="00BE3339"/>
    <w:rsid w:val="00BE3EC6"/>
    <w:rsid w:val="00BE3FCC"/>
    <w:rsid w:val="00BE4628"/>
    <w:rsid w:val="00BE4757"/>
    <w:rsid w:val="00BE489C"/>
    <w:rsid w:val="00BE48B6"/>
    <w:rsid w:val="00BE4953"/>
    <w:rsid w:val="00BE4BE6"/>
    <w:rsid w:val="00BE4D61"/>
    <w:rsid w:val="00BE503F"/>
    <w:rsid w:val="00BE50B4"/>
    <w:rsid w:val="00BE51AB"/>
    <w:rsid w:val="00BE51B4"/>
    <w:rsid w:val="00BE5646"/>
    <w:rsid w:val="00BE59F9"/>
    <w:rsid w:val="00BE5A05"/>
    <w:rsid w:val="00BE601F"/>
    <w:rsid w:val="00BE64E3"/>
    <w:rsid w:val="00BE713A"/>
    <w:rsid w:val="00BE73AC"/>
    <w:rsid w:val="00BE7683"/>
    <w:rsid w:val="00BE7853"/>
    <w:rsid w:val="00BE7DAE"/>
    <w:rsid w:val="00BE7DBE"/>
    <w:rsid w:val="00BE7F17"/>
    <w:rsid w:val="00BF03A4"/>
    <w:rsid w:val="00BF0462"/>
    <w:rsid w:val="00BF0A6F"/>
    <w:rsid w:val="00BF0C49"/>
    <w:rsid w:val="00BF0CE3"/>
    <w:rsid w:val="00BF15BE"/>
    <w:rsid w:val="00BF1968"/>
    <w:rsid w:val="00BF2271"/>
    <w:rsid w:val="00BF27AA"/>
    <w:rsid w:val="00BF2F67"/>
    <w:rsid w:val="00BF30A8"/>
    <w:rsid w:val="00BF34DD"/>
    <w:rsid w:val="00BF3DD5"/>
    <w:rsid w:val="00BF3E9C"/>
    <w:rsid w:val="00BF4508"/>
    <w:rsid w:val="00BF472A"/>
    <w:rsid w:val="00BF4825"/>
    <w:rsid w:val="00BF4B93"/>
    <w:rsid w:val="00BF54F0"/>
    <w:rsid w:val="00BF5519"/>
    <w:rsid w:val="00BF56B0"/>
    <w:rsid w:val="00BF6071"/>
    <w:rsid w:val="00BF6BBC"/>
    <w:rsid w:val="00BF6C24"/>
    <w:rsid w:val="00BF6E73"/>
    <w:rsid w:val="00BF70C8"/>
    <w:rsid w:val="00BF73D2"/>
    <w:rsid w:val="00BF7B73"/>
    <w:rsid w:val="00C00424"/>
    <w:rsid w:val="00C013BF"/>
    <w:rsid w:val="00C0154E"/>
    <w:rsid w:val="00C01910"/>
    <w:rsid w:val="00C01CB8"/>
    <w:rsid w:val="00C03574"/>
    <w:rsid w:val="00C0392F"/>
    <w:rsid w:val="00C03EE0"/>
    <w:rsid w:val="00C043AD"/>
    <w:rsid w:val="00C0444A"/>
    <w:rsid w:val="00C0446F"/>
    <w:rsid w:val="00C04B67"/>
    <w:rsid w:val="00C04CA0"/>
    <w:rsid w:val="00C0501D"/>
    <w:rsid w:val="00C054F7"/>
    <w:rsid w:val="00C05BFC"/>
    <w:rsid w:val="00C06110"/>
    <w:rsid w:val="00C06541"/>
    <w:rsid w:val="00C065DF"/>
    <w:rsid w:val="00C06654"/>
    <w:rsid w:val="00C066CC"/>
    <w:rsid w:val="00C06891"/>
    <w:rsid w:val="00C06975"/>
    <w:rsid w:val="00C06FE6"/>
    <w:rsid w:val="00C071C8"/>
    <w:rsid w:val="00C0739B"/>
    <w:rsid w:val="00C0752C"/>
    <w:rsid w:val="00C10066"/>
    <w:rsid w:val="00C10224"/>
    <w:rsid w:val="00C1055B"/>
    <w:rsid w:val="00C11C0D"/>
    <w:rsid w:val="00C123E3"/>
    <w:rsid w:val="00C1262A"/>
    <w:rsid w:val="00C12B12"/>
    <w:rsid w:val="00C1308D"/>
    <w:rsid w:val="00C130DA"/>
    <w:rsid w:val="00C13417"/>
    <w:rsid w:val="00C1341A"/>
    <w:rsid w:val="00C1344E"/>
    <w:rsid w:val="00C13AD8"/>
    <w:rsid w:val="00C13D28"/>
    <w:rsid w:val="00C13D35"/>
    <w:rsid w:val="00C14792"/>
    <w:rsid w:val="00C14E00"/>
    <w:rsid w:val="00C153E7"/>
    <w:rsid w:val="00C15781"/>
    <w:rsid w:val="00C157C2"/>
    <w:rsid w:val="00C15BD7"/>
    <w:rsid w:val="00C15F60"/>
    <w:rsid w:val="00C16095"/>
    <w:rsid w:val="00C162C8"/>
    <w:rsid w:val="00C16703"/>
    <w:rsid w:val="00C168A7"/>
    <w:rsid w:val="00C16D9E"/>
    <w:rsid w:val="00C171AB"/>
    <w:rsid w:val="00C17200"/>
    <w:rsid w:val="00C175F9"/>
    <w:rsid w:val="00C2007E"/>
    <w:rsid w:val="00C203C3"/>
    <w:rsid w:val="00C2067C"/>
    <w:rsid w:val="00C21750"/>
    <w:rsid w:val="00C21B98"/>
    <w:rsid w:val="00C21BAC"/>
    <w:rsid w:val="00C21D89"/>
    <w:rsid w:val="00C21EDB"/>
    <w:rsid w:val="00C21F3A"/>
    <w:rsid w:val="00C220BF"/>
    <w:rsid w:val="00C22289"/>
    <w:rsid w:val="00C223E2"/>
    <w:rsid w:val="00C22506"/>
    <w:rsid w:val="00C2302B"/>
    <w:rsid w:val="00C23369"/>
    <w:rsid w:val="00C23534"/>
    <w:rsid w:val="00C23806"/>
    <w:rsid w:val="00C2387B"/>
    <w:rsid w:val="00C23907"/>
    <w:rsid w:val="00C23BA4"/>
    <w:rsid w:val="00C23F76"/>
    <w:rsid w:val="00C2484E"/>
    <w:rsid w:val="00C24953"/>
    <w:rsid w:val="00C249F0"/>
    <w:rsid w:val="00C25037"/>
    <w:rsid w:val="00C2524D"/>
    <w:rsid w:val="00C253BD"/>
    <w:rsid w:val="00C255B5"/>
    <w:rsid w:val="00C256D0"/>
    <w:rsid w:val="00C25800"/>
    <w:rsid w:val="00C25B41"/>
    <w:rsid w:val="00C261CF"/>
    <w:rsid w:val="00C261DC"/>
    <w:rsid w:val="00C261E5"/>
    <w:rsid w:val="00C262EB"/>
    <w:rsid w:val="00C26CC2"/>
    <w:rsid w:val="00C26F85"/>
    <w:rsid w:val="00C2745D"/>
    <w:rsid w:val="00C2769A"/>
    <w:rsid w:val="00C27C04"/>
    <w:rsid w:val="00C301AE"/>
    <w:rsid w:val="00C3021E"/>
    <w:rsid w:val="00C30292"/>
    <w:rsid w:val="00C30405"/>
    <w:rsid w:val="00C309A6"/>
    <w:rsid w:val="00C30A00"/>
    <w:rsid w:val="00C31222"/>
    <w:rsid w:val="00C3126D"/>
    <w:rsid w:val="00C31FF5"/>
    <w:rsid w:val="00C323A6"/>
    <w:rsid w:val="00C32873"/>
    <w:rsid w:val="00C32FFD"/>
    <w:rsid w:val="00C33745"/>
    <w:rsid w:val="00C340C5"/>
    <w:rsid w:val="00C348CD"/>
    <w:rsid w:val="00C34BCF"/>
    <w:rsid w:val="00C34FDF"/>
    <w:rsid w:val="00C352E5"/>
    <w:rsid w:val="00C3532A"/>
    <w:rsid w:val="00C35896"/>
    <w:rsid w:val="00C35991"/>
    <w:rsid w:val="00C35A02"/>
    <w:rsid w:val="00C36148"/>
    <w:rsid w:val="00C362F5"/>
    <w:rsid w:val="00C366B5"/>
    <w:rsid w:val="00C366C0"/>
    <w:rsid w:val="00C36B2C"/>
    <w:rsid w:val="00C37C33"/>
    <w:rsid w:val="00C37DEB"/>
    <w:rsid w:val="00C37EA7"/>
    <w:rsid w:val="00C4124D"/>
    <w:rsid w:val="00C4133D"/>
    <w:rsid w:val="00C417D1"/>
    <w:rsid w:val="00C4180B"/>
    <w:rsid w:val="00C41969"/>
    <w:rsid w:val="00C41975"/>
    <w:rsid w:val="00C41ABA"/>
    <w:rsid w:val="00C41E35"/>
    <w:rsid w:val="00C4210A"/>
    <w:rsid w:val="00C4271A"/>
    <w:rsid w:val="00C42D23"/>
    <w:rsid w:val="00C42F69"/>
    <w:rsid w:val="00C43213"/>
    <w:rsid w:val="00C432E7"/>
    <w:rsid w:val="00C43325"/>
    <w:rsid w:val="00C43A38"/>
    <w:rsid w:val="00C43AD0"/>
    <w:rsid w:val="00C43B4B"/>
    <w:rsid w:val="00C43EA9"/>
    <w:rsid w:val="00C43FD4"/>
    <w:rsid w:val="00C45255"/>
    <w:rsid w:val="00C45DA8"/>
    <w:rsid w:val="00C45DEC"/>
    <w:rsid w:val="00C4635F"/>
    <w:rsid w:val="00C463EE"/>
    <w:rsid w:val="00C46541"/>
    <w:rsid w:val="00C4662A"/>
    <w:rsid w:val="00C468EF"/>
    <w:rsid w:val="00C46A9C"/>
    <w:rsid w:val="00C46CD5"/>
    <w:rsid w:val="00C46D67"/>
    <w:rsid w:val="00C478B8"/>
    <w:rsid w:val="00C507BD"/>
    <w:rsid w:val="00C50D76"/>
    <w:rsid w:val="00C50DEE"/>
    <w:rsid w:val="00C50E19"/>
    <w:rsid w:val="00C511D4"/>
    <w:rsid w:val="00C52187"/>
    <w:rsid w:val="00C5247D"/>
    <w:rsid w:val="00C52C1E"/>
    <w:rsid w:val="00C53184"/>
    <w:rsid w:val="00C532D6"/>
    <w:rsid w:val="00C537E8"/>
    <w:rsid w:val="00C53A1E"/>
    <w:rsid w:val="00C54071"/>
    <w:rsid w:val="00C5470C"/>
    <w:rsid w:val="00C5510A"/>
    <w:rsid w:val="00C553D2"/>
    <w:rsid w:val="00C55FEC"/>
    <w:rsid w:val="00C56041"/>
    <w:rsid w:val="00C56185"/>
    <w:rsid w:val="00C56306"/>
    <w:rsid w:val="00C566A2"/>
    <w:rsid w:val="00C575A1"/>
    <w:rsid w:val="00C57C81"/>
    <w:rsid w:val="00C57CA9"/>
    <w:rsid w:val="00C57EEE"/>
    <w:rsid w:val="00C607DA"/>
    <w:rsid w:val="00C6093B"/>
    <w:rsid w:val="00C60DE0"/>
    <w:rsid w:val="00C61608"/>
    <w:rsid w:val="00C62438"/>
    <w:rsid w:val="00C6270C"/>
    <w:rsid w:val="00C631A6"/>
    <w:rsid w:val="00C632D9"/>
    <w:rsid w:val="00C63476"/>
    <w:rsid w:val="00C63A47"/>
    <w:rsid w:val="00C6459A"/>
    <w:rsid w:val="00C64955"/>
    <w:rsid w:val="00C64965"/>
    <w:rsid w:val="00C65943"/>
    <w:rsid w:val="00C65C12"/>
    <w:rsid w:val="00C65D69"/>
    <w:rsid w:val="00C65E3D"/>
    <w:rsid w:val="00C662D6"/>
    <w:rsid w:val="00C6632E"/>
    <w:rsid w:val="00C66EF8"/>
    <w:rsid w:val="00C6716C"/>
    <w:rsid w:val="00C673EB"/>
    <w:rsid w:val="00C67738"/>
    <w:rsid w:val="00C67960"/>
    <w:rsid w:val="00C67D07"/>
    <w:rsid w:val="00C67F01"/>
    <w:rsid w:val="00C701CC"/>
    <w:rsid w:val="00C70480"/>
    <w:rsid w:val="00C70814"/>
    <w:rsid w:val="00C70921"/>
    <w:rsid w:val="00C70960"/>
    <w:rsid w:val="00C70C94"/>
    <w:rsid w:val="00C7160C"/>
    <w:rsid w:val="00C71BFC"/>
    <w:rsid w:val="00C71EDA"/>
    <w:rsid w:val="00C7275A"/>
    <w:rsid w:val="00C72ADA"/>
    <w:rsid w:val="00C72D2D"/>
    <w:rsid w:val="00C72FBF"/>
    <w:rsid w:val="00C73372"/>
    <w:rsid w:val="00C7352E"/>
    <w:rsid w:val="00C7395D"/>
    <w:rsid w:val="00C73D36"/>
    <w:rsid w:val="00C73DD7"/>
    <w:rsid w:val="00C73EC6"/>
    <w:rsid w:val="00C7482C"/>
    <w:rsid w:val="00C74868"/>
    <w:rsid w:val="00C7568A"/>
    <w:rsid w:val="00C75798"/>
    <w:rsid w:val="00C75AFA"/>
    <w:rsid w:val="00C75B14"/>
    <w:rsid w:val="00C75CFC"/>
    <w:rsid w:val="00C7629E"/>
    <w:rsid w:val="00C762CD"/>
    <w:rsid w:val="00C76602"/>
    <w:rsid w:val="00C76882"/>
    <w:rsid w:val="00C77108"/>
    <w:rsid w:val="00C775F9"/>
    <w:rsid w:val="00C77662"/>
    <w:rsid w:val="00C8015A"/>
    <w:rsid w:val="00C80DA5"/>
    <w:rsid w:val="00C81222"/>
    <w:rsid w:val="00C81252"/>
    <w:rsid w:val="00C8168D"/>
    <w:rsid w:val="00C82405"/>
    <w:rsid w:val="00C82D86"/>
    <w:rsid w:val="00C82FF1"/>
    <w:rsid w:val="00C83547"/>
    <w:rsid w:val="00C83D34"/>
    <w:rsid w:val="00C84196"/>
    <w:rsid w:val="00C841FA"/>
    <w:rsid w:val="00C84671"/>
    <w:rsid w:val="00C85219"/>
    <w:rsid w:val="00C852EA"/>
    <w:rsid w:val="00C8557D"/>
    <w:rsid w:val="00C858A5"/>
    <w:rsid w:val="00C8599F"/>
    <w:rsid w:val="00C859D8"/>
    <w:rsid w:val="00C859FA"/>
    <w:rsid w:val="00C85E12"/>
    <w:rsid w:val="00C863A9"/>
    <w:rsid w:val="00C866B7"/>
    <w:rsid w:val="00C86CFD"/>
    <w:rsid w:val="00C87306"/>
    <w:rsid w:val="00C87442"/>
    <w:rsid w:val="00C875CC"/>
    <w:rsid w:val="00C904BC"/>
    <w:rsid w:val="00C9069C"/>
    <w:rsid w:val="00C90EA1"/>
    <w:rsid w:val="00C91B12"/>
    <w:rsid w:val="00C91F69"/>
    <w:rsid w:val="00C921DB"/>
    <w:rsid w:val="00C92296"/>
    <w:rsid w:val="00C925C5"/>
    <w:rsid w:val="00C92743"/>
    <w:rsid w:val="00C92A53"/>
    <w:rsid w:val="00C92E15"/>
    <w:rsid w:val="00C934D7"/>
    <w:rsid w:val="00C9356E"/>
    <w:rsid w:val="00C93A9A"/>
    <w:rsid w:val="00C949B7"/>
    <w:rsid w:val="00C95334"/>
    <w:rsid w:val="00C95A13"/>
    <w:rsid w:val="00C95EF5"/>
    <w:rsid w:val="00C95FA2"/>
    <w:rsid w:val="00C96467"/>
    <w:rsid w:val="00C967A2"/>
    <w:rsid w:val="00C968BA"/>
    <w:rsid w:val="00C9693A"/>
    <w:rsid w:val="00C96A8F"/>
    <w:rsid w:val="00C971C2"/>
    <w:rsid w:val="00C97723"/>
    <w:rsid w:val="00C97A4E"/>
    <w:rsid w:val="00CA0150"/>
    <w:rsid w:val="00CA042D"/>
    <w:rsid w:val="00CA0C38"/>
    <w:rsid w:val="00CA10D9"/>
    <w:rsid w:val="00CA1B6E"/>
    <w:rsid w:val="00CA1EC8"/>
    <w:rsid w:val="00CA2333"/>
    <w:rsid w:val="00CA2472"/>
    <w:rsid w:val="00CA2823"/>
    <w:rsid w:val="00CA2944"/>
    <w:rsid w:val="00CA29A9"/>
    <w:rsid w:val="00CA2C03"/>
    <w:rsid w:val="00CA2EF3"/>
    <w:rsid w:val="00CA31E4"/>
    <w:rsid w:val="00CA3291"/>
    <w:rsid w:val="00CA366C"/>
    <w:rsid w:val="00CA3916"/>
    <w:rsid w:val="00CA4BD7"/>
    <w:rsid w:val="00CA4F31"/>
    <w:rsid w:val="00CA5256"/>
    <w:rsid w:val="00CA56F7"/>
    <w:rsid w:val="00CA60D6"/>
    <w:rsid w:val="00CA62AA"/>
    <w:rsid w:val="00CA63DC"/>
    <w:rsid w:val="00CA64BC"/>
    <w:rsid w:val="00CA6722"/>
    <w:rsid w:val="00CA6848"/>
    <w:rsid w:val="00CA6BD1"/>
    <w:rsid w:val="00CA6C8B"/>
    <w:rsid w:val="00CA6DDF"/>
    <w:rsid w:val="00CA6F30"/>
    <w:rsid w:val="00CA738E"/>
    <w:rsid w:val="00CA7BC4"/>
    <w:rsid w:val="00CA7C56"/>
    <w:rsid w:val="00CB12CC"/>
    <w:rsid w:val="00CB180D"/>
    <w:rsid w:val="00CB19E2"/>
    <w:rsid w:val="00CB243C"/>
    <w:rsid w:val="00CB24C8"/>
    <w:rsid w:val="00CB2675"/>
    <w:rsid w:val="00CB26D4"/>
    <w:rsid w:val="00CB2780"/>
    <w:rsid w:val="00CB2A7B"/>
    <w:rsid w:val="00CB2C4C"/>
    <w:rsid w:val="00CB3113"/>
    <w:rsid w:val="00CB3A11"/>
    <w:rsid w:val="00CB3AA1"/>
    <w:rsid w:val="00CB3ABC"/>
    <w:rsid w:val="00CB3FD3"/>
    <w:rsid w:val="00CB42E0"/>
    <w:rsid w:val="00CB48EE"/>
    <w:rsid w:val="00CB4A93"/>
    <w:rsid w:val="00CB4BA6"/>
    <w:rsid w:val="00CB4D06"/>
    <w:rsid w:val="00CB5080"/>
    <w:rsid w:val="00CB5A4D"/>
    <w:rsid w:val="00CB5F61"/>
    <w:rsid w:val="00CB6287"/>
    <w:rsid w:val="00CB6C21"/>
    <w:rsid w:val="00CB6CAF"/>
    <w:rsid w:val="00CB6F8D"/>
    <w:rsid w:val="00CB78CB"/>
    <w:rsid w:val="00CB78F4"/>
    <w:rsid w:val="00CB7A59"/>
    <w:rsid w:val="00CC0043"/>
    <w:rsid w:val="00CC00A0"/>
    <w:rsid w:val="00CC0289"/>
    <w:rsid w:val="00CC0A55"/>
    <w:rsid w:val="00CC0F76"/>
    <w:rsid w:val="00CC0FAA"/>
    <w:rsid w:val="00CC0FD4"/>
    <w:rsid w:val="00CC0FEA"/>
    <w:rsid w:val="00CC13DC"/>
    <w:rsid w:val="00CC1DAB"/>
    <w:rsid w:val="00CC214F"/>
    <w:rsid w:val="00CC2372"/>
    <w:rsid w:val="00CC2373"/>
    <w:rsid w:val="00CC2A0E"/>
    <w:rsid w:val="00CC3083"/>
    <w:rsid w:val="00CC33D4"/>
    <w:rsid w:val="00CC3440"/>
    <w:rsid w:val="00CC3526"/>
    <w:rsid w:val="00CC369C"/>
    <w:rsid w:val="00CC387A"/>
    <w:rsid w:val="00CC3CC3"/>
    <w:rsid w:val="00CC3D49"/>
    <w:rsid w:val="00CC42B2"/>
    <w:rsid w:val="00CC47CE"/>
    <w:rsid w:val="00CC48C0"/>
    <w:rsid w:val="00CC5B3B"/>
    <w:rsid w:val="00CC6729"/>
    <w:rsid w:val="00CC68BF"/>
    <w:rsid w:val="00CC6911"/>
    <w:rsid w:val="00CC6ABC"/>
    <w:rsid w:val="00CC7603"/>
    <w:rsid w:val="00CC775A"/>
    <w:rsid w:val="00CC78CC"/>
    <w:rsid w:val="00CC7D9D"/>
    <w:rsid w:val="00CD0026"/>
    <w:rsid w:val="00CD0305"/>
    <w:rsid w:val="00CD10AE"/>
    <w:rsid w:val="00CD1CF1"/>
    <w:rsid w:val="00CD2087"/>
    <w:rsid w:val="00CD232E"/>
    <w:rsid w:val="00CD2993"/>
    <w:rsid w:val="00CD2D19"/>
    <w:rsid w:val="00CD38EA"/>
    <w:rsid w:val="00CD3A48"/>
    <w:rsid w:val="00CD3B8B"/>
    <w:rsid w:val="00CD40A2"/>
    <w:rsid w:val="00CD4573"/>
    <w:rsid w:val="00CD5F97"/>
    <w:rsid w:val="00CD6335"/>
    <w:rsid w:val="00CD67ED"/>
    <w:rsid w:val="00CD7A42"/>
    <w:rsid w:val="00CD7AE9"/>
    <w:rsid w:val="00CD7E5E"/>
    <w:rsid w:val="00CE011F"/>
    <w:rsid w:val="00CE05D6"/>
    <w:rsid w:val="00CE0898"/>
    <w:rsid w:val="00CE1144"/>
    <w:rsid w:val="00CE119F"/>
    <w:rsid w:val="00CE1C01"/>
    <w:rsid w:val="00CE1C21"/>
    <w:rsid w:val="00CE208C"/>
    <w:rsid w:val="00CE2118"/>
    <w:rsid w:val="00CE215F"/>
    <w:rsid w:val="00CE2B52"/>
    <w:rsid w:val="00CE37B7"/>
    <w:rsid w:val="00CE3A3B"/>
    <w:rsid w:val="00CE3A76"/>
    <w:rsid w:val="00CE3A94"/>
    <w:rsid w:val="00CE40D0"/>
    <w:rsid w:val="00CE42F1"/>
    <w:rsid w:val="00CE4A58"/>
    <w:rsid w:val="00CE4F24"/>
    <w:rsid w:val="00CE51C1"/>
    <w:rsid w:val="00CE615D"/>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463"/>
    <w:rsid w:val="00CF1600"/>
    <w:rsid w:val="00CF1CD4"/>
    <w:rsid w:val="00CF1E02"/>
    <w:rsid w:val="00CF2278"/>
    <w:rsid w:val="00CF227B"/>
    <w:rsid w:val="00CF2473"/>
    <w:rsid w:val="00CF2924"/>
    <w:rsid w:val="00CF2C59"/>
    <w:rsid w:val="00CF3047"/>
    <w:rsid w:val="00CF32E3"/>
    <w:rsid w:val="00CF3CE2"/>
    <w:rsid w:val="00CF4189"/>
    <w:rsid w:val="00CF426D"/>
    <w:rsid w:val="00CF508D"/>
    <w:rsid w:val="00CF55BF"/>
    <w:rsid w:val="00CF5ADF"/>
    <w:rsid w:val="00CF5C95"/>
    <w:rsid w:val="00CF6891"/>
    <w:rsid w:val="00CF689D"/>
    <w:rsid w:val="00CF6DB9"/>
    <w:rsid w:val="00CF721A"/>
    <w:rsid w:val="00CF738B"/>
    <w:rsid w:val="00CF77E5"/>
    <w:rsid w:val="00CF79DD"/>
    <w:rsid w:val="00CF7B41"/>
    <w:rsid w:val="00CF7DFA"/>
    <w:rsid w:val="00D01BBA"/>
    <w:rsid w:val="00D01EA0"/>
    <w:rsid w:val="00D027B6"/>
    <w:rsid w:val="00D0293A"/>
    <w:rsid w:val="00D02A79"/>
    <w:rsid w:val="00D03629"/>
    <w:rsid w:val="00D03675"/>
    <w:rsid w:val="00D03691"/>
    <w:rsid w:val="00D03BE2"/>
    <w:rsid w:val="00D03C46"/>
    <w:rsid w:val="00D03CAD"/>
    <w:rsid w:val="00D04493"/>
    <w:rsid w:val="00D0498C"/>
    <w:rsid w:val="00D04AED"/>
    <w:rsid w:val="00D05021"/>
    <w:rsid w:val="00D0521E"/>
    <w:rsid w:val="00D052FF"/>
    <w:rsid w:val="00D05507"/>
    <w:rsid w:val="00D05794"/>
    <w:rsid w:val="00D05868"/>
    <w:rsid w:val="00D05926"/>
    <w:rsid w:val="00D05940"/>
    <w:rsid w:val="00D0596F"/>
    <w:rsid w:val="00D05A14"/>
    <w:rsid w:val="00D05C5C"/>
    <w:rsid w:val="00D05D5C"/>
    <w:rsid w:val="00D06190"/>
    <w:rsid w:val="00D065FC"/>
    <w:rsid w:val="00D067FB"/>
    <w:rsid w:val="00D068A8"/>
    <w:rsid w:val="00D0693A"/>
    <w:rsid w:val="00D06975"/>
    <w:rsid w:val="00D0729B"/>
    <w:rsid w:val="00D07597"/>
    <w:rsid w:val="00D07A13"/>
    <w:rsid w:val="00D07B7A"/>
    <w:rsid w:val="00D10024"/>
    <w:rsid w:val="00D100DB"/>
    <w:rsid w:val="00D1053E"/>
    <w:rsid w:val="00D106E2"/>
    <w:rsid w:val="00D109DD"/>
    <w:rsid w:val="00D10CB6"/>
    <w:rsid w:val="00D11383"/>
    <w:rsid w:val="00D113BB"/>
    <w:rsid w:val="00D120C7"/>
    <w:rsid w:val="00D128F6"/>
    <w:rsid w:val="00D13230"/>
    <w:rsid w:val="00D13331"/>
    <w:rsid w:val="00D13356"/>
    <w:rsid w:val="00D13671"/>
    <w:rsid w:val="00D1399A"/>
    <w:rsid w:val="00D13D7C"/>
    <w:rsid w:val="00D141DF"/>
    <w:rsid w:val="00D14317"/>
    <w:rsid w:val="00D1446A"/>
    <w:rsid w:val="00D149A5"/>
    <w:rsid w:val="00D15167"/>
    <w:rsid w:val="00D151D2"/>
    <w:rsid w:val="00D15306"/>
    <w:rsid w:val="00D1539E"/>
    <w:rsid w:val="00D155B6"/>
    <w:rsid w:val="00D15B5D"/>
    <w:rsid w:val="00D15BAD"/>
    <w:rsid w:val="00D1609E"/>
    <w:rsid w:val="00D1636B"/>
    <w:rsid w:val="00D16683"/>
    <w:rsid w:val="00D167CB"/>
    <w:rsid w:val="00D16AAF"/>
    <w:rsid w:val="00D16C1F"/>
    <w:rsid w:val="00D16C34"/>
    <w:rsid w:val="00D20583"/>
    <w:rsid w:val="00D20C4F"/>
    <w:rsid w:val="00D20D14"/>
    <w:rsid w:val="00D20F47"/>
    <w:rsid w:val="00D210AD"/>
    <w:rsid w:val="00D2142E"/>
    <w:rsid w:val="00D21523"/>
    <w:rsid w:val="00D220CD"/>
    <w:rsid w:val="00D22ACF"/>
    <w:rsid w:val="00D22B5D"/>
    <w:rsid w:val="00D22FD7"/>
    <w:rsid w:val="00D2312A"/>
    <w:rsid w:val="00D23259"/>
    <w:rsid w:val="00D23431"/>
    <w:rsid w:val="00D2349E"/>
    <w:rsid w:val="00D2362C"/>
    <w:rsid w:val="00D23820"/>
    <w:rsid w:val="00D23B3C"/>
    <w:rsid w:val="00D24043"/>
    <w:rsid w:val="00D2418B"/>
    <w:rsid w:val="00D24B88"/>
    <w:rsid w:val="00D2539F"/>
    <w:rsid w:val="00D25C05"/>
    <w:rsid w:val="00D25E9D"/>
    <w:rsid w:val="00D264CC"/>
    <w:rsid w:val="00D26586"/>
    <w:rsid w:val="00D273A1"/>
    <w:rsid w:val="00D27660"/>
    <w:rsid w:val="00D278F1"/>
    <w:rsid w:val="00D27D41"/>
    <w:rsid w:val="00D3063F"/>
    <w:rsid w:val="00D30FD2"/>
    <w:rsid w:val="00D317CA"/>
    <w:rsid w:val="00D31870"/>
    <w:rsid w:val="00D31C2B"/>
    <w:rsid w:val="00D31F8C"/>
    <w:rsid w:val="00D320AE"/>
    <w:rsid w:val="00D320C0"/>
    <w:rsid w:val="00D321A7"/>
    <w:rsid w:val="00D3231D"/>
    <w:rsid w:val="00D32C64"/>
    <w:rsid w:val="00D32D23"/>
    <w:rsid w:val="00D3307A"/>
    <w:rsid w:val="00D33296"/>
    <w:rsid w:val="00D332C2"/>
    <w:rsid w:val="00D337DD"/>
    <w:rsid w:val="00D33AAD"/>
    <w:rsid w:val="00D33CF9"/>
    <w:rsid w:val="00D3406F"/>
    <w:rsid w:val="00D340F3"/>
    <w:rsid w:val="00D341A3"/>
    <w:rsid w:val="00D3481F"/>
    <w:rsid w:val="00D34A64"/>
    <w:rsid w:val="00D34ACE"/>
    <w:rsid w:val="00D34C78"/>
    <w:rsid w:val="00D35A33"/>
    <w:rsid w:val="00D35B1D"/>
    <w:rsid w:val="00D35DE9"/>
    <w:rsid w:val="00D35F63"/>
    <w:rsid w:val="00D361DE"/>
    <w:rsid w:val="00D36268"/>
    <w:rsid w:val="00D36527"/>
    <w:rsid w:val="00D3669A"/>
    <w:rsid w:val="00D3698C"/>
    <w:rsid w:val="00D37366"/>
    <w:rsid w:val="00D4041D"/>
    <w:rsid w:val="00D406F4"/>
    <w:rsid w:val="00D40E32"/>
    <w:rsid w:val="00D415E7"/>
    <w:rsid w:val="00D41689"/>
    <w:rsid w:val="00D418BF"/>
    <w:rsid w:val="00D41D33"/>
    <w:rsid w:val="00D422E8"/>
    <w:rsid w:val="00D42AAD"/>
    <w:rsid w:val="00D4305B"/>
    <w:rsid w:val="00D4312B"/>
    <w:rsid w:val="00D433EF"/>
    <w:rsid w:val="00D438D9"/>
    <w:rsid w:val="00D439B5"/>
    <w:rsid w:val="00D43CC9"/>
    <w:rsid w:val="00D43FBB"/>
    <w:rsid w:val="00D4417C"/>
    <w:rsid w:val="00D44A95"/>
    <w:rsid w:val="00D44BEA"/>
    <w:rsid w:val="00D44EC0"/>
    <w:rsid w:val="00D45473"/>
    <w:rsid w:val="00D455DA"/>
    <w:rsid w:val="00D4569A"/>
    <w:rsid w:val="00D45849"/>
    <w:rsid w:val="00D45E80"/>
    <w:rsid w:val="00D45ED6"/>
    <w:rsid w:val="00D46114"/>
    <w:rsid w:val="00D46592"/>
    <w:rsid w:val="00D4697B"/>
    <w:rsid w:val="00D46A4E"/>
    <w:rsid w:val="00D46AE4"/>
    <w:rsid w:val="00D46E37"/>
    <w:rsid w:val="00D47025"/>
    <w:rsid w:val="00D4720B"/>
    <w:rsid w:val="00D47273"/>
    <w:rsid w:val="00D4767D"/>
    <w:rsid w:val="00D47690"/>
    <w:rsid w:val="00D47B4E"/>
    <w:rsid w:val="00D5053A"/>
    <w:rsid w:val="00D5058E"/>
    <w:rsid w:val="00D505AF"/>
    <w:rsid w:val="00D512B2"/>
    <w:rsid w:val="00D51607"/>
    <w:rsid w:val="00D516F3"/>
    <w:rsid w:val="00D51BFF"/>
    <w:rsid w:val="00D51C68"/>
    <w:rsid w:val="00D51D1D"/>
    <w:rsid w:val="00D527B2"/>
    <w:rsid w:val="00D52851"/>
    <w:rsid w:val="00D52ABE"/>
    <w:rsid w:val="00D52C84"/>
    <w:rsid w:val="00D52D57"/>
    <w:rsid w:val="00D52F61"/>
    <w:rsid w:val="00D53012"/>
    <w:rsid w:val="00D534BE"/>
    <w:rsid w:val="00D53525"/>
    <w:rsid w:val="00D536D3"/>
    <w:rsid w:val="00D53BE6"/>
    <w:rsid w:val="00D54D95"/>
    <w:rsid w:val="00D553F9"/>
    <w:rsid w:val="00D55872"/>
    <w:rsid w:val="00D55F44"/>
    <w:rsid w:val="00D56074"/>
    <w:rsid w:val="00D573B6"/>
    <w:rsid w:val="00D57689"/>
    <w:rsid w:val="00D57B90"/>
    <w:rsid w:val="00D57FA7"/>
    <w:rsid w:val="00D60124"/>
    <w:rsid w:val="00D606B7"/>
    <w:rsid w:val="00D60BA9"/>
    <w:rsid w:val="00D60E99"/>
    <w:rsid w:val="00D61287"/>
    <w:rsid w:val="00D61569"/>
    <w:rsid w:val="00D61571"/>
    <w:rsid w:val="00D617BE"/>
    <w:rsid w:val="00D61CB6"/>
    <w:rsid w:val="00D61CCA"/>
    <w:rsid w:val="00D61F98"/>
    <w:rsid w:val="00D6225E"/>
    <w:rsid w:val="00D6238D"/>
    <w:rsid w:val="00D62671"/>
    <w:rsid w:val="00D62A66"/>
    <w:rsid w:val="00D62B67"/>
    <w:rsid w:val="00D62BCC"/>
    <w:rsid w:val="00D6314B"/>
    <w:rsid w:val="00D633B9"/>
    <w:rsid w:val="00D63B2F"/>
    <w:rsid w:val="00D641A1"/>
    <w:rsid w:val="00D64B24"/>
    <w:rsid w:val="00D6542C"/>
    <w:rsid w:val="00D65571"/>
    <w:rsid w:val="00D656CD"/>
    <w:rsid w:val="00D65B17"/>
    <w:rsid w:val="00D65BF7"/>
    <w:rsid w:val="00D6645F"/>
    <w:rsid w:val="00D668AC"/>
    <w:rsid w:val="00D66999"/>
    <w:rsid w:val="00D679FB"/>
    <w:rsid w:val="00D706B7"/>
    <w:rsid w:val="00D70E51"/>
    <w:rsid w:val="00D7102E"/>
    <w:rsid w:val="00D71052"/>
    <w:rsid w:val="00D717D4"/>
    <w:rsid w:val="00D71876"/>
    <w:rsid w:val="00D718EC"/>
    <w:rsid w:val="00D71A09"/>
    <w:rsid w:val="00D71A14"/>
    <w:rsid w:val="00D71D52"/>
    <w:rsid w:val="00D72649"/>
    <w:rsid w:val="00D72863"/>
    <w:rsid w:val="00D72867"/>
    <w:rsid w:val="00D72EEC"/>
    <w:rsid w:val="00D731EC"/>
    <w:rsid w:val="00D73569"/>
    <w:rsid w:val="00D737DA"/>
    <w:rsid w:val="00D73917"/>
    <w:rsid w:val="00D739A0"/>
    <w:rsid w:val="00D73CAE"/>
    <w:rsid w:val="00D73CBD"/>
    <w:rsid w:val="00D73F96"/>
    <w:rsid w:val="00D746E0"/>
    <w:rsid w:val="00D747B3"/>
    <w:rsid w:val="00D74B6E"/>
    <w:rsid w:val="00D74D11"/>
    <w:rsid w:val="00D752B8"/>
    <w:rsid w:val="00D75B02"/>
    <w:rsid w:val="00D75CDC"/>
    <w:rsid w:val="00D75D87"/>
    <w:rsid w:val="00D75DAF"/>
    <w:rsid w:val="00D75E7C"/>
    <w:rsid w:val="00D763FA"/>
    <w:rsid w:val="00D7698D"/>
    <w:rsid w:val="00D76B99"/>
    <w:rsid w:val="00D76D4B"/>
    <w:rsid w:val="00D771E0"/>
    <w:rsid w:val="00D77CC2"/>
    <w:rsid w:val="00D77EB4"/>
    <w:rsid w:val="00D802CB"/>
    <w:rsid w:val="00D80435"/>
    <w:rsid w:val="00D80BF7"/>
    <w:rsid w:val="00D81726"/>
    <w:rsid w:val="00D819F6"/>
    <w:rsid w:val="00D81A04"/>
    <w:rsid w:val="00D81A38"/>
    <w:rsid w:val="00D81A8A"/>
    <w:rsid w:val="00D81C7E"/>
    <w:rsid w:val="00D82608"/>
    <w:rsid w:val="00D83695"/>
    <w:rsid w:val="00D836E7"/>
    <w:rsid w:val="00D839CE"/>
    <w:rsid w:val="00D847C5"/>
    <w:rsid w:val="00D84B91"/>
    <w:rsid w:val="00D84E5E"/>
    <w:rsid w:val="00D84F43"/>
    <w:rsid w:val="00D84FF8"/>
    <w:rsid w:val="00D85897"/>
    <w:rsid w:val="00D85A9E"/>
    <w:rsid w:val="00D85C8D"/>
    <w:rsid w:val="00D85DEC"/>
    <w:rsid w:val="00D85FC2"/>
    <w:rsid w:val="00D8645E"/>
    <w:rsid w:val="00D86791"/>
    <w:rsid w:val="00D872B0"/>
    <w:rsid w:val="00D87886"/>
    <w:rsid w:val="00D879C6"/>
    <w:rsid w:val="00D87A9E"/>
    <w:rsid w:val="00D87C36"/>
    <w:rsid w:val="00D90163"/>
    <w:rsid w:val="00D904FD"/>
    <w:rsid w:val="00D90699"/>
    <w:rsid w:val="00D9091A"/>
    <w:rsid w:val="00D90BA7"/>
    <w:rsid w:val="00D90F86"/>
    <w:rsid w:val="00D919D3"/>
    <w:rsid w:val="00D9258C"/>
    <w:rsid w:val="00D92760"/>
    <w:rsid w:val="00D929AB"/>
    <w:rsid w:val="00D93A8C"/>
    <w:rsid w:val="00D93BF1"/>
    <w:rsid w:val="00D93FD8"/>
    <w:rsid w:val="00D9412C"/>
    <w:rsid w:val="00D943E1"/>
    <w:rsid w:val="00D94A66"/>
    <w:rsid w:val="00D94C51"/>
    <w:rsid w:val="00D94DAD"/>
    <w:rsid w:val="00D94DE6"/>
    <w:rsid w:val="00D94FAD"/>
    <w:rsid w:val="00D952D5"/>
    <w:rsid w:val="00D954E0"/>
    <w:rsid w:val="00D958D6"/>
    <w:rsid w:val="00D959EC"/>
    <w:rsid w:val="00D95E58"/>
    <w:rsid w:val="00D9618A"/>
    <w:rsid w:val="00D96838"/>
    <w:rsid w:val="00D968F0"/>
    <w:rsid w:val="00D96ACE"/>
    <w:rsid w:val="00D970A6"/>
    <w:rsid w:val="00D97395"/>
    <w:rsid w:val="00D975B5"/>
    <w:rsid w:val="00D97B5E"/>
    <w:rsid w:val="00D97B90"/>
    <w:rsid w:val="00DA00ED"/>
    <w:rsid w:val="00DA0832"/>
    <w:rsid w:val="00DA0BD8"/>
    <w:rsid w:val="00DA0C5B"/>
    <w:rsid w:val="00DA10C4"/>
    <w:rsid w:val="00DA1BF1"/>
    <w:rsid w:val="00DA1DDF"/>
    <w:rsid w:val="00DA2242"/>
    <w:rsid w:val="00DA279C"/>
    <w:rsid w:val="00DA2CCE"/>
    <w:rsid w:val="00DA30FC"/>
    <w:rsid w:val="00DA3778"/>
    <w:rsid w:val="00DA3AFE"/>
    <w:rsid w:val="00DA44C8"/>
    <w:rsid w:val="00DA4618"/>
    <w:rsid w:val="00DA4625"/>
    <w:rsid w:val="00DA46AB"/>
    <w:rsid w:val="00DA4B84"/>
    <w:rsid w:val="00DA539E"/>
    <w:rsid w:val="00DA53D8"/>
    <w:rsid w:val="00DA53F2"/>
    <w:rsid w:val="00DA56B1"/>
    <w:rsid w:val="00DA5B95"/>
    <w:rsid w:val="00DA5CF2"/>
    <w:rsid w:val="00DA5DC2"/>
    <w:rsid w:val="00DA61D4"/>
    <w:rsid w:val="00DA7244"/>
    <w:rsid w:val="00DA74C0"/>
    <w:rsid w:val="00DB0047"/>
    <w:rsid w:val="00DB02A5"/>
    <w:rsid w:val="00DB0939"/>
    <w:rsid w:val="00DB0C42"/>
    <w:rsid w:val="00DB121A"/>
    <w:rsid w:val="00DB1514"/>
    <w:rsid w:val="00DB1534"/>
    <w:rsid w:val="00DB1B44"/>
    <w:rsid w:val="00DB1C80"/>
    <w:rsid w:val="00DB2137"/>
    <w:rsid w:val="00DB2505"/>
    <w:rsid w:val="00DB2701"/>
    <w:rsid w:val="00DB29E7"/>
    <w:rsid w:val="00DB2C2D"/>
    <w:rsid w:val="00DB2CCC"/>
    <w:rsid w:val="00DB3710"/>
    <w:rsid w:val="00DB373A"/>
    <w:rsid w:val="00DB3923"/>
    <w:rsid w:val="00DB3BE5"/>
    <w:rsid w:val="00DB3D61"/>
    <w:rsid w:val="00DB3E97"/>
    <w:rsid w:val="00DB3FE9"/>
    <w:rsid w:val="00DB4945"/>
    <w:rsid w:val="00DB4C21"/>
    <w:rsid w:val="00DB4F6E"/>
    <w:rsid w:val="00DB52BB"/>
    <w:rsid w:val="00DB57A9"/>
    <w:rsid w:val="00DB5AAD"/>
    <w:rsid w:val="00DB5BC8"/>
    <w:rsid w:val="00DB5C1B"/>
    <w:rsid w:val="00DB5E5E"/>
    <w:rsid w:val="00DB644F"/>
    <w:rsid w:val="00DB65AC"/>
    <w:rsid w:val="00DB6752"/>
    <w:rsid w:val="00DB6A03"/>
    <w:rsid w:val="00DB704B"/>
    <w:rsid w:val="00DB73F0"/>
    <w:rsid w:val="00DB78E5"/>
    <w:rsid w:val="00DB798F"/>
    <w:rsid w:val="00DB7AAB"/>
    <w:rsid w:val="00DB7AB8"/>
    <w:rsid w:val="00DC0060"/>
    <w:rsid w:val="00DC0242"/>
    <w:rsid w:val="00DC02A8"/>
    <w:rsid w:val="00DC0488"/>
    <w:rsid w:val="00DC05B5"/>
    <w:rsid w:val="00DC0A79"/>
    <w:rsid w:val="00DC0A85"/>
    <w:rsid w:val="00DC0B86"/>
    <w:rsid w:val="00DC0D27"/>
    <w:rsid w:val="00DC0F61"/>
    <w:rsid w:val="00DC0FDF"/>
    <w:rsid w:val="00DC16B6"/>
    <w:rsid w:val="00DC1855"/>
    <w:rsid w:val="00DC1901"/>
    <w:rsid w:val="00DC19FC"/>
    <w:rsid w:val="00DC1A2E"/>
    <w:rsid w:val="00DC1CE3"/>
    <w:rsid w:val="00DC1EF8"/>
    <w:rsid w:val="00DC1FF4"/>
    <w:rsid w:val="00DC2125"/>
    <w:rsid w:val="00DC2A36"/>
    <w:rsid w:val="00DC3425"/>
    <w:rsid w:val="00DC3637"/>
    <w:rsid w:val="00DC37D2"/>
    <w:rsid w:val="00DC42AB"/>
    <w:rsid w:val="00DC4831"/>
    <w:rsid w:val="00DC5274"/>
    <w:rsid w:val="00DC57D5"/>
    <w:rsid w:val="00DC58A3"/>
    <w:rsid w:val="00DC5910"/>
    <w:rsid w:val="00DC619A"/>
    <w:rsid w:val="00DC6494"/>
    <w:rsid w:val="00DC66D5"/>
    <w:rsid w:val="00DC674F"/>
    <w:rsid w:val="00DC73B5"/>
    <w:rsid w:val="00DC77BF"/>
    <w:rsid w:val="00DC7924"/>
    <w:rsid w:val="00DD052D"/>
    <w:rsid w:val="00DD0D63"/>
    <w:rsid w:val="00DD19DA"/>
    <w:rsid w:val="00DD1D08"/>
    <w:rsid w:val="00DD2284"/>
    <w:rsid w:val="00DD2CA7"/>
    <w:rsid w:val="00DD2D86"/>
    <w:rsid w:val="00DD2DD8"/>
    <w:rsid w:val="00DD3120"/>
    <w:rsid w:val="00DD3138"/>
    <w:rsid w:val="00DD34C3"/>
    <w:rsid w:val="00DD3B86"/>
    <w:rsid w:val="00DD3CC9"/>
    <w:rsid w:val="00DD412D"/>
    <w:rsid w:val="00DD452D"/>
    <w:rsid w:val="00DD464C"/>
    <w:rsid w:val="00DD4F58"/>
    <w:rsid w:val="00DD52CC"/>
    <w:rsid w:val="00DD52CD"/>
    <w:rsid w:val="00DD54E4"/>
    <w:rsid w:val="00DD5BAF"/>
    <w:rsid w:val="00DD5BE8"/>
    <w:rsid w:val="00DD5BF4"/>
    <w:rsid w:val="00DD5BF7"/>
    <w:rsid w:val="00DD60DD"/>
    <w:rsid w:val="00DD6D11"/>
    <w:rsid w:val="00DD7B29"/>
    <w:rsid w:val="00DD7FBD"/>
    <w:rsid w:val="00DE0114"/>
    <w:rsid w:val="00DE01DD"/>
    <w:rsid w:val="00DE0204"/>
    <w:rsid w:val="00DE02F0"/>
    <w:rsid w:val="00DE0A5E"/>
    <w:rsid w:val="00DE11D1"/>
    <w:rsid w:val="00DE1747"/>
    <w:rsid w:val="00DE18F3"/>
    <w:rsid w:val="00DE193B"/>
    <w:rsid w:val="00DE1D49"/>
    <w:rsid w:val="00DE1DB6"/>
    <w:rsid w:val="00DE2044"/>
    <w:rsid w:val="00DE2363"/>
    <w:rsid w:val="00DE24D2"/>
    <w:rsid w:val="00DE24E0"/>
    <w:rsid w:val="00DE25D3"/>
    <w:rsid w:val="00DE27CD"/>
    <w:rsid w:val="00DE27E3"/>
    <w:rsid w:val="00DE2A25"/>
    <w:rsid w:val="00DE2D8D"/>
    <w:rsid w:val="00DE2EC7"/>
    <w:rsid w:val="00DE3249"/>
    <w:rsid w:val="00DE3B9C"/>
    <w:rsid w:val="00DE4490"/>
    <w:rsid w:val="00DE4504"/>
    <w:rsid w:val="00DE4780"/>
    <w:rsid w:val="00DE4822"/>
    <w:rsid w:val="00DE4D07"/>
    <w:rsid w:val="00DE51EE"/>
    <w:rsid w:val="00DE55C7"/>
    <w:rsid w:val="00DE583F"/>
    <w:rsid w:val="00DE5A13"/>
    <w:rsid w:val="00DE5C34"/>
    <w:rsid w:val="00DE5D0C"/>
    <w:rsid w:val="00DE5E06"/>
    <w:rsid w:val="00DE5F14"/>
    <w:rsid w:val="00DE639C"/>
    <w:rsid w:val="00DE69C5"/>
    <w:rsid w:val="00DE6EFE"/>
    <w:rsid w:val="00DE73E5"/>
    <w:rsid w:val="00DE7405"/>
    <w:rsid w:val="00DE761D"/>
    <w:rsid w:val="00DE7E78"/>
    <w:rsid w:val="00DE7F97"/>
    <w:rsid w:val="00DF05B7"/>
    <w:rsid w:val="00DF05F3"/>
    <w:rsid w:val="00DF1132"/>
    <w:rsid w:val="00DF146F"/>
    <w:rsid w:val="00DF14B0"/>
    <w:rsid w:val="00DF19FC"/>
    <w:rsid w:val="00DF1CC4"/>
    <w:rsid w:val="00DF1FE6"/>
    <w:rsid w:val="00DF2455"/>
    <w:rsid w:val="00DF2903"/>
    <w:rsid w:val="00DF2B26"/>
    <w:rsid w:val="00DF2DD3"/>
    <w:rsid w:val="00DF2E2F"/>
    <w:rsid w:val="00DF2F90"/>
    <w:rsid w:val="00DF395E"/>
    <w:rsid w:val="00DF3AB3"/>
    <w:rsid w:val="00DF3E6D"/>
    <w:rsid w:val="00DF461F"/>
    <w:rsid w:val="00DF4F92"/>
    <w:rsid w:val="00DF5138"/>
    <w:rsid w:val="00DF542E"/>
    <w:rsid w:val="00DF5ACF"/>
    <w:rsid w:val="00DF5B75"/>
    <w:rsid w:val="00DF707A"/>
    <w:rsid w:val="00DF73E1"/>
    <w:rsid w:val="00DF7598"/>
    <w:rsid w:val="00DF7A4C"/>
    <w:rsid w:val="00DF7BB0"/>
    <w:rsid w:val="00DF7E06"/>
    <w:rsid w:val="00E00207"/>
    <w:rsid w:val="00E01367"/>
    <w:rsid w:val="00E01406"/>
    <w:rsid w:val="00E014A0"/>
    <w:rsid w:val="00E015A4"/>
    <w:rsid w:val="00E0178C"/>
    <w:rsid w:val="00E018AF"/>
    <w:rsid w:val="00E01991"/>
    <w:rsid w:val="00E01EFB"/>
    <w:rsid w:val="00E027A5"/>
    <w:rsid w:val="00E04087"/>
    <w:rsid w:val="00E045B9"/>
    <w:rsid w:val="00E04677"/>
    <w:rsid w:val="00E04756"/>
    <w:rsid w:val="00E04AA5"/>
    <w:rsid w:val="00E04E72"/>
    <w:rsid w:val="00E05123"/>
    <w:rsid w:val="00E0517D"/>
    <w:rsid w:val="00E05259"/>
    <w:rsid w:val="00E052C1"/>
    <w:rsid w:val="00E053FC"/>
    <w:rsid w:val="00E054EF"/>
    <w:rsid w:val="00E05809"/>
    <w:rsid w:val="00E05879"/>
    <w:rsid w:val="00E06529"/>
    <w:rsid w:val="00E06787"/>
    <w:rsid w:val="00E069B0"/>
    <w:rsid w:val="00E06C0C"/>
    <w:rsid w:val="00E071A5"/>
    <w:rsid w:val="00E0734A"/>
    <w:rsid w:val="00E074F5"/>
    <w:rsid w:val="00E076C2"/>
    <w:rsid w:val="00E1031A"/>
    <w:rsid w:val="00E108C7"/>
    <w:rsid w:val="00E10FB3"/>
    <w:rsid w:val="00E11052"/>
    <w:rsid w:val="00E116C3"/>
    <w:rsid w:val="00E116EC"/>
    <w:rsid w:val="00E11CB6"/>
    <w:rsid w:val="00E12C8C"/>
    <w:rsid w:val="00E12E1E"/>
    <w:rsid w:val="00E135CB"/>
    <w:rsid w:val="00E136F8"/>
    <w:rsid w:val="00E137FC"/>
    <w:rsid w:val="00E1394C"/>
    <w:rsid w:val="00E13F22"/>
    <w:rsid w:val="00E1462D"/>
    <w:rsid w:val="00E146A8"/>
    <w:rsid w:val="00E14A84"/>
    <w:rsid w:val="00E14F3D"/>
    <w:rsid w:val="00E152D0"/>
    <w:rsid w:val="00E152E6"/>
    <w:rsid w:val="00E153A1"/>
    <w:rsid w:val="00E15BD2"/>
    <w:rsid w:val="00E15CF4"/>
    <w:rsid w:val="00E15D48"/>
    <w:rsid w:val="00E16386"/>
    <w:rsid w:val="00E166BB"/>
    <w:rsid w:val="00E169D2"/>
    <w:rsid w:val="00E16C89"/>
    <w:rsid w:val="00E17704"/>
    <w:rsid w:val="00E17BDA"/>
    <w:rsid w:val="00E2132C"/>
    <w:rsid w:val="00E2164D"/>
    <w:rsid w:val="00E21F4C"/>
    <w:rsid w:val="00E2249B"/>
    <w:rsid w:val="00E228B0"/>
    <w:rsid w:val="00E22955"/>
    <w:rsid w:val="00E233CF"/>
    <w:rsid w:val="00E2366A"/>
    <w:rsid w:val="00E23994"/>
    <w:rsid w:val="00E23DE0"/>
    <w:rsid w:val="00E240E0"/>
    <w:rsid w:val="00E2428F"/>
    <w:rsid w:val="00E24552"/>
    <w:rsid w:val="00E24EAD"/>
    <w:rsid w:val="00E24FD4"/>
    <w:rsid w:val="00E25260"/>
    <w:rsid w:val="00E2558F"/>
    <w:rsid w:val="00E25686"/>
    <w:rsid w:val="00E25B48"/>
    <w:rsid w:val="00E26230"/>
    <w:rsid w:val="00E262AA"/>
    <w:rsid w:val="00E26374"/>
    <w:rsid w:val="00E26CBB"/>
    <w:rsid w:val="00E2703C"/>
    <w:rsid w:val="00E27359"/>
    <w:rsid w:val="00E2749F"/>
    <w:rsid w:val="00E2773D"/>
    <w:rsid w:val="00E27D6E"/>
    <w:rsid w:val="00E27DED"/>
    <w:rsid w:val="00E3019E"/>
    <w:rsid w:val="00E3026F"/>
    <w:rsid w:val="00E30860"/>
    <w:rsid w:val="00E3099C"/>
    <w:rsid w:val="00E30DC1"/>
    <w:rsid w:val="00E30F71"/>
    <w:rsid w:val="00E31699"/>
    <w:rsid w:val="00E31BA2"/>
    <w:rsid w:val="00E32041"/>
    <w:rsid w:val="00E3231A"/>
    <w:rsid w:val="00E324A9"/>
    <w:rsid w:val="00E32723"/>
    <w:rsid w:val="00E33125"/>
    <w:rsid w:val="00E331F5"/>
    <w:rsid w:val="00E332EC"/>
    <w:rsid w:val="00E33830"/>
    <w:rsid w:val="00E33F04"/>
    <w:rsid w:val="00E3400B"/>
    <w:rsid w:val="00E3426F"/>
    <w:rsid w:val="00E34930"/>
    <w:rsid w:val="00E34A52"/>
    <w:rsid w:val="00E35061"/>
    <w:rsid w:val="00E354EE"/>
    <w:rsid w:val="00E3574D"/>
    <w:rsid w:val="00E36349"/>
    <w:rsid w:val="00E363D6"/>
    <w:rsid w:val="00E36885"/>
    <w:rsid w:val="00E36F3D"/>
    <w:rsid w:val="00E3779A"/>
    <w:rsid w:val="00E37AA5"/>
    <w:rsid w:val="00E37F58"/>
    <w:rsid w:val="00E401E7"/>
    <w:rsid w:val="00E404B3"/>
    <w:rsid w:val="00E4066E"/>
    <w:rsid w:val="00E41460"/>
    <w:rsid w:val="00E41A3C"/>
    <w:rsid w:val="00E434D7"/>
    <w:rsid w:val="00E436BE"/>
    <w:rsid w:val="00E4427E"/>
    <w:rsid w:val="00E443DA"/>
    <w:rsid w:val="00E443FA"/>
    <w:rsid w:val="00E44546"/>
    <w:rsid w:val="00E44737"/>
    <w:rsid w:val="00E44E6D"/>
    <w:rsid w:val="00E45560"/>
    <w:rsid w:val="00E45581"/>
    <w:rsid w:val="00E45D9D"/>
    <w:rsid w:val="00E45E87"/>
    <w:rsid w:val="00E4636A"/>
    <w:rsid w:val="00E464F7"/>
    <w:rsid w:val="00E469DE"/>
    <w:rsid w:val="00E46EC5"/>
    <w:rsid w:val="00E470B5"/>
    <w:rsid w:val="00E478CC"/>
    <w:rsid w:val="00E47EFC"/>
    <w:rsid w:val="00E50E5F"/>
    <w:rsid w:val="00E51150"/>
    <w:rsid w:val="00E51738"/>
    <w:rsid w:val="00E51FE0"/>
    <w:rsid w:val="00E520B5"/>
    <w:rsid w:val="00E52651"/>
    <w:rsid w:val="00E5275F"/>
    <w:rsid w:val="00E52773"/>
    <w:rsid w:val="00E52A81"/>
    <w:rsid w:val="00E52C52"/>
    <w:rsid w:val="00E52D4C"/>
    <w:rsid w:val="00E53AD4"/>
    <w:rsid w:val="00E53AE3"/>
    <w:rsid w:val="00E53AF9"/>
    <w:rsid w:val="00E53EBC"/>
    <w:rsid w:val="00E541B1"/>
    <w:rsid w:val="00E54348"/>
    <w:rsid w:val="00E54AD4"/>
    <w:rsid w:val="00E5516F"/>
    <w:rsid w:val="00E55323"/>
    <w:rsid w:val="00E558BD"/>
    <w:rsid w:val="00E55D29"/>
    <w:rsid w:val="00E56393"/>
    <w:rsid w:val="00E569C2"/>
    <w:rsid w:val="00E56C36"/>
    <w:rsid w:val="00E579C7"/>
    <w:rsid w:val="00E6006F"/>
    <w:rsid w:val="00E6038B"/>
    <w:rsid w:val="00E60869"/>
    <w:rsid w:val="00E60981"/>
    <w:rsid w:val="00E60BA8"/>
    <w:rsid w:val="00E60FCC"/>
    <w:rsid w:val="00E612E7"/>
    <w:rsid w:val="00E61315"/>
    <w:rsid w:val="00E61492"/>
    <w:rsid w:val="00E61AD2"/>
    <w:rsid w:val="00E61EE7"/>
    <w:rsid w:val="00E62273"/>
    <w:rsid w:val="00E6279E"/>
    <w:rsid w:val="00E62A0A"/>
    <w:rsid w:val="00E62E1A"/>
    <w:rsid w:val="00E6367C"/>
    <w:rsid w:val="00E6387B"/>
    <w:rsid w:val="00E6399F"/>
    <w:rsid w:val="00E64691"/>
    <w:rsid w:val="00E64A8A"/>
    <w:rsid w:val="00E64BC3"/>
    <w:rsid w:val="00E64E77"/>
    <w:rsid w:val="00E64E9E"/>
    <w:rsid w:val="00E6543F"/>
    <w:rsid w:val="00E657FD"/>
    <w:rsid w:val="00E65FEF"/>
    <w:rsid w:val="00E667DF"/>
    <w:rsid w:val="00E67109"/>
    <w:rsid w:val="00E67994"/>
    <w:rsid w:val="00E70153"/>
    <w:rsid w:val="00E7025D"/>
    <w:rsid w:val="00E70A21"/>
    <w:rsid w:val="00E71097"/>
    <w:rsid w:val="00E7126D"/>
    <w:rsid w:val="00E712EA"/>
    <w:rsid w:val="00E71316"/>
    <w:rsid w:val="00E717B7"/>
    <w:rsid w:val="00E71FC8"/>
    <w:rsid w:val="00E7210C"/>
    <w:rsid w:val="00E72615"/>
    <w:rsid w:val="00E727BC"/>
    <w:rsid w:val="00E72B20"/>
    <w:rsid w:val="00E730BC"/>
    <w:rsid w:val="00E73190"/>
    <w:rsid w:val="00E735CD"/>
    <w:rsid w:val="00E738F8"/>
    <w:rsid w:val="00E73A97"/>
    <w:rsid w:val="00E749DA"/>
    <w:rsid w:val="00E74DA6"/>
    <w:rsid w:val="00E74DAB"/>
    <w:rsid w:val="00E753C6"/>
    <w:rsid w:val="00E75736"/>
    <w:rsid w:val="00E761BE"/>
    <w:rsid w:val="00E7655E"/>
    <w:rsid w:val="00E778C6"/>
    <w:rsid w:val="00E77AEC"/>
    <w:rsid w:val="00E77B55"/>
    <w:rsid w:val="00E806E7"/>
    <w:rsid w:val="00E80836"/>
    <w:rsid w:val="00E80A6B"/>
    <w:rsid w:val="00E80C34"/>
    <w:rsid w:val="00E80C3C"/>
    <w:rsid w:val="00E80CCB"/>
    <w:rsid w:val="00E815D1"/>
    <w:rsid w:val="00E818B4"/>
    <w:rsid w:val="00E81A3E"/>
    <w:rsid w:val="00E81EDF"/>
    <w:rsid w:val="00E82172"/>
    <w:rsid w:val="00E823C6"/>
    <w:rsid w:val="00E82A42"/>
    <w:rsid w:val="00E82FD3"/>
    <w:rsid w:val="00E83111"/>
    <w:rsid w:val="00E831D0"/>
    <w:rsid w:val="00E83228"/>
    <w:rsid w:val="00E8357A"/>
    <w:rsid w:val="00E83A82"/>
    <w:rsid w:val="00E83CFC"/>
    <w:rsid w:val="00E84089"/>
    <w:rsid w:val="00E845AF"/>
    <w:rsid w:val="00E849FA"/>
    <w:rsid w:val="00E84D0E"/>
    <w:rsid w:val="00E850EC"/>
    <w:rsid w:val="00E854B9"/>
    <w:rsid w:val="00E85640"/>
    <w:rsid w:val="00E8587D"/>
    <w:rsid w:val="00E85A50"/>
    <w:rsid w:val="00E85D18"/>
    <w:rsid w:val="00E85D37"/>
    <w:rsid w:val="00E86168"/>
    <w:rsid w:val="00E86374"/>
    <w:rsid w:val="00E86A68"/>
    <w:rsid w:val="00E86BF6"/>
    <w:rsid w:val="00E86EA9"/>
    <w:rsid w:val="00E86F7D"/>
    <w:rsid w:val="00E877BA"/>
    <w:rsid w:val="00E87D77"/>
    <w:rsid w:val="00E87F8F"/>
    <w:rsid w:val="00E905B0"/>
    <w:rsid w:val="00E906D3"/>
    <w:rsid w:val="00E907F9"/>
    <w:rsid w:val="00E90C0B"/>
    <w:rsid w:val="00E91047"/>
    <w:rsid w:val="00E9147E"/>
    <w:rsid w:val="00E915A0"/>
    <w:rsid w:val="00E924E1"/>
    <w:rsid w:val="00E92FF8"/>
    <w:rsid w:val="00E9310F"/>
    <w:rsid w:val="00E932F5"/>
    <w:rsid w:val="00E933C6"/>
    <w:rsid w:val="00E93628"/>
    <w:rsid w:val="00E93FAD"/>
    <w:rsid w:val="00E94791"/>
    <w:rsid w:val="00E94CD7"/>
    <w:rsid w:val="00E9583E"/>
    <w:rsid w:val="00E95C63"/>
    <w:rsid w:val="00E95CFE"/>
    <w:rsid w:val="00E95F99"/>
    <w:rsid w:val="00E96351"/>
    <w:rsid w:val="00E964DE"/>
    <w:rsid w:val="00E96B95"/>
    <w:rsid w:val="00E96C06"/>
    <w:rsid w:val="00E971B1"/>
    <w:rsid w:val="00E971B8"/>
    <w:rsid w:val="00E97222"/>
    <w:rsid w:val="00E97381"/>
    <w:rsid w:val="00E97BC8"/>
    <w:rsid w:val="00E97FE3"/>
    <w:rsid w:val="00EA01FA"/>
    <w:rsid w:val="00EA0380"/>
    <w:rsid w:val="00EA0A89"/>
    <w:rsid w:val="00EA0EA2"/>
    <w:rsid w:val="00EA0F55"/>
    <w:rsid w:val="00EA166E"/>
    <w:rsid w:val="00EA1675"/>
    <w:rsid w:val="00EA169C"/>
    <w:rsid w:val="00EA187E"/>
    <w:rsid w:val="00EA1C23"/>
    <w:rsid w:val="00EA21D2"/>
    <w:rsid w:val="00EA222B"/>
    <w:rsid w:val="00EA28BA"/>
    <w:rsid w:val="00EA2965"/>
    <w:rsid w:val="00EA2E42"/>
    <w:rsid w:val="00EA30DD"/>
    <w:rsid w:val="00EA32F4"/>
    <w:rsid w:val="00EA3431"/>
    <w:rsid w:val="00EA3454"/>
    <w:rsid w:val="00EA345D"/>
    <w:rsid w:val="00EA35CB"/>
    <w:rsid w:val="00EA3AEE"/>
    <w:rsid w:val="00EA406A"/>
    <w:rsid w:val="00EA416D"/>
    <w:rsid w:val="00EA4589"/>
    <w:rsid w:val="00EA5280"/>
    <w:rsid w:val="00EA52FA"/>
    <w:rsid w:val="00EA547D"/>
    <w:rsid w:val="00EA56C6"/>
    <w:rsid w:val="00EA58E2"/>
    <w:rsid w:val="00EA6C4C"/>
    <w:rsid w:val="00EA6CBB"/>
    <w:rsid w:val="00EA7212"/>
    <w:rsid w:val="00EA73EE"/>
    <w:rsid w:val="00EA751B"/>
    <w:rsid w:val="00EA7B20"/>
    <w:rsid w:val="00EB050D"/>
    <w:rsid w:val="00EB05E1"/>
    <w:rsid w:val="00EB0F1B"/>
    <w:rsid w:val="00EB1026"/>
    <w:rsid w:val="00EB15C2"/>
    <w:rsid w:val="00EB18F5"/>
    <w:rsid w:val="00EB1B28"/>
    <w:rsid w:val="00EB2148"/>
    <w:rsid w:val="00EB23D8"/>
    <w:rsid w:val="00EB30E1"/>
    <w:rsid w:val="00EB32BC"/>
    <w:rsid w:val="00EB345B"/>
    <w:rsid w:val="00EB474A"/>
    <w:rsid w:val="00EB47C2"/>
    <w:rsid w:val="00EB4CF0"/>
    <w:rsid w:val="00EB4EAE"/>
    <w:rsid w:val="00EB50D5"/>
    <w:rsid w:val="00EB5E83"/>
    <w:rsid w:val="00EB5F64"/>
    <w:rsid w:val="00EB5F79"/>
    <w:rsid w:val="00EB5FD0"/>
    <w:rsid w:val="00EB66A7"/>
    <w:rsid w:val="00EB6CC6"/>
    <w:rsid w:val="00EB73B7"/>
    <w:rsid w:val="00EB7AEA"/>
    <w:rsid w:val="00EB7D94"/>
    <w:rsid w:val="00EC0003"/>
    <w:rsid w:val="00EC0339"/>
    <w:rsid w:val="00EC03D9"/>
    <w:rsid w:val="00EC13BB"/>
    <w:rsid w:val="00EC1B6F"/>
    <w:rsid w:val="00EC1F1C"/>
    <w:rsid w:val="00EC2005"/>
    <w:rsid w:val="00EC2053"/>
    <w:rsid w:val="00EC26B7"/>
    <w:rsid w:val="00EC28DA"/>
    <w:rsid w:val="00EC29FA"/>
    <w:rsid w:val="00EC2AE3"/>
    <w:rsid w:val="00EC2DF2"/>
    <w:rsid w:val="00EC30F5"/>
    <w:rsid w:val="00EC32CB"/>
    <w:rsid w:val="00EC3994"/>
    <w:rsid w:val="00EC3B8A"/>
    <w:rsid w:val="00EC40D9"/>
    <w:rsid w:val="00EC4238"/>
    <w:rsid w:val="00EC4564"/>
    <w:rsid w:val="00EC4795"/>
    <w:rsid w:val="00EC4CCF"/>
    <w:rsid w:val="00EC4DC0"/>
    <w:rsid w:val="00EC4E33"/>
    <w:rsid w:val="00EC5640"/>
    <w:rsid w:val="00EC5ACE"/>
    <w:rsid w:val="00EC5BD1"/>
    <w:rsid w:val="00EC6120"/>
    <w:rsid w:val="00EC6241"/>
    <w:rsid w:val="00EC62DB"/>
    <w:rsid w:val="00EC66B7"/>
    <w:rsid w:val="00EC6CDD"/>
    <w:rsid w:val="00EC6FAC"/>
    <w:rsid w:val="00EC7092"/>
    <w:rsid w:val="00EC72C7"/>
    <w:rsid w:val="00EC7816"/>
    <w:rsid w:val="00EC7D72"/>
    <w:rsid w:val="00ED00C5"/>
    <w:rsid w:val="00ED05AD"/>
    <w:rsid w:val="00ED0B26"/>
    <w:rsid w:val="00ED0DED"/>
    <w:rsid w:val="00ED0F94"/>
    <w:rsid w:val="00ED0FB0"/>
    <w:rsid w:val="00ED14C3"/>
    <w:rsid w:val="00ED162B"/>
    <w:rsid w:val="00ED1BBE"/>
    <w:rsid w:val="00ED1C84"/>
    <w:rsid w:val="00ED21C2"/>
    <w:rsid w:val="00ED224E"/>
    <w:rsid w:val="00ED24F0"/>
    <w:rsid w:val="00ED250E"/>
    <w:rsid w:val="00ED2D9C"/>
    <w:rsid w:val="00ED33C0"/>
    <w:rsid w:val="00ED354E"/>
    <w:rsid w:val="00ED373D"/>
    <w:rsid w:val="00ED3EE6"/>
    <w:rsid w:val="00ED469C"/>
    <w:rsid w:val="00ED47C0"/>
    <w:rsid w:val="00ED4A6B"/>
    <w:rsid w:val="00ED5242"/>
    <w:rsid w:val="00ED540B"/>
    <w:rsid w:val="00ED5763"/>
    <w:rsid w:val="00ED5A18"/>
    <w:rsid w:val="00ED5B73"/>
    <w:rsid w:val="00ED5C0D"/>
    <w:rsid w:val="00ED5FE7"/>
    <w:rsid w:val="00ED603F"/>
    <w:rsid w:val="00ED6045"/>
    <w:rsid w:val="00ED6255"/>
    <w:rsid w:val="00ED651E"/>
    <w:rsid w:val="00ED75B1"/>
    <w:rsid w:val="00ED75FF"/>
    <w:rsid w:val="00ED76EA"/>
    <w:rsid w:val="00ED7823"/>
    <w:rsid w:val="00ED78CA"/>
    <w:rsid w:val="00ED7A25"/>
    <w:rsid w:val="00ED7BBB"/>
    <w:rsid w:val="00ED7D52"/>
    <w:rsid w:val="00ED7EFC"/>
    <w:rsid w:val="00EE0238"/>
    <w:rsid w:val="00EE02EB"/>
    <w:rsid w:val="00EE13B0"/>
    <w:rsid w:val="00EE1ADE"/>
    <w:rsid w:val="00EE1FCC"/>
    <w:rsid w:val="00EE280E"/>
    <w:rsid w:val="00EE33BD"/>
    <w:rsid w:val="00EE3881"/>
    <w:rsid w:val="00EE3C5E"/>
    <w:rsid w:val="00EE4630"/>
    <w:rsid w:val="00EE4703"/>
    <w:rsid w:val="00EE47EA"/>
    <w:rsid w:val="00EE4ED0"/>
    <w:rsid w:val="00EE4FF2"/>
    <w:rsid w:val="00EE5153"/>
    <w:rsid w:val="00EE5595"/>
    <w:rsid w:val="00EE5BAA"/>
    <w:rsid w:val="00EE5CDA"/>
    <w:rsid w:val="00EE635C"/>
    <w:rsid w:val="00EE645C"/>
    <w:rsid w:val="00EE6D5C"/>
    <w:rsid w:val="00EE6D9E"/>
    <w:rsid w:val="00EE6E17"/>
    <w:rsid w:val="00EE6E95"/>
    <w:rsid w:val="00EE7099"/>
    <w:rsid w:val="00EE714E"/>
    <w:rsid w:val="00EE7291"/>
    <w:rsid w:val="00EE7408"/>
    <w:rsid w:val="00EE755E"/>
    <w:rsid w:val="00EE76A9"/>
    <w:rsid w:val="00EE79BC"/>
    <w:rsid w:val="00EE7A72"/>
    <w:rsid w:val="00EE7E6C"/>
    <w:rsid w:val="00EF07A6"/>
    <w:rsid w:val="00EF09FB"/>
    <w:rsid w:val="00EF0A63"/>
    <w:rsid w:val="00EF1E1C"/>
    <w:rsid w:val="00EF2285"/>
    <w:rsid w:val="00EF24AE"/>
    <w:rsid w:val="00EF26A7"/>
    <w:rsid w:val="00EF27DA"/>
    <w:rsid w:val="00EF285A"/>
    <w:rsid w:val="00EF3284"/>
    <w:rsid w:val="00EF32A0"/>
    <w:rsid w:val="00EF335B"/>
    <w:rsid w:val="00EF36F4"/>
    <w:rsid w:val="00EF3722"/>
    <w:rsid w:val="00EF37A2"/>
    <w:rsid w:val="00EF3BB5"/>
    <w:rsid w:val="00EF426F"/>
    <w:rsid w:val="00EF42FA"/>
    <w:rsid w:val="00EF48EE"/>
    <w:rsid w:val="00EF543B"/>
    <w:rsid w:val="00EF5A90"/>
    <w:rsid w:val="00EF5B5C"/>
    <w:rsid w:val="00EF5C8F"/>
    <w:rsid w:val="00EF62B4"/>
    <w:rsid w:val="00EF67EC"/>
    <w:rsid w:val="00EF69F6"/>
    <w:rsid w:val="00EF6C0F"/>
    <w:rsid w:val="00EF6CA5"/>
    <w:rsid w:val="00EF6F65"/>
    <w:rsid w:val="00EF75E9"/>
    <w:rsid w:val="00EF76EB"/>
    <w:rsid w:val="00EF7BE9"/>
    <w:rsid w:val="00EF7D92"/>
    <w:rsid w:val="00F0045A"/>
    <w:rsid w:val="00F00B52"/>
    <w:rsid w:val="00F00BDC"/>
    <w:rsid w:val="00F00E28"/>
    <w:rsid w:val="00F011AE"/>
    <w:rsid w:val="00F0179A"/>
    <w:rsid w:val="00F020BA"/>
    <w:rsid w:val="00F0252E"/>
    <w:rsid w:val="00F025F1"/>
    <w:rsid w:val="00F02C61"/>
    <w:rsid w:val="00F02D81"/>
    <w:rsid w:val="00F033DB"/>
    <w:rsid w:val="00F035E8"/>
    <w:rsid w:val="00F036F7"/>
    <w:rsid w:val="00F03737"/>
    <w:rsid w:val="00F03842"/>
    <w:rsid w:val="00F03883"/>
    <w:rsid w:val="00F03E3B"/>
    <w:rsid w:val="00F040B1"/>
    <w:rsid w:val="00F040C4"/>
    <w:rsid w:val="00F0415B"/>
    <w:rsid w:val="00F041F6"/>
    <w:rsid w:val="00F04378"/>
    <w:rsid w:val="00F04FAF"/>
    <w:rsid w:val="00F05168"/>
    <w:rsid w:val="00F05715"/>
    <w:rsid w:val="00F05E1C"/>
    <w:rsid w:val="00F062DB"/>
    <w:rsid w:val="00F064FB"/>
    <w:rsid w:val="00F065A1"/>
    <w:rsid w:val="00F06B8F"/>
    <w:rsid w:val="00F06F83"/>
    <w:rsid w:val="00F07485"/>
    <w:rsid w:val="00F079B7"/>
    <w:rsid w:val="00F079D9"/>
    <w:rsid w:val="00F07AE7"/>
    <w:rsid w:val="00F07F27"/>
    <w:rsid w:val="00F1004C"/>
    <w:rsid w:val="00F10392"/>
    <w:rsid w:val="00F111F0"/>
    <w:rsid w:val="00F11433"/>
    <w:rsid w:val="00F11921"/>
    <w:rsid w:val="00F12325"/>
    <w:rsid w:val="00F123CC"/>
    <w:rsid w:val="00F12A92"/>
    <w:rsid w:val="00F12C03"/>
    <w:rsid w:val="00F13098"/>
    <w:rsid w:val="00F13F6C"/>
    <w:rsid w:val="00F1413A"/>
    <w:rsid w:val="00F1495D"/>
    <w:rsid w:val="00F1518C"/>
    <w:rsid w:val="00F1587D"/>
    <w:rsid w:val="00F15A24"/>
    <w:rsid w:val="00F15B84"/>
    <w:rsid w:val="00F15F7D"/>
    <w:rsid w:val="00F160CD"/>
    <w:rsid w:val="00F160E7"/>
    <w:rsid w:val="00F16327"/>
    <w:rsid w:val="00F163DE"/>
    <w:rsid w:val="00F164F4"/>
    <w:rsid w:val="00F16771"/>
    <w:rsid w:val="00F17CC9"/>
    <w:rsid w:val="00F17EC1"/>
    <w:rsid w:val="00F2041E"/>
    <w:rsid w:val="00F20430"/>
    <w:rsid w:val="00F211F6"/>
    <w:rsid w:val="00F2173B"/>
    <w:rsid w:val="00F21DE3"/>
    <w:rsid w:val="00F221B5"/>
    <w:rsid w:val="00F2263C"/>
    <w:rsid w:val="00F229BA"/>
    <w:rsid w:val="00F22DEC"/>
    <w:rsid w:val="00F22EC9"/>
    <w:rsid w:val="00F231EF"/>
    <w:rsid w:val="00F23459"/>
    <w:rsid w:val="00F235CB"/>
    <w:rsid w:val="00F235E7"/>
    <w:rsid w:val="00F236D5"/>
    <w:rsid w:val="00F23772"/>
    <w:rsid w:val="00F24417"/>
    <w:rsid w:val="00F25476"/>
    <w:rsid w:val="00F2589A"/>
    <w:rsid w:val="00F25E68"/>
    <w:rsid w:val="00F260C5"/>
    <w:rsid w:val="00F260E8"/>
    <w:rsid w:val="00F26C4D"/>
    <w:rsid w:val="00F27017"/>
    <w:rsid w:val="00F27207"/>
    <w:rsid w:val="00F27363"/>
    <w:rsid w:val="00F27970"/>
    <w:rsid w:val="00F27A11"/>
    <w:rsid w:val="00F27DBD"/>
    <w:rsid w:val="00F302B7"/>
    <w:rsid w:val="00F3032C"/>
    <w:rsid w:val="00F30488"/>
    <w:rsid w:val="00F304D6"/>
    <w:rsid w:val="00F309CD"/>
    <w:rsid w:val="00F30E5C"/>
    <w:rsid w:val="00F310EA"/>
    <w:rsid w:val="00F31817"/>
    <w:rsid w:val="00F318FE"/>
    <w:rsid w:val="00F31C7F"/>
    <w:rsid w:val="00F31EA8"/>
    <w:rsid w:val="00F32A93"/>
    <w:rsid w:val="00F32B20"/>
    <w:rsid w:val="00F32D91"/>
    <w:rsid w:val="00F33946"/>
    <w:rsid w:val="00F33E66"/>
    <w:rsid w:val="00F3436C"/>
    <w:rsid w:val="00F34473"/>
    <w:rsid w:val="00F34A73"/>
    <w:rsid w:val="00F35595"/>
    <w:rsid w:val="00F355B9"/>
    <w:rsid w:val="00F35825"/>
    <w:rsid w:val="00F3597D"/>
    <w:rsid w:val="00F35B16"/>
    <w:rsid w:val="00F36131"/>
    <w:rsid w:val="00F3637E"/>
    <w:rsid w:val="00F364A2"/>
    <w:rsid w:val="00F36991"/>
    <w:rsid w:val="00F36A65"/>
    <w:rsid w:val="00F36D43"/>
    <w:rsid w:val="00F36F7F"/>
    <w:rsid w:val="00F371E4"/>
    <w:rsid w:val="00F37395"/>
    <w:rsid w:val="00F37586"/>
    <w:rsid w:val="00F3770E"/>
    <w:rsid w:val="00F3795F"/>
    <w:rsid w:val="00F37AE8"/>
    <w:rsid w:val="00F37E80"/>
    <w:rsid w:val="00F409C2"/>
    <w:rsid w:val="00F40A09"/>
    <w:rsid w:val="00F40C92"/>
    <w:rsid w:val="00F40D4F"/>
    <w:rsid w:val="00F41162"/>
    <w:rsid w:val="00F41182"/>
    <w:rsid w:val="00F41683"/>
    <w:rsid w:val="00F41D7B"/>
    <w:rsid w:val="00F41E80"/>
    <w:rsid w:val="00F4271C"/>
    <w:rsid w:val="00F42A66"/>
    <w:rsid w:val="00F43004"/>
    <w:rsid w:val="00F43545"/>
    <w:rsid w:val="00F43D31"/>
    <w:rsid w:val="00F43EB6"/>
    <w:rsid w:val="00F444A5"/>
    <w:rsid w:val="00F448B5"/>
    <w:rsid w:val="00F44B87"/>
    <w:rsid w:val="00F44CD0"/>
    <w:rsid w:val="00F44DA8"/>
    <w:rsid w:val="00F45270"/>
    <w:rsid w:val="00F453E1"/>
    <w:rsid w:val="00F45BC0"/>
    <w:rsid w:val="00F46196"/>
    <w:rsid w:val="00F463C6"/>
    <w:rsid w:val="00F466E1"/>
    <w:rsid w:val="00F467A9"/>
    <w:rsid w:val="00F469FC"/>
    <w:rsid w:val="00F46AC7"/>
    <w:rsid w:val="00F46EBD"/>
    <w:rsid w:val="00F4761D"/>
    <w:rsid w:val="00F47907"/>
    <w:rsid w:val="00F47A5F"/>
    <w:rsid w:val="00F47A8B"/>
    <w:rsid w:val="00F47ECF"/>
    <w:rsid w:val="00F50720"/>
    <w:rsid w:val="00F50A57"/>
    <w:rsid w:val="00F50E50"/>
    <w:rsid w:val="00F5100F"/>
    <w:rsid w:val="00F5146F"/>
    <w:rsid w:val="00F51827"/>
    <w:rsid w:val="00F51E42"/>
    <w:rsid w:val="00F51FB3"/>
    <w:rsid w:val="00F5209F"/>
    <w:rsid w:val="00F52385"/>
    <w:rsid w:val="00F526CD"/>
    <w:rsid w:val="00F53DAF"/>
    <w:rsid w:val="00F54566"/>
    <w:rsid w:val="00F54A31"/>
    <w:rsid w:val="00F54AEE"/>
    <w:rsid w:val="00F557FE"/>
    <w:rsid w:val="00F5586C"/>
    <w:rsid w:val="00F55B3A"/>
    <w:rsid w:val="00F55F0F"/>
    <w:rsid w:val="00F56347"/>
    <w:rsid w:val="00F5723F"/>
    <w:rsid w:val="00F572CA"/>
    <w:rsid w:val="00F572EE"/>
    <w:rsid w:val="00F57CB3"/>
    <w:rsid w:val="00F602FB"/>
    <w:rsid w:val="00F60D64"/>
    <w:rsid w:val="00F60D6C"/>
    <w:rsid w:val="00F60EF8"/>
    <w:rsid w:val="00F616B8"/>
    <w:rsid w:val="00F617D8"/>
    <w:rsid w:val="00F619F0"/>
    <w:rsid w:val="00F61A6E"/>
    <w:rsid w:val="00F61B5B"/>
    <w:rsid w:val="00F61B6E"/>
    <w:rsid w:val="00F61D15"/>
    <w:rsid w:val="00F62440"/>
    <w:rsid w:val="00F625F2"/>
    <w:rsid w:val="00F62B3F"/>
    <w:rsid w:val="00F62CCB"/>
    <w:rsid w:val="00F630F1"/>
    <w:rsid w:val="00F63383"/>
    <w:rsid w:val="00F63443"/>
    <w:rsid w:val="00F63815"/>
    <w:rsid w:val="00F63CA9"/>
    <w:rsid w:val="00F63CB4"/>
    <w:rsid w:val="00F63F2E"/>
    <w:rsid w:val="00F63F8A"/>
    <w:rsid w:val="00F640EA"/>
    <w:rsid w:val="00F64263"/>
    <w:rsid w:val="00F645DC"/>
    <w:rsid w:val="00F64D2A"/>
    <w:rsid w:val="00F64F7B"/>
    <w:rsid w:val="00F657FF"/>
    <w:rsid w:val="00F65ED2"/>
    <w:rsid w:val="00F663F5"/>
    <w:rsid w:val="00F66D62"/>
    <w:rsid w:val="00F6706C"/>
    <w:rsid w:val="00F6711C"/>
    <w:rsid w:val="00F671F9"/>
    <w:rsid w:val="00F67B7A"/>
    <w:rsid w:val="00F67BE5"/>
    <w:rsid w:val="00F7002C"/>
    <w:rsid w:val="00F7060E"/>
    <w:rsid w:val="00F70759"/>
    <w:rsid w:val="00F7094C"/>
    <w:rsid w:val="00F70A2B"/>
    <w:rsid w:val="00F70BC3"/>
    <w:rsid w:val="00F70C96"/>
    <w:rsid w:val="00F70CE7"/>
    <w:rsid w:val="00F70E26"/>
    <w:rsid w:val="00F72184"/>
    <w:rsid w:val="00F722BE"/>
    <w:rsid w:val="00F725F7"/>
    <w:rsid w:val="00F72C3A"/>
    <w:rsid w:val="00F731AC"/>
    <w:rsid w:val="00F738C2"/>
    <w:rsid w:val="00F73905"/>
    <w:rsid w:val="00F73BBB"/>
    <w:rsid w:val="00F74037"/>
    <w:rsid w:val="00F740FD"/>
    <w:rsid w:val="00F741C9"/>
    <w:rsid w:val="00F7462A"/>
    <w:rsid w:val="00F7497A"/>
    <w:rsid w:val="00F75494"/>
    <w:rsid w:val="00F7564D"/>
    <w:rsid w:val="00F76454"/>
    <w:rsid w:val="00F76B2F"/>
    <w:rsid w:val="00F770DE"/>
    <w:rsid w:val="00F7714D"/>
    <w:rsid w:val="00F7731F"/>
    <w:rsid w:val="00F7775E"/>
    <w:rsid w:val="00F7792C"/>
    <w:rsid w:val="00F7797D"/>
    <w:rsid w:val="00F80055"/>
    <w:rsid w:val="00F800A6"/>
    <w:rsid w:val="00F8033A"/>
    <w:rsid w:val="00F80798"/>
    <w:rsid w:val="00F809F5"/>
    <w:rsid w:val="00F80AF1"/>
    <w:rsid w:val="00F80DCD"/>
    <w:rsid w:val="00F80DFC"/>
    <w:rsid w:val="00F81309"/>
    <w:rsid w:val="00F81792"/>
    <w:rsid w:val="00F818FA"/>
    <w:rsid w:val="00F81968"/>
    <w:rsid w:val="00F819F3"/>
    <w:rsid w:val="00F81C43"/>
    <w:rsid w:val="00F81C74"/>
    <w:rsid w:val="00F81D2A"/>
    <w:rsid w:val="00F823E1"/>
    <w:rsid w:val="00F827A2"/>
    <w:rsid w:val="00F82D98"/>
    <w:rsid w:val="00F82F9D"/>
    <w:rsid w:val="00F83078"/>
    <w:rsid w:val="00F83D1C"/>
    <w:rsid w:val="00F84400"/>
    <w:rsid w:val="00F84A83"/>
    <w:rsid w:val="00F84D21"/>
    <w:rsid w:val="00F84D7C"/>
    <w:rsid w:val="00F84D9A"/>
    <w:rsid w:val="00F84DD7"/>
    <w:rsid w:val="00F84E0A"/>
    <w:rsid w:val="00F84ED1"/>
    <w:rsid w:val="00F85094"/>
    <w:rsid w:val="00F856EF"/>
    <w:rsid w:val="00F864D6"/>
    <w:rsid w:val="00F8653C"/>
    <w:rsid w:val="00F866CE"/>
    <w:rsid w:val="00F867C7"/>
    <w:rsid w:val="00F86B98"/>
    <w:rsid w:val="00F86FC1"/>
    <w:rsid w:val="00F87146"/>
    <w:rsid w:val="00F87161"/>
    <w:rsid w:val="00F87753"/>
    <w:rsid w:val="00F904B3"/>
    <w:rsid w:val="00F907F0"/>
    <w:rsid w:val="00F90C9F"/>
    <w:rsid w:val="00F90EEB"/>
    <w:rsid w:val="00F9149D"/>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4994"/>
    <w:rsid w:val="00F94E81"/>
    <w:rsid w:val="00F95788"/>
    <w:rsid w:val="00F95B71"/>
    <w:rsid w:val="00F95F09"/>
    <w:rsid w:val="00F962C3"/>
    <w:rsid w:val="00F965ED"/>
    <w:rsid w:val="00F96A19"/>
    <w:rsid w:val="00F96D07"/>
    <w:rsid w:val="00F96F6D"/>
    <w:rsid w:val="00F96FD1"/>
    <w:rsid w:val="00F9719E"/>
    <w:rsid w:val="00F972F3"/>
    <w:rsid w:val="00F9773A"/>
    <w:rsid w:val="00F97A98"/>
    <w:rsid w:val="00FA0091"/>
    <w:rsid w:val="00FA0770"/>
    <w:rsid w:val="00FA0981"/>
    <w:rsid w:val="00FA0A84"/>
    <w:rsid w:val="00FA0B4A"/>
    <w:rsid w:val="00FA0F40"/>
    <w:rsid w:val="00FA16BE"/>
    <w:rsid w:val="00FA1B86"/>
    <w:rsid w:val="00FA1CA0"/>
    <w:rsid w:val="00FA1E32"/>
    <w:rsid w:val="00FA2335"/>
    <w:rsid w:val="00FA239A"/>
    <w:rsid w:val="00FA23E6"/>
    <w:rsid w:val="00FA2792"/>
    <w:rsid w:val="00FA2AB4"/>
    <w:rsid w:val="00FA2C14"/>
    <w:rsid w:val="00FA3681"/>
    <w:rsid w:val="00FA378F"/>
    <w:rsid w:val="00FA3887"/>
    <w:rsid w:val="00FA3A3D"/>
    <w:rsid w:val="00FA3D11"/>
    <w:rsid w:val="00FA40E6"/>
    <w:rsid w:val="00FA4889"/>
    <w:rsid w:val="00FA4BEC"/>
    <w:rsid w:val="00FA4F52"/>
    <w:rsid w:val="00FA4FF0"/>
    <w:rsid w:val="00FA50A6"/>
    <w:rsid w:val="00FA55A8"/>
    <w:rsid w:val="00FA616B"/>
    <w:rsid w:val="00FA67AD"/>
    <w:rsid w:val="00FA6A5B"/>
    <w:rsid w:val="00FA6B22"/>
    <w:rsid w:val="00FA7311"/>
    <w:rsid w:val="00FA739C"/>
    <w:rsid w:val="00FA774D"/>
    <w:rsid w:val="00FB046F"/>
    <w:rsid w:val="00FB09B0"/>
    <w:rsid w:val="00FB0F16"/>
    <w:rsid w:val="00FB1002"/>
    <w:rsid w:val="00FB12F3"/>
    <w:rsid w:val="00FB1331"/>
    <w:rsid w:val="00FB1583"/>
    <w:rsid w:val="00FB1708"/>
    <w:rsid w:val="00FB1C8E"/>
    <w:rsid w:val="00FB1C9D"/>
    <w:rsid w:val="00FB1CD9"/>
    <w:rsid w:val="00FB20F3"/>
    <w:rsid w:val="00FB2434"/>
    <w:rsid w:val="00FB2884"/>
    <w:rsid w:val="00FB292B"/>
    <w:rsid w:val="00FB31D1"/>
    <w:rsid w:val="00FB335A"/>
    <w:rsid w:val="00FB3456"/>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523"/>
    <w:rsid w:val="00FB6A6F"/>
    <w:rsid w:val="00FB6E69"/>
    <w:rsid w:val="00FB71A1"/>
    <w:rsid w:val="00FB7711"/>
    <w:rsid w:val="00FB7CC4"/>
    <w:rsid w:val="00FB7F6C"/>
    <w:rsid w:val="00FC01AA"/>
    <w:rsid w:val="00FC0303"/>
    <w:rsid w:val="00FC0587"/>
    <w:rsid w:val="00FC0598"/>
    <w:rsid w:val="00FC06CD"/>
    <w:rsid w:val="00FC077F"/>
    <w:rsid w:val="00FC1461"/>
    <w:rsid w:val="00FC17F7"/>
    <w:rsid w:val="00FC2B39"/>
    <w:rsid w:val="00FC2BE4"/>
    <w:rsid w:val="00FC3431"/>
    <w:rsid w:val="00FC3698"/>
    <w:rsid w:val="00FC39E2"/>
    <w:rsid w:val="00FC3AD6"/>
    <w:rsid w:val="00FC3E44"/>
    <w:rsid w:val="00FC3ED2"/>
    <w:rsid w:val="00FC4591"/>
    <w:rsid w:val="00FC59AE"/>
    <w:rsid w:val="00FC5E60"/>
    <w:rsid w:val="00FC5FDD"/>
    <w:rsid w:val="00FC715F"/>
    <w:rsid w:val="00FC724B"/>
    <w:rsid w:val="00FC7818"/>
    <w:rsid w:val="00FC7AF8"/>
    <w:rsid w:val="00FC7B55"/>
    <w:rsid w:val="00FC7F1E"/>
    <w:rsid w:val="00FD0085"/>
    <w:rsid w:val="00FD0239"/>
    <w:rsid w:val="00FD0377"/>
    <w:rsid w:val="00FD0566"/>
    <w:rsid w:val="00FD13FE"/>
    <w:rsid w:val="00FD19A0"/>
    <w:rsid w:val="00FD1EE3"/>
    <w:rsid w:val="00FD1F60"/>
    <w:rsid w:val="00FD208C"/>
    <w:rsid w:val="00FD2B46"/>
    <w:rsid w:val="00FD3254"/>
    <w:rsid w:val="00FD3334"/>
    <w:rsid w:val="00FD3B22"/>
    <w:rsid w:val="00FD3F84"/>
    <w:rsid w:val="00FD4391"/>
    <w:rsid w:val="00FD4BB1"/>
    <w:rsid w:val="00FD4C3B"/>
    <w:rsid w:val="00FD4F60"/>
    <w:rsid w:val="00FD5025"/>
    <w:rsid w:val="00FD56B6"/>
    <w:rsid w:val="00FD5952"/>
    <w:rsid w:val="00FD5A7E"/>
    <w:rsid w:val="00FD5D6A"/>
    <w:rsid w:val="00FD5E47"/>
    <w:rsid w:val="00FD5E6D"/>
    <w:rsid w:val="00FD611C"/>
    <w:rsid w:val="00FD62F1"/>
    <w:rsid w:val="00FD633A"/>
    <w:rsid w:val="00FD64A0"/>
    <w:rsid w:val="00FD66EE"/>
    <w:rsid w:val="00FD6BA6"/>
    <w:rsid w:val="00FD6E06"/>
    <w:rsid w:val="00FD726B"/>
    <w:rsid w:val="00FD7536"/>
    <w:rsid w:val="00FD78E9"/>
    <w:rsid w:val="00FD7998"/>
    <w:rsid w:val="00FD7F77"/>
    <w:rsid w:val="00FE03D6"/>
    <w:rsid w:val="00FE03DD"/>
    <w:rsid w:val="00FE0551"/>
    <w:rsid w:val="00FE0805"/>
    <w:rsid w:val="00FE0A41"/>
    <w:rsid w:val="00FE0CAF"/>
    <w:rsid w:val="00FE1275"/>
    <w:rsid w:val="00FE1464"/>
    <w:rsid w:val="00FE1966"/>
    <w:rsid w:val="00FE1CF8"/>
    <w:rsid w:val="00FE1F93"/>
    <w:rsid w:val="00FE20E3"/>
    <w:rsid w:val="00FE2207"/>
    <w:rsid w:val="00FE2905"/>
    <w:rsid w:val="00FE2B58"/>
    <w:rsid w:val="00FE2E83"/>
    <w:rsid w:val="00FE3D08"/>
    <w:rsid w:val="00FE3F7C"/>
    <w:rsid w:val="00FE42E7"/>
    <w:rsid w:val="00FE4EF5"/>
    <w:rsid w:val="00FE4FEB"/>
    <w:rsid w:val="00FE51B0"/>
    <w:rsid w:val="00FE533B"/>
    <w:rsid w:val="00FE54D6"/>
    <w:rsid w:val="00FE577D"/>
    <w:rsid w:val="00FE60CA"/>
    <w:rsid w:val="00FE63A4"/>
    <w:rsid w:val="00FE67FD"/>
    <w:rsid w:val="00FE6B16"/>
    <w:rsid w:val="00FE7037"/>
    <w:rsid w:val="00FE71C0"/>
    <w:rsid w:val="00FE73D9"/>
    <w:rsid w:val="00FE7401"/>
    <w:rsid w:val="00FE740A"/>
    <w:rsid w:val="00FE757F"/>
    <w:rsid w:val="00FE7DBF"/>
    <w:rsid w:val="00FF037B"/>
    <w:rsid w:val="00FF040D"/>
    <w:rsid w:val="00FF063D"/>
    <w:rsid w:val="00FF0867"/>
    <w:rsid w:val="00FF09FA"/>
    <w:rsid w:val="00FF0BAB"/>
    <w:rsid w:val="00FF1198"/>
    <w:rsid w:val="00FF15A8"/>
    <w:rsid w:val="00FF1D82"/>
    <w:rsid w:val="00FF1EDB"/>
    <w:rsid w:val="00FF238C"/>
    <w:rsid w:val="00FF2516"/>
    <w:rsid w:val="00FF284C"/>
    <w:rsid w:val="00FF29B2"/>
    <w:rsid w:val="00FF2AF7"/>
    <w:rsid w:val="00FF339A"/>
    <w:rsid w:val="00FF34BF"/>
    <w:rsid w:val="00FF39A0"/>
    <w:rsid w:val="00FF39B4"/>
    <w:rsid w:val="00FF3A1E"/>
    <w:rsid w:val="00FF3F40"/>
    <w:rsid w:val="00FF4148"/>
    <w:rsid w:val="00FF4E1B"/>
    <w:rsid w:val="00FF5005"/>
    <w:rsid w:val="00FF57D9"/>
    <w:rsid w:val="00FF76E0"/>
    <w:rsid w:val="00FF78D9"/>
    <w:rsid w:val="00FF78FA"/>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651AC4AF-CF7F-45A4-970C-3E703750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A68"/>
    <w:pPr>
      <w:spacing w:after="113" w:line="240" w:lineRule="atLeast"/>
    </w:pPr>
    <w:rPr>
      <w:rFonts w:ascii="Arial Narrow" w:eastAsia="Calibri" w:hAnsi="Arial Narrow" w:cs="Times New Roman"/>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ind w:left="720" w:hanging="720"/>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1"/>
      </w:numPr>
      <w:pBdr>
        <w:between w:val="single" w:sz="4" w:space="1" w:color="auto"/>
      </w:pBdr>
      <w:spacing w:before="240" w:after="89"/>
      <w:outlineLvl w:val="5"/>
    </w:pPr>
    <w:rPr>
      <w:rFonts w:eastAsia="PMingLiU"/>
      <w:b/>
      <w:i/>
      <w:color w:val="808080"/>
      <w:spacing w:val="3"/>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PMingLiU"/>
      <w:b/>
      <w:color w:val="272727"/>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PMingLiU"/>
      <w:b/>
      <w:iCs/>
      <w:color w:val="272727"/>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Narrow" w:eastAsiaTheme="majorEastAsia" w:hAnsi="Arial Narrow"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A93E8B"/>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qFormat/>
    <w:rsid w:val="000659A4"/>
    <w:pPr>
      <w:numPr>
        <w:numId w:val="36"/>
      </w:numPr>
      <w:spacing w:before="60" w:after="60"/>
    </w:pPr>
  </w:style>
  <w:style w:type="paragraph" w:styleId="ListBullet2">
    <w:name w:val="List Bullet 2"/>
    <w:basedOn w:val="Normal"/>
    <w:uiPriority w:val="99"/>
    <w:qFormat/>
    <w:rsid w:val="000659A4"/>
    <w:pPr>
      <w:numPr>
        <w:ilvl w:val="1"/>
        <w:numId w:val="36"/>
      </w:numPr>
      <w:spacing w:after="60"/>
      <w:ind w:left="24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rsid w:val="0054071A"/>
    <w:rPr>
      <w:rFonts w:ascii="Arial Narrow" w:hAnsi="Arial Narrow"/>
      <w:lang w:val="en-AU"/>
    </w:rPr>
  </w:style>
  <w:style w:type="character" w:customStyle="1" w:styleId="Heading3Char">
    <w:name w:val="Heading 3 Char"/>
    <w:basedOn w:val="DefaultParagraphFont"/>
    <w:link w:val="Heading3"/>
    <w:uiPriority w:val="9"/>
    <w:rsid w:val="00A93E8B"/>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PMingLiU" w:hAnsi="Arial Narrow" w:cs="Times New Roman"/>
      <w:b/>
      <w:i/>
      <w:color w:val="8080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Narrow" w:eastAsia="PMingLiU" w:hAnsi="Arial Narrow" w:cs="Times New Roman"/>
      <w:b/>
      <w:color w:val="272727"/>
      <w:sz w:val="28"/>
      <w:szCs w:val="21"/>
      <w:lang w:val="en-AU"/>
    </w:rPr>
  </w:style>
  <w:style w:type="character" w:customStyle="1" w:styleId="Heading9Char">
    <w:name w:val="Heading 9 Char"/>
    <w:basedOn w:val="DefaultParagraphFont"/>
    <w:link w:val="Heading9"/>
    <w:uiPriority w:val="9"/>
    <w:rsid w:val="00A93E8B"/>
    <w:rPr>
      <w:rFonts w:ascii="Arial Narrow" w:eastAsia="PMingLiU" w:hAnsi="Arial Narrow" w:cs="Times New Roman"/>
      <w:b/>
      <w:iCs/>
      <w:color w:val="272727"/>
      <w:spacing w:val="3"/>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link w:val="BoxListBulletChar"/>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left w:val="single" w:sz="2" w:space="10" w:color="9757A6"/>
        <w:bottom w:val="single" w:sz="2" w:space="10" w:color="9757A6"/>
        <w:right w:val="single" w:sz="2" w:space="10" w:color="9757A6"/>
      </w:pBdr>
      <w:ind w:left="1152" w:right="1152"/>
    </w:pPr>
    <w:rPr>
      <w:rFonts w:ascii="Calibri" w:eastAsia="PMingLiU" w:hAnsi="Calibri"/>
      <w:i/>
      <w:iCs/>
      <w:color w:val="9757A6"/>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E86A68"/>
    <w:pPr>
      <w:framePr w:w="7920" w:h="1980" w:hRule="exact" w:hSpace="180" w:wrap="auto" w:hAnchor="page" w:xAlign="center" w:yAlign="bottom"/>
      <w:spacing w:after="0" w:line="240" w:lineRule="auto"/>
      <w:ind w:left="2880"/>
    </w:pPr>
    <w:rPr>
      <w:rFonts w:ascii="Calibri Light" w:eastAsia="PMingLiU" w:hAnsi="Calibri Light"/>
      <w:sz w:val="24"/>
      <w:szCs w:val="24"/>
    </w:rPr>
  </w:style>
  <w:style w:type="paragraph" w:styleId="EnvelopeReturn">
    <w:name w:val="envelope return"/>
    <w:basedOn w:val="Normal"/>
    <w:uiPriority w:val="99"/>
    <w:semiHidden/>
    <w:unhideWhenUsed/>
    <w:rsid w:val="000E5CC4"/>
    <w:pPr>
      <w:spacing w:after="0" w:line="240" w:lineRule="auto"/>
    </w:pPr>
    <w:rPr>
      <w:rFonts w:ascii="Calibri Light" w:eastAsia="PMingLiU" w:hAnsi="Calibri Light"/>
      <w:szCs w:val="20"/>
    </w:rPr>
  </w:style>
  <w:style w:type="character" w:styleId="FollowedHyperlink">
    <w:name w:val="FollowedHyperlink"/>
    <w:uiPriority w:val="99"/>
    <w:semiHidden/>
    <w:unhideWhenUsed/>
    <w:rsid w:val="000E5CC4"/>
    <w:rPr>
      <w:color w:val="D490C5"/>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APVMA_Footnote"/>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APVMA_Footnote Char"/>
    <w:basedOn w:val="DefaultParagraphFont"/>
    <w:link w:val="FootnoteText"/>
    <w:uiPriority w:val="99"/>
    <w:rsid w:val="001F3497"/>
    <w:rPr>
      <w:rFonts w:ascii="HelveticaNeueLT Std Lt Cn" w:hAnsi="HelveticaNeueLT Std Lt Cn"/>
      <w:sz w:val="16"/>
      <w:szCs w:val="20"/>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Calibri Light" w:eastAsia="PMingLiU" w:hAnsi="Calibri Light"/>
      <w:b/>
      <w:bCs/>
    </w:rPr>
  </w:style>
  <w:style w:type="character" w:styleId="IntenseEmphasis">
    <w:name w:val="Intense Emphasis"/>
    <w:uiPriority w:val="21"/>
    <w:qFormat/>
    <w:rsid w:val="000E5CC4"/>
    <w:rPr>
      <w:i/>
      <w:iCs/>
      <w:color w:val="9757A6"/>
    </w:rPr>
  </w:style>
  <w:style w:type="paragraph" w:styleId="IntenseQuote">
    <w:name w:val="Intense Quote"/>
    <w:basedOn w:val="Normal"/>
    <w:next w:val="Normal"/>
    <w:link w:val="IntenseQuoteChar"/>
    <w:uiPriority w:val="30"/>
    <w:qFormat/>
    <w:rsid w:val="000E5CC4"/>
    <w:pPr>
      <w:pBdr>
        <w:top w:val="single" w:sz="4" w:space="10" w:color="9757A6"/>
        <w:bottom w:val="single" w:sz="4" w:space="10" w:color="9757A6"/>
      </w:pBdr>
      <w:spacing w:before="360" w:after="360"/>
      <w:ind w:left="864" w:right="864"/>
      <w:jc w:val="center"/>
    </w:pPr>
    <w:rPr>
      <w:i/>
      <w:iCs/>
      <w:color w:val="9757A6"/>
    </w:rPr>
  </w:style>
  <w:style w:type="character" w:customStyle="1" w:styleId="IntenseQuoteChar">
    <w:name w:val="Intense Quote Char"/>
    <w:basedOn w:val="DefaultParagraphFont"/>
    <w:link w:val="IntenseQuote"/>
    <w:uiPriority w:val="30"/>
    <w:rsid w:val="000E5CC4"/>
    <w:rPr>
      <w:rFonts w:ascii="Arial Narrow" w:eastAsia="Calibri" w:hAnsi="Arial Narrow" w:cs="Times New Roman"/>
      <w:i/>
      <w:iCs/>
      <w:color w:val="9757A6"/>
      <w:lang w:val="en-AU"/>
    </w:rPr>
  </w:style>
  <w:style w:type="character" w:styleId="IntenseReference">
    <w:name w:val="Intense Reference"/>
    <w:uiPriority w:val="32"/>
    <w:qFormat/>
    <w:rsid w:val="000E5CC4"/>
    <w:rPr>
      <w:b/>
      <w:bCs/>
      <w:smallCaps/>
      <w:color w:val="9757A6"/>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qFormat/>
    <w:rsid w:val="000659A4"/>
    <w:pPr>
      <w:numPr>
        <w:ilvl w:val="2"/>
        <w:numId w:val="36"/>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86A6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0E5CC4"/>
    <w:rPr>
      <w:rFonts w:ascii="Consolas" w:eastAsia="Calibri" w:hAnsi="Consolas" w:cs="Times New Roman"/>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PMingLiU" w:hAnsi="Calibri Light"/>
      <w:sz w:val="24"/>
      <w:szCs w:val="24"/>
    </w:rPr>
  </w:style>
  <w:style w:type="character" w:customStyle="1" w:styleId="MessageHeaderChar">
    <w:name w:val="Message Header Char"/>
    <w:basedOn w:val="DefaultParagraphFont"/>
    <w:link w:val="MessageHeader"/>
    <w:uiPriority w:val="99"/>
    <w:semiHidden/>
    <w:rsid w:val="000E5CC4"/>
    <w:rPr>
      <w:rFonts w:ascii="Calibri Light" w:eastAsia="PMingLiU" w:hAnsi="Calibri Light" w:cs="Times New Roman"/>
      <w:sz w:val="24"/>
      <w:szCs w:val="24"/>
      <w:shd w:val="pct20" w:color="auto" w:fill="auto"/>
      <w:lang w:val="en-AU"/>
    </w:rPr>
  </w:style>
  <w:style w:type="paragraph" w:styleId="NoSpacing">
    <w:name w:val="No Spacing"/>
    <w:uiPriority w:val="1"/>
    <w:qFormat/>
    <w:rsid w:val="00E86A68"/>
    <w:pPr>
      <w:spacing w:after="0" w:line="240" w:lineRule="auto"/>
    </w:pPr>
    <w:rPr>
      <w:rFonts w:ascii="HelveticaNeueLT Std Lt Cn" w:eastAsia="Calibri" w:hAnsi="HelveticaNeueLT Std Lt Cn" w:cs="Times New Roman"/>
      <w:sz w:val="20"/>
    </w:rPr>
  </w:style>
  <w:style w:type="paragraph" w:styleId="NormalWeb">
    <w:name w:val="Normal (Web)"/>
    <w:basedOn w:val="Normal"/>
    <w:uiPriority w:val="99"/>
    <w:unhideWhenUsed/>
    <w:rsid w:val="000E5CC4"/>
    <w:rPr>
      <w:rFonts w:ascii="Times New Roman" w:hAnsi="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sz w:val="20"/>
    </w:rPr>
  </w:style>
  <w:style w:type="character" w:customStyle="1" w:styleId="QuoteChar">
    <w:name w:val="Quote Char"/>
    <w:basedOn w:val="DefaultParagraphFont"/>
    <w:link w:val="Quote"/>
    <w:uiPriority w:val="29"/>
    <w:rsid w:val="00DA5DC2"/>
    <w:rPr>
      <w:rFonts w:ascii="Arial Narrow" w:eastAsia="Calibri" w:hAnsi="Arial Narrow" w:cs="Times New Roman"/>
      <w:i/>
      <w:iCs/>
      <w:color w:val="404040"/>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Calibri" w:eastAsia="PMingLiU" w:hAnsi="Calibri"/>
      <w:color w:val="5A5A5A"/>
      <w:spacing w:val="15"/>
    </w:rPr>
  </w:style>
  <w:style w:type="character" w:customStyle="1" w:styleId="SubtitleChar">
    <w:name w:val="Subtitle Char"/>
    <w:basedOn w:val="DefaultParagraphFont"/>
    <w:link w:val="Subtitle"/>
    <w:uiPriority w:val="11"/>
    <w:semiHidden/>
    <w:rsid w:val="000E5CC4"/>
    <w:rPr>
      <w:rFonts w:ascii="Calibri" w:eastAsia="PMingLiU" w:hAnsi="Calibri" w:cs="Times New Roman"/>
      <w:color w:val="5A5A5A"/>
      <w:spacing w:val="15"/>
      <w:lang w:val="en-AU"/>
    </w:rPr>
  </w:style>
  <w:style w:type="character" w:styleId="SubtleEmphasis">
    <w:name w:val="Subtle Emphasis"/>
    <w:uiPriority w:val="19"/>
    <w:qFormat/>
    <w:rsid w:val="000E5CC4"/>
    <w:rPr>
      <w:i/>
      <w:iCs/>
      <w:color w:val="404040"/>
    </w:rPr>
  </w:style>
  <w:style w:type="character" w:styleId="SubtleReference">
    <w:name w:val="Subtle Reference"/>
    <w:uiPriority w:val="31"/>
    <w:qFormat/>
    <w:rsid w:val="000E5CC4"/>
    <w:rPr>
      <w:smallCaps/>
      <w:color w:val="5A5A5A"/>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Calibri Light" w:eastAsia="PMingLiU" w:hAnsi="Calibri Light"/>
      <w:spacing w:val="-10"/>
      <w:kern w:val="28"/>
      <w:sz w:val="56"/>
      <w:szCs w:val="56"/>
    </w:rPr>
  </w:style>
  <w:style w:type="character" w:customStyle="1" w:styleId="TitleChar">
    <w:name w:val="Title Char"/>
    <w:basedOn w:val="DefaultParagraphFont"/>
    <w:link w:val="Title"/>
    <w:uiPriority w:val="10"/>
    <w:rsid w:val="000E5CC4"/>
    <w:rPr>
      <w:rFonts w:ascii="Calibri Light" w:eastAsia="PMingLiU" w:hAnsi="Calibri Light" w:cs="Times New Roman"/>
      <w:spacing w:val="-10"/>
      <w:kern w:val="28"/>
      <w:sz w:val="56"/>
      <w:szCs w:val="56"/>
      <w:lang w:val="en-AU"/>
    </w:rPr>
  </w:style>
  <w:style w:type="paragraph" w:styleId="TOAHeading">
    <w:name w:val="toa heading"/>
    <w:basedOn w:val="Normal"/>
    <w:next w:val="Normal"/>
    <w:uiPriority w:val="99"/>
    <w:semiHidden/>
    <w:unhideWhenUsed/>
    <w:rsid w:val="000E5CC4"/>
    <w:pPr>
      <w:spacing w:before="120"/>
    </w:pPr>
    <w:rPr>
      <w:rFonts w:ascii="Calibri Light" w:eastAsia="PMingLiU" w:hAnsi="Calibri Light"/>
      <w:b/>
      <w:bCs/>
      <w:sz w:val="24"/>
      <w:szCs w:val="24"/>
    </w:rPr>
  </w:style>
  <w:style w:type="paragraph" w:customStyle="1" w:styleId="LetterName">
    <w:name w:val="LetterName"/>
    <w:basedOn w:val="LetterBodyCopy"/>
    <w:uiPriority w:val="99"/>
    <w:rsid w:val="00CA3916"/>
    <w:pPr>
      <w:spacing w:before="0" w:after="0"/>
    </w:pPr>
    <w:rPr>
      <w:rFonts w:eastAsia="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aps/>
      <w:sz w:val="14"/>
      <w:szCs w:val="20"/>
    </w:rPr>
  </w:style>
  <w:style w:type="paragraph" w:customStyle="1" w:styleId="HeaderAddress">
    <w:name w:val="HeaderAddress"/>
    <w:basedOn w:val="Normal"/>
    <w:rsid w:val="00FA378F"/>
    <w:pPr>
      <w:spacing w:after="0" w:line="240" w:lineRule="auto"/>
    </w:pPr>
    <w:rPr>
      <w:rFonts w:ascii="Calibri" w:eastAsia="Times New Roman" w:hAnsi="Calibri"/>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qFormat/>
    <w:rsid w:val="00FB0F16"/>
    <w:pPr>
      <w:spacing w:before="60" w:after="0"/>
      <w:ind w:right="12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olor w:val="FFFFFF"/>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E86A68"/>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E86A68"/>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Consolas" w:hAnsi="Consolas"/>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Arial Bold" w:hAnsi="Arial Bold"/>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5"/>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5"/>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sz w:val="18"/>
    </w:rPr>
  </w:style>
  <w:style w:type="paragraph" w:customStyle="1" w:styleId="BoxQuoteListBullet">
    <w:name w:val="Box Quote List Bullet"/>
    <w:basedOn w:val="Normal-nospace"/>
    <w:qFormat/>
    <w:rsid w:val="00E86A68"/>
    <w:pPr>
      <w:numPr>
        <w:numId w:val="24"/>
      </w:numPr>
      <w:spacing w:after="60" w:line="240" w:lineRule="auto"/>
      <w:ind w:left="1008" w:right="400"/>
      <w:contextualSpacing/>
    </w:pPr>
    <w:rPr>
      <w:i/>
      <w:color w:val="404040"/>
      <w:sz w:val="18"/>
    </w:rPr>
  </w:style>
  <w:style w:type="paragraph" w:customStyle="1" w:styleId="BoxQuoteSource">
    <w:name w:val="Box Quote Source"/>
    <w:basedOn w:val="Normal-nospace"/>
    <w:qFormat/>
    <w:rsid w:val="00BC480E"/>
    <w:pPr>
      <w:spacing w:line="240" w:lineRule="auto"/>
      <w:ind w:right="400"/>
      <w:jc w:val="right"/>
    </w:pPr>
    <w:rPr>
      <w:i/>
      <w:color w:val="595959"/>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sz w:val="18"/>
    </w:rPr>
  </w:style>
  <w:style w:type="paragraph" w:customStyle="1" w:styleId="TableQuoteBullet">
    <w:name w:val="Table Quote Bullet"/>
    <w:basedOn w:val="Normal-nospace"/>
    <w:qFormat/>
    <w:rsid w:val="00E86A68"/>
    <w:pPr>
      <w:numPr>
        <w:numId w:val="25"/>
      </w:numPr>
      <w:spacing w:after="60" w:line="240" w:lineRule="auto"/>
      <w:ind w:right="200"/>
      <w:contextualSpacing/>
    </w:pPr>
    <w:rPr>
      <w:i/>
      <w:color w:val="404040"/>
      <w:sz w:val="18"/>
    </w:rPr>
  </w:style>
  <w:style w:type="paragraph" w:customStyle="1" w:styleId="TableQuoteSource">
    <w:name w:val="Table Quote Source"/>
    <w:basedOn w:val="Normal-nospace"/>
    <w:qFormat/>
    <w:rsid w:val="00BC480E"/>
    <w:pPr>
      <w:spacing w:after="60" w:line="240" w:lineRule="auto"/>
      <w:ind w:right="200"/>
      <w:jc w:val="right"/>
    </w:pPr>
    <w:rPr>
      <w:i/>
      <w:color w:val="404040"/>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4"/>
      </w:numPr>
      <w:spacing w:before="60" w:after="60"/>
    </w:pPr>
  </w:style>
  <w:style w:type="paragraph" w:customStyle="1" w:styleId="ListDash2">
    <w:name w:val="List Dash 2"/>
    <w:basedOn w:val="Normal"/>
    <w:qFormat/>
    <w:rsid w:val="009005D5"/>
    <w:pPr>
      <w:numPr>
        <w:ilvl w:val="1"/>
        <w:numId w:val="34"/>
      </w:numPr>
      <w:spacing w:after="60"/>
      <w:contextualSpacing/>
    </w:pPr>
  </w:style>
  <w:style w:type="paragraph" w:customStyle="1" w:styleId="ListDash3">
    <w:name w:val="List Dash 3"/>
    <w:basedOn w:val="Normal"/>
    <w:qFormat/>
    <w:rsid w:val="009005D5"/>
    <w:pPr>
      <w:numPr>
        <w:ilvl w:val="2"/>
        <w:numId w:val="34"/>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sz w:val="20"/>
      <w:szCs w:val="20"/>
      <w:lang w:eastAsia="zh-TW"/>
    </w:rPr>
  </w:style>
  <w:style w:type="character" w:customStyle="1" w:styleId="apple-converted-space">
    <w:name w:val="apple-converted-space"/>
    <w:basedOn w:val="DefaultParagraphFont"/>
    <w:rsid w:val="0029654D"/>
  </w:style>
  <w:style w:type="character" w:customStyle="1" w:styleId="BoxListBulletChar">
    <w:name w:val="Box List Bullet Char"/>
    <w:basedOn w:val="DefaultParagraphFont"/>
    <w:link w:val="BoxListBullet"/>
    <w:locked/>
    <w:rsid w:val="00417D1D"/>
    <w:rPr>
      <w:rFonts w:ascii="Arial Narrow" w:hAnsi="Arial Narrow"/>
      <w:sz w:val="20"/>
      <w:lang w:val="en-AU"/>
    </w:rPr>
  </w:style>
  <w:style w:type="paragraph" w:customStyle="1" w:styleId="APVMAText">
    <w:name w:val="APVMA_Text"/>
    <w:basedOn w:val="Normal"/>
    <w:rsid w:val="00D57689"/>
    <w:pPr>
      <w:suppressAutoHyphens/>
      <w:spacing w:before="240" w:after="240" w:line="280" w:lineRule="exact"/>
    </w:pPr>
    <w:rPr>
      <w:rFonts w:ascii="Arial" w:eastAsia="Times New Roman" w:hAnsi="Arial" w:cs="Arial"/>
      <w:sz w:val="20"/>
      <w:szCs w:val="24"/>
      <w:u w:color="000000"/>
    </w:rPr>
  </w:style>
  <w:style w:type="character" w:customStyle="1" w:styleId="glossary-term">
    <w:name w:val="glossary-term"/>
    <w:basedOn w:val="DefaultParagraphFont"/>
    <w:rsid w:val="00D340F3"/>
  </w:style>
  <w:style w:type="paragraph" w:customStyle="1" w:styleId="preul">
    <w:name w:val="preul"/>
    <w:basedOn w:val="Normal"/>
    <w:rsid w:val="00F8196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ist1">
    <w:name w:val="List1"/>
    <w:basedOn w:val="Normal"/>
    <w:rsid w:val="0039542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istidentifier">
    <w:name w:val="listidentifier"/>
    <w:basedOn w:val="DefaultParagraphFont"/>
    <w:rsid w:val="00395423"/>
  </w:style>
  <w:style w:type="paragraph" w:customStyle="1" w:styleId="icon-rg">
    <w:name w:val="icon-rg"/>
    <w:basedOn w:val="Normal"/>
    <w:rsid w:val="00F84D7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Text">
    <w:name w:val="Normal Text"/>
    <w:basedOn w:val="Normal"/>
    <w:qFormat/>
    <w:rsid w:val="00387576"/>
    <w:pPr>
      <w:suppressAutoHyphens/>
      <w:spacing w:before="240" w:after="240" w:line="280" w:lineRule="exact"/>
    </w:pPr>
    <w:rPr>
      <w:rFonts w:ascii="Arial" w:eastAsia="Times New Roman" w:hAnsi="Arial" w:cs="Arial"/>
      <w:kern w:val="20"/>
      <w:sz w:val="19"/>
      <w:szCs w:val="24"/>
      <w:u w:color="000000"/>
    </w:rPr>
  </w:style>
  <w:style w:type="paragraph" w:customStyle="1" w:styleId="APVMAEvenHeader">
    <w:name w:val="APVMA_Even_Header"/>
    <w:basedOn w:val="Normal"/>
    <w:uiPriority w:val="4"/>
    <w:rsid w:val="00387576"/>
    <w:pPr>
      <w:pBdr>
        <w:bottom w:val="single" w:sz="4" w:space="1" w:color="auto"/>
      </w:pBdr>
      <w:tabs>
        <w:tab w:val="left" w:pos="567"/>
        <w:tab w:val="right" w:pos="9638"/>
      </w:tabs>
      <w:suppressAutoHyphens/>
      <w:spacing w:after="0" w:line="200" w:lineRule="exact"/>
      <w:ind w:left="567" w:hanging="567"/>
    </w:pPr>
    <w:rPr>
      <w:rFonts w:ascii="Arial" w:eastAsia="Times New Roman" w:hAnsi="Arial" w:cs="Arial"/>
      <w:b/>
      <w:bCs/>
      <w:caps/>
      <w:color w:val="53284F"/>
      <w:kern w:val="20"/>
      <w:sz w:val="18"/>
      <w:szCs w:val="18"/>
      <w:u w:color="000000"/>
    </w:rPr>
  </w:style>
  <w:style w:type="paragraph" w:customStyle="1" w:styleId="Default">
    <w:name w:val="Default"/>
    <w:rsid w:val="00E86A68"/>
    <w:pPr>
      <w:autoSpaceDE w:val="0"/>
      <w:autoSpaceDN w:val="0"/>
      <w:adjustRightInd w:val="0"/>
      <w:spacing w:after="0" w:line="240" w:lineRule="auto"/>
    </w:pPr>
    <w:rPr>
      <w:rFonts w:ascii="Arial" w:eastAsia="Calibri" w:hAnsi="Arial" w:cs="Arial"/>
      <w:color w:val="000000"/>
      <w:sz w:val="24"/>
      <w:szCs w:val="24"/>
    </w:rPr>
  </w:style>
  <w:style w:type="paragraph" w:customStyle="1" w:styleId="Text">
    <w:name w:val="Text"/>
    <w:basedOn w:val="Normal"/>
    <w:link w:val="TextChar"/>
    <w:qFormat/>
    <w:rsid w:val="00F61D15"/>
    <w:pPr>
      <w:spacing w:before="240" w:after="0" w:line="240" w:lineRule="auto"/>
      <w:jc w:val="both"/>
    </w:pPr>
    <w:rPr>
      <w:rFonts w:ascii="Calibri" w:hAnsi="Calibri" w:cs="Calibri"/>
    </w:rPr>
  </w:style>
  <w:style w:type="character" w:customStyle="1" w:styleId="TextChar">
    <w:name w:val="Text Char"/>
    <w:basedOn w:val="DefaultParagraphFont"/>
    <w:link w:val="Text"/>
    <w:rsid w:val="00F61D15"/>
    <w:rPr>
      <w:rFonts w:ascii="Calibri" w:hAnsi="Calibri" w:cs="Calibri"/>
      <w:lang w:val="en-AU"/>
    </w:rPr>
  </w:style>
  <w:style w:type="character" w:customStyle="1" w:styleId="element-invisible">
    <w:name w:val="element-invisible"/>
    <w:basedOn w:val="DefaultParagraphFont"/>
    <w:rsid w:val="00C26CC2"/>
  </w:style>
  <w:style w:type="paragraph" w:customStyle="1" w:styleId="subsection">
    <w:name w:val="subsection"/>
    <w:aliases w:val="ss"/>
    <w:basedOn w:val="Normal"/>
    <w:link w:val="subsectionChar"/>
    <w:rsid w:val="00AC50D4"/>
    <w:pPr>
      <w:tabs>
        <w:tab w:val="right" w:pos="1021"/>
      </w:tabs>
      <w:spacing w:before="180" w:after="0" w:line="240" w:lineRule="auto"/>
      <w:ind w:left="1134" w:hanging="1134"/>
    </w:pPr>
    <w:rPr>
      <w:rFonts w:ascii="Times New Roman" w:eastAsia="Times New Roman" w:hAnsi="Times New Roman"/>
      <w:szCs w:val="20"/>
      <w:lang w:eastAsia="en-AU"/>
    </w:rPr>
  </w:style>
  <w:style w:type="paragraph" w:customStyle="1" w:styleId="paragraph">
    <w:name w:val="paragraph"/>
    <w:aliases w:val="a"/>
    <w:basedOn w:val="Normal"/>
    <w:link w:val="paragraphChar"/>
    <w:rsid w:val="00AC50D4"/>
    <w:pPr>
      <w:tabs>
        <w:tab w:val="right" w:pos="1531"/>
      </w:tabs>
      <w:spacing w:before="40" w:after="0" w:line="240" w:lineRule="auto"/>
      <w:ind w:left="1644" w:hanging="1644"/>
    </w:pPr>
    <w:rPr>
      <w:rFonts w:ascii="Times New Roman" w:eastAsia="Times New Roman" w:hAnsi="Times New Roman"/>
      <w:szCs w:val="20"/>
      <w:lang w:eastAsia="en-AU"/>
    </w:rPr>
  </w:style>
  <w:style w:type="character" w:customStyle="1" w:styleId="subsectionChar">
    <w:name w:val="subsection Char"/>
    <w:aliases w:val="ss Char"/>
    <w:link w:val="subsection"/>
    <w:rsid w:val="00AC50D4"/>
    <w:rPr>
      <w:rFonts w:ascii="Times New Roman" w:eastAsia="Times New Roman" w:hAnsi="Times New Roman" w:cs="Times New Roman"/>
      <w:szCs w:val="20"/>
      <w:lang w:val="en-AU" w:eastAsia="en-AU"/>
    </w:rPr>
  </w:style>
  <w:style w:type="character" w:customStyle="1" w:styleId="paragraphChar">
    <w:name w:val="paragraph Char"/>
    <w:aliases w:val="a Char"/>
    <w:link w:val="paragraph"/>
    <w:rsid w:val="00AC50D4"/>
    <w:rPr>
      <w:rFonts w:ascii="Times New Roman" w:eastAsia="Times New Roman" w:hAnsi="Times New Roman" w:cs="Times New Roman"/>
      <w:szCs w:val="20"/>
      <w:lang w:val="en-AU" w:eastAsia="en-AU"/>
    </w:rPr>
  </w:style>
  <w:style w:type="paragraph" w:customStyle="1" w:styleId="notetext">
    <w:name w:val="note(text)"/>
    <w:aliases w:val="n"/>
    <w:basedOn w:val="Normal"/>
    <w:link w:val="notetextChar"/>
    <w:rsid w:val="00B62B97"/>
    <w:pPr>
      <w:spacing w:before="122" w:after="0" w:line="240" w:lineRule="auto"/>
      <w:ind w:left="1985" w:hanging="851"/>
    </w:pPr>
    <w:rPr>
      <w:rFonts w:ascii="Times New Roman" w:eastAsia="Times New Roman" w:hAnsi="Times New Roman"/>
      <w:sz w:val="18"/>
      <w:szCs w:val="20"/>
      <w:lang w:eastAsia="en-AU"/>
    </w:rPr>
  </w:style>
  <w:style w:type="character" w:customStyle="1" w:styleId="notetextChar">
    <w:name w:val="note(text) Char"/>
    <w:aliases w:val="n Char"/>
    <w:link w:val="notetext"/>
    <w:rsid w:val="00B62B97"/>
    <w:rPr>
      <w:rFonts w:ascii="Times New Roman" w:eastAsia="Times New Roman" w:hAnsi="Times New Roman" w:cs="Times New Roman"/>
      <w:sz w:val="18"/>
      <w:szCs w:val="20"/>
      <w:lang w:val="en-AU" w:eastAsia="en-AU"/>
    </w:rPr>
  </w:style>
  <w:style w:type="paragraph" w:customStyle="1" w:styleId="ActHead5">
    <w:name w:val="ActHead 5"/>
    <w:aliases w:val="s"/>
    <w:basedOn w:val="Normal"/>
    <w:next w:val="subsection"/>
    <w:link w:val="ActHead5Char"/>
    <w:qFormat/>
    <w:rsid w:val="00B62B97"/>
    <w:pPr>
      <w:keepNext/>
      <w:keepLines/>
      <w:spacing w:before="280" w:after="0" w:line="240" w:lineRule="auto"/>
      <w:ind w:left="1134" w:hanging="1134"/>
      <w:outlineLvl w:val="4"/>
    </w:pPr>
    <w:rPr>
      <w:rFonts w:ascii="Times New Roman" w:eastAsia="Times New Roman" w:hAnsi="Times New Roman"/>
      <w:b/>
      <w:kern w:val="28"/>
      <w:sz w:val="24"/>
      <w:szCs w:val="20"/>
      <w:lang w:eastAsia="en-AU"/>
    </w:rPr>
  </w:style>
  <w:style w:type="paragraph" w:customStyle="1" w:styleId="subsection2">
    <w:name w:val="subsection2"/>
    <w:aliases w:val="ss2"/>
    <w:basedOn w:val="Normal"/>
    <w:next w:val="subsection"/>
    <w:rsid w:val="00B62B97"/>
    <w:pPr>
      <w:spacing w:before="40" w:after="0" w:line="240" w:lineRule="auto"/>
      <w:ind w:left="1134"/>
    </w:pPr>
    <w:rPr>
      <w:rFonts w:ascii="Times New Roman" w:eastAsia="Times New Roman" w:hAnsi="Times New Roman"/>
      <w:szCs w:val="20"/>
      <w:lang w:eastAsia="en-AU"/>
    </w:rPr>
  </w:style>
  <w:style w:type="character" w:customStyle="1" w:styleId="ActHead5Char">
    <w:name w:val="ActHead 5 Char"/>
    <w:aliases w:val="s Char"/>
    <w:link w:val="ActHead5"/>
    <w:rsid w:val="00B62B97"/>
    <w:rPr>
      <w:rFonts w:ascii="Times New Roman" w:eastAsia="Times New Roman" w:hAnsi="Times New Roman" w:cs="Times New Roman"/>
      <w:b/>
      <w:kern w:val="28"/>
      <w:sz w:val="24"/>
      <w:szCs w:val="20"/>
      <w:lang w:val="en-AU" w:eastAsia="en-AU"/>
    </w:rPr>
  </w:style>
  <w:style w:type="paragraph" w:customStyle="1" w:styleId="Tablea">
    <w:name w:val="Table(a)"/>
    <w:aliases w:val="ta"/>
    <w:basedOn w:val="Normal"/>
    <w:rsid w:val="000720C4"/>
    <w:pPr>
      <w:spacing w:before="60" w:after="0" w:line="240" w:lineRule="auto"/>
      <w:ind w:left="284" w:hanging="284"/>
    </w:pPr>
    <w:rPr>
      <w:rFonts w:ascii="Times New Roman" w:eastAsia="Times New Roman" w:hAnsi="Times New Roman"/>
      <w:sz w:val="20"/>
      <w:szCs w:val="20"/>
      <w:lang w:eastAsia="en-AU"/>
    </w:rPr>
  </w:style>
  <w:style w:type="paragraph" w:customStyle="1" w:styleId="Tabletext0">
    <w:name w:val="Tabletext"/>
    <w:aliases w:val="tt"/>
    <w:basedOn w:val="Normal"/>
    <w:rsid w:val="000720C4"/>
    <w:pPr>
      <w:spacing w:before="60" w:after="0"/>
    </w:pPr>
    <w:rPr>
      <w:rFonts w:ascii="Times New Roman" w:eastAsia="Times New Roman" w:hAnsi="Times New Roman"/>
      <w:sz w:val="20"/>
      <w:szCs w:val="20"/>
      <w:lang w:eastAsia="en-AU"/>
    </w:rPr>
  </w:style>
  <w:style w:type="paragraph" w:customStyle="1" w:styleId="Tablei">
    <w:name w:val="Table(i)"/>
    <w:aliases w:val="taa"/>
    <w:basedOn w:val="Normal"/>
    <w:rsid w:val="000720C4"/>
    <w:pPr>
      <w:tabs>
        <w:tab w:val="left" w:pos="-6543"/>
        <w:tab w:val="left" w:pos="-6260"/>
        <w:tab w:val="right" w:pos="970"/>
      </w:tabs>
      <w:spacing w:after="0" w:line="240" w:lineRule="exact"/>
      <w:ind w:left="828" w:hanging="284"/>
    </w:pPr>
    <w:rPr>
      <w:rFonts w:ascii="Times New Roman" w:eastAsia="Times New Roman" w:hAnsi="Times New Roman"/>
      <w:sz w:val="20"/>
      <w:szCs w:val="20"/>
      <w:lang w:eastAsia="en-AU"/>
    </w:rPr>
  </w:style>
  <w:style w:type="paragraph" w:customStyle="1" w:styleId="Definition">
    <w:name w:val="Definition"/>
    <w:aliases w:val="dd"/>
    <w:basedOn w:val="Normal"/>
    <w:rsid w:val="0020367D"/>
    <w:pPr>
      <w:spacing w:before="180" w:after="0" w:line="240" w:lineRule="auto"/>
      <w:ind w:left="1134"/>
    </w:pPr>
    <w:rPr>
      <w:rFonts w:ascii="Times New Roman" w:eastAsia="Times New Roman" w:hAnsi="Times New Roman"/>
      <w:szCs w:val="20"/>
      <w:lang w:eastAsia="en-AU"/>
    </w:rPr>
  </w:style>
  <w:style w:type="paragraph" w:customStyle="1" w:styleId="paragraphsub">
    <w:name w:val="paragraph(sub)"/>
    <w:aliases w:val="aa"/>
    <w:basedOn w:val="Normal"/>
    <w:rsid w:val="0020367D"/>
    <w:pPr>
      <w:tabs>
        <w:tab w:val="right" w:pos="1985"/>
      </w:tabs>
      <w:spacing w:before="40" w:after="0" w:line="240" w:lineRule="auto"/>
      <w:ind w:left="2098" w:hanging="2098"/>
    </w:pPr>
    <w:rPr>
      <w:rFonts w:ascii="Times New Roman" w:eastAsia="Times New Roman" w:hAnsi="Times New Roman"/>
      <w:szCs w:val="20"/>
      <w:lang w:eastAsia="en-AU"/>
    </w:rPr>
  </w:style>
  <w:style w:type="paragraph" w:customStyle="1" w:styleId="BoxText0">
    <w:name w:val="BoxText"/>
    <w:aliases w:val="bt"/>
    <w:basedOn w:val="Normal"/>
    <w:qFormat/>
    <w:rsid w:val="00DD54E4"/>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Times New Roman" w:hAnsi="Times New Roman"/>
      <w:szCs w:val="20"/>
      <w:lang w:eastAsia="en-AU"/>
    </w:rPr>
  </w:style>
  <w:style w:type="character" w:customStyle="1" w:styleId="CharPartText">
    <w:name w:val="CharPartText"/>
    <w:basedOn w:val="DefaultParagraphFont"/>
    <w:qFormat/>
    <w:rsid w:val="00F9719E"/>
  </w:style>
  <w:style w:type="table" w:customStyle="1" w:styleId="GridTable1Light-Accent11">
    <w:name w:val="Grid Table 1 Light - Accent 1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5BBDB"/>
        <w:left w:val="single" w:sz="4" w:space="0" w:color="D5BBDB"/>
        <w:bottom w:val="single" w:sz="4" w:space="0" w:color="D5BBDB"/>
        <w:right w:val="single" w:sz="4" w:space="0" w:color="D5BBDB"/>
        <w:insideH w:val="single" w:sz="4" w:space="0" w:color="D5BBDB"/>
        <w:insideV w:val="single" w:sz="4" w:space="0" w:color="D5BBDB"/>
      </w:tblBorders>
    </w:tblPr>
    <w:tblStylePr w:type="firstRow">
      <w:rPr>
        <w:b/>
        <w:bCs/>
      </w:rPr>
      <w:tblPr/>
      <w:tcPr>
        <w:tcBorders>
          <w:bottom w:val="single" w:sz="12" w:space="0" w:color="C099CA"/>
        </w:tcBorders>
      </w:tcPr>
    </w:tblStylePr>
    <w:tblStylePr w:type="lastRow">
      <w:rPr>
        <w:b/>
        <w:bCs/>
      </w:rPr>
      <w:tblPr/>
      <w:tcPr>
        <w:tcBorders>
          <w:top w:val="double" w:sz="2" w:space="0" w:color="C099CA"/>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DEB0"/>
        <w:left w:val="single" w:sz="4" w:space="0" w:color="FFDEB0"/>
        <w:bottom w:val="single" w:sz="4" w:space="0" w:color="FFDEB0"/>
        <w:right w:val="single" w:sz="4" w:space="0" w:color="FFDEB0"/>
        <w:insideH w:val="single" w:sz="4" w:space="0" w:color="FFDEB0"/>
        <w:insideV w:val="single" w:sz="4" w:space="0" w:color="FFDEB0"/>
      </w:tblBorders>
    </w:tblPr>
    <w:tblStylePr w:type="firstRow">
      <w:rPr>
        <w:b/>
        <w:bCs/>
      </w:rPr>
      <w:tblPr/>
      <w:tcPr>
        <w:tcBorders>
          <w:bottom w:val="single" w:sz="12" w:space="0" w:color="FFCE89"/>
        </w:tcBorders>
      </w:tcPr>
    </w:tblStylePr>
    <w:tblStylePr w:type="lastRow">
      <w:rPr>
        <w:b/>
        <w:bCs/>
      </w:rPr>
      <w:tblPr/>
      <w:tcPr>
        <w:tcBorders>
          <w:top w:val="double" w:sz="2" w:space="0" w:color="FFCE8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1CFE6"/>
        <w:left w:val="single" w:sz="4" w:space="0" w:color="E1CFE6"/>
        <w:bottom w:val="single" w:sz="4" w:space="0" w:color="E1CFE6"/>
        <w:right w:val="single" w:sz="4" w:space="0" w:color="E1CFE6"/>
        <w:insideH w:val="single" w:sz="4" w:space="0" w:color="E1CFE6"/>
        <w:insideV w:val="single" w:sz="4" w:space="0" w:color="E1CFE6"/>
      </w:tblBorders>
    </w:tblPr>
    <w:tblStylePr w:type="firstRow">
      <w:rPr>
        <w:b/>
        <w:bCs/>
      </w:rPr>
      <w:tblPr/>
      <w:tcPr>
        <w:tcBorders>
          <w:bottom w:val="single" w:sz="12" w:space="0" w:color="D3B8D9"/>
        </w:tcBorders>
      </w:tcPr>
    </w:tblStylePr>
    <w:tblStylePr w:type="lastRow">
      <w:rPr>
        <w:b/>
        <w:bCs/>
      </w:rPr>
      <w:tblPr/>
      <w:tcPr>
        <w:tcBorders>
          <w:top w:val="double" w:sz="2" w:space="0" w:color="D3B8D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D190"/>
        <w:left w:val="single" w:sz="4" w:space="0" w:color="FFD190"/>
        <w:bottom w:val="single" w:sz="4" w:space="0" w:color="FFD190"/>
        <w:right w:val="single" w:sz="4" w:space="0" w:color="FFD190"/>
        <w:insideH w:val="single" w:sz="4" w:space="0" w:color="FFD190"/>
        <w:insideV w:val="single" w:sz="4" w:space="0" w:color="FFD190"/>
      </w:tblBorders>
    </w:tblPr>
    <w:tblStylePr w:type="firstRow">
      <w:rPr>
        <w:b/>
        <w:bCs/>
      </w:rPr>
      <w:tblPr/>
      <w:tcPr>
        <w:tcBorders>
          <w:bottom w:val="single" w:sz="12" w:space="0" w:color="FFBB59"/>
        </w:tcBorders>
      </w:tcPr>
    </w:tblStylePr>
    <w:tblStylePr w:type="lastRow">
      <w:rPr>
        <w:b/>
        <w:bCs/>
      </w:rPr>
      <w:tblPr/>
      <w:tcPr>
        <w:tcBorders>
          <w:top w:val="double" w:sz="2" w:space="0" w:color="FFBB5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C099CA"/>
        <w:bottom w:val="single" w:sz="2" w:space="0" w:color="C099CA"/>
        <w:insideH w:val="single" w:sz="2" w:space="0" w:color="C099CA"/>
        <w:insideV w:val="single" w:sz="2" w:space="0" w:color="C099CA"/>
      </w:tblBorders>
    </w:tblPr>
    <w:tblStylePr w:type="firstRow">
      <w:rPr>
        <w:b/>
        <w:bCs/>
      </w:rPr>
      <w:tblPr/>
      <w:tcPr>
        <w:tcBorders>
          <w:top w:val="nil"/>
          <w:bottom w:val="single" w:sz="12" w:space="0" w:color="C099CA"/>
          <w:insideH w:val="nil"/>
          <w:insideV w:val="nil"/>
        </w:tcBorders>
        <w:shd w:val="clear" w:color="auto" w:fill="FFFFFF"/>
      </w:tcPr>
    </w:tblStylePr>
    <w:tblStylePr w:type="lastRow">
      <w:rPr>
        <w:b/>
        <w:bCs/>
      </w:rPr>
      <w:tblPr/>
      <w:tcPr>
        <w:tcBorders>
          <w:top w:val="double" w:sz="2" w:space="0" w:color="C099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2-Accent21">
    <w:name w:val="Grid Table 2 - Accent 2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FFCE89"/>
        <w:bottom w:val="single" w:sz="2" w:space="0" w:color="FFCE89"/>
        <w:insideH w:val="single" w:sz="2" w:space="0" w:color="FFCE89"/>
        <w:insideV w:val="single" w:sz="2" w:space="0" w:color="FFCE89"/>
      </w:tblBorders>
    </w:tblPr>
    <w:tblStylePr w:type="firstRow">
      <w:rPr>
        <w:b/>
        <w:bCs/>
      </w:rPr>
      <w:tblPr/>
      <w:tcPr>
        <w:tcBorders>
          <w:top w:val="nil"/>
          <w:bottom w:val="single" w:sz="12" w:space="0" w:color="FFCE89"/>
          <w:insideH w:val="nil"/>
          <w:insideV w:val="nil"/>
        </w:tcBorders>
        <w:shd w:val="clear" w:color="auto" w:fill="FFFFFF"/>
      </w:tcPr>
    </w:tblStylePr>
    <w:tblStylePr w:type="lastRow">
      <w:rPr>
        <w:b/>
        <w:bCs/>
      </w:rPr>
      <w:tblPr/>
      <w:tcPr>
        <w:tcBorders>
          <w:top w:val="double" w:sz="2" w:space="0" w:color="FFCE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2-Accent31">
    <w:name w:val="Grid Table 2 - Accent 3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D3B8D9"/>
        <w:bottom w:val="single" w:sz="2" w:space="0" w:color="D3B8D9"/>
        <w:insideH w:val="single" w:sz="2" w:space="0" w:color="D3B8D9"/>
        <w:insideV w:val="single" w:sz="2" w:space="0" w:color="D3B8D9"/>
      </w:tblBorders>
    </w:tblPr>
    <w:tblStylePr w:type="firstRow">
      <w:rPr>
        <w:b/>
        <w:bCs/>
      </w:rPr>
      <w:tblPr/>
      <w:tcPr>
        <w:tcBorders>
          <w:top w:val="nil"/>
          <w:bottom w:val="single" w:sz="12" w:space="0" w:color="D3B8D9"/>
          <w:insideH w:val="nil"/>
          <w:insideV w:val="nil"/>
        </w:tcBorders>
        <w:shd w:val="clear" w:color="auto" w:fill="FFFFFF"/>
      </w:tcPr>
    </w:tblStylePr>
    <w:tblStylePr w:type="lastRow">
      <w:rPr>
        <w:b/>
        <w:bCs/>
      </w:rPr>
      <w:tblPr/>
      <w:tcPr>
        <w:tcBorders>
          <w:top w:val="double" w:sz="2" w:space="0" w:color="D3B8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2-Accent51">
    <w:name w:val="Grid Table 2 - Accent 5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FFBB59"/>
        <w:bottom w:val="single" w:sz="2" w:space="0" w:color="FFBB59"/>
        <w:insideH w:val="single" w:sz="2" w:space="0" w:color="FFBB59"/>
        <w:insideV w:val="single" w:sz="2" w:space="0" w:color="FFBB59"/>
      </w:tblBorders>
    </w:tblPr>
    <w:tblStylePr w:type="firstRow">
      <w:rPr>
        <w:b/>
        <w:bCs/>
      </w:rPr>
      <w:tblPr/>
      <w:tcPr>
        <w:tcBorders>
          <w:top w:val="nil"/>
          <w:bottom w:val="single" w:sz="12" w:space="0" w:color="FFBB59"/>
          <w:insideH w:val="nil"/>
          <w:insideV w:val="nil"/>
        </w:tcBorders>
        <w:shd w:val="clear" w:color="auto" w:fill="FFFFFF"/>
      </w:tcPr>
    </w:tblStylePr>
    <w:tblStylePr w:type="lastRow">
      <w:rPr>
        <w:b/>
        <w:bCs/>
      </w:rPr>
      <w:tblPr/>
      <w:tcPr>
        <w:tcBorders>
          <w:top w:val="double" w:sz="2" w:space="0" w:color="FFBB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2-Accent61">
    <w:name w:val="Grid Table 2 - Accent 6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D8D8D8"/>
        <w:bottom w:val="single" w:sz="2" w:space="0" w:color="D8D8D8"/>
        <w:insideH w:val="single" w:sz="2" w:space="0" w:color="D8D8D8"/>
        <w:insideV w:val="single" w:sz="2" w:space="0" w:color="D8D8D8"/>
      </w:tblBorders>
    </w:tblPr>
    <w:tblStylePr w:type="firstRow">
      <w:rPr>
        <w:b/>
        <w:bCs/>
      </w:rPr>
      <w:tblPr/>
      <w:tcPr>
        <w:tcBorders>
          <w:top w:val="nil"/>
          <w:bottom w:val="single" w:sz="12" w:space="0" w:color="D8D8D8"/>
          <w:insideH w:val="nil"/>
          <w:insideV w:val="nil"/>
        </w:tcBorders>
        <w:shd w:val="clear" w:color="auto" w:fill="FFFFFF"/>
      </w:tcPr>
    </w:tblStylePr>
    <w:tblStylePr w:type="lastRow">
      <w:rPr>
        <w:b/>
        <w:bCs/>
      </w:rPr>
      <w:tblPr/>
      <w:tcPr>
        <w:tcBorders>
          <w:top w:val="double" w:sz="2" w:space="0" w:color="D8D8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11">
    <w:name w:val="Grid Table 3 - Accent 1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bottom w:val="single" w:sz="4" w:space="0" w:color="C099CA"/>
        </w:tcBorders>
      </w:tcPr>
    </w:tblStylePr>
    <w:tblStylePr w:type="nwCell">
      <w:tblPr/>
      <w:tcPr>
        <w:tcBorders>
          <w:bottom w:val="single" w:sz="4" w:space="0" w:color="C099CA"/>
        </w:tcBorders>
      </w:tcPr>
    </w:tblStylePr>
    <w:tblStylePr w:type="seCell">
      <w:tblPr/>
      <w:tcPr>
        <w:tcBorders>
          <w:top w:val="single" w:sz="4" w:space="0" w:color="C099CA"/>
        </w:tcBorders>
      </w:tcPr>
    </w:tblStylePr>
    <w:tblStylePr w:type="swCell">
      <w:tblPr/>
      <w:tcPr>
        <w:tcBorders>
          <w:top w:val="single" w:sz="4" w:space="0" w:color="C099CA"/>
        </w:tcBorders>
      </w:tcPr>
    </w:tblStylePr>
  </w:style>
  <w:style w:type="table" w:customStyle="1" w:styleId="GridTable3-Accent21">
    <w:name w:val="Grid Table 3 - Accent 2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bottom w:val="single" w:sz="4" w:space="0" w:color="FFCE89"/>
        </w:tcBorders>
      </w:tcPr>
    </w:tblStylePr>
    <w:tblStylePr w:type="nwCell">
      <w:tblPr/>
      <w:tcPr>
        <w:tcBorders>
          <w:bottom w:val="single" w:sz="4" w:space="0" w:color="FFCE89"/>
        </w:tcBorders>
      </w:tcPr>
    </w:tblStylePr>
    <w:tblStylePr w:type="seCell">
      <w:tblPr/>
      <w:tcPr>
        <w:tcBorders>
          <w:top w:val="single" w:sz="4" w:space="0" w:color="FFCE89"/>
        </w:tcBorders>
      </w:tcPr>
    </w:tblStylePr>
    <w:tblStylePr w:type="swCell">
      <w:tblPr/>
      <w:tcPr>
        <w:tcBorders>
          <w:top w:val="single" w:sz="4" w:space="0" w:color="FFCE89"/>
        </w:tcBorders>
      </w:tcPr>
    </w:tblStylePr>
  </w:style>
  <w:style w:type="table" w:customStyle="1" w:styleId="GridTable3-Accent31">
    <w:name w:val="Grid Table 3 - Accent 3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bottom w:val="single" w:sz="4" w:space="0" w:color="D3B8D9"/>
        </w:tcBorders>
      </w:tcPr>
    </w:tblStylePr>
    <w:tblStylePr w:type="nwCell">
      <w:tblPr/>
      <w:tcPr>
        <w:tcBorders>
          <w:bottom w:val="single" w:sz="4" w:space="0" w:color="D3B8D9"/>
        </w:tcBorders>
      </w:tcPr>
    </w:tblStylePr>
    <w:tblStylePr w:type="seCell">
      <w:tblPr/>
      <w:tcPr>
        <w:tcBorders>
          <w:top w:val="single" w:sz="4" w:space="0" w:color="D3B8D9"/>
        </w:tcBorders>
      </w:tcPr>
    </w:tblStylePr>
    <w:tblStylePr w:type="swCell">
      <w:tblPr/>
      <w:tcPr>
        <w:tcBorders>
          <w:top w:val="single" w:sz="4" w:space="0" w:color="D3B8D9"/>
        </w:tcBorders>
      </w:tcPr>
    </w:tblStylePr>
  </w:style>
  <w:style w:type="table" w:customStyle="1" w:styleId="GridTable3-Accent51">
    <w:name w:val="Grid Table 3 - Accent 5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bottom w:val="single" w:sz="4" w:space="0" w:color="FFBB59"/>
        </w:tcBorders>
      </w:tcPr>
    </w:tblStylePr>
    <w:tblStylePr w:type="nwCell">
      <w:tblPr/>
      <w:tcPr>
        <w:tcBorders>
          <w:bottom w:val="single" w:sz="4" w:space="0" w:color="FFBB59"/>
        </w:tcBorders>
      </w:tcPr>
    </w:tblStylePr>
    <w:tblStylePr w:type="seCell">
      <w:tblPr/>
      <w:tcPr>
        <w:tcBorders>
          <w:top w:val="single" w:sz="4" w:space="0" w:color="FFBB59"/>
        </w:tcBorders>
      </w:tcPr>
    </w:tblStylePr>
    <w:tblStylePr w:type="swCell">
      <w:tblPr/>
      <w:tcPr>
        <w:tcBorders>
          <w:top w:val="single" w:sz="4" w:space="0" w:color="FFBB59"/>
        </w:tcBorders>
      </w:tcPr>
    </w:tblStylePr>
  </w:style>
  <w:style w:type="table" w:customStyle="1" w:styleId="GridTable3-Accent61">
    <w:name w:val="Grid Table 3 - Accent 6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D8D8D8"/>
        </w:tcBorders>
      </w:tcPr>
    </w:tblStylePr>
    <w:tblStylePr w:type="nwCell">
      <w:tblPr/>
      <w:tcPr>
        <w:tcBorders>
          <w:bottom w:val="single" w:sz="4" w:space="0" w:color="D8D8D8"/>
        </w:tcBorders>
      </w:tcPr>
    </w:tblStylePr>
    <w:tblStylePr w:type="seCell">
      <w:tblPr/>
      <w:tcPr>
        <w:tcBorders>
          <w:top w:val="single" w:sz="4" w:space="0" w:color="D8D8D8"/>
        </w:tcBorders>
      </w:tcPr>
    </w:tblStylePr>
    <w:tblStylePr w:type="swCell">
      <w:tblPr/>
      <w:tcPr>
        <w:tcBorders>
          <w:top w:val="single" w:sz="4" w:space="0" w:color="D8D8D8"/>
        </w:tcBorders>
      </w:tcPr>
    </w:tblStylePr>
  </w:style>
  <w:style w:type="table" w:customStyle="1" w:styleId="GridTable4-Accent11">
    <w:name w:val="Grid Table 4 - Accent 1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color w:val="FFFFFF"/>
      </w:rPr>
      <w:tblPr/>
      <w:tcPr>
        <w:tcBorders>
          <w:top w:val="single" w:sz="4" w:space="0" w:color="9757A6"/>
          <w:left w:val="single" w:sz="4" w:space="0" w:color="9757A6"/>
          <w:bottom w:val="single" w:sz="4" w:space="0" w:color="9757A6"/>
          <w:right w:val="single" w:sz="4" w:space="0" w:color="9757A6"/>
          <w:insideH w:val="nil"/>
          <w:insideV w:val="nil"/>
        </w:tcBorders>
        <w:shd w:val="clear" w:color="auto" w:fill="9757A6"/>
      </w:tcPr>
    </w:tblStylePr>
    <w:tblStylePr w:type="lastRow">
      <w:rPr>
        <w:b/>
        <w:bCs/>
      </w:rPr>
      <w:tblPr/>
      <w:tcPr>
        <w:tcBorders>
          <w:top w:val="double" w:sz="4" w:space="0" w:color="9757A6"/>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4-Accent21">
    <w:name w:val="Grid Table 4 - Accent 2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color w:val="FFFFFF"/>
      </w:rPr>
      <w:tblPr/>
      <w:tcPr>
        <w:tcBorders>
          <w:top w:val="single" w:sz="4" w:space="0" w:color="FFAE3B"/>
          <w:left w:val="single" w:sz="4" w:space="0" w:color="FFAE3B"/>
          <w:bottom w:val="single" w:sz="4" w:space="0" w:color="FFAE3B"/>
          <w:right w:val="single" w:sz="4" w:space="0" w:color="FFAE3B"/>
          <w:insideH w:val="nil"/>
          <w:insideV w:val="nil"/>
        </w:tcBorders>
        <w:shd w:val="clear" w:color="auto" w:fill="FFAE3B"/>
      </w:tcPr>
    </w:tblStylePr>
    <w:tblStylePr w:type="lastRow">
      <w:rPr>
        <w:b/>
        <w:bCs/>
      </w:rPr>
      <w:tblPr/>
      <w:tcPr>
        <w:tcBorders>
          <w:top w:val="double" w:sz="4" w:space="0" w:color="FFAE3B"/>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4-Accent31">
    <w:name w:val="Grid Table 4 - Accent 3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color w:val="FFFFFF"/>
      </w:rPr>
      <w:tblPr/>
      <w:tcPr>
        <w:tcBorders>
          <w:top w:val="single" w:sz="4" w:space="0" w:color="B689C1"/>
          <w:left w:val="single" w:sz="4" w:space="0" w:color="B689C1"/>
          <w:bottom w:val="single" w:sz="4" w:space="0" w:color="B689C1"/>
          <w:right w:val="single" w:sz="4" w:space="0" w:color="B689C1"/>
          <w:insideH w:val="nil"/>
          <w:insideV w:val="nil"/>
        </w:tcBorders>
        <w:shd w:val="clear" w:color="auto" w:fill="B689C1"/>
      </w:tcPr>
    </w:tblStylePr>
    <w:tblStylePr w:type="lastRow">
      <w:rPr>
        <w:b/>
        <w:bCs/>
      </w:rPr>
      <w:tblPr/>
      <w:tcPr>
        <w:tcBorders>
          <w:top w:val="double" w:sz="4" w:space="0" w:color="B689C1"/>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4-Accent51">
    <w:name w:val="Grid Table 4 - Accent 5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color w:val="FFFFFF"/>
      </w:rPr>
      <w:tblPr/>
      <w:tcPr>
        <w:tcBorders>
          <w:top w:val="single" w:sz="4" w:space="0" w:color="EA8B00"/>
          <w:left w:val="single" w:sz="4" w:space="0" w:color="EA8B00"/>
          <w:bottom w:val="single" w:sz="4" w:space="0" w:color="EA8B00"/>
          <w:right w:val="single" w:sz="4" w:space="0" w:color="EA8B00"/>
          <w:insideH w:val="nil"/>
          <w:insideV w:val="nil"/>
        </w:tcBorders>
        <w:shd w:val="clear" w:color="auto" w:fill="EA8B00"/>
      </w:tcPr>
    </w:tblStylePr>
    <w:tblStylePr w:type="lastRow">
      <w:rPr>
        <w:b/>
        <w:bCs/>
      </w:rPr>
      <w:tblPr/>
      <w:tcPr>
        <w:tcBorders>
          <w:top w:val="double" w:sz="4" w:space="0" w:color="EA8B00"/>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4-Accent61">
    <w:name w:val="Grid Table 4 - Accent 6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insideV w:val="nil"/>
        </w:tcBorders>
        <w:shd w:val="clear" w:color="auto" w:fill="BFBFBF"/>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D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757A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757A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757A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757A6"/>
      </w:tcPr>
    </w:tblStylePr>
    <w:tblStylePr w:type="band1Vert">
      <w:tblPr/>
      <w:tcPr>
        <w:shd w:val="clear" w:color="auto" w:fill="D5BBDB"/>
      </w:tcPr>
    </w:tblStylePr>
    <w:tblStylePr w:type="band1Horz">
      <w:tblPr/>
      <w:tcPr>
        <w:shd w:val="clear" w:color="auto" w:fill="D5BBDB"/>
      </w:tcPr>
    </w:tblStylePr>
  </w:style>
  <w:style w:type="table" w:customStyle="1" w:styleId="GridTable5Dark-Accent21">
    <w:name w:val="Grid Table 5 Dark - Accent 2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E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AE3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AE3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AE3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AE3B"/>
      </w:tcPr>
    </w:tblStylePr>
    <w:tblStylePr w:type="band1Vert">
      <w:tblPr/>
      <w:tcPr>
        <w:shd w:val="clear" w:color="auto" w:fill="FFDEB0"/>
      </w:tcPr>
    </w:tblStylePr>
    <w:tblStylePr w:type="band1Horz">
      <w:tblPr/>
      <w:tcPr>
        <w:shd w:val="clear" w:color="auto" w:fill="FFDEB0"/>
      </w:tcPr>
    </w:tblStylePr>
  </w:style>
  <w:style w:type="table" w:customStyle="1" w:styleId="GridTable5Dark-Accent31">
    <w:name w:val="Grid Table 5 Dark - Accent 3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1">
    <w:name w:val="Grid Table 5 Dark - Accent 4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E7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689C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689C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689C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689C1"/>
      </w:tcPr>
    </w:tblStylePr>
    <w:tblStylePr w:type="band1Vert">
      <w:tblPr/>
      <w:tcPr>
        <w:shd w:val="clear" w:color="auto" w:fill="E1CFE6"/>
      </w:tcPr>
    </w:tblStylePr>
    <w:tblStylePr w:type="band1Horz">
      <w:tblPr/>
      <w:tcPr>
        <w:shd w:val="clear" w:color="auto" w:fill="E1CFE6"/>
      </w:tcPr>
    </w:tblStylePr>
  </w:style>
  <w:style w:type="table" w:customStyle="1" w:styleId="GridTable5Dark-Accent51">
    <w:name w:val="Grid Table 5 Dark - Accent 5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8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A8B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A8B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A8B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A8B00"/>
      </w:tcPr>
    </w:tblStylePr>
    <w:tblStylePr w:type="band1Vert">
      <w:tblPr/>
      <w:tcPr>
        <w:shd w:val="clear" w:color="auto" w:fill="FFD190"/>
      </w:tcPr>
    </w:tblStylePr>
    <w:tblStylePr w:type="band1Horz">
      <w:tblPr/>
      <w:tcPr>
        <w:shd w:val="clear" w:color="auto" w:fill="FFD190"/>
      </w:tcPr>
    </w:tblStylePr>
  </w:style>
  <w:style w:type="table" w:customStyle="1" w:styleId="GridTable5Dark-Accent61">
    <w:name w:val="Grid Table 5 Dark - Accent 61"/>
    <w:basedOn w:val="TableNormal"/>
    <w:uiPriority w:val="50"/>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F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F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5E5E5"/>
      </w:tcPr>
    </w:tblStylePr>
    <w:tblStylePr w:type="band1Horz">
      <w:tblPr/>
      <w:tcPr>
        <w:shd w:val="clear" w:color="auto" w:fill="E5E5E5"/>
      </w:tcPr>
    </w:tblStylePr>
  </w:style>
  <w:style w:type="table" w:customStyle="1" w:styleId="GridTable6Colorful-Accent11">
    <w:name w:val="Grid Table 6 Colorful - Accent 11"/>
    <w:basedOn w:val="TableNormal"/>
    <w:uiPriority w:val="51"/>
    <w:rsid w:val="00F67BE5"/>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bottom w:val="single" w:sz="12" w:space="0" w:color="C099CA"/>
        </w:tcBorders>
      </w:tcPr>
    </w:tblStylePr>
    <w:tblStylePr w:type="lastRow">
      <w:rPr>
        <w:b/>
        <w:bCs/>
      </w:rPr>
      <w:tblPr/>
      <w:tcPr>
        <w:tcBorders>
          <w:top w:val="doub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6Colorful-Accent21">
    <w:name w:val="Grid Table 6 Colorful - Accent 21"/>
    <w:basedOn w:val="TableNormal"/>
    <w:uiPriority w:val="51"/>
    <w:rsid w:val="00F67BE5"/>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bottom w:val="single" w:sz="12" w:space="0" w:color="FFCE89"/>
        </w:tcBorders>
      </w:tcPr>
    </w:tblStylePr>
    <w:tblStylePr w:type="lastRow">
      <w:rPr>
        <w:b/>
        <w:bCs/>
      </w:rPr>
      <w:tblPr/>
      <w:tcPr>
        <w:tcBorders>
          <w:top w:val="doub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6Colorful-Accent31">
    <w:name w:val="Grid Table 6 Colorful - Accent 31"/>
    <w:basedOn w:val="TableNormal"/>
    <w:uiPriority w:val="51"/>
    <w:rsid w:val="00F67BE5"/>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uiPriority w:val="51"/>
    <w:rsid w:val="00F67BE5"/>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bottom w:val="single" w:sz="12" w:space="0" w:color="D3B8D9"/>
        </w:tcBorders>
      </w:tcPr>
    </w:tblStylePr>
    <w:tblStylePr w:type="lastRow">
      <w:rPr>
        <w:b/>
        <w:bCs/>
      </w:rPr>
      <w:tblPr/>
      <w:tcPr>
        <w:tcBorders>
          <w:top w:val="doub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6Colorful-Accent51">
    <w:name w:val="Grid Table 6 Colorful - Accent 51"/>
    <w:basedOn w:val="TableNormal"/>
    <w:uiPriority w:val="51"/>
    <w:rsid w:val="00F67BE5"/>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bottom w:val="single" w:sz="12" w:space="0" w:color="FFBB59"/>
        </w:tcBorders>
      </w:tcPr>
    </w:tblStylePr>
    <w:tblStylePr w:type="lastRow">
      <w:rPr>
        <w:b/>
        <w:bCs/>
      </w:rPr>
      <w:tblPr/>
      <w:tcPr>
        <w:tcBorders>
          <w:top w:val="doub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6Colorful-Accent61">
    <w:name w:val="Grid Table 6 Colorful - Accent 61"/>
    <w:basedOn w:val="TableNormal"/>
    <w:uiPriority w:val="51"/>
    <w:rsid w:val="00F67BE5"/>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bottom w:val="single" w:sz="12" w:space="0" w:color="D8D8D8"/>
        </w:tcBorders>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7Colorful-Accent11">
    <w:name w:val="Grid Table 7 Colorful - Accent 11"/>
    <w:basedOn w:val="TableNormal"/>
    <w:uiPriority w:val="52"/>
    <w:rsid w:val="00F67BE5"/>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bottom w:val="single" w:sz="4" w:space="0" w:color="C099CA"/>
        </w:tcBorders>
      </w:tcPr>
    </w:tblStylePr>
    <w:tblStylePr w:type="nwCell">
      <w:tblPr/>
      <w:tcPr>
        <w:tcBorders>
          <w:bottom w:val="single" w:sz="4" w:space="0" w:color="C099CA"/>
        </w:tcBorders>
      </w:tcPr>
    </w:tblStylePr>
    <w:tblStylePr w:type="seCell">
      <w:tblPr/>
      <w:tcPr>
        <w:tcBorders>
          <w:top w:val="single" w:sz="4" w:space="0" w:color="C099CA"/>
        </w:tcBorders>
      </w:tcPr>
    </w:tblStylePr>
    <w:tblStylePr w:type="swCell">
      <w:tblPr/>
      <w:tcPr>
        <w:tcBorders>
          <w:top w:val="single" w:sz="4" w:space="0" w:color="C099CA"/>
        </w:tcBorders>
      </w:tcPr>
    </w:tblStylePr>
  </w:style>
  <w:style w:type="table" w:customStyle="1" w:styleId="GridTable7Colorful-Accent21">
    <w:name w:val="Grid Table 7 Colorful - Accent 21"/>
    <w:basedOn w:val="TableNormal"/>
    <w:uiPriority w:val="52"/>
    <w:rsid w:val="00F67BE5"/>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bottom w:val="single" w:sz="4" w:space="0" w:color="FFCE89"/>
        </w:tcBorders>
      </w:tcPr>
    </w:tblStylePr>
    <w:tblStylePr w:type="nwCell">
      <w:tblPr/>
      <w:tcPr>
        <w:tcBorders>
          <w:bottom w:val="single" w:sz="4" w:space="0" w:color="FFCE89"/>
        </w:tcBorders>
      </w:tcPr>
    </w:tblStylePr>
    <w:tblStylePr w:type="seCell">
      <w:tblPr/>
      <w:tcPr>
        <w:tcBorders>
          <w:top w:val="single" w:sz="4" w:space="0" w:color="FFCE89"/>
        </w:tcBorders>
      </w:tcPr>
    </w:tblStylePr>
    <w:tblStylePr w:type="swCell">
      <w:tblPr/>
      <w:tcPr>
        <w:tcBorders>
          <w:top w:val="single" w:sz="4" w:space="0" w:color="FFCE89"/>
        </w:tcBorders>
      </w:tcPr>
    </w:tblStylePr>
  </w:style>
  <w:style w:type="table" w:customStyle="1" w:styleId="GridTable7Colorful-Accent31">
    <w:name w:val="Grid Table 7 Colorful - Accent 31"/>
    <w:basedOn w:val="TableNormal"/>
    <w:uiPriority w:val="52"/>
    <w:rsid w:val="00F67BE5"/>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TableNormal"/>
    <w:uiPriority w:val="52"/>
    <w:rsid w:val="00F67BE5"/>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bottom w:val="single" w:sz="4" w:space="0" w:color="D3B8D9"/>
        </w:tcBorders>
      </w:tcPr>
    </w:tblStylePr>
    <w:tblStylePr w:type="nwCell">
      <w:tblPr/>
      <w:tcPr>
        <w:tcBorders>
          <w:bottom w:val="single" w:sz="4" w:space="0" w:color="D3B8D9"/>
        </w:tcBorders>
      </w:tcPr>
    </w:tblStylePr>
    <w:tblStylePr w:type="seCell">
      <w:tblPr/>
      <w:tcPr>
        <w:tcBorders>
          <w:top w:val="single" w:sz="4" w:space="0" w:color="D3B8D9"/>
        </w:tcBorders>
      </w:tcPr>
    </w:tblStylePr>
    <w:tblStylePr w:type="swCell">
      <w:tblPr/>
      <w:tcPr>
        <w:tcBorders>
          <w:top w:val="single" w:sz="4" w:space="0" w:color="D3B8D9"/>
        </w:tcBorders>
      </w:tcPr>
    </w:tblStylePr>
  </w:style>
  <w:style w:type="table" w:customStyle="1" w:styleId="GridTable7Colorful-Accent51">
    <w:name w:val="Grid Table 7 Colorful - Accent 51"/>
    <w:basedOn w:val="TableNormal"/>
    <w:uiPriority w:val="52"/>
    <w:rsid w:val="00F67BE5"/>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bottom w:val="single" w:sz="4" w:space="0" w:color="FFBB59"/>
        </w:tcBorders>
      </w:tcPr>
    </w:tblStylePr>
    <w:tblStylePr w:type="nwCell">
      <w:tblPr/>
      <w:tcPr>
        <w:tcBorders>
          <w:bottom w:val="single" w:sz="4" w:space="0" w:color="FFBB59"/>
        </w:tcBorders>
      </w:tcPr>
    </w:tblStylePr>
    <w:tblStylePr w:type="seCell">
      <w:tblPr/>
      <w:tcPr>
        <w:tcBorders>
          <w:top w:val="single" w:sz="4" w:space="0" w:color="FFBB59"/>
        </w:tcBorders>
      </w:tcPr>
    </w:tblStylePr>
    <w:tblStylePr w:type="swCell">
      <w:tblPr/>
      <w:tcPr>
        <w:tcBorders>
          <w:top w:val="single" w:sz="4" w:space="0" w:color="FFBB59"/>
        </w:tcBorders>
      </w:tcPr>
    </w:tblStylePr>
  </w:style>
  <w:style w:type="table" w:customStyle="1" w:styleId="GridTable7Colorful-Accent61">
    <w:name w:val="Grid Table 7 Colorful - Accent 61"/>
    <w:basedOn w:val="TableNormal"/>
    <w:uiPriority w:val="52"/>
    <w:rsid w:val="00F67BE5"/>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D8D8D8"/>
        </w:tcBorders>
      </w:tcPr>
    </w:tblStylePr>
    <w:tblStylePr w:type="nwCell">
      <w:tblPr/>
      <w:tcPr>
        <w:tcBorders>
          <w:bottom w:val="single" w:sz="4" w:space="0" w:color="D8D8D8"/>
        </w:tcBorders>
      </w:tcPr>
    </w:tblStylePr>
    <w:tblStylePr w:type="seCell">
      <w:tblPr/>
      <w:tcPr>
        <w:tcBorders>
          <w:top w:val="single" w:sz="4" w:space="0" w:color="D8D8D8"/>
        </w:tcBorders>
      </w:tcPr>
    </w:tblStylePr>
    <w:tblStylePr w:type="swCell">
      <w:tblPr/>
      <w:tcPr>
        <w:tcBorders>
          <w:top w:val="single" w:sz="4" w:space="0" w:color="D8D8D8"/>
        </w:tcBorders>
      </w:tcPr>
    </w:tblStylePr>
  </w:style>
  <w:style w:type="table" w:customStyle="1" w:styleId="ListTable1Light-Accent11">
    <w:name w:val="List Table 1 Light - Accent 1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C099CA"/>
        </w:tcBorders>
      </w:tcPr>
    </w:tblStylePr>
    <w:tblStylePr w:type="lastRow">
      <w:rPr>
        <w:b/>
        <w:bCs/>
      </w:rPr>
      <w:tblPr/>
      <w:tcPr>
        <w:tcBorders>
          <w:top w:val="sing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1Light-Accent21">
    <w:name w:val="List Table 1 Light - Accent 2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FFCE89"/>
        </w:tcBorders>
      </w:tcPr>
    </w:tblStylePr>
    <w:tblStylePr w:type="lastRow">
      <w:rPr>
        <w:b/>
        <w:bCs/>
      </w:rPr>
      <w:tblPr/>
      <w:tcPr>
        <w:tcBorders>
          <w:top w:val="sing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1Light-Accent31">
    <w:name w:val="List Table 1 Light - Accent 3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D3B8D9"/>
        </w:tcBorders>
      </w:tcPr>
    </w:tblStylePr>
    <w:tblStylePr w:type="lastRow">
      <w:rPr>
        <w:b/>
        <w:bCs/>
      </w:rPr>
      <w:tblPr/>
      <w:tcPr>
        <w:tcBorders>
          <w:top w:val="sing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1Light-Accent51">
    <w:name w:val="List Table 1 Light - Accent 5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FFBB59"/>
        </w:tcBorders>
      </w:tcPr>
    </w:tblStylePr>
    <w:tblStylePr w:type="lastRow">
      <w:rPr>
        <w:b/>
        <w:bCs/>
      </w:rPr>
      <w:tblPr/>
      <w:tcPr>
        <w:tcBorders>
          <w:top w:val="sing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1Light-Accent61">
    <w:name w:val="List Table 1 Light - Accent 61"/>
    <w:basedOn w:val="TableNormal"/>
    <w:uiPriority w:val="46"/>
    <w:rsid w:val="00F67BE5"/>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D8D8D8"/>
        </w:tcBorders>
      </w:tcPr>
    </w:tblStylePr>
    <w:tblStylePr w:type="lastRow">
      <w:rPr>
        <w:b/>
        <w:bCs/>
      </w:rPr>
      <w:tblPr/>
      <w:tcPr>
        <w:tcBorders>
          <w:top w:val="sing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Accent11">
    <w:name w:val="List Table 2 - Accent 1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bottom w:val="single" w:sz="4" w:space="0" w:color="C099CA"/>
        <w:insideH w:val="single" w:sz="4" w:space="0" w:color="C099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2-Accent21">
    <w:name w:val="List Table 2 - Accent 2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bottom w:val="single" w:sz="4" w:space="0" w:color="FFCE89"/>
        <w:insideH w:val="single" w:sz="4" w:space="0" w:color="FFCE8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2-Accent31">
    <w:name w:val="List Table 2 - Accent 3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bottom w:val="single" w:sz="4" w:space="0" w:color="D3B8D9"/>
        <w:insideH w:val="single" w:sz="4" w:space="0" w:color="D3B8D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2-Accent51">
    <w:name w:val="List Table 2 - Accent 5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bottom w:val="single" w:sz="4" w:space="0" w:color="FFBB59"/>
        <w:insideH w:val="single" w:sz="4" w:space="0" w:color="FFBB5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2-Accent61">
    <w:name w:val="List Table 2 - Accent 61"/>
    <w:basedOn w:val="TableNormal"/>
    <w:uiPriority w:val="47"/>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bottom w:val="single" w:sz="4" w:space="0" w:color="D8D8D8"/>
        <w:insideH w:val="single" w:sz="4" w:space="0" w:color="D8D8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9757A6"/>
        <w:left w:val="single" w:sz="4" w:space="0" w:color="9757A6"/>
        <w:bottom w:val="single" w:sz="4" w:space="0" w:color="9757A6"/>
        <w:right w:val="single" w:sz="4" w:space="0" w:color="9757A6"/>
      </w:tblBorders>
    </w:tblPr>
    <w:tblStylePr w:type="firstRow">
      <w:rPr>
        <w:b/>
        <w:bCs/>
        <w:color w:val="FFFFFF"/>
      </w:rPr>
      <w:tblPr/>
      <w:tcPr>
        <w:shd w:val="clear" w:color="auto" w:fill="9757A6"/>
      </w:tcPr>
    </w:tblStylePr>
    <w:tblStylePr w:type="lastRow">
      <w:rPr>
        <w:b/>
        <w:bCs/>
      </w:rPr>
      <w:tblPr/>
      <w:tcPr>
        <w:tcBorders>
          <w:top w:val="double" w:sz="4" w:space="0" w:color="9757A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757A6"/>
          <w:right w:val="single" w:sz="4" w:space="0" w:color="9757A6"/>
        </w:tcBorders>
      </w:tcPr>
    </w:tblStylePr>
    <w:tblStylePr w:type="band1Horz">
      <w:tblPr/>
      <w:tcPr>
        <w:tcBorders>
          <w:top w:val="single" w:sz="4" w:space="0" w:color="9757A6"/>
          <w:bottom w:val="single" w:sz="4" w:space="0" w:color="9757A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left w:val="nil"/>
        </w:tcBorders>
      </w:tcPr>
    </w:tblStylePr>
    <w:tblStylePr w:type="swCell">
      <w:tblPr/>
      <w:tcPr>
        <w:tcBorders>
          <w:top w:val="double" w:sz="4" w:space="0" w:color="9757A6"/>
          <w:right w:val="nil"/>
        </w:tcBorders>
      </w:tcPr>
    </w:tblStylePr>
  </w:style>
  <w:style w:type="table" w:customStyle="1" w:styleId="ListTable3-Accent21">
    <w:name w:val="List Table 3 - Accent 2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AE3B"/>
        <w:left w:val="single" w:sz="4" w:space="0" w:color="FFAE3B"/>
        <w:bottom w:val="single" w:sz="4" w:space="0" w:color="FFAE3B"/>
        <w:right w:val="single" w:sz="4" w:space="0" w:color="FFAE3B"/>
      </w:tblBorders>
    </w:tblPr>
    <w:tblStylePr w:type="firstRow">
      <w:rPr>
        <w:b/>
        <w:bCs/>
        <w:color w:val="FFFFFF"/>
      </w:rPr>
      <w:tblPr/>
      <w:tcPr>
        <w:shd w:val="clear" w:color="auto" w:fill="FFAE3B"/>
      </w:tcPr>
    </w:tblStylePr>
    <w:tblStylePr w:type="lastRow">
      <w:rPr>
        <w:b/>
        <w:bCs/>
      </w:rPr>
      <w:tblPr/>
      <w:tcPr>
        <w:tcBorders>
          <w:top w:val="double" w:sz="4" w:space="0" w:color="FFAE3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AE3B"/>
          <w:right w:val="single" w:sz="4" w:space="0" w:color="FFAE3B"/>
        </w:tcBorders>
      </w:tcPr>
    </w:tblStylePr>
    <w:tblStylePr w:type="band1Horz">
      <w:tblPr/>
      <w:tcPr>
        <w:tcBorders>
          <w:top w:val="single" w:sz="4" w:space="0" w:color="FFAE3B"/>
          <w:bottom w:val="single" w:sz="4" w:space="0" w:color="FFAE3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left w:val="nil"/>
        </w:tcBorders>
      </w:tcPr>
    </w:tblStylePr>
    <w:tblStylePr w:type="swCell">
      <w:tblPr/>
      <w:tcPr>
        <w:tcBorders>
          <w:top w:val="double" w:sz="4" w:space="0" w:color="FFAE3B"/>
          <w:right w:val="nil"/>
        </w:tcBorders>
      </w:tcPr>
    </w:tblStylePr>
  </w:style>
  <w:style w:type="table" w:customStyle="1" w:styleId="ListTable3-Accent31">
    <w:name w:val="List Table 3 - Accent 3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B689C1"/>
        <w:left w:val="single" w:sz="4" w:space="0" w:color="B689C1"/>
        <w:bottom w:val="single" w:sz="4" w:space="0" w:color="B689C1"/>
        <w:right w:val="single" w:sz="4" w:space="0" w:color="B689C1"/>
      </w:tblBorders>
    </w:tblPr>
    <w:tblStylePr w:type="firstRow">
      <w:rPr>
        <w:b/>
        <w:bCs/>
        <w:color w:val="FFFFFF"/>
      </w:rPr>
      <w:tblPr/>
      <w:tcPr>
        <w:shd w:val="clear" w:color="auto" w:fill="B689C1"/>
      </w:tcPr>
    </w:tblStylePr>
    <w:tblStylePr w:type="lastRow">
      <w:rPr>
        <w:b/>
        <w:bCs/>
      </w:rPr>
      <w:tblPr/>
      <w:tcPr>
        <w:tcBorders>
          <w:top w:val="double" w:sz="4" w:space="0" w:color="B689C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689C1"/>
          <w:right w:val="single" w:sz="4" w:space="0" w:color="B689C1"/>
        </w:tcBorders>
      </w:tcPr>
    </w:tblStylePr>
    <w:tblStylePr w:type="band1Horz">
      <w:tblPr/>
      <w:tcPr>
        <w:tcBorders>
          <w:top w:val="single" w:sz="4" w:space="0" w:color="B689C1"/>
          <w:bottom w:val="single" w:sz="4" w:space="0" w:color="B689C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left w:val="nil"/>
        </w:tcBorders>
      </w:tcPr>
    </w:tblStylePr>
    <w:tblStylePr w:type="swCell">
      <w:tblPr/>
      <w:tcPr>
        <w:tcBorders>
          <w:top w:val="double" w:sz="4" w:space="0" w:color="B689C1"/>
          <w:right w:val="nil"/>
        </w:tcBorders>
      </w:tcPr>
    </w:tblStylePr>
  </w:style>
  <w:style w:type="table" w:customStyle="1" w:styleId="ListTable3-Accent51">
    <w:name w:val="List Table 3 - Accent 5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A8B00"/>
        <w:left w:val="single" w:sz="4" w:space="0" w:color="EA8B00"/>
        <w:bottom w:val="single" w:sz="4" w:space="0" w:color="EA8B00"/>
        <w:right w:val="single" w:sz="4" w:space="0" w:color="EA8B00"/>
      </w:tblBorders>
    </w:tblPr>
    <w:tblStylePr w:type="firstRow">
      <w:rPr>
        <w:b/>
        <w:bCs/>
        <w:color w:val="FFFFFF"/>
      </w:rPr>
      <w:tblPr/>
      <w:tcPr>
        <w:shd w:val="clear" w:color="auto" w:fill="EA8B00"/>
      </w:tcPr>
    </w:tblStylePr>
    <w:tblStylePr w:type="lastRow">
      <w:rPr>
        <w:b/>
        <w:bCs/>
      </w:rPr>
      <w:tblPr/>
      <w:tcPr>
        <w:tcBorders>
          <w:top w:val="double" w:sz="4" w:space="0" w:color="EA8B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A8B00"/>
          <w:right w:val="single" w:sz="4" w:space="0" w:color="EA8B00"/>
        </w:tcBorders>
      </w:tcPr>
    </w:tblStylePr>
    <w:tblStylePr w:type="band1Horz">
      <w:tblPr/>
      <w:tcPr>
        <w:tcBorders>
          <w:top w:val="single" w:sz="4" w:space="0" w:color="EA8B00"/>
          <w:bottom w:val="single" w:sz="4" w:space="0" w:color="EA8B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left w:val="nil"/>
        </w:tcBorders>
      </w:tcPr>
    </w:tblStylePr>
    <w:tblStylePr w:type="swCell">
      <w:tblPr/>
      <w:tcPr>
        <w:tcBorders>
          <w:top w:val="double" w:sz="4" w:space="0" w:color="EA8B00"/>
          <w:right w:val="nil"/>
        </w:tcBorders>
      </w:tcPr>
    </w:tblStylePr>
  </w:style>
  <w:style w:type="table" w:customStyle="1" w:styleId="ListTable3-Accent61">
    <w:name w:val="List Table 3 - Accent 61"/>
    <w:basedOn w:val="TableNormal"/>
    <w:uiPriority w:val="48"/>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11">
    <w:name w:val="List Table 4 - Accent 1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tblBorders>
    </w:tblPr>
    <w:tblStylePr w:type="firstRow">
      <w:rPr>
        <w:b/>
        <w:bCs/>
        <w:color w:val="FFFFFF"/>
      </w:rPr>
      <w:tblPr/>
      <w:tcPr>
        <w:tcBorders>
          <w:top w:val="single" w:sz="4" w:space="0" w:color="9757A6"/>
          <w:left w:val="single" w:sz="4" w:space="0" w:color="9757A6"/>
          <w:bottom w:val="single" w:sz="4" w:space="0" w:color="9757A6"/>
          <w:right w:val="single" w:sz="4" w:space="0" w:color="9757A6"/>
          <w:insideH w:val="nil"/>
        </w:tcBorders>
        <w:shd w:val="clear" w:color="auto" w:fill="9757A6"/>
      </w:tcPr>
    </w:tblStylePr>
    <w:tblStylePr w:type="lastRow">
      <w:rPr>
        <w:b/>
        <w:bCs/>
      </w:rPr>
      <w:tblPr/>
      <w:tcPr>
        <w:tcBorders>
          <w:top w:val="doub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4-Accent21">
    <w:name w:val="List Table 4 - Accent 2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tblBorders>
    </w:tblPr>
    <w:tblStylePr w:type="firstRow">
      <w:rPr>
        <w:b/>
        <w:bCs/>
        <w:color w:val="FFFFFF"/>
      </w:rPr>
      <w:tblPr/>
      <w:tcPr>
        <w:tcBorders>
          <w:top w:val="single" w:sz="4" w:space="0" w:color="FFAE3B"/>
          <w:left w:val="single" w:sz="4" w:space="0" w:color="FFAE3B"/>
          <w:bottom w:val="single" w:sz="4" w:space="0" w:color="FFAE3B"/>
          <w:right w:val="single" w:sz="4" w:space="0" w:color="FFAE3B"/>
          <w:insideH w:val="nil"/>
        </w:tcBorders>
        <w:shd w:val="clear" w:color="auto" w:fill="FFAE3B"/>
      </w:tcPr>
    </w:tblStylePr>
    <w:tblStylePr w:type="lastRow">
      <w:rPr>
        <w:b/>
        <w:bCs/>
      </w:rPr>
      <w:tblPr/>
      <w:tcPr>
        <w:tcBorders>
          <w:top w:val="doub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4-Accent31">
    <w:name w:val="List Table 4 - Accent 3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tblBorders>
    </w:tblPr>
    <w:tblStylePr w:type="firstRow">
      <w:rPr>
        <w:b/>
        <w:bCs/>
        <w:color w:val="FFFFFF"/>
      </w:rPr>
      <w:tblPr/>
      <w:tcPr>
        <w:tcBorders>
          <w:top w:val="single" w:sz="4" w:space="0" w:color="B689C1"/>
          <w:left w:val="single" w:sz="4" w:space="0" w:color="B689C1"/>
          <w:bottom w:val="single" w:sz="4" w:space="0" w:color="B689C1"/>
          <w:right w:val="single" w:sz="4" w:space="0" w:color="B689C1"/>
          <w:insideH w:val="nil"/>
        </w:tcBorders>
        <w:shd w:val="clear" w:color="auto" w:fill="B689C1"/>
      </w:tcPr>
    </w:tblStylePr>
    <w:tblStylePr w:type="lastRow">
      <w:rPr>
        <w:b/>
        <w:bCs/>
      </w:rPr>
      <w:tblPr/>
      <w:tcPr>
        <w:tcBorders>
          <w:top w:val="doub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4-Accent51">
    <w:name w:val="List Table 4 - Accent 5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tblBorders>
    </w:tblPr>
    <w:tblStylePr w:type="firstRow">
      <w:rPr>
        <w:b/>
        <w:bCs/>
        <w:color w:val="FFFFFF"/>
      </w:rPr>
      <w:tblPr/>
      <w:tcPr>
        <w:tcBorders>
          <w:top w:val="single" w:sz="4" w:space="0" w:color="EA8B00"/>
          <w:left w:val="single" w:sz="4" w:space="0" w:color="EA8B00"/>
          <w:bottom w:val="single" w:sz="4" w:space="0" w:color="EA8B00"/>
          <w:right w:val="single" w:sz="4" w:space="0" w:color="EA8B00"/>
          <w:insideH w:val="nil"/>
        </w:tcBorders>
        <w:shd w:val="clear" w:color="auto" w:fill="EA8B00"/>
      </w:tcPr>
    </w:tblStylePr>
    <w:tblStylePr w:type="lastRow">
      <w:rPr>
        <w:b/>
        <w:bCs/>
      </w:rPr>
      <w:tblPr/>
      <w:tcPr>
        <w:tcBorders>
          <w:top w:val="doub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4-Accent61">
    <w:name w:val="List Table 4 - Accent 61"/>
    <w:basedOn w:val="TableNormal"/>
    <w:uiPriority w:val="49"/>
    <w:rsid w:val="00F67BE5"/>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5Dark-Accent11">
    <w:name w:val="List Table 5 Dark - Accent 1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9757A6"/>
        <w:left w:val="single" w:sz="24" w:space="0" w:color="9757A6"/>
        <w:bottom w:val="single" w:sz="24" w:space="0" w:color="9757A6"/>
        <w:right w:val="single" w:sz="24" w:space="0" w:color="9757A6"/>
      </w:tblBorders>
    </w:tblPr>
    <w:tcPr>
      <w:shd w:val="clear" w:color="auto" w:fill="9757A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FFAE3B"/>
        <w:left w:val="single" w:sz="24" w:space="0" w:color="FFAE3B"/>
        <w:bottom w:val="single" w:sz="24" w:space="0" w:color="FFAE3B"/>
        <w:right w:val="single" w:sz="24" w:space="0" w:color="FFAE3B"/>
      </w:tblBorders>
    </w:tblPr>
    <w:tcPr>
      <w:shd w:val="clear" w:color="auto" w:fill="FFAE3B"/>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B689C1"/>
        <w:left w:val="single" w:sz="24" w:space="0" w:color="B689C1"/>
        <w:bottom w:val="single" w:sz="24" w:space="0" w:color="B689C1"/>
        <w:right w:val="single" w:sz="24" w:space="0" w:color="B689C1"/>
      </w:tblBorders>
    </w:tblPr>
    <w:tcPr>
      <w:shd w:val="clear" w:color="auto" w:fill="B689C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EA8B00"/>
        <w:left w:val="single" w:sz="24" w:space="0" w:color="EA8B00"/>
        <w:bottom w:val="single" w:sz="24" w:space="0" w:color="EA8B00"/>
        <w:right w:val="single" w:sz="24" w:space="0" w:color="EA8B00"/>
      </w:tblBorders>
    </w:tblPr>
    <w:tcPr>
      <w:shd w:val="clear" w:color="auto" w:fill="EA8B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F67BE5"/>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BFBFBF"/>
        <w:left w:val="single" w:sz="24" w:space="0" w:color="BFBFBF"/>
        <w:bottom w:val="single" w:sz="24" w:space="0" w:color="BFBFBF"/>
        <w:right w:val="single" w:sz="24" w:space="0" w:color="BFBFBF"/>
      </w:tblBorders>
    </w:tblPr>
    <w:tcPr>
      <w:shd w:val="clear" w:color="auto" w:fill="BFBFBF"/>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F67BE5"/>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9757A6"/>
        <w:bottom w:val="single" w:sz="4" w:space="0" w:color="9757A6"/>
      </w:tblBorders>
    </w:tblPr>
    <w:tblStylePr w:type="firstRow">
      <w:rPr>
        <w:b/>
        <w:bCs/>
      </w:rPr>
      <w:tblPr/>
      <w:tcPr>
        <w:tcBorders>
          <w:bottom w:val="single" w:sz="4" w:space="0" w:color="9757A6"/>
        </w:tcBorders>
      </w:tcPr>
    </w:tblStylePr>
    <w:tblStylePr w:type="lastRow">
      <w:rPr>
        <w:b/>
        <w:bCs/>
      </w:rPr>
      <w:tblPr/>
      <w:tcPr>
        <w:tcBorders>
          <w:top w:val="double" w:sz="4" w:space="0" w:color="9757A6"/>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6Colorful-Accent21">
    <w:name w:val="List Table 6 Colorful - Accent 21"/>
    <w:basedOn w:val="TableNormal"/>
    <w:uiPriority w:val="51"/>
    <w:rsid w:val="00F67BE5"/>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AE3B"/>
        <w:bottom w:val="single" w:sz="4" w:space="0" w:color="FFAE3B"/>
      </w:tblBorders>
    </w:tblPr>
    <w:tblStylePr w:type="firstRow">
      <w:rPr>
        <w:b/>
        <w:bCs/>
      </w:rPr>
      <w:tblPr/>
      <w:tcPr>
        <w:tcBorders>
          <w:bottom w:val="single" w:sz="4" w:space="0" w:color="FFAE3B"/>
        </w:tcBorders>
      </w:tcPr>
    </w:tblStylePr>
    <w:tblStylePr w:type="lastRow">
      <w:rPr>
        <w:b/>
        <w:bCs/>
      </w:rPr>
      <w:tblPr/>
      <w:tcPr>
        <w:tcBorders>
          <w:top w:val="double" w:sz="4" w:space="0" w:color="FFAE3B"/>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6Colorful-Accent31">
    <w:name w:val="List Table 6 Colorful - Accent 31"/>
    <w:basedOn w:val="TableNormal"/>
    <w:uiPriority w:val="51"/>
    <w:rsid w:val="00F67BE5"/>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TableNormal"/>
    <w:uiPriority w:val="51"/>
    <w:rsid w:val="00F67BE5"/>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B689C1"/>
        <w:bottom w:val="single" w:sz="4" w:space="0" w:color="B689C1"/>
      </w:tblBorders>
    </w:tblPr>
    <w:tblStylePr w:type="firstRow">
      <w:rPr>
        <w:b/>
        <w:bCs/>
      </w:rPr>
      <w:tblPr/>
      <w:tcPr>
        <w:tcBorders>
          <w:bottom w:val="single" w:sz="4" w:space="0" w:color="B689C1"/>
        </w:tcBorders>
      </w:tcPr>
    </w:tblStylePr>
    <w:tblStylePr w:type="lastRow">
      <w:rPr>
        <w:b/>
        <w:bCs/>
      </w:rPr>
      <w:tblPr/>
      <w:tcPr>
        <w:tcBorders>
          <w:top w:val="double" w:sz="4" w:space="0" w:color="B689C1"/>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6Colorful-Accent51">
    <w:name w:val="List Table 6 Colorful - Accent 51"/>
    <w:basedOn w:val="TableNormal"/>
    <w:uiPriority w:val="51"/>
    <w:rsid w:val="00F67BE5"/>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EA8B00"/>
        <w:bottom w:val="single" w:sz="4" w:space="0" w:color="EA8B00"/>
      </w:tblBorders>
    </w:tblPr>
    <w:tblStylePr w:type="firstRow">
      <w:rPr>
        <w:b/>
        <w:bCs/>
      </w:rPr>
      <w:tblPr/>
      <w:tcPr>
        <w:tcBorders>
          <w:bottom w:val="single" w:sz="4" w:space="0" w:color="EA8B00"/>
        </w:tcBorders>
      </w:tcPr>
    </w:tblStylePr>
    <w:tblStylePr w:type="lastRow">
      <w:rPr>
        <w:b/>
        <w:bCs/>
      </w:rPr>
      <w:tblPr/>
      <w:tcPr>
        <w:tcBorders>
          <w:top w:val="double" w:sz="4" w:space="0" w:color="EA8B00"/>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6Colorful-Accent61">
    <w:name w:val="List Table 6 Colorful - Accent 61"/>
    <w:basedOn w:val="TableNormal"/>
    <w:uiPriority w:val="51"/>
    <w:rsid w:val="00F67BE5"/>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BFBFBF"/>
        <w:bottom w:val="single" w:sz="4" w:space="0" w:color="BFBFBF"/>
      </w:tblBorders>
    </w:tblPr>
    <w:tblStylePr w:type="firstRow">
      <w:rPr>
        <w:b/>
        <w:bCs/>
      </w:rPr>
      <w:tblPr/>
      <w:tcPr>
        <w:tcBorders>
          <w:bottom w:val="single" w:sz="4" w:space="0" w:color="BFBFBF"/>
        </w:tcBorders>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11">
    <w:name w:val="List Table 7 Colorful - Accent 11"/>
    <w:basedOn w:val="TableNormal"/>
    <w:uiPriority w:val="52"/>
    <w:rsid w:val="00F67BE5"/>
    <w:pPr>
      <w:spacing w:after="0" w:line="240" w:lineRule="auto"/>
    </w:pPr>
    <w:rPr>
      <w:rFonts w:ascii="Calibri" w:eastAsia="Calibri" w:hAnsi="Calibri" w:cs="Times New Roman"/>
      <w:color w:val="70417C"/>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9757A6"/>
        </w:tcBorders>
        <w:shd w:val="clear" w:color="auto" w:fill="FFFFFF"/>
      </w:tcPr>
    </w:tblStylePr>
    <w:tblStylePr w:type="lastRow">
      <w:rPr>
        <w:rFonts w:ascii="Arial Narrow" w:eastAsia="PMingLiU" w:hAnsi="Arial Narrow" w:cs="Times New Roman"/>
        <w:i/>
        <w:iCs/>
        <w:sz w:val="26"/>
      </w:rPr>
      <w:tblPr/>
      <w:tcPr>
        <w:tcBorders>
          <w:top w:val="single" w:sz="4" w:space="0" w:color="9757A6"/>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9757A6"/>
        </w:tcBorders>
        <w:shd w:val="clear" w:color="auto" w:fill="FFFFFF"/>
      </w:tcPr>
    </w:tblStylePr>
    <w:tblStylePr w:type="lastCol">
      <w:rPr>
        <w:rFonts w:ascii="Arial Narrow" w:eastAsia="PMingLiU" w:hAnsi="Arial Narrow" w:cs="Times New Roman"/>
        <w:i/>
        <w:iCs/>
        <w:sz w:val="26"/>
      </w:rPr>
      <w:tblPr/>
      <w:tcPr>
        <w:tcBorders>
          <w:left w:val="single" w:sz="4" w:space="0" w:color="9757A6"/>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F67BE5"/>
    <w:pPr>
      <w:spacing w:after="0" w:line="240" w:lineRule="auto"/>
    </w:pPr>
    <w:rPr>
      <w:rFonts w:ascii="Calibri" w:eastAsia="Calibri" w:hAnsi="Calibri" w:cs="Times New Roman"/>
      <w:color w:val="EB8900"/>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FFAE3B"/>
        </w:tcBorders>
        <w:shd w:val="clear" w:color="auto" w:fill="FFFFFF"/>
      </w:tcPr>
    </w:tblStylePr>
    <w:tblStylePr w:type="lastRow">
      <w:rPr>
        <w:rFonts w:ascii="Arial Narrow" w:eastAsia="PMingLiU" w:hAnsi="Arial Narrow" w:cs="Times New Roman"/>
        <w:i/>
        <w:iCs/>
        <w:sz w:val="26"/>
      </w:rPr>
      <w:tblPr/>
      <w:tcPr>
        <w:tcBorders>
          <w:top w:val="single" w:sz="4" w:space="0" w:color="FFAE3B"/>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FFAE3B"/>
        </w:tcBorders>
        <w:shd w:val="clear" w:color="auto" w:fill="FFFFFF"/>
      </w:tcPr>
    </w:tblStylePr>
    <w:tblStylePr w:type="lastCol">
      <w:rPr>
        <w:rFonts w:ascii="Arial Narrow" w:eastAsia="PMingLiU" w:hAnsi="Arial Narrow" w:cs="Times New Roman"/>
        <w:i/>
        <w:iCs/>
        <w:sz w:val="26"/>
      </w:rPr>
      <w:tblPr/>
      <w:tcPr>
        <w:tcBorders>
          <w:left w:val="single" w:sz="4" w:space="0" w:color="FFAE3B"/>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F67BE5"/>
    <w:pPr>
      <w:spacing w:after="0" w:line="240" w:lineRule="auto"/>
    </w:pPr>
    <w:rPr>
      <w:rFonts w:ascii="Calibri" w:eastAsia="Calibri" w:hAnsi="Calibri" w:cs="Times New Roman"/>
      <w:color w:val="7B7B7B"/>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A5A5A5"/>
        </w:tcBorders>
        <w:shd w:val="clear" w:color="auto" w:fill="FFFFFF"/>
      </w:tcPr>
    </w:tblStylePr>
    <w:tblStylePr w:type="lastRow">
      <w:rPr>
        <w:rFonts w:ascii="Arial Narrow" w:eastAsia="PMingLiU" w:hAnsi="Arial Narrow" w:cs="Times New Roman"/>
        <w:i/>
        <w:iCs/>
        <w:sz w:val="26"/>
      </w:rPr>
      <w:tblPr/>
      <w:tcPr>
        <w:tcBorders>
          <w:top w:val="single" w:sz="4" w:space="0" w:color="A5A5A5"/>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A5A5A5"/>
        </w:tcBorders>
        <w:shd w:val="clear" w:color="auto" w:fill="FFFFFF"/>
      </w:tcPr>
    </w:tblStylePr>
    <w:tblStylePr w:type="lastCol">
      <w:rPr>
        <w:rFonts w:ascii="Arial Narrow" w:eastAsia="PMingLiU" w:hAnsi="Arial Narrow"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F67BE5"/>
    <w:pPr>
      <w:spacing w:after="0" w:line="240" w:lineRule="auto"/>
    </w:pPr>
    <w:rPr>
      <w:rFonts w:ascii="Calibri" w:eastAsia="Calibri" w:hAnsi="Calibri" w:cs="Times New Roman"/>
      <w:color w:val="9255A1"/>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B689C1"/>
        </w:tcBorders>
        <w:shd w:val="clear" w:color="auto" w:fill="FFFFFF"/>
      </w:tcPr>
    </w:tblStylePr>
    <w:tblStylePr w:type="lastRow">
      <w:rPr>
        <w:rFonts w:ascii="Arial Narrow" w:eastAsia="PMingLiU" w:hAnsi="Arial Narrow" w:cs="Times New Roman"/>
        <w:i/>
        <w:iCs/>
        <w:sz w:val="26"/>
      </w:rPr>
      <w:tblPr/>
      <w:tcPr>
        <w:tcBorders>
          <w:top w:val="single" w:sz="4" w:space="0" w:color="B689C1"/>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B689C1"/>
        </w:tcBorders>
        <w:shd w:val="clear" w:color="auto" w:fill="FFFFFF"/>
      </w:tcPr>
    </w:tblStylePr>
    <w:tblStylePr w:type="lastCol">
      <w:rPr>
        <w:rFonts w:ascii="Arial Narrow" w:eastAsia="PMingLiU" w:hAnsi="Arial Narrow" w:cs="Times New Roman"/>
        <w:i/>
        <w:iCs/>
        <w:sz w:val="26"/>
      </w:rPr>
      <w:tblPr/>
      <w:tcPr>
        <w:tcBorders>
          <w:left w:val="single" w:sz="4" w:space="0" w:color="B689C1"/>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F67BE5"/>
    <w:pPr>
      <w:spacing w:after="0" w:line="240" w:lineRule="auto"/>
    </w:pPr>
    <w:rPr>
      <w:rFonts w:ascii="Calibri" w:eastAsia="Calibri" w:hAnsi="Calibri" w:cs="Times New Roman"/>
      <w:color w:val="AF6700"/>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EA8B00"/>
        </w:tcBorders>
        <w:shd w:val="clear" w:color="auto" w:fill="FFFFFF"/>
      </w:tcPr>
    </w:tblStylePr>
    <w:tblStylePr w:type="lastRow">
      <w:rPr>
        <w:rFonts w:ascii="Arial Narrow" w:eastAsia="PMingLiU" w:hAnsi="Arial Narrow" w:cs="Times New Roman"/>
        <w:i/>
        <w:iCs/>
        <w:sz w:val="26"/>
      </w:rPr>
      <w:tblPr/>
      <w:tcPr>
        <w:tcBorders>
          <w:top w:val="single" w:sz="4" w:space="0" w:color="EA8B00"/>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EA8B00"/>
        </w:tcBorders>
        <w:shd w:val="clear" w:color="auto" w:fill="FFFFFF"/>
      </w:tcPr>
    </w:tblStylePr>
    <w:tblStylePr w:type="lastCol">
      <w:rPr>
        <w:rFonts w:ascii="Arial Narrow" w:eastAsia="PMingLiU" w:hAnsi="Arial Narrow" w:cs="Times New Roman"/>
        <w:i/>
        <w:iCs/>
        <w:sz w:val="26"/>
      </w:rPr>
      <w:tblPr/>
      <w:tcPr>
        <w:tcBorders>
          <w:left w:val="single" w:sz="4" w:space="0" w:color="EA8B00"/>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F67BE5"/>
    <w:pPr>
      <w:spacing w:after="0" w:line="240" w:lineRule="auto"/>
    </w:pPr>
    <w:rPr>
      <w:rFonts w:ascii="Calibri" w:eastAsia="Calibri" w:hAnsi="Calibri" w:cs="Times New Roman"/>
      <w:color w:val="8F8F8F"/>
      <w:sz w:val="20"/>
      <w:szCs w:val="20"/>
      <w:lang w:val="en-AU" w:eastAsia="en-AU"/>
    </w:rPr>
    <w:tblPr>
      <w:tblStyleRowBandSize w:val="1"/>
      <w:tblStyleColBandSize w:val="1"/>
    </w:tblPr>
    <w:tblStylePr w:type="firstRow">
      <w:rPr>
        <w:rFonts w:ascii="Arial Narrow" w:eastAsia="PMingLiU" w:hAnsi="Arial Narrow" w:cs="Times New Roman"/>
        <w:i/>
        <w:iCs/>
        <w:sz w:val="26"/>
      </w:rPr>
      <w:tblPr/>
      <w:tcPr>
        <w:tcBorders>
          <w:bottom w:val="single" w:sz="4" w:space="0" w:color="BFBFBF"/>
        </w:tcBorders>
        <w:shd w:val="clear" w:color="auto" w:fill="FFFFFF"/>
      </w:tcPr>
    </w:tblStylePr>
    <w:tblStylePr w:type="lastRow">
      <w:rPr>
        <w:rFonts w:ascii="Arial Narrow" w:eastAsia="PMingLiU" w:hAnsi="Arial Narrow" w:cs="Times New Roman"/>
        <w:i/>
        <w:iCs/>
        <w:sz w:val="26"/>
      </w:rPr>
      <w:tblPr/>
      <w:tcPr>
        <w:tcBorders>
          <w:top w:val="single" w:sz="4" w:space="0" w:color="BFBFBF"/>
        </w:tcBorders>
        <w:shd w:val="clear" w:color="auto" w:fill="FFFFFF"/>
      </w:tcPr>
    </w:tblStylePr>
    <w:tblStylePr w:type="firstCol">
      <w:pPr>
        <w:jc w:val="right"/>
      </w:pPr>
      <w:rPr>
        <w:rFonts w:ascii="Arial Narrow" w:eastAsia="PMingLiU" w:hAnsi="Arial Narrow" w:cs="Times New Roman"/>
        <w:i/>
        <w:iCs/>
        <w:sz w:val="26"/>
      </w:rPr>
      <w:tblPr/>
      <w:tcPr>
        <w:tcBorders>
          <w:right w:val="single" w:sz="4" w:space="0" w:color="BFBFBF"/>
        </w:tcBorders>
        <w:shd w:val="clear" w:color="auto" w:fill="FFFFFF"/>
      </w:tcPr>
    </w:tblStylePr>
    <w:tblStylePr w:type="lastCol">
      <w:rPr>
        <w:rFonts w:ascii="Arial Narrow" w:eastAsia="PMingLiU" w:hAnsi="Arial Narrow" w:cs="Times New Roman"/>
        <w:i/>
        <w:iCs/>
        <w:sz w:val="26"/>
      </w:rPr>
      <w:tblPr/>
      <w:tcPr>
        <w:tcBorders>
          <w:left w:val="single" w:sz="4" w:space="0" w:color="BFBFB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F67BE5"/>
    <w:pPr>
      <w:spacing w:after="0" w:line="240" w:lineRule="auto"/>
    </w:pPr>
    <w:rPr>
      <w:rFonts w:ascii="Calibri" w:eastAsia="Calibri" w:hAnsi="Calibri"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3E471F"/>
    <w:pPr>
      <w:spacing w:after="0" w:line="240" w:lineRule="auto"/>
    </w:pPr>
    <w:rPr>
      <w:rFonts w:ascii="Arial Narrow" w:eastAsia="Calibri" w:hAnsi="Arial Narrow" w:cs="Times New Roman"/>
      <w:lang w:val="en-AU"/>
    </w:rPr>
  </w:style>
  <w:style w:type="table" w:customStyle="1" w:styleId="GridTable1Light-Accent12">
    <w:name w:val="Grid Table 1 Light - Accent 1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5BBDB"/>
        <w:left w:val="single" w:sz="4" w:space="0" w:color="D5BBDB"/>
        <w:bottom w:val="single" w:sz="4" w:space="0" w:color="D5BBDB"/>
        <w:right w:val="single" w:sz="4" w:space="0" w:color="D5BBDB"/>
        <w:insideH w:val="single" w:sz="4" w:space="0" w:color="D5BBDB"/>
        <w:insideV w:val="single" w:sz="4" w:space="0" w:color="D5BBDB"/>
      </w:tblBorders>
    </w:tblPr>
    <w:tblStylePr w:type="firstRow">
      <w:rPr>
        <w:b/>
        <w:bCs/>
      </w:rPr>
      <w:tblPr/>
      <w:tcPr>
        <w:tcBorders>
          <w:bottom w:val="single" w:sz="12" w:space="0" w:color="C099CA"/>
        </w:tcBorders>
      </w:tcPr>
    </w:tblStylePr>
    <w:tblStylePr w:type="lastRow">
      <w:rPr>
        <w:b/>
        <w:bCs/>
      </w:rPr>
      <w:tblPr/>
      <w:tcPr>
        <w:tcBorders>
          <w:top w:val="double" w:sz="2" w:space="0" w:color="C099CA"/>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DEB0"/>
        <w:left w:val="single" w:sz="4" w:space="0" w:color="FFDEB0"/>
        <w:bottom w:val="single" w:sz="4" w:space="0" w:color="FFDEB0"/>
        <w:right w:val="single" w:sz="4" w:space="0" w:color="FFDEB0"/>
        <w:insideH w:val="single" w:sz="4" w:space="0" w:color="FFDEB0"/>
        <w:insideV w:val="single" w:sz="4" w:space="0" w:color="FFDEB0"/>
      </w:tblBorders>
    </w:tblPr>
    <w:tblStylePr w:type="firstRow">
      <w:rPr>
        <w:b/>
        <w:bCs/>
      </w:rPr>
      <w:tblPr/>
      <w:tcPr>
        <w:tcBorders>
          <w:bottom w:val="single" w:sz="12" w:space="0" w:color="FFCE89"/>
        </w:tcBorders>
      </w:tcPr>
    </w:tblStylePr>
    <w:tblStylePr w:type="lastRow">
      <w:rPr>
        <w:b/>
        <w:bCs/>
      </w:rPr>
      <w:tblPr/>
      <w:tcPr>
        <w:tcBorders>
          <w:top w:val="double" w:sz="2" w:space="0" w:color="FFCE8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1CFE6"/>
        <w:left w:val="single" w:sz="4" w:space="0" w:color="E1CFE6"/>
        <w:bottom w:val="single" w:sz="4" w:space="0" w:color="E1CFE6"/>
        <w:right w:val="single" w:sz="4" w:space="0" w:color="E1CFE6"/>
        <w:insideH w:val="single" w:sz="4" w:space="0" w:color="E1CFE6"/>
        <w:insideV w:val="single" w:sz="4" w:space="0" w:color="E1CFE6"/>
      </w:tblBorders>
    </w:tblPr>
    <w:tblStylePr w:type="firstRow">
      <w:rPr>
        <w:b/>
        <w:bCs/>
      </w:rPr>
      <w:tblPr/>
      <w:tcPr>
        <w:tcBorders>
          <w:bottom w:val="single" w:sz="12" w:space="0" w:color="D3B8D9"/>
        </w:tcBorders>
      </w:tcPr>
    </w:tblStylePr>
    <w:tblStylePr w:type="lastRow">
      <w:rPr>
        <w:b/>
        <w:bCs/>
      </w:rPr>
      <w:tblPr/>
      <w:tcPr>
        <w:tcBorders>
          <w:top w:val="double" w:sz="2" w:space="0" w:color="D3B8D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D190"/>
        <w:left w:val="single" w:sz="4" w:space="0" w:color="FFD190"/>
        <w:bottom w:val="single" w:sz="4" w:space="0" w:color="FFD190"/>
        <w:right w:val="single" w:sz="4" w:space="0" w:color="FFD190"/>
        <w:insideH w:val="single" w:sz="4" w:space="0" w:color="FFD190"/>
        <w:insideV w:val="single" w:sz="4" w:space="0" w:color="FFD190"/>
      </w:tblBorders>
    </w:tblPr>
    <w:tblStylePr w:type="firstRow">
      <w:rPr>
        <w:b/>
        <w:bCs/>
      </w:rPr>
      <w:tblPr/>
      <w:tcPr>
        <w:tcBorders>
          <w:bottom w:val="single" w:sz="12" w:space="0" w:color="FFBB59"/>
        </w:tcBorders>
      </w:tcPr>
    </w:tblStylePr>
    <w:tblStylePr w:type="lastRow">
      <w:rPr>
        <w:b/>
        <w:bCs/>
      </w:rPr>
      <w:tblPr/>
      <w:tcPr>
        <w:tcBorders>
          <w:top w:val="double" w:sz="2" w:space="0" w:color="FFBB5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C099CA"/>
        <w:bottom w:val="single" w:sz="2" w:space="0" w:color="C099CA"/>
        <w:insideH w:val="single" w:sz="2" w:space="0" w:color="C099CA"/>
        <w:insideV w:val="single" w:sz="2" w:space="0" w:color="C099CA"/>
      </w:tblBorders>
    </w:tblPr>
    <w:tblStylePr w:type="firstRow">
      <w:rPr>
        <w:b/>
        <w:bCs/>
      </w:rPr>
      <w:tblPr/>
      <w:tcPr>
        <w:tcBorders>
          <w:top w:val="nil"/>
          <w:bottom w:val="single" w:sz="12" w:space="0" w:color="C099CA"/>
          <w:insideH w:val="nil"/>
          <w:insideV w:val="nil"/>
        </w:tcBorders>
        <w:shd w:val="clear" w:color="auto" w:fill="FFFFFF"/>
      </w:tcPr>
    </w:tblStylePr>
    <w:tblStylePr w:type="lastRow">
      <w:rPr>
        <w:b/>
        <w:bCs/>
      </w:rPr>
      <w:tblPr/>
      <w:tcPr>
        <w:tcBorders>
          <w:top w:val="double" w:sz="2" w:space="0" w:color="C099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2-Accent22">
    <w:name w:val="Grid Table 2 - Accent 2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FFCE89"/>
        <w:bottom w:val="single" w:sz="2" w:space="0" w:color="FFCE89"/>
        <w:insideH w:val="single" w:sz="2" w:space="0" w:color="FFCE89"/>
        <w:insideV w:val="single" w:sz="2" w:space="0" w:color="FFCE89"/>
      </w:tblBorders>
    </w:tblPr>
    <w:tblStylePr w:type="firstRow">
      <w:rPr>
        <w:b/>
        <w:bCs/>
      </w:rPr>
      <w:tblPr/>
      <w:tcPr>
        <w:tcBorders>
          <w:top w:val="nil"/>
          <w:bottom w:val="single" w:sz="12" w:space="0" w:color="FFCE89"/>
          <w:insideH w:val="nil"/>
          <w:insideV w:val="nil"/>
        </w:tcBorders>
        <w:shd w:val="clear" w:color="auto" w:fill="FFFFFF"/>
      </w:tcPr>
    </w:tblStylePr>
    <w:tblStylePr w:type="lastRow">
      <w:rPr>
        <w:b/>
        <w:bCs/>
      </w:rPr>
      <w:tblPr/>
      <w:tcPr>
        <w:tcBorders>
          <w:top w:val="double" w:sz="2" w:space="0" w:color="FFCE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2-Accent32">
    <w:name w:val="Grid Table 2 - Accent 3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
    <w:name w:val="Grid Table 2 - Accent 4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D3B8D9"/>
        <w:bottom w:val="single" w:sz="2" w:space="0" w:color="D3B8D9"/>
        <w:insideH w:val="single" w:sz="2" w:space="0" w:color="D3B8D9"/>
        <w:insideV w:val="single" w:sz="2" w:space="0" w:color="D3B8D9"/>
      </w:tblBorders>
    </w:tblPr>
    <w:tblStylePr w:type="firstRow">
      <w:rPr>
        <w:b/>
        <w:bCs/>
      </w:rPr>
      <w:tblPr/>
      <w:tcPr>
        <w:tcBorders>
          <w:top w:val="nil"/>
          <w:bottom w:val="single" w:sz="12" w:space="0" w:color="D3B8D9"/>
          <w:insideH w:val="nil"/>
          <w:insideV w:val="nil"/>
        </w:tcBorders>
        <w:shd w:val="clear" w:color="auto" w:fill="FFFFFF"/>
      </w:tcPr>
    </w:tblStylePr>
    <w:tblStylePr w:type="lastRow">
      <w:rPr>
        <w:b/>
        <w:bCs/>
      </w:rPr>
      <w:tblPr/>
      <w:tcPr>
        <w:tcBorders>
          <w:top w:val="double" w:sz="2" w:space="0" w:color="D3B8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2-Accent52">
    <w:name w:val="Grid Table 2 - Accent 5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FFBB59"/>
        <w:bottom w:val="single" w:sz="2" w:space="0" w:color="FFBB59"/>
        <w:insideH w:val="single" w:sz="2" w:space="0" w:color="FFBB59"/>
        <w:insideV w:val="single" w:sz="2" w:space="0" w:color="FFBB59"/>
      </w:tblBorders>
    </w:tblPr>
    <w:tblStylePr w:type="firstRow">
      <w:rPr>
        <w:b/>
        <w:bCs/>
      </w:rPr>
      <w:tblPr/>
      <w:tcPr>
        <w:tcBorders>
          <w:top w:val="nil"/>
          <w:bottom w:val="single" w:sz="12" w:space="0" w:color="FFBB59"/>
          <w:insideH w:val="nil"/>
          <w:insideV w:val="nil"/>
        </w:tcBorders>
        <w:shd w:val="clear" w:color="auto" w:fill="FFFFFF"/>
      </w:tcPr>
    </w:tblStylePr>
    <w:tblStylePr w:type="lastRow">
      <w:rPr>
        <w:b/>
        <w:bCs/>
      </w:rPr>
      <w:tblPr/>
      <w:tcPr>
        <w:tcBorders>
          <w:top w:val="double" w:sz="2" w:space="0" w:color="FFBB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2-Accent62">
    <w:name w:val="Grid Table 2 - Accent 6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2" w:space="0" w:color="D8D8D8"/>
        <w:bottom w:val="single" w:sz="2" w:space="0" w:color="D8D8D8"/>
        <w:insideH w:val="single" w:sz="2" w:space="0" w:color="D8D8D8"/>
        <w:insideV w:val="single" w:sz="2" w:space="0" w:color="D8D8D8"/>
      </w:tblBorders>
    </w:tblPr>
    <w:tblStylePr w:type="firstRow">
      <w:rPr>
        <w:b/>
        <w:bCs/>
      </w:rPr>
      <w:tblPr/>
      <w:tcPr>
        <w:tcBorders>
          <w:top w:val="nil"/>
          <w:bottom w:val="single" w:sz="12" w:space="0" w:color="D8D8D8"/>
          <w:insideH w:val="nil"/>
          <w:insideV w:val="nil"/>
        </w:tcBorders>
        <w:shd w:val="clear" w:color="auto" w:fill="FFFFFF"/>
      </w:tcPr>
    </w:tblStylePr>
    <w:tblStylePr w:type="lastRow">
      <w:rPr>
        <w:b/>
        <w:bCs/>
      </w:rPr>
      <w:tblPr/>
      <w:tcPr>
        <w:tcBorders>
          <w:top w:val="double" w:sz="2" w:space="0" w:color="D8D8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12">
    <w:name w:val="Grid Table 3 - Accent 1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bottom w:val="single" w:sz="4" w:space="0" w:color="C099CA"/>
        </w:tcBorders>
      </w:tcPr>
    </w:tblStylePr>
    <w:tblStylePr w:type="nwCell">
      <w:tblPr/>
      <w:tcPr>
        <w:tcBorders>
          <w:bottom w:val="single" w:sz="4" w:space="0" w:color="C099CA"/>
        </w:tcBorders>
      </w:tcPr>
    </w:tblStylePr>
    <w:tblStylePr w:type="seCell">
      <w:tblPr/>
      <w:tcPr>
        <w:tcBorders>
          <w:top w:val="single" w:sz="4" w:space="0" w:color="C099CA"/>
        </w:tcBorders>
      </w:tcPr>
    </w:tblStylePr>
    <w:tblStylePr w:type="swCell">
      <w:tblPr/>
      <w:tcPr>
        <w:tcBorders>
          <w:top w:val="single" w:sz="4" w:space="0" w:color="C099CA"/>
        </w:tcBorders>
      </w:tcPr>
    </w:tblStylePr>
  </w:style>
  <w:style w:type="table" w:customStyle="1" w:styleId="GridTable3-Accent22">
    <w:name w:val="Grid Table 3 - Accent 2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bottom w:val="single" w:sz="4" w:space="0" w:color="FFCE89"/>
        </w:tcBorders>
      </w:tcPr>
    </w:tblStylePr>
    <w:tblStylePr w:type="nwCell">
      <w:tblPr/>
      <w:tcPr>
        <w:tcBorders>
          <w:bottom w:val="single" w:sz="4" w:space="0" w:color="FFCE89"/>
        </w:tcBorders>
      </w:tcPr>
    </w:tblStylePr>
    <w:tblStylePr w:type="seCell">
      <w:tblPr/>
      <w:tcPr>
        <w:tcBorders>
          <w:top w:val="single" w:sz="4" w:space="0" w:color="FFCE89"/>
        </w:tcBorders>
      </w:tcPr>
    </w:tblStylePr>
    <w:tblStylePr w:type="swCell">
      <w:tblPr/>
      <w:tcPr>
        <w:tcBorders>
          <w:top w:val="single" w:sz="4" w:space="0" w:color="FFCE89"/>
        </w:tcBorders>
      </w:tcPr>
    </w:tblStylePr>
  </w:style>
  <w:style w:type="table" w:customStyle="1" w:styleId="GridTable3-Accent32">
    <w:name w:val="Grid Table 3 - Accent 3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
    <w:name w:val="Grid Table 3 - Accent 4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bottom w:val="single" w:sz="4" w:space="0" w:color="D3B8D9"/>
        </w:tcBorders>
      </w:tcPr>
    </w:tblStylePr>
    <w:tblStylePr w:type="nwCell">
      <w:tblPr/>
      <w:tcPr>
        <w:tcBorders>
          <w:bottom w:val="single" w:sz="4" w:space="0" w:color="D3B8D9"/>
        </w:tcBorders>
      </w:tcPr>
    </w:tblStylePr>
    <w:tblStylePr w:type="seCell">
      <w:tblPr/>
      <w:tcPr>
        <w:tcBorders>
          <w:top w:val="single" w:sz="4" w:space="0" w:color="D3B8D9"/>
        </w:tcBorders>
      </w:tcPr>
    </w:tblStylePr>
    <w:tblStylePr w:type="swCell">
      <w:tblPr/>
      <w:tcPr>
        <w:tcBorders>
          <w:top w:val="single" w:sz="4" w:space="0" w:color="D3B8D9"/>
        </w:tcBorders>
      </w:tcPr>
    </w:tblStylePr>
  </w:style>
  <w:style w:type="table" w:customStyle="1" w:styleId="GridTable3-Accent52">
    <w:name w:val="Grid Table 3 - Accent 5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bottom w:val="single" w:sz="4" w:space="0" w:color="FFBB59"/>
        </w:tcBorders>
      </w:tcPr>
    </w:tblStylePr>
    <w:tblStylePr w:type="nwCell">
      <w:tblPr/>
      <w:tcPr>
        <w:tcBorders>
          <w:bottom w:val="single" w:sz="4" w:space="0" w:color="FFBB59"/>
        </w:tcBorders>
      </w:tcPr>
    </w:tblStylePr>
    <w:tblStylePr w:type="seCell">
      <w:tblPr/>
      <w:tcPr>
        <w:tcBorders>
          <w:top w:val="single" w:sz="4" w:space="0" w:color="FFBB59"/>
        </w:tcBorders>
      </w:tcPr>
    </w:tblStylePr>
    <w:tblStylePr w:type="swCell">
      <w:tblPr/>
      <w:tcPr>
        <w:tcBorders>
          <w:top w:val="single" w:sz="4" w:space="0" w:color="FFBB59"/>
        </w:tcBorders>
      </w:tcPr>
    </w:tblStylePr>
  </w:style>
  <w:style w:type="table" w:customStyle="1" w:styleId="GridTable3-Accent62">
    <w:name w:val="Grid Table 3 - Accent 6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D8D8D8"/>
        </w:tcBorders>
      </w:tcPr>
    </w:tblStylePr>
    <w:tblStylePr w:type="nwCell">
      <w:tblPr/>
      <w:tcPr>
        <w:tcBorders>
          <w:bottom w:val="single" w:sz="4" w:space="0" w:color="D8D8D8"/>
        </w:tcBorders>
      </w:tcPr>
    </w:tblStylePr>
    <w:tblStylePr w:type="seCell">
      <w:tblPr/>
      <w:tcPr>
        <w:tcBorders>
          <w:top w:val="single" w:sz="4" w:space="0" w:color="D8D8D8"/>
        </w:tcBorders>
      </w:tcPr>
    </w:tblStylePr>
    <w:tblStylePr w:type="swCell">
      <w:tblPr/>
      <w:tcPr>
        <w:tcBorders>
          <w:top w:val="single" w:sz="4" w:space="0" w:color="D8D8D8"/>
        </w:tcBorders>
      </w:tcPr>
    </w:tblStylePr>
  </w:style>
  <w:style w:type="table" w:customStyle="1" w:styleId="GridTable4-Accent12">
    <w:name w:val="Grid Table 4 - Accent 1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color w:val="FFFFFF"/>
      </w:rPr>
      <w:tblPr/>
      <w:tcPr>
        <w:tcBorders>
          <w:top w:val="single" w:sz="4" w:space="0" w:color="9757A6"/>
          <w:left w:val="single" w:sz="4" w:space="0" w:color="9757A6"/>
          <w:bottom w:val="single" w:sz="4" w:space="0" w:color="9757A6"/>
          <w:right w:val="single" w:sz="4" w:space="0" w:color="9757A6"/>
          <w:insideH w:val="nil"/>
          <w:insideV w:val="nil"/>
        </w:tcBorders>
        <w:shd w:val="clear" w:color="auto" w:fill="9757A6"/>
      </w:tcPr>
    </w:tblStylePr>
    <w:tblStylePr w:type="lastRow">
      <w:rPr>
        <w:b/>
        <w:bCs/>
      </w:rPr>
      <w:tblPr/>
      <w:tcPr>
        <w:tcBorders>
          <w:top w:val="double" w:sz="4" w:space="0" w:color="9757A6"/>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4-Accent22">
    <w:name w:val="Grid Table 4 - Accent 2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color w:val="FFFFFF"/>
      </w:rPr>
      <w:tblPr/>
      <w:tcPr>
        <w:tcBorders>
          <w:top w:val="single" w:sz="4" w:space="0" w:color="FFAE3B"/>
          <w:left w:val="single" w:sz="4" w:space="0" w:color="FFAE3B"/>
          <w:bottom w:val="single" w:sz="4" w:space="0" w:color="FFAE3B"/>
          <w:right w:val="single" w:sz="4" w:space="0" w:color="FFAE3B"/>
          <w:insideH w:val="nil"/>
          <w:insideV w:val="nil"/>
        </w:tcBorders>
        <w:shd w:val="clear" w:color="auto" w:fill="FFAE3B"/>
      </w:tcPr>
    </w:tblStylePr>
    <w:tblStylePr w:type="lastRow">
      <w:rPr>
        <w:b/>
        <w:bCs/>
      </w:rPr>
      <w:tblPr/>
      <w:tcPr>
        <w:tcBorders>
          <w:top w:val="double" w:sz="4" w:space="0" w:color="FFAE3B"/>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4-Accent32">
    <w:name w:val="Grid Table 4 - Accent 3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
    <w:name w:val="Grid Table 4 - Accent 4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color w:val="FFFFFF"/>
      </w:rPr>
      <w:tblPr/>
      <w:tcPr>
        <w:tcBorders>
          <w:top w:val="single" w:sz="4" w:space="0" w:color="B689C1"/>
          <w:left w:val="single" w:sz="4" w:space="0" w:color="B689C1"/>
          <w:bottom w:val="single" w:sz="4" w:space="0" w:color="B689C1"/>
          <w:right w:val="single" w:sz="4" w:space="0" w:color="B689C1"/>
          <w:insideH w:val="nil"/>
          <w:insideV w:val="nil"/>
        </w:tcBorders>
        <w:shd w:val="clear" w:color="auto" w:fill="B689C1"/>
      </w:tcPr>
    </w:tblStylePr>
    <w:tblStylePr w:type="lastRow">
      <w:rPr>
        <w:b/>
        <w:bCs/>
      </w:rPr>
      <w:tblPr/>
      <w:tcPr>
        <w:tcBorders>
          <w:top w:val="double" w:sz="4" w:space="0" w:color="B689C1"/>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4-Accent52">
    <w:name w:val="Grid Table 4 - Accent 5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color w:val="FFFFFF"/>
      </w:rPr>
      <w:tblPr/>
      <w:tcPr>
        <w:tcBorders>
          <w:top w:val="single" w:sz="4" w:space="0" w:color="EA8B00"/>
          <w:left w:val="single" w:sz="4" w:space="0" w:color="EA8B00"/>
          <w:bottom w:val="single" w:sz="4" w:space="0" w:color="EA8B00"/>
          <w:right w:val="single" w:sz="4" w:space="0" w:color="EA8B00"/>
          <w:insideH w:val="nil"/>
          <w:insideV w:val="nil"/>
        </w:tcBorders>
        <w:shd w:val="clear" w:color="auto" w:fill="EA8B00"/>
      </w:tcPr>
    </w:tblStylePr>
    <w:tblStylePr w:type="lastRow">
      <w:rPr>
        <w:b/>
        <w:bCs/>
      </w:rPr>
      <w:tblPr/>
      <w:tcPr>
        <w:tcBorders>
          <w:top w:val="double" w:sz="4" w:space="0" w:color="EA8B00"/>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4-Accent62">
    <w:name w:val="Grid Table 4 - Accent 6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insideV w:val="nil"/>
        </w:tcBorders>
        <w:shd w:val="clear" w:color="auto" w:fill="BFBFBF"/>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
    <w:name w:val="Grid Table 5 Dark - Accent 1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D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757A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757A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757A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757A6"/>
      </w:tcPr>
    </w:tblStylePr>
    <w:tblStylePr w:type="band1Vert">
      <w:tblPr/>
      <w:tcPr>
        <w:shd w:val="clear" w:color="auto" w:fill="D5BBDB"/>
      </w:tcPr>
    </w:tblStylePr>
    <w:tblStylePr w:type="band1Horz">
      <w:tblPr/>
      <w:tcPr>
        <w:shd w:val="clear" w:color="auto" w:fill="D5BBDB"/>
      </w:tcPr>
    </w:tblStylePr>
  </w:style>
  <w:style w:type="table" w:customStyle="1" w:styleId="GridTable5Dark-Accent22">
    <w:name w:val="Grid Table 5 Dark - Accent 2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E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AE3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AE3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AE3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AE3B"/>
      </w:tcPr>
    </w:tblStylePr>
    <w:tblStylePr w:type="band1Vert">
      <w:tblPr/>
      <w:tcPr>
        <w:shd w:val="clear" w:color="auto" w:fill="FFDEB0"/>
      </w:tcPr>
    </w:tblStylePr>
    <w:tblStylePr w:type="band1Horz">
      <w:tblPr/>
      <w:tcPr>
        <w:shd w:val="clear" w:color="auto" w:fill="FFDEB0"/>
      </w:tcPr>
    </w:tblStylePr>
  </w:style>
  <w:style w:type="table" w:customStyle="1" w:styleId="GridTable5Dark-Accent32">
    <w:name w:val="Grid Table 5 Dark - Accent 3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2">
    <w:name w:val="Grid Table 5 Dark - Accent 4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E7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689C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689C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689C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689C1"/>
      </w:tcPr>
    </w:tblStylePr>
    <w:tblStylePr w:type="band1Vert">
      <w:tblPr/>
      <w:tcPr>
        <w:shd w:val="clear" w:color="auto" w:fill="E1CFE6"/>
      </w:tcPr>
    </w:tblStylePr>
    <w:tblStylePr w:type="band1Horz">
      <w:tblPr/>
      <w:tcPr>
        <w:shd w:val="clear" w:color="auto" w:fill="E1CFE6"/>
      </w:tcPr>
    </w:tblStylePr>
  </w:style>
  <w:style w:type="table" w:customStyle="1" w:styleId="GridTable5Dark-Accent52">
    <w:name w:val="Grid Table 5 Dark - Accent 5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8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A8B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A8B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A8B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A8B00"/>
      </w:tcPr>
    </w:tblStylePr>
    <w:tblStylePr w:type="band1Vert">
      <w:tblPr/>
      <w:tcPr>
        <w:shd w:val="clear" w:color="auto" w:fill="FFD190"/>
      </w:tcPr>
    </w:tblStylePr>
    <w:tblStylePr w:type="band1Horz">
      <w:tblPr/>
      <w:tcPr>
        <w:shd w:val="clear" w:color="auto" w:fill="FFD190"/>
      </w:tcPr>
    </w:tblStylePr>
  </w:style>
  <w:style w:type="table" w:customStyle="1" w:styleId="GridTable5Dark-Accent62">
    <w:name w:val="Grid Table 5 Dark - Accent 62"/>
    <w:basedOn w:val="TableNormal"/>
    <w:uiPriority w:val="50"/>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F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F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5E5E5"/>
      </w:tcPr>
    </w:tblStylePr>
    <w:tblStylePr w:type="band1Horz">
      <w:tblPr/>
      <w:tcPr>
        <w:shd w:val="clear" w:color="auto" w:fill="E5E5E5"/>
      </w:tcPr>
    </w:tblStylePr>
  </w:style>
  <w:style w:type="table" w:customStyle="1" w:styleId="GridTable6Colorful-Accent12">
    <w:name w:val="Grid Table 6 Colorful - Accent 12"/>
    <w:basedOn w:val="TableNormal"/>
    <w:uiPriority w:val="51"/>
    <w:rsid w:val="00E86A68"/>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bottom w:val="single" w:sz="12" w:space="0" w:color="C099CA"/>
        </w:tcBorders>
      </w:tcPr>
    </w:tblStylePr>
    <w:tblStylePr w:type="lastRow">
      <w:rPr>
        <w:b/>
        <w:bCs/>
      </w:rPr>
      <w:tblPr/>
      <w:tcPr>
        <w:tcBorders>
          <w:top w:val="doub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GridTable6Colorful-Accent22">
    <w:name w:val="Grid Table 6 Colorful - Accent 22"/>
    <w:basedOn w:val="TableNormal"/>
    <w:uiPriority w:val="51"/>
    <w:rsid w:val="00E86A68"/>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bottom w:val="single" w:sz="12" w:space="0" w:color="FFCE89"/>
        </w:tcBorders>
      </w:tcPr>
    </w:tblStylePr>
    <w:tblStylePr w:type="lastRow">
      <w:rPr>
        <w:b/>
        <w:bCs/>
      </w:rPr>
      <w:tblPr/>
      <w:tcPr>
        <w:tcBorders>
          <w:top w:val="doub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GridTable6Colorful-Accent32">
    <w:name w:val="Grid Table 6 Colorful - Accent 32"/>
    <w:basedOn w:val="TableNormal"/>
    <w:uiPriority w:val="51"/>
    <w:rsid w:val="00E86A68"/>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
    <w:name w:val="Grid Table 6 Colorful - Accent 42"/>
    <w:basedOn w:val="TableNormal"/>
    <w:uiPriority w:val="51"/>
    <w:rsid w:val="00E86A68"/>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bottom w:val="single" w:sz="12" w:space="0" w:color="D3B8D9"/>
        </w:tcBorders>
      </w:tcPr>
    </w:tblStylePr>
    <w:tblStylePr w:type="lastRow">
      <w:rPr>
        <w:b/>
        <w:bCs/>
      </w:rPr>
      <w:tblPr/>
      <w:tcPr>
        <w:tcBorders>
          <w:top w:val="doub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GridTable6Colorful-Accent52">
    <w:name w:val="Grid Table 6 Colorful - Accent 52"/>
    <w:basedOn w:val="TableNormal"/>
    <w:uiPriority w:val="51"/>
    <w:rsid w:val="00E86A68"/>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bottom w:val="single" w:sz="12" w:space="0" w:color="FFBB59"/>
        </w:tcBorders>
      </w:tcPr>
    </w:tblStylePr>
    <w:tblStylePr w:type="lastRow">
      <w:rPr>
        <w:b/>
        <w:bCs/>
      </w:rPr>
      <w:tblPr/>
      <w:tcPr>
        <w:tcBorders>
          <w:top w:val="doub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GridTable6Colorful-Accent62">
    <w:name w:val="Grid Table 6 Colorful - Accent 62"/>
    <w:basedOn w:val="TableNormal"/>
    <w:uiPriority w:val="51"/>
    <w:rsid w:val="00E86A68"/>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bottom w:val="single" w:sz="12" w:space="0" w:color="D8D8D8"/>
        </w:tcBorders>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7Colorful-Accent12">
    <w:name w:val="Grid Table 7 Colorful - Accent 12"/>
    <w:basedOn w:val="TableNormal"/>
    <w:uiPriority w:val="52"/>
    <w:rsid w:val="00E86A68"/>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insideV w:val="single" w:sz="4" w:space="0" w:color="C099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bottom w:val="single" w:sz="4" w:space="0" w:color="C099CA"/>
        </w:tcBorders>
      </w:tcPr>
    </w:tblStylePr>
    <w:tblStylePr w:type="nwCell">
      <w:tblPr/>
      <w:tcPr>
        <w:tcBorders>
          <w:bottom w:val="single" w:sz="4" w:space="0" w:color="C099CA"/>
        </w:tcBorders>
      </w:tcPr>
    </w:tblStylePr>
    <w:tblStylePr w:type="seCell">
      <w:tblPr/>
      <w:tcPr>
        <w:tcBorders>
          <w:top w:val="single" w:sz="4" w:space="0" w:color="C099CA"/>
        </w:tcBorders>
      </w:tcPr>
    </w:tblStylePr>
    <w:tblStylePr w:type="swCell">
      <w:tblPr/>
      <w:tcPr>
        <w:tcBorders>
          <w:top w:val="single" w:sz="4" w:space="0" w:color="C099CA"/>
        </w:tcBorders>
      </w:tcPr>
    </w:tblStylePr>
  </w:style>
  <w:style w:type="table" w:customStyle="1" w:styleId="GridTable7Colorful-Accent22">
    <w:name w:val="Grid Table 7 Colorful - Accent 22"/>
    <w:basedOn w:val="TableNormal"/>
    <w:uiPriority w:val="52"/>
    <w:rsid w:val="00E86A68"/>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insideV w:val="single" w:sz="4" w:space="0" w:color="FFCE8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bottom w:val="single" w:sz="4" w:space="0" w:color="FFCE89"/>
        </w:tcBorders>
      </w:tcPr>
    </w:tblStylePr>
    <w:tblStylePr w:type="nwCell">
      <w:tblPr/>
      <w:tcPr>
        <w:tcBorders>
          <w:bottom w:val="single" w:sz="4" w:space="0" w:color="FFCE89"/>
        </w:tcBorders>
      </w:tcPr>
    </w:tblStylePr>
    <w:tblStylePr w:type="seCell">
      <w:tblPr/>
      <w:tcPr>
        <w:tcBorders>
          <w:top w:val="single" w:sz="4" w:space="0" w:color="FFCE89"/>
        </w:tcBorders>
      </w:tcPr>
    </w:tblStylePr>
    <w:tblStylePr w:type="swCell">
      <w:tblPr/>
      <w:tcPr>
        <w:tcBorders>
          <w:top w:val="single" w:sz="4" w:space="0" w:color="FFCE89"/>
        </w:tcBorders>
      </w:tcPr>
    </w:tblStylePr>
  </w:style>
  <w:style w:type="table" w:customStyle="1" w:styleId="GridTable7Colorful-Accent32">
    <w:name w:val="Grid Table 7 Colorful - Accent 32"/>
    <w:basedOn w:val="TableNormal"/>
    <w:uiPriority w:val="52"/>
    <w:rsid w:val="00E86A68"/>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
    <w:name w:val="Grid Table 7 Colorful - Accent 42"/>
    <w:basedOn w:val="TableNormal"/>
    <w:uiPriority w:val="52"/>
    <w:rsid w:val="00E86A68"/>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insideV w:val="single" w:sz="4" w:space="0" w:color="D3B8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bottom w:val="single" w:sz="4" w:space="0" w:color="D3B8D9"/>
        </w:tcBorders>
      </w:tcPr>
    </w:tblStylePr>
    <w:tblStylePr w:type="nwCell">
      <w:tblPr/>
      <w:tcPr>
        <w:tcBorders>
          <w:bottom w:val="single" w:sz="4" w:space="0" w:color="D3B8D9"/>
        </w:tcBorders>
      </w:tcPr>
    </w:tblStylePr>
    <w:tblStylePr w:type="seCell">
      <w:tblPr/>
      <w:tcPr>
        <w:tcBorders>
          <w:top w:val="single" w:sz="4" w:space="0" w:color="D3B8D9"/>
        </w:tcBorders>
      </w:tcPr>
    </w:tblStylePr>
    <w:tblStylePr w:type="swCell">
      <w:tblPr/>
      <w:tcPr>
        <w:tcBorders>
          <w:top w:val="single" w:sz="4" w:space="0" w:color="D3B8D9"/>
        </w:tcBorders>
      </w:tcPr>
    </w:tblStylePr>
  </w:style>
  <w:style w:type="table" w:customStyle="1" w:styleId="GridTable7Colorful-Accent52">
    <w:name w:val="Grid Table 7 Colorful - Accent 52"/>
    <w:basedOn w:val="TableNormal"/>
    <w:uiPriority w:val="52"/>
    <w:rsid w:val="00E86A68"/>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insideV w:val="single" w:sz="4" w:space="0" w:color="FFBB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bottom w:val="single" w:sz="4" w:space="0" w:color="FFBB59"/>
        </w:tcBorders>
      </w:tcPr>
    </w:tblStylePr>
    <w:tblStylePr w:type="nwCell">
      <w:tblPr/>
      <w:tcPr>
        <w:tcBorders>
          <w:bottom w:val="single" w:sz="4" w:space="0" w:color="FFBB59"/>
        </w:tcBorders>
      </w:tcPr>
    </w:tblStylePr>
    <w:tblStylePr w:type="seCell">
      <w:tblPr/>
      <w:tcPr>
        <w:tcBorders>
          <w:top w:val="single" w:sz="4" w:space="0" w:color="FFBB59"/>
        </w:tcBorders>
      </w:tcPr>
    </w:tblStylePr>
    <w:tblStylePr w:type="swCell">
      <w:tblPr/>
      <w:tcPr>
        <w:tcBorders>
          <w:top w:val="single" w:sz="4" w:space="0" w:color="FFBB59"/>
        </w:tcBorders>
      </w:tcPr>
    </w:tblStylePr>
  </w:style>
  <w:style w:type="table" w:customStyle="1" w:styleId="GridTable7Colorful-Accent62">
    <w:name w:val="Grid Table 7 Colorful - Accent 62"/>
    <w:basedOn w:val="TableNormal"/>
    <w:uiPriority w:val="52"/>
    <w:rsid w:val="00E86A68"/>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D8D8D8"/>
        </w:tcBorders>
      </w:tcPr>
    </w:tblStylePr>
    <w:tblStylePr w:type="nwCell">
      <w:tblPr/>
      <w:tcPr>
        <w:tcBorders>
          <w:bottom w:val="single" w:sz="4" w:space="0" w:color="D8D8D8"/>
        </w:tcBorders>
      </w:tcPr>
    </w:tblStylePr>
    <w:tblStylePr w:type="seCell">
      <w:tblPr/>
      <w:tcPr>
        <w:tcBorders>
          <w:top w:val="single" w:sz="4" w:space="0" w:color="D8D8D8"/>
        </w:tcBorders>
      </w:tcPr>
    </w:tblStylePr>
    <w:tblStylePr w:type="swCell">
      <w:tblPr/>
      <w:tcPr>
        <w:tcBorders>
          <w:top w:val="single" w:sz="4" w:space="0" w:color="D8D8D8"/>
        </w:tcBorders>
      </w:tcPr>
    </w:tblStylePr>
  </w:style>
  <w:style w:type="table" w:customStyle="1" w:styleId="ListTable1Light-Accent12">
    <w:name w:val="List Table 1 Light - Accent 1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C099CA"/>
        </w:tcBorders>
      </w:tcPr>
    </w:tblStylePr>
    <w:tblStylePr w:type="lastRow">
      <w:rPr>
        <w:b/>
        <w:bCs/>
      </w:rPr>
      <w:tblPr/>
      <w:tcPr>
        <w:tcBorders>
          <w:top w:val="sing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1Light-Accent22">
    <w:name w:val="List Table 1 Light - Accent 2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FFCE89"/>
        </w:tcBorders>
      </w:tcPr>
    </w:tblStylePr>
    <w:tblStylePr w:type="lastRow">
      <w:rPr>
        <w:b/>
        <w:bCs/>
      </w:rPr>
      <w:tblPr/>
      <w:tcPr>
        <w:tcBorders>
          <w:top w:val="sing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1Light-Accent32">
    <w:name w:val="List Table 1 Light - Accent 3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2">
    <w:name w:val="List Table 1 Light - Accent 4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D3B8D9"/>
        </w:tcBorders>
      </w:tcPr>
    </w:tblStylePr>
    <w:tblStylePr w:type="lastRow">
      <w:rPr>
        <w:b/>
        <w:bCs/>
      </w:rPr>
      <w:tblPr/>
      <w:tcPr>
        <w:tcBorders>
          <w:top w:val="sing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1Light-Accent52">
    <w:name w:val="List Table 1 Light - Accent 5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FFBB59"/>
        </w:tcBorders>
      </w:tcPr>
    </w:tblStylePr>
    <w:tblStylePr w:type="lastRow">
      <w:rPr>
        <w:b/>
        <w:bCs/>
      </w:rPr>
      <w:tblPr/>
      <w:tcPr>
        <w:tcBorders>
          <w:top w:val="sing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1Light-Accent62">
    <w:name w:val="List Table 1 Light - Accent 62"/>
    <w:basedOn w:val="TableNormal"/>
    <w:uiPriority w:val="46"/>
    <w:rsid w:val="00E86A68"/>
    <w:pPr>
      <w:spacing w:after="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bottom w:val="single" w:sz="4" w:space="0" w:color="D8D8D8"/>
        </w:tcBorders>
      </w:tcPr>
    </w:tblStylePr>
    <w:tblStylePr w:type="lastRow">
      <w:rPr>
        <w:b/>
        <w:bCs/>
      </w:rPr>
      <w:tblPr/>
      <w:tcPr>
        <w:tcBorders>
          <w:top w:val="sing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Accent12">
    <w:name w:val="List Table 2 - Accent 1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bottom w:val="single" w:sz="4" w:space="0" w:color="C099CA"/>
        <w:insideH w:val="single" w:sz="4" w:space="0" w:color="C099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2-Accent22">
    <w:name w:val="List Table 2 - Accent 2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bottom w:val="single" w:sz="4" w:space="0" w:color="FFCE89"/>
        <w:insideH w:val="single" w:sz="4" w:space="0" w:color="FFCE8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2-Accent32">
    <w:name w:val="List Table 2 - Accent 3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
    <w:name w:val="List Table 2 - Accent 4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bottom w:val="single" w:sz="4" w:space="0" w:color="D3B8D9"/>
        <w:insideH w:val="single" w:sz="4" w:space="0" w:color="D3B8D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2-Accent52">
    <w:name w:val="List Table 2 - Accent 5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bottom w:val="single" w:sz="4" w:space="0" w:color="FFBB59"/>
        <w:insideH w:val="single" w:sz="4" w:space="0" w:color="FFBB5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2-Accent62">
    <w:name w:val="List Table 2 - Accent 62"/>
    <w:basedOn w:val="TableNormal"/>
    <w:uiPriority w:val="47"/>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bottom w:val="single" w:sz="4" w:space="0" w:color="D8D8D8"/>
        <w:insideH w:val="single" w:sz="4" w:space="0" w:color="D8D8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2">
    <w:name w:val="List Table 3 - Accent 1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9757A6"/>
        <w:left w:val="single" w:sz="4" w:space="0" w:color="9757A6"/>
        <w:bottom w:val="single" w:sz="4" w:space="0" w:color="9757A6"/>
        <w:right w:val="single" w:sz="4" w:space="0" w:color="9757A6"/>
      </w:tblBorders>
    </w:tblPr>
    <w:tblStylePr w:type="firstRow">
      <w:rPr>
        <w:b/>
        <w:bCs/>
        <w:color w:val="FFFFFF"/>
      </w:rPr>
      <w:tblPr/>
      <w:tcPr>
        <w:shd w:val="clear" w:color="auto" w:fill="9757A6"/>
      </w:tcPr>
    </w:tblStylePr>
    <w:tblStylePr w:type="lastRow">
      <w:rPr>
        <w:b/>
        <w:bCs/>
      </w:rPr>
      <w:tblPr/>
      <w:tcPr>
        <w:tcBorders>
          <w:top w:val="double" w:sz="4" w:space="0" w:color="9757A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757A6"/>
          <w:right w:val="single" w:sz="4" w:space="0" w:color="9757A6"/>
        </w:tcBorders>
      </w:tcPr>
    </w:tblStylePr>
    <w:tblStylePr w:type="band1Horz">
      <w:tblPr/>
      <w:tcPr>
        <w:tcBorders>
          <w:top w:val="single" w:sz="4" w:space="0" w:color="9757A6"/>
          <w:bottom w:val="single" w:sz="4" w:space="0" w:color="9757A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left w:val="nil"/>
        </w:tcBorders>
      </w:tcPr>
    </w:tblStylePr>
    <w:tblStylePr w:type="swCell">
      <w:tblPr/>
      <w:tcPr>
        <w:tcBorders>
          <w:top w:val="double" w:sz="4" w:space="0" w:color="9757A6"/>
          <w:right w:val="nil"/>
        </w:tcBorders>
      </w:tcPr>
    </w:tblStylePr>
  </w:style>
  <w:style w:type="table" w:customStyle="1" w:styleId="ListTable3-Accent22">
    <w:name w:val="List Table 3 - Accent 2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AE3B"/>
        <w:left w:val="single" w:sz="4" w:space="0" w:color="FFAE3B"/>
        <w:bottom w:val="single" w:sz="4" w:space="0" w:color="FFAE3B"/>
        <w:right w:val="single" w:sz="4" w:space="0" w:color="FFAE3B"/>
      </w:tblBorders>
    </w:tblPr>
    <w:tblStylePr w:type="firstRow">
      <w:rPr>
        <w:b/>
        <w:bCs/>
        <w:color w:val="FFFFFF"/>
      </w:rPr>
      <w:tblPr/>
      <w:tcPr>
        <w:shd w:val="clear" w:color="auto" w:fill="FFAE3B"/>
      </w:tcPr>
    </w:tblStylePr>
    <w:tblStylePr w:type="lastRow">
      <w:rPr>
        <w:b/>
        <w:bCs/>
      </w:rPr>
      <w:tblPr/>
      <w:tcPr>
        <w:tcBorders>
          <w:top w:val="double" w:sz="4" w:space="0" w:color="FFAE3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AE3B"/>
          <w:right w:val="single" w:sz="4" w:space="0" w:color="FFAE3B"/>
        </w:tcBorders>
      </w:tcPr>
    </w:tblStylePr>
    <w:tblStylePr w:type="band1Horz">
      <w:tblPr/>
      <w:tcPr>
        <w:tcBorders>
          <w:top w:val="single" w:sz="4" w:space="0" w:color="FFAE3B"/>
          <w:bottom w:val="single" w:sz="4" w:space="0" w:color="FFAE3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left w:val="nil"/>
        </w:tcBorders>
      </w:tcPr>
    </w:tblStylePr>
    <w:tblStylePr w:type="swCell">
      <w:tblPr/>
      <w:tcPr>
        <w:tcBorders>
          <w:top w:val="double" w:sz="4" w:space="0" w:color="FFAE3B"/>
          <w:right w:val="nil"/>
        </w:tcBorders>
      </w:tcPr>
    </w:tblStylePr>
  </w:style>
  <w:style w:type="table" w:customStyle="1" w:styleId="ListTable3-Accent32">
    <w:name w:val="List Table 3 - Accent 3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
    <w:name w:val="List Table 3 - Accent 4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B689C1"/>
        <w:left w:val="single" w:sz="4" w:space="0" w:color="B689C1"/>
        <w:bottom w:val="single" w:sz="4" w:space="0" w:color="B689C1"/>
        <w:right w:val="single" w:sz="4" w:space="0" w:color="B689C1"/>
      </w:tblBorders>
    </w:tblPr>
    <w:tblStylePr w:type="firstRow">
      <w:rPr>
        <w:b/>
        <w:bCs/>
        <w:color w:val="FFFFFF"/>
      </w:rPr>
      <w:tblPr/>
      <w:tcPr>
        <w:shd w:val="clear" w:color="auto" w:fill="B689C1"/>
      </w:tcPr>
    </w:tblStylePr>
    <w:tblStylePr w:type="lastRow">
      <w:rPr>
        <w:b/>
        <w:bCs/>
      </w:rPr>
      <w:tblPr/>
      <w:tcPr>
        <w:tcBorders>
          <w:top w:val="double" w:sz="4" w:space="0" w:color="B689C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689C1"/>
          <w:right w:val="single" w:sz="4" w:space="0" w:color="B689C1"/>
        </w:tcBorders>
      </w:tcPr>
    </w:tblStylePr>
    <w:tblStylePr w:type="band1Horz">
      <w:tblPr/>
      <w:tcPr>
        <w:tcBorders>
          <w:top w:val="single" w:sz="4" w:space="0" w:color="B689C1"/>
          <w:bottom w:val="single" w:sz="4" w:space="0" w:color="B689C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left w:val="nil"/>
        </w:tcBorders>
      </w:tcPr>
    </w:tblStylePr>
    <w:tblStylePr w:type="swCell">
      <w:tblPr/>
      <w:tcPr>
        <w:tcBorders>
          <w:top w:val="double" w:sz="4" w:space="0" w:color="B689C1"/>
          <w:right w:val="nil"/>
        </w:tcBorders>
      </w:tcPr>
    </w:tblStylePr>
  </w:style>
  <w:style w:type="table" w:customStyle="1" w:styleId="ListTable3-Accent52">
    <w:name w:val="List Table 3 - Accent 5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EA8B00"/>
        <w:left w:val="single" w:sz="4" w:space="0" w:color="EA8B00"/>
        <w:bottom w:val="single" w:sz="4" w:space="0" w:color="EA8B00"/>
        <w:right w:val="single" w:sz="4" w:space="0" w:color="EA8B00"/>
      </w:tblBorders>
    </w:tblPr>
    <w:tblStylePr w:type="firstRow">
      <w:rPr>
        <w:b/>
        <w:bCs/>
        <w:color w:val="FFFFFF"/>
      </w:rPr>
      <w:tblPr/>
      <w:tcPr>
        <w:shd w:val="clear" w:color="auto" w:fill="EA8B00"/>
      </w:tcPr>
    </w:tblStylePr>
    <w:tblStylePr w:type="lastRow">
      <w:rPr>
        <w:b/>
        <w:bCs/>
      </w:rPr>
      <w:tblPr/>
      <w:tcPr>
        <w:tcBorders>
          <w:top w:val="double" w:sz="4" w:space="0" w:color="EA8B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A8B00"/>
          <w:right w:val="single" w:sz="4" w:space="0" w:color="EA8B00"/>
        </w:tcBorders>
      </w:tcPr>
    </w:tblStylePr>
    <w:tblStylePr w:type="band1Horz">
      <w:tblPr/>
      <w:tcPr>
        <w:tcBorders>
          <w:top w:val="single" w:sz="4" w:space="0" w:color="EA8B00"/>
          <w:bottom w:val="single" w:sz="4" w:space="0" w:color="EA8B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left w:val="nil"/>
        </w:tcBorders>
      </w:tcPr>
    </w:tblStylePr>
    <w:tblStylePr w:type="swCell">
      <w:tblPr/>
      <w:tcPr>
        <w:tcBorders>
          <w:top w:val="double" w:sz="4" w:space="0" w:color="EA8B00"/>
          <w:right w:val="nil"/>
        </w:tcBorders>
      </w:tcPr>
    </w:tblStylePr>
  </w:style>
  <w:style w:type="table" w:customStyle="1" w:styleId="ListTable3-Accent62">
    <w:name w:val="List Table 3 - Accent 62"/>
    <w:basedOn w:val="TableNormal"/>
    <w:uiPriority w:val="48"/>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12">
    <w:name w:val="List Table 4 - Accent 1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099CA"/>
        <w:left w:val="single" w:sz="4" w:space="0" w:color="C099CA"/>
        <w:bottom w:val="single" w:sz="4" w:space="0" w:color="C099CA"/>
        <w:right w:val="single" w:sz="4" w:space="0" w:color="C099CA"/>
        <w:insideH w:val="single" w:sz="4" w:space="0" w:color="C099CA"/>
      </w:tblBorders>
    </w:tblPr>
    <w:tblStylePr w:type="firstRow">
      <w:rPr>
        <w:b/>
        <w:bCs/>
        <w:color w:val="FFFFFF"/>
      </w:rPr>
      <w:tblPr/>
      <w:tcPr>
        <w:tcBorders>
          <w:top w:val="single" w:sz="4" w:space="0" w:color="9757A6"/>
          <w:left w:val="single" w:sz="4" w:space="0" w:color="9757A6"/>
          <w:bottom w:val="single" w:sz="4" w:space="0" w:color="9757A6"/>
          <w:right w:val="single" w:sz="4" w:space="0" w:color="9757A6"/>
          <w:insideH w:val="nil"/>
        </w:tcBorders>
        <w:shd w:val="clear" w:color="auto" w:fill="9757A6"/>
      </w:tcPr>
    </w:tblStylePr>
    <w:tblStylePr w:type="lastRow">
      <w:rPr>
        <w:b/>
        <w:bCs/>
      </w:rPr>
      <w:tblPr/>
      <w:tcPr>
        <w:tcBorders>
          <w:top w:val="double" w:sz="4" w:space="0" w:color="C099CA"/>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4-Accent22">
    <w:name w:val="List Table 4 - Accent 2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CE89"/>
        <w:left w:val="single" w:sz="4" w:space="0" w:color="FFCE89"/>
        <w:bottom w:val="single" w:sz="4" w:space="0" w:color="FFCE89"/>
        <w:right w:val="single" w:sz="4" w:space="0" w:color="FFCE89"/>
        <w:insideH w:val="single" w:sz="4" w:space="0" w:color="FFCE89"/>
      </w:tblBorders>
    </w:tblPr>
    <w:tblStylePr w:type="firstRow">
      <w:rPr>
        <w:b/>
        <w:bCs/>
        <w:color w:val="FFFFFF"/>
      </w:rPr>
      <w:tblPr/>
      <w:tcPr>
        <w:tcBorders>
          <w:top w:val="single" w:sz="4" w:space="0" w:color="FFAE3B"/>
          <w:left w:val="single" w:sz="4" w:space="0" w:color="FFAE3B"/>
          <w:bottom w:val="single" w:sz="4" w:space="0" w:color="FFAE3B"/>
          <w:right w:val="single" w:sz="4" w:space="0" w:color="FFAE3B"/>
          <w:insideH w:val="nil"/>
        </w:tcBorders>
        <w:shd w:val="clear" w:color="auto" w:fill="FFAE3B"/>
      </w:tcPr>
    </w:tblStylePr>
    <w:tblStylePr w:type="lastRow">
      <w:rPr>
        <w:b/>
        <w:bCs/>
      </w:rPr>
      <w:tblPr/>
      <w:tcPr>
        <w:tcBorders>
          <w:top w:val="double" w:sz="4" w:space="0" w:color="FFCE89"/>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4-Accent32">
    <w:name w:val="List Table 4 - Accent 3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
    <w:name w:val="List Table 4 - Accent 4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3B8D9"/>
        <w:left w:val="single" w:sz="4" w:space="0" w:color="D3B8D9"/>
        <w:bottom w:val="single" w:sz="4" w:space="0" w:color="D3B8D9"/>
        <w:right w:val="single" w:sz="4" w:space="0" w:color="D3B8D9"/>
        <w:insideH w:val="single" w:sz="4" w:space="0" w:color="D3B8D9"/>
      </w:tblBorders>
    </w:tblPr>
    <w:tblStylePr w:type="firstRow">
      <w:rPr>
        <w:b/>
        <w:bCs/>
        <w:color w:val="FFFFFF"/>
      </w:rPr>
      <w:tblPr/>
      <w:tcPr>
        <w:tcBorders>
          <w:top w:val="single" w:sz="4" w:space="0" w:color="B689C1"/>
          <w:left w:val="single" w:sz="4" w:space="0" w:color="B689C1"/>
          <w:bottom w:val="single" w:sz="4" w:space="0" w:color="B689C1"/>
          <w:right w:val="single" w:sz="4" w:space="0" w:color="B689C1"/>
          <w:insideH w:val="nil"/>
        </w:tcBorders>
        <w:shd w:val="clear" w:color="auto" w:fill="B689C1"/>
      </w:tcPr>
    </w:tblStylePr>
    <w:tblStylePr w:type="lastRow">
      <w:rPr>
        <w:b/>
        <w:bCs/>
      </w:rPr>
      <w:tblPr/>
      <w:tcPr>
        <w:tcBorders>
          <w:top w:val="double" w:sz="4" w:space="0" w:color="D3B8D9"/>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4-Accent52">
    <w:name w:val="List Table 4 - Accent 5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BB59"/>
        <w:left w:val="single" w:sz="4" w:space="0" w:color="FFBB59"/>
        <w:bottom w:val="single" w:sz="4" w:space="0" w:color="FFBB59"/>
        <w:right w:val="single" w:sz="4" w:space="0" w:color="FFBB59"/>
        <w:insideH w:val="single" w:sz="4" w:space="0" w:color="FFBB59"/>
      </w:tblBorders>
    </w:tblPr>
    <w:tblStylePr w:type="firstRow">
      <w:rPr>
        <w:b/>
        <w:bCs/>
        <w:color w:val="FFFFFF"/>
      </w:rPr>
      <w:tblPr/>
      <w:tcPr>
        <w:tcBorders>
          <w:top w:val="single" w:sz="4" w:space="0" w:color="EA8B00"/>
          <w:left w:val="single" w:sz="4" w:space="0" w:color="EA8B00"/>
          <w:bottom w:val="single" w:sz="4" w:space="0" w:color="EA8B00"/>
          <w:right w:val="single" w:sz="4" w:space="0" w:color="EA8B00"/>
          <w:insideH w:val="nil"/>
        </w:tcBorders>
        <w:shd w:val="clear" w:color="auto" w:fill="EA8B00"/>
      </w:tcPr>
    </w:tblStylePr>
    <w:tblStylePr w:type="lastRow">
      <w:rPr>
        <w:b/>
        <w:bCs/>
      </w:rPr>
      <w:tblPr/>
      <w:tcPr>
        <w:tcBorders>
          <w:top w:val="double" w:sz="4" w:space="0" w:color="FFBB59"/>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4-Accent62">
    <w:name w:val="List Table 4 - Accent 62"/>
    <w:basedOn w:val="TableNormal"/>
    <w:uiPriority w:val="49"/>
    <w:rsid w:val="00E86A68"/>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5Dark-Accent12">
    <w:name w:val="List Table 5 Dark - Accent 1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9757A6"/>
        <w:left w:val="single" w:sz="24" w:space="0" w:color="9757A6"/>
        <w:bottom w:val="single" w:sz="24" w:space="0" w:color="9757A6"/>
        <w:right w:val="single" w:sz="24" w:space="0" w:color="9757A6"/>
      </w:tblBorders>
    </w:tblPr>
    <w:tcPr>
      <w:shd w:val="clear" w:color="auto" w:fill="9757A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FFAE3B"/>
        <w:left w:val="single" w:sz="24" w:space="0" w:color="FFAE3B"/>
        <w:bottom w:val="single" w:sz="24" w:space="0" w:color="FFAE3B"/>
        <w:right w:val="single" w:sz="24" w:space="0" w:color="FFAE3B"/>
      </w:tblBorders>
    </w:tblPr>
    <w:tcPr>
      <w:shd w:val="clear" w:color="auto" w:fill="FFAE3B"/>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B689C1"/>
        <w:left w:val="single" w:sz="24" w:space="0" w:color="B689C1"/>
        <w:bottom w:val="single" w:sz="24" w:space="0" w:color="B689C1"/>
        <w:right w:val="single" w:sz="24" w:space="0" w:color="B689C1"/>
      </w:tblBorders>
    </w:tblPr>
    <w:tcPr>
      <w:shd w:val="clear" w:color="auto" w:fill="B689C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EA8B00"/>
        <w:left w:val="single" w:sz="24" w:space="0" w:color="EA8B00"/>
        <w:bottom w:val="single" w:sz="24" w:space="0" w:color="EA8B00"/>
        <w:right w:val="single" w:sz="24" w:space="0" w:color="EA8B00"/>
      </w:tblBorders>
    </w:tblPr>
    <w:tcPr>
      <w:shd w:val="clear" w:color="auto" w:fill="EA8B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rsid w:val="00E86A68"/>
    <w:pPr>
      <w:spacing w:after="0" w:line="240" w:lineRule="auto"/>
    </w:pPr>
    <w:rPr>
      <w:rFonts w:ascii="Calibri" w:eastAsia="Calibri" w:hAnsi="Calibri" w:cs="Times New Roman"/>
      <w:color w:val="FFFFFF"/>
      <w:sz w:val="20"/>
      <w:szCs w:val="20"/>
      <w:lang w:val="en-AU" w:eastAsia="en-AU"/>
    </w:rPr>
    <w:tblPr>
      <w:tblStyleRowBandSize w:val="1"/>
      <w:tblStyleColBandSize w:val="1"/>
      <w:tblBorders>
        <w:top w:val="single" w:sz="24" w:space="0" w:color="BFBFBF"/>
        <w:left w:val="single" w:sz="24" w:space="0" w:color="BFBFBF"/>
        <w:bottom w:val="single" w:sz="24" w:space="0" w:color="BFBFBF"/>
        <w:right w:val="single" w:sz="24" w:space="0" w:color="BFBFBF"/>
      </w:tblBorders>
    </w:tblPr>
    <w:tcPr>
      <w:shd w:val="clear" w:color="auto" w:fill="BFBFBF"/>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2">
    <w:name w:val="List Table 6 Colorful - Accent 12"/>
    <w:basedOn w:val="TableNormal"/>
    <w:uiPriority w:val="51"/>
    <w:rsid w:val="00E86A68"/>
    <w:pPr>
      <w:spacing w:after="0" w:line="240" w:lineRule="auto"/>
    </w:pPr>
    <w:rPr>
      <w:rFonts w:ascii="Calibri" w:eastAsia="Calibri" w:hAnsi="Calibri" w:cs="Times New Roman"/>
      <w:color w:val="70417C"/>
      <w:sz w:val="20"/>
      <w:szCs w:val="20"/>
      <w:lang w:val="en-AU" w:eastAsia="en-AU"/>
    </w:rPr>
    <w:tblPr>
      <w:tblStyleRowBandSize w:val="1"/>
      <w:tblStyleColBandSize w:val="1"/>
      <w:tblBorders>
        <w:top w:val="single" w:sz="4" w:space="0" w:color="9757A6"/>
        <w:bottom w:val="single" w:sz="4" w:space="0" w:color="9757A6"/>
      </w:tblBorders>
    </w:tblPr>
    <w:tblStylePr w:type="firstRow">
      <w:rPr>
        <w:b/>
        <w:bCs/>
      </w:rPr>
      <w:tblPr/>
      <w:tcPr>
        <w:tcBorders>
          <w:bottom w:val="single" w:sz="4" w:space="0" w:color="9757A6"/>
        </w:tcBorders>
      </w:tcPr>
    </w:tblStylePr>
    <w:tblStylePr w:type="lastRow">
      <w:rPr>
        <w:b/>
        <w:bCs/>
      </w:rPr>
      <w:tblPr/>
      <w:tcPr>
        <w:tcBorders>
          <w:top w:val="double" w:sz="4" w:space="0" w:color="9757A6"/>
        </w:tcBorders>
      </w:tcPr>
    </w:tblStylePr>
    <w:tblStylePr w:type="firstCol">
      <w:rPr>
        <w:b/>
        <w:bCs/>
      </w:rPr>
    </w:tblStylePr>
    <w:tblStylePr w:type="lastCol">
      <w:rPr>
        <w:b/>
        <w:bCs/>
      </w:rPr>
    </w:tblStylePr>
    <w:tblStylePr w:type="band1Vert">
      <w:tblPr/>
      <w:tcPr>
        <w:shd w:val="clear" w:color="auto" w:fill="EADDED"/>
      </w:tcPr>
    </w:tblStylePr>
    <w:tblStylePr w:type="band1Horz">
      <w:tblPr/>
      <w:tcPr>
        <w:shd w:val="clear" w:color="auto" w:fill="EADDED"/>
      </w:tcPr>
    </w:tblStylePr>
  </w:style>
  <w:style w:type="table" w:customStyle="1" w:styleId="ListTable6Colorful-Accent22">
    <w:name w:val="List Table 6 Colorful - Accent 22"/>
    <w:basedOn w:val="TableNormal"/>
    <w:uiPriority w:val="51"/>
    <w:rsid w:val="00E86A68"/>
    <w:pPr>
      <w:spacing w:after="0" w:line="240" w:lineRule="auto"/>
    </w:pPr>
    <w:rPr>
      <w:rFonts w:ascii="Calibri" w:eastAsia="Calibri" w:hAnsi="Calibri" w:cs="Times New Roman"/>
      <w:color w:val="EB8900"/>
      <w:sz w:val="20"/>
      <w:szCs w:val="20"/>
      <w:lang w:val="en-AU" w:eastAsia="en-AU"/>
    </w:rPr>
    <w:tblPr>
      <w:tblStyleRowBandSize w:val="1"/>
      <w:tblStyleColBandSize w:val="1"/>
      <w:tblBorders>
        <w:top w:val="single" w:sz="4" w:space="0" w:color="FFAE3B"/>
        <w:bottom w:val="single" w:sz="4" w:space="0" w:color="FFAE3B"/>
      </w:tblBorders>
    </w:tblPr>
    <w:tblStylePr w:type="firstRow">
      <w:rPr>
        <w:b/>
        <w:bCs/>
      </w:rPr>
      <w:tblPr/>
      <w:tcPr>
        <w:tcBorders>
          <w:bottom w:val="single" w:sz="4" w:space="0" w:color="FFAE3B"/>
        </w:tcBorders>
      </w:tcPr>
    </w:tblStylePr>
    <w:tblStylePr w:type="lastRow">
      <w:rPr>
        <w:b/>
        <w:bCs/>
      </w:rPr>
      <w:tblPr/>
      <w:tcPr>
        <w:tcBorders>
          <w:top w:val="double" w:sz="4" w:space="0" w:color="FFAE3B"/>
        </w:tcBorders>
      </w:tcPr>
    </w:tblStylePr>
    <w:tblStylePr w:type="firstCol">
      <w:rPr>
        <w:b/>
        <w:bCs/>
      </w:rPr>
    </w:tblStylePr>
    <w:tblStylePr w:type="lastCol">
      <w:rPr>
        <w:b/>
        <w:bCs/>
      </w:rPr>
    </w:tblStylePr>
    <w:tblStylePr w:type="band1Vert">
      <w:tblPr/>
      <w:tcPr>
        <w:shd w:val="clear" w:color="auto" w:fill="FFEED7"/>
      </w:tcPr>
    </w:tblStylePr>
    <w:tblStylePr w:type="band1Horz">
      <w:tblPr/>
      <w:tcPr>
        <w:shd w:val="clear" w:color="auto" w:fill="FFEED7"/>
      </w:tcPr>
    </w:tblStylePr>
  </w:style>
  <w:style w:type="table" w:customStyle="1" w:styleId="ListTable6Colorful-Accent32">
    <w:name w:val="List Table 6 Colorful - Accent 32"/>
    <w:basedOn w:val="TableNormal"/>
    <w:uiPriority w:val="51"/>
    <w:rsid w:val="00E86A68"/>
    <w:pPr>
      <w:spacing w:after="0" w:line="240" w:lineRule="auto"/>
    </w:pPr>
    <w:rPr>
      <w:rFonts w:ascii="Calibri" w:eastAsia="Calibri" w:hAnsi="Calibri" w:cs="Times New Roman"/>
      <w:color w:val="7B7B7B"/>
      <w:sz w:val="20"/>
      <w:szCs w:val="20"/>
      <w:lang w:val="en-AU" w:eastAsia="en-AU"/>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
    <w:name w:val="List Table 6 Colorful - Accent 42"/>
    <w:basedOn w:val="TableNormal"/>
    <w:uiPriority w:val="51"/>
    <w:rsid w:val="00E86A68"/>
    <w:pPr>
      <w:spacing w:after="0" w:line="240" w:lineRule="auto"/>
    </w:pPr>
    <w:rPr>
      <w:rFonts w:ascii="Calibri" w:eastAsia="Calibri" w:hAnsi="Calibri" w:cs="Times New Roman"/>
      <w:color w:val="9255A1"/>
      <w:sz w:val="20"/>
      <w:szCs w:val="20"/>
      <w:lang w:val="en-AU" w:eastAsia="en-AU"/>
    </w:rPr>
    <w:tblPr>
      <w:tblStyleRowBandSize w:val="1"/>
      <w:tblStyleColBandSize w:val="1"/>
      <w:tblBorders>
        <w:top w:val="single" w:sz="4" w:space="0" w:color="B689C1"/>
        <w:bottom w:val="single" w:sz="4" w:space="0" w:color="B689C1"/>
      </w:tblBorders>
    </w:tblPr>
    <w:tblStylePr w:type="firstRow">
      <w:rPr>
        <w:b/>
        <w:bCs/>
      </w:rPr>
      <w:tblPr/>
      <w:tcPr>
        <w:tcBorders>
          <w:bottom w:val="single" w:sz="4" w:space="0" w:color="B689C1"/>
        </w:tcBorders>
      </w:tcPr>
    </w:tblStylePr>
    <w:tblStylePr w:type="lastRow">
      <w:rPr>
        <w:b/>
        <w:bCs/>
      </w:rPr>
      <w:tblPr/>
      <w:tcPr>
        <w:tcBorders>
          <w:top w:val="double" w:sz="4" w:space="0" w:color="B689C1"/>
        </w:tcBorders>
      </w:tcPr>
    </w:tblStylePr>
    <w:tblStylePr w:type="firstCol">
      <w:rPr>
        <w:b/>
        <w:bCs/>
      </w:rPr>
    </w:tblStylePr>
    <w:tblStylePr w:type="lastCol">
      <w:rPr>
        <w:b/>
        <w:bCs/>
      </w:rPr>
    </w:tblStylePr>
    <w:tblStylePr w:type="band1Vert">
      <w:tblPr/>
      <w:tcPr>
        <w:shd w:val="clear" w:color="auto" w:fill="F0E7F2"/>
      </w:tcPr>
    </w:tblStylePr>
    <w:tblStylePr w:type="band1Horz">
      <w:tblPr/>
      <w:tcPr>
        <w:shd w:val="clear" w:color="auto" w:fill="F0E7F2"/>
      </w:tcPr>
    </w:tblStylePr>
  </w:style>
  <w:style w:type="table" w:customStyle="1" w:styleId="ListTable6Colorful-Accent52">
    <w:name w:val="List Table 6 Colorful - Accent 52"/>
    <w:basedOn w:val="TableNormal"/>
    <w:uiPriority w:val="51"/>
    <w:rsid w:val="00E86A68"/>
    <w:pPr>
      <w:spacing w:after="0" w:line="240" w:lineRule="auto"/>
    </w:pPr>
    <w:rPr>
      <w:rFonts w:ascii="Calibri" w:eastAsia="Calibri" w:hAnsi="Calibri" w:cs="Times New Roman"/>
      <w:color w:val="AF6700"/>
      <w:sz w:val="20"/>
      <w:szCs w:val="20"/>
      <w:lang w:val="en-AU" w:eastAsia="en-AU"/>
    </w:rPr>
    <w:tblPr>
      <w:tblStyleRowBandSize w:val="1"/>
      <w:tblStyleColBandSize w:val="1"/>
      <w:tblBorders>
        <w:top w:val="single" w:sz="4" w:space="0" w:color="EA8B00"/>
        <w:bottom w:val="single" w:sz="4" w:space="0" w:color="EA8B00"/>
      </w:tblBorders>
    </w:tblPr>
    <w:tblStylePr w:type="firstRow">
      <w:rPr>
        <w:b/>
        <w:bCs/>
      </w:rPr>
      <w:tblPr/>
      <w:tcPr>
        <w:tcBorders>
          <w:bottom w:val="single" w:sz="4" w:space="0" w:color="EA8B00"/>
        </w:tcBorders>
      </w:tcPr>
    </w:tblStylePr>
    <w:tblStylePr w:type="lastRow">
      <w:rPr>
        <w:b/>
        <w:bCs/>
      </w:rPr>
      <w:tblPr/>
      <w:tcPr>
        <w:tcBorders>
          <w:top w:val="double" w:sz="4" w:space="0" w:color="EA8B00"/>
        </w:tcBorders>
      </w:tcPr>
    </w:tblStylePr>
    <w:tblStylePr w:type="firstCol">
      <w:rPr>
        <w:b/>
        <w:bCs/>
      </w:rPr>
    </w:tblStylePr>
    <w:tblStylePr w:type="lastCol">
      <w:rPr>
        <w:b/>
        <w:bCs/>
      </w:rPr>
    </w:tblStylePr>
    <w:tblStylePr w:type="band1Vert">
      <w:tblPr/>
      <w:tcPr>
        <w:shd w:val="clear" w:color="auto" w:fill="FFE8C7"/>
      </w:tcPr>
    </w:tblStylePr>
    <w:tblStylePr w:type="band1Horz">
      <w:tblPr/>
      <w:tcPr>
        <w:shd w:val="clear" w:color="auto" w:fill="FFE8C7"/>
      </w:tcPr>
    </w:tblStylePr>
  </w:style>
  <w:style w:type="table" w:customStyle="1" w:styleId="ListTable6Colorful-Accent62">
    <w:name w:val="List Table 6 Colorful - Accent 62"/>
    <w:basedOn w:val="TableNormal"/>
    <w:uiPriority w:val="51"/>
    <w:rsid w:val="00E86A68"/>
    <w:pPr>
      <w:spacing w:after="0" w:line="240" w:lineRule="auto"/>
    </w:pPr>
    <w:rPr>
      <w:rFonts w:ascii="Calibri" w:eastAsia="Calibri" w:hAnsi="Calibri" w:cs="Times New Roman"/>
      <w:color w:val="8F8F8F"/>
      <w:sz w:val="20"/>
      <w:szCs w:val="20"/>
      <w:lang w:val="en-AU" w:eastAsia="en-AU"/>
    </w:rPr>
    <w:tblPr>
      <w:tblStyleRowBandSize w:val="1"/>
      <w:tblStyleColBandSize w:val="1"/>
      <w:tblBorders>
        <w:top w:val="single" w:sz="4" w:space="0" w:color="BFBFBF"/>
        <w:bottom w:val="single" w:sz="4" w:space="0" w:color="BFBFBF"/>
      </w:tblBorders>
    </w:tblPr>
    <w:tblStylePr w:type="firstRow">
      <w:rPr>
        <w:b/>
        <w:bCs/>
      </w:rPr>
      <w:tblPr/>
      <w:tcPr>
        <w:tcBorders>
          <w:bottom w:val="single" w:sz="4" w:space="0" w:color="BFBFBF"/>
        </w:tcBorders>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12">
    <w:name w:val="List Table 7 Colorful - Accent 12"/>
    <w:basedOn w:val="TableNormal"/>
    <w:uiPriority w:val="52"/>
    <w:rsid w:val="00E86A68"/>
    <w:pPr>
      <w:spacing w:after="0" w:line="240" w:lineRule="auto"/>
    </w:pPr>
    <w:rPr>
      <w:rFonts w:ascii="Calibri" w:eastAsia="Calibri" w:hAnsi="Calibri" w:cs="Times New Roman"/>
      <w:color w:val="70417C"/>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9757A6"/>
        </w:tcBorders>
        <w:shd w:val="clear" w:color="auto" w:fill="FFFFFF"/>
      </w:tcPr>
    </w:tblStylePr>
    <w:tblStylePr w:type="lastRow">
      <w:rPr>
        <w:rFonts w:ascii="Arial Bold" w:eastAsia="PMingLiU" w:hAnsi="Arial Bold" w:cs="Times New Roman"/>
        <w:i/>
        <w:iCs/>
        <w:sz w:val="26"/>
      </w:rPr>
      <w:tblPr/>
      <w:tcPr>
        <w:tcBorders>
          <w:top w:val="single" w:sz="4" w:space="0" w:color="9757A6"/>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9757A6"/>
        </w:tcBorders>
        <w:shd w:val="clear" w:color="auto" w:fill="FFFFFF"/>
      </w:tcPr>
    </w:tblStylePr>
    <w:tblStylePr w:type="lastCol">
      <w:rPr>
        <w:rFonts w:ascii="Arial Bold" w:eastAsia="PMingLiU" w:hAnsi="Arial Bold" w:cs="Times New Roman"/>
        <w:i/>
        <w:iCs/>
        <w:sz w:val="26"/>
      </w:rPr>
      <w:tblPr/>
      <w:tcPr>
        <w:tcBorders>
          <w:left w:val="single" w:sz="4" w:space="0" w:color="9757A6"/>
        </w:tcBorders>
        <w:shd w:val="clear" w:color="auto" w:fill="FFFFFF"/>
      </w:tcPr>
    </w:tblStylePr>
    <w:tblStylePr w:type="band1Vert">
      <w:tblPr/>
      <w:tcPr>
        <w:shd w:val="clear" w:color="auto" w:fill="EADDED"/>
      </w:tcPr>
    </w:tblStylePr>
    <w:tblStylePr w:type="band1Horz">
      <w:tblPr/>
      <w:tcPr>
        <w:shd w:val="clear" w:color="auto" w:fill="EAD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uiPriority w:val="52"/>
    <w:rsid w:val="00E86A68"/>
    <w:pPr>
      <w:spacing w:after="0" w:line="240" w:lineRule="auto"/>
    </w:pPr>
    <w:rPr>
      <w:rFonts w:ascii="Calibri" w:eastAsia="Calibri" w:hAnsi="Calibri" w:cs="Times New Roman"/>
      <w:color w:val="EB8900"/>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FFAE3B"/>
        </w:tcBorders>
        <w:shd w:val="clear" w:color="auto" w:fill="FFFFFF"/>
      </w:tcPr>
    </w:tblStylePr>
    <w:tblStylePr w:type="lastRow">
      <w:rPr>
        <w:rFonts w:ascii="Arial Bold" w:eastAsia="PMingLiU" w:hAnsi="Arial Bold" w:cs="Times New Roman"/>
        <w:i/>
        <w:iCs/>
        <w:sz w:val="26"/>
      </w:rPr>
      <w:tblPr/>
      <w:tcPr>
        <w:tcBorders>
          <w:top w:val="single" w:sz="4" w:space="0" w:color="FFAE3B"/>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FFAE3B"/>
        </w:tcBorders>
        <w:shd w:val="clear" w:color="auto" w:fill="FFFFFF"/>
      </w:tcPr>
    </w:tblStylePr>
    <w:tblStylePr w:type="lastCol">
      <w:rPr>
        <w:rFonts w:ascii="Arial Bold" w:eastAsia="PMingLiU" w:hAnsi="Arial Bold" w:cs="Times New Roman"/>
        <w:i/>
        <w:iCs/>
        <w:sz w:val="26"/>
      </w:rPr>
      <w:tblPr/>
      <w:tcPr>
        <w:tcBorders>
          <w:left w:val="single" w:sz="4" w:space="0" w:color="FFAE3B"/>
        </w:tcBorders>
        <w:shd w:val="clear" w:color="auto" w:fill="FFFFFF"/>
      </w:tcPr>
    </w:tblStylePr>
    <w:tblStylePr w:type="band1Vert">
      <w:tblPr/>
      <w:tcPr>
        <w:shd w:val="clear" w:color="auto" w:fill="FFEED7"/>
      </w:tcPr>
    </w:tblStylePr>
    <w:tblStylePr w:type="band1Horz">
      <w:tblPr/>
      <w:tcPr>
        <w:shd w:val="clear" w:color="auto" w:fill="FFEED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uiPriority w:val="52"/>
    <w:rsid w:val="00E86A68"/>
    <w:pPr>
      <w:spacing w:after="0" w:line="240" w:lineRule="auto"/>
    </w:pPr>
    <w:rPr>
      <w:rFonts w:ascii="Calibri" w:eastAsia="Calibri" w:hAnsi="Calibri" w:cs="Times New Roman"/>
      <w:color w:val="7B7B7B"/>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A5A5A5"/>
        </w:tcBorders>
        <w:shd w:val="clear" w:color="auto" w:fill="FFFFFF"/>
      </w:tcPr>
    </w:tblStylePr>
    <w:tblStylePr w:type="lastRow">
      <w:rPr>
        <w:rFonts w:ascii="Arial Bold" w:eastAsia="PMingLiU" w:hAnsi="Arial Bold" w:cs="Times New Roman"/>
        <w:i/>
        <w:iCs/>
        <w:sz w:val="26"/>
      </w:rPr>
      <w:tblPr/>
      <w:tcPr>
        <w:tcBorders>
          <w:top w:val="single" w:sz="4" w:space="0" w:color="A5A5A5"/>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A5A5A5"/>
        </w:tcBorders>
        <w:shd w:val="clear" w:color="auto" w:fill="FFFFFF"/>
      </w:tcPr>
    </w:tblStylePr>
    <w:tblStylePr w:type="lastCol">
      <w:rPr>
        <w:rFonts w:ascii="Arial Bold" w:eastAsia="PMingLiU" w:hAnsi="Arial Bold"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uiPriority w:val="52"/>
    <w:rsid w:val="00E86A68"/>
    <w:pPr>
      <w:spacing w:after="0" w:line="240" w:lineRule="auto"/>
    </w:pPr>
    <w:rPr>
      <w:rFonts w:ascii="Calibri" w:eastAsia="Calibri" w:hAnsi="Calibri" w:cs="Times New Roman"/>
      <w:color w:val="9255A1"/>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B689C1"/>
        </w:tcBorders>
        <w:shd w:val="clear" w:color="auto" w:fill="FFFFFF"/>
      </w:tcPr>
    </w:tblStylePr>
    <w:tblStylePr w:type="lastRow">
      <w:rPr>
        <w:rFonts w:ascii="Arial Bold" w:eastAsia="PMingLiU" w:hAnsi="Arial Bold" w:cs="Times New Roman"/>
        <w:i/>
        <w:iCs/>
        <w:sz w:val="26"/>
      </w:rPr>
      <w:tblPr/>
      <w:tcPr>
        <w:tcBorders>
          <w:top w:val="single" w:sz="4" w:space="0" w:color="B689C1"/>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B689C1"/>
        </w:tcBorders>
        <w:shd w:val="clear" w:color="auto" w:fill="FFFFFF"/>
      </w:tcPr>
    </w:tblStylePr>
    <w:tblStylePr w:type="lastCol">
      <w:rPr>
        <w:rFonts w:ascii="Arial Bold" w:eastAsia="PMingLiU" w:hAnsi="Arial Bold" w:cs="Times New Roman"/>
        <w:i/>
        <w:iCs/>
        <w:sz w:val="26"/>
      </w:rPr>
      <w:tblPr/>
      <w:tcPr>
        <w:tcBorders>
          <w:left w:val="single" w:sz="4" w:space="0" w:color="B689C1"/>
        </w:tcBorders>
        <w:shd w:val="clear" w:color="auto" w:fill="FFFFFF"/>
      </w:tcPr>
    </w:tblStylePr>
    <w:tblStylePr w:type="band1Vert">
      <w:tblPr/>
      <w:tcPr>
        <w:shd w:val="clear" w:color="auto" w:fill="F0E7F2"/>
      </w:tcPr>
    </w:tblStylePr>
    <w:tblStylePr w:type="band1Horz">
      <w:tblPr/>
      <w:tcPr>
        <w:shd w:val="clear" w:color="auto" w:fill="F0E7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uiPriority w:val="52"/>
    <w:rsid w:val="00E86A68"/>
    <w:pPr>
      <w:spacing w:after="0" w:line="240" w:lineRule="auto"/>
    </w:pPr>
    <w:rPr>
      <w:rFonts w:ascii="Calibri" w:eastAsia="Calibri" w:hAnsi="Calibri" w:cs="Times New Roman"/>
      <w:color w:val="AF6700"/>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EA8B00"/>
        </w:tcBorders>
        <w:shd w:val="clear" w:color="auto" w:fill="FFFFFF"/>
      </w:tcPr>
    </w:tblStylePr>
    <w:tblStylePr w:type="lastRow">
      <w:rPr>
        <w:rFonts w:ascii="Arial Bold" w:eastAsia="PMingLiU" w:hAnsi="Arial Bold" w:cs="Times New Roman"/>
        <w:i/>
        <w:iCs/>
        <w:sz w:val="26"/>
      </w:rPr>
      <w:tblPr/>
      <w:tcPr>
        <w:tcBorders>
          <w:top w:val="single" w:sz="4" w:space="0" w:color="EA8B00"/>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EA8B00"/>
        </w:tcBorders>
        <w:shd w:val="clear" w:color="auto" w:fill="FFFFFF"/>
      </w:tcPr>
    </w:tblStylePr>
    <w:tblStylePr w:type="lastCol">
      <w:rPr>
        <w:rFonts w:ascii="Arial Bold" w:eastAsia="PMingLiU" w:hAnsi="Arial Bold" w:cs="Times New Roman"/>
        <w:i/>
        <w:iCs/>
        <w:sz w:val="26"/>
      </w:rPr>
      <w:tblPr/>
      <w:tcPr>
        <w:tcBorders>
          <w:left w:val="single" w:sz="4" w:space="0" w:color="EA8B00"/>
        </w:tcBorders>
        <w:shd w:val="clear" w:color="auto" w:fill="FFFFFF"/>
      </w:tcPr>
    </w:tblStylePr>
    <w:tblStylePr w:type="band1Vert">
      <w:tblPr/>
      <w:tcPr>
        <w:shd w:val="clear" w:color="auto" w:fill="FFE8C7"/>
      </w:tcPr>
    </w:tblStylePr>
    <w:tblStylePr w:type="band1Horz">
      <w:tblPr/>
      <w:tcPr>
        <w:shd w:val="clear" w:color="auto" w:fill="FFE8C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uiPriority w:val="52"/>
    <w:rsid w:val="00E86A68"/>
    <w:pPr>
      <w:spacing w:after="0" w:line="240" w:lineRule="auto"/>
    </w:pPr>
    <w:rPr>
      <w:rFonts w:ascii="Calibri" w:eastAsia="Calibri" w:hAnsi="Calibri" w:cs="Times New Roman"/>
      <w:color w:val="8F8F8F"/>
      <w:sz w:val="20"/>
      <w:szCs w:val="20"/>
      <w:lang w:val="en-AU" w:eastAsia="en-AU"/>
    </w:rPr>
    <w:tblPr>
      <w:tblStyleRowBandSize w:val="1"/>
      <w:tblStyleColBandSize w:val="1"/>
    </w:tblPr>
    <w:tblStylePr w:type="firstRow">
      <w:rPr>
        <w:rFonts w:ascii="Arial Bold" w:eastAsia="PMingLiU" w:hAnsi="Arial Bold" w:cs="Times New Roman"/>
        <w:i/>
        <w:iCs/>
        <w:sz w:val="26"/>
      </w:rPr>
      <w:tblPr/>
      <w:tcPr>
        <w:tcBorders>
          <w:bottom w:val="single" w:sz="4" w:space="0" w:color="BFBFBF"/>
        </w:tcBorders>
        <w:shd w:val="clear" w:color="auto" w:fill="FFFFFF"/>
      </w:tcPr>
    </w:tblStylePr>
    <w:tblStylePr w:type="lastRow">
      <w:rPr>
        <w:rFonts w:ascii="Arial Bold" w:eastAsia="PMingLiU" w:hAnsi="Arial Bold" w:cs="Times New Roman"/>
        <w:i/>
        <w:iCs/>
        <w:sz w:val="26"/>
      </w:rPr>
      <w:tblPr/>
      <w:tcPr>
        <w:tcBorders>
          <w:top w:val="single" w:sz="4" w:space="0" w:color="BFBFBF"/>
        </w:tcBorders>
        <w:shd w:val="clear" w:color="auto" w:fill="FFFFFF"/>
      </w:tcPr>
    </w:tblStylePr>
    <w:tblStylePr w:type="firstCol">
      <w:pPr>
        <w:jc w:val="right"/>
      </w:pPr>
      <w:rPr>
        <w:rFonts w:ascii="Arial Bold" w:eastAsia="PMingLiU" w:hAnsi="Arial Bold" w:cs="Times New Roman"/>
        <w:i/>
        <w:iCs/>
        <w:sz w:val="26"/>
      </w:rPr>
      <w:tblPr/>
      <w:tcPr>
        <w:tcBorders>
          <w:right w:val="single" w:sz="4" w:space="0" w:color="BFBFBF"/>
        </w:tcBorders>
        <w:shd w:val="clear" w:color="auto" w:fill="FFFFFF"/>
      </w:tcPr>
    </w:tblStylePr>
    <w:tblStylePr w:type="lastCol">
      <w:rPr>
        <w:rFonts w:ascii="Arial Bold" w:eastAsia="PMingLiU" w:hAnsi="Arial Bold" w:cs="Times New Roman"/>
        <w:i/>
        <w:iCs/>
        <w:sz w:val="26"/>
      </w:rPr>
      <w:tblPr/>
      <w:tcPr>
        <w:tcBorders>
          <w:left w:val="single" w:sz="4" w:space="0" w:color="BFBFB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40"/>
    <w:rsid w:val="00E86A68"/>
    <w:pPr>
      <w:spacing w:after="0" w:line="240" w:lineRule="auto"/>
    </w:pPr>
    <w:rPr>
      <w:rFonts w:ascii="Calibri" w:eastAsia="Calibri" w:hAnsi="Calibri"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693">
      <w:bodyDiv w:val="1"/>
      <w:marLeft w:val="0"/>
      <w:marRight w:val="0"/>
      <w:marTop w:val="0"/>
      <w:marBottom w:val="0"/>
      <w:divBdr>
        <w:top w:val="none" w:sz="0" w:space="0" w:color="auto"/>
        <w:left w:val="none" w:sz="0" w:space="0" w:color="auto"/>
        <w:bottom w:val="none" w:sz="0" w:space="0" w:color="auto"/>
        <w:right w:val="none" w:sz="0" w:space="0" w:color="auto"/>
      </w:divBdr>
    </w:div>
    <w:div w:id="57823864">
      <w:bodyDiv w:val="1"/>
      <w:marLeft w:val="0"/>
      <w:marRight w:val="0"/>
      <w:marTop w:val="0"/>
      <w:marBottom w:val="0"/>
      <w:divBdr>
        <w:top w:val="none" w:sz="0" w:space="0" w:color="auto"/>
        <w:left w:val="none" w:sz="0" w:space="0" w:color="auto"/>
        <w:bottom w:val="none" w:sz="0" w:space="0" w:color="auto"/>
        <w:right w:val="none" w:sz="0" w:space="0" w:color="auto"/>
      </w:divBdr>
    </w:div>
    <w:div w:id="58552988">
      <w:bodyDiv w:val="1"/>
      <w:marLeft w:val="0"/>
      <w:marRight w:val="0"/>
      <w:marTop w:val="0"/>
      <w:marBottom w:val="0"/>
      <w:divBdr>
        <w:top w:val="none" w:sz="0" w:space="0" w:color="auto"/>
        <w:left w:val="none" w:sz="0" w:space="0" w:color="auto"/>
        <w:bottom w:val="none" w:sz="0" w:space="0" w:color="auto"/>
        <w:right w:val="none" w:sz="0" w:space="0" w:color="auto"/>
      </w:divBdr>
    </w:div>
    <w:div w:id="82380060">
      <w:bodyDiv w:val="1"/>
      <w:marLeft w:val="0"/>
      <w:marRight w:val="0"/>
      <w:marTop w:val="0"/>
      <w:marBottom w:val="0"/>
      <w:divBdr>
        <w:top w:val="none" w:sz="0" w:space="0" w:color="auto"/>
        <w:left w:val="none" w:sz="0" w:space="0" w:color="auto"/>
        <w:bottom w:val="none" w:sz="0" w:space="0" w:color="auto"/>
        <w:right w:val="none" w:sz="0" w:space="0" w:color="auto"/>
      </w:divBdr>
    </w:div>
    <w:div w:id="108404643">
      <w:bodyDiv w:val="1"/>
      <w:marLeft w:val="0"/>
      <w:marRight w:val="0"/>
      <w:marTop w:val="0"/>
      <w:marBottom w:val="0"/>
      <w:divBdr>
        <w:top w:val="none" w:sz="0" w:space="0" w:color="auto"/>
        <w:left w:val="none" w:sz="0" w:space="0" w:color="auto"/>
        <w:bottom w:val="none" w:sz="0" w:space="0" w:color="auto"/>
        <w:right w:val="none" w:sz="0" w:space="0" w:color="auto"/>
      </w:divBdr>
    </w:div>
    <w:div w:id="129176634">
      <w:bodyDiv w:val="1"/>
      <w:marLeft w:val="0"/>
      <w:marRight w:val="0"/>
      <w:marTop w:val="0"/>
      <w:marBottom w:val="0"/>
      <w:divBdr>
        <w:top w:val="none" w:sz="0" w:space="0" w:color="auto"/>
        <w:left w:val="none" w:sz="0" w:space="0" w:color="auto"/>
        <w:bottom w:val="none" w:sz="0" w:space="0" w:color="auto"/>
        <w:right w:val="none" w:sz="0" w:space="0" w:color="auto"/>
      </w:divBdr>
    </w:div>
    <w:div w:id="195701808">
      <w:bodyDiv w:val="1"/>
      <w:marLeft w:val="0"/>
      <w:marRight w:val="0"/>
      <w:marTop w:val="0"/>
      <w:marBottom w:val="0"/>
      <w:divBdr>
        <w:top w:val="none" w:sz="0" w:space="0" w:color="auto"/>
        <w:left w:val="none" w:sz="0" w:space="0" w:color="auto"/>
        <w:bottom w:val="none" w:sz="0" w:space="0" w:color="auto"/>
        <w:right w:val="none" w:sz="0" w:space="0" w:color="auto"/>
      </w:divBdr>
    </w:div>
    <w:div w:id="241186497">
      <w:bodyDiv w:val="1"/>
      <w:marLeft w:val="0"/>
      <w:marRight w:val="0"/>
      <w:marTop w:val="0"/>
      <w:marBottom w:val="0"/>
      <w:divBdr>
        <w:top w:val="none" w:sz="0" w:space="0" w:color="auto"/>
        <w:left w:val="none" w:sz="0" w:space="0" w:color="auto"/>
        <w:bottom w:val="none" w:sz="0" w:space="0" w:color="auto"/>
        <w:right w:val="none" w:sz="0" w:space="0" w:color="auto"/>
      </w:divBdr>
      <w:divsChild>
        <w:div w:id="785347002">
          <w:marLeft w:val="0"/>
          <w:marRight w:val="0"/>
          <w:marTop w:val="0"/>
          <w:marBottom w:val="0"/>
          <w:divBdr>
            <w:top w:val="none" w:sz="0" w:space="0" w:color="auto"/>
            <w:left w:val="none" w:sz="0" w:space="0" w:color="auto"/>
            <w:bottom w:val="none" w:sz="0" w:space="0" w:color="auto"/>
            <w:right w:val="none" w:sz="0" w:space="0" w:color="auto"/>
          </w:divBdr>
          <w:divsChild>
            <w:div w:id="146561324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3372598">
      <w:bodyDiv w:val="1"/>
      <w:marLeft w:val="0"/>
      <w:marRight w:val="0"/>
      <w:marTop w:val="0"/>
      <w:marBottom w:val="0"/>
      <w:divBdr>
        <w:top w:val="none" w:sz="0" w:space="0" w:color="auto"/>
        <w:left w:val="none" w:sz="0" w:space="0" w:color="auto"/>
        <w:bottom w:val="none" w:sz="0" w:space="0" w:color="auto"/>
        <w:right w:val="none" w:sz="0" w:space="0" w:color="auto"/>
      </w:divBdr>
    </w:div>
    <w:div w:id="651837013">
      <w:bodyDiv w:val="1"/>
      <w:marLeft w:val="0"/>
      <w:marRight w:val="0"/>
      <w:marTop w:val="0"/>
      <w:marBottom w:val="0"/>
      <w:divBdr>
        <w:top w:val="none" w:sz="0" w:space="0" w:color="auto"/>
        <w:left w:val="none" w:sz="0" w:space="0" w:color="auto"/>
        <w:bottom w:val="none" w:sz="0" w:space="0" w:color="auto"/>
        <w:right w:val="none" w:sz="0" w:space="0" w:color="auto"/>
      </w:divBdr>
    </w:div>
    <w:div w:id="668143174">
      <w:bodyDiv w:val="1"/>
      <w:marLeft w:val="0"/>
      <w:marRight w:val="0"/>
      <w:marTop w:val="0"/>
      <w:marBottom w:val="0"/>
      <w:divBdr>
        <w:top w:val="none" w:sz="0" w:space="0" w:color="auto"/>
        <w:left w:val="none" w:sz="0" w:space="0" w:color="auto"/>
        <w:bottom w:val="none" w:sz="0" w:space="0" w:color="auto"/>
        <w:right w:val="none" w:sz="0" w:space="0" w:color="auto"/>
      </w:divBdr>
    </w:div>
    <w:div w:id="679814210">
      <w:bodyDiv w:val="1"/>
      <w:marLeft w:val="0"/>
      <w:marRight w:val="0"/>
      <w:marTop w:val="0"/>
      <w:marBottom w:val="0"/>
      <w:divBdr>
        <w:top w:val="none" w:sz="0" w:space="0" w:color="auto"/>
        <w:left w:val="none" w:sz="0" w:space="0" w:color="auto"/>
        <w:bottom w:val="none" w:sz="0" w:space="0" w:color="auto"/>
        <w:right w:val="none" w:sz="0" w:space="0" w:color="auto"/>
      </w:divBdr>
    </w:div>
    <w:div w:id="688603446">
      <w:bodyDiv w:val="1"/>
      <w:marLeft w:val="0"/>
      <w:marRight w:val="0"/>
      <w:marTop w:val="0"/>
      <w:marBottom w:val="0"/>
      <w:divBdr>
        <w:top w:val="none" w:sz="0" w:space="0" w:color="auto"/>
        <w:left w:val="none" w:sz="0" w:space="0" w:color="auto"/>
        <w:bottom w:val="none" w:sz="0" w:space="0" w:color="auto"/>
        <w:right w:val="none" w:sz="0" w:space="0" w:color="auto"/>
      </w:divBdr>
    </w:div>
    <w:div w:id="792938806">
      <w:bodyDiv w:val="1"/>
      <w:marLeft w:val="0"/>
      <w:marRight w:val="0"/>
      <w:marTop w:val="0"/>
      <w:marBottom w:val="0"/>
      <w:divBdr>
        <w:top w:val="none" w:sz="0" w:space="0" w:color="auto"/>
        <w:left w:val="none" w:sz="0" w:space="0" w:color="auto"/>
        <w:bottom w:val="none" w:sz="0" w:space="0" w:color="auto"/>
        <w:right w:val="none" w:sz="0" w:space="0" w:color="auto"/>
      </w:divBdr>
    </w:div>
    <w:div w:id="800267712">
      <w:bodyDiv w:val="1"/>
      <w:marLeft w:val="0"/>
      <w:marRight w:val="0"/>
      <w:marTop w:val="0"/>
      <w:marBottom w:val="0"/>
      <w:divBdr>
        <w:top w:val="none" w:sz="0" w:space="0" w:color="auto"/>
        <w:left w:val="none" w:sz="0" w:space="0" w:color="auto"/>
        <w:bottom w:val="none" w:sz="0" w:space="0" w:color="auto"/>
        <w:right w:val="none" w:sz="0" w:space="0" w:color="auto"/>
      </w:divBdr>
    </w:div>
    <w:div w:id="823620347">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40517248">
      <w:bodyDiv w:val="1"/>
      <w:marLeft w:val="0"/>
      <w:marRight w:val="0"/>
      <w:marTop w:val="0"/>
      <w:marBottom w:val="0"/>
      <w:divBdr>
        <w:top w:val="none" w:sz="0" w:space="0" w:color="auto"/>
        <w:left w:val="none" w:sz="0" w:space="0" w:color="auto"/>
        <w:bottom w:val="none" w:sz="0" w:space="0" w:color="auto"/>
        <w:right w:val="none" w:sz="0" w:space="0" w:color="auto"/>
      </w:divBdr>
    </w:div>
    <w:div w:id="1044140189">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095051269">
      <w:bodyDiv w:val="1"/>
      <w:marLeft w:val="0"/>
      <w:marRight w:val="0"/>
      <w:marTop w:val="0"/>
      <w:marBottom w:val="0"/>
      <w:divBdr>
        <w:top w:val="none" w:sz="0" w:space="0" w:color="auto"/>
        <w:left w:val="none" w:sz="0" w:space="0" w:color="auto"/>
        <w:bottom w:val="none" w:sz="0" w:space="0" w:color="auto"/>
        <w:right w:val="none" w:sz="0" w:space="0" w:color="auto"/>
      </w:divBdr>
    </w:div>
    <w:div w:id="1103720828">
      <w:bodyDiv w:val="1"/>
      <w:marLeft w:val="0"/>
      <w:marRight w:val="0"/>
      <w:marTop w:val="0"/>
      <w:marBottom w:val="0"/>
      <w:divBdr>
        <w:top w:val="none" w:sz="0" w:space="0" w:color="auto"/>
        <w:left w:val="none" w:sz="0" w:space="0" w:color="auto"/>
        <w:bottom w:val="none" w:sz="0" w:space="0" w:color="auto"/>
        <w:right w:val="none" w:sz="0" w:space="0" w:color="auto"/>
      </w:divBdr>
    </w:div>
    <w:div w:id="1140224760">
      <w:bodyDiv w:val="1"/>
      <w:marLeft w:val="0"/>
      <w:marRight w:val="0"/>
      <w:marTop w:val="0"/>
      <w:marBottom w:val="0"/>
      <w:divBdr>
        <w:top w:val="none" w:sz="0" w:space="0" w:color="auto"/>
        <w:left w:val="none" w:sz="0" w:space="0" w:color="auto"/>
        <w:bottom w:val="none" w:sz="0" w:space="0" w:color="auto"/>
        <w:right w:val="none" w:sz="0" w:space="0" w:color="auto"/>
      </w:divBdr>
      <w:divsChild>
        <w:div w:id="1252273717">
          <w:marLeft w:val="0"/>
          <w:marRight w:val="0"/>
          <w:marTop w:val="0"/>
          <w:marBottom w:val="0"/>
          <w:divBdr>
            <w:top w:val="none" w:sz="0" w:space="0" w:color="auto"/>
            <w:left w:val="none" w:sz="0" w:space="0" w:color="auto"/>
            <w:bottom w:val="none" w:sz="0" w:space="0" w:color="auto"/>
            <w:right w:val="none" w:sz="0" w:space="0" w:color="auto"/>
          </w:divBdr>
          <w:divsChild>
            <w:div w:id="843323692">
              <w:marLeft w:val="0"/>
              <w:marRight w:val="0"/>
              <w:marTop w:val="150"/>
              <w:marBottom w:val="0"/>
              <w:divBdr>
                <w:top w:val="none" w:sz="0" w:space="0" w:color="auto"/>
                <w:left w:val="none" w:sz="0" w:space="0" w:color="auto"/>
                <w:bottom w:val="none" w:sz="0" w:space="0" w:color="auto"/>
                <w:right w:val="none" w:sz="0" w:space="0" w:color="auto"/>
              </w:divBdr>
              <w:divsChild>
                <w:div w:id="670451758">
                  <w:marLeft w:val="0"/>
                  <w:marRight w:val="0"/>
                  <w:marTop w:val="0"/>
                  <w:marBottom w:val="0"/>
                  <w:divBdr>
                    <w:top w:val="none" w:sz="0" w:space="0" w:color="auto"/>
                    <w:left w:val="none" w:sz="0" w:space="0" w:color="auto"/>
                    <w:bottom w:val="none" w:sz="0" w:space="0" w:color="auto"/>
                    <w:right w:val="none" w:sz="0" w:space="0" w:color="auto"/>
                  </w:divBdr>
                  <w:divsChild>
                    <w:div w:id="2064669944">
                      <w:marLeft w:val="0"/>
                      <w:marRight w:val="0"/>
                      <w:marTop w:val="0"/>
                      <w:marBottom w:val="0"/>
                      <w:divBdr>
                        <w:top w:val="none" w:sz="0" w:space="0" w:color="auto"/>
                        <w:left w:val="none" w:sz="0" w:space="0" w:color="auto"/>
                        <w:bottom w:val="none" w:sz="0" w:space="0" w:color="auto"/>
                        <w:right w:val="none" w:sz="0" w:space="0" w:color="auto"/>
                      </w:divBdr>
                      <w:divsChild>
                        <w:div w:id="1594391994">
                          <w:marLeft w:val="0"/>
                          <w:marRight w:val="0"/>
                          <w:marTop w:val="0"/>
                          <w:marBottom w:val="0"/>
                          <w:divBdr>
                            <w:top w:val="none" w:sz="0" w:space="0" w:color="auto"/>
                            <w:left w:val="none" w:sz="0" w:space="0" w:color="auto"/>
                            <w:bottom w:val="none" w:sz="0" w:space="0" w:color="auto"/>
                            <w:right w:val="none" w:sz="0" w:space="0" w:color="auto"/>
                          </w:divBdr>
                          <w:divsChild>
                            <w:div w:id="1649087889">
                              <w:marLeft w:val="0"/>
                              <w:marRight w:val="0"/>
                              <w:marTop w:val="0"/>
                              <w:marBottom w:val="0"/>
                              <w:divBdr>
                                <w:top w:val="none" w:sz="0" w:space="0" w:color="auto"/>
                                <w:left w:val="none" w:sz="0" w:space="0" w:color="auto"/>
                                <w:bottom w:val="none" w:sz="0" w:space="0" w:color="auto"/>
                                <w:right w:val="none" w:sz="0" w:space="0" w:color="auto"/>
                              </w:divBdr>
                              <w:divsChild>
                                <w:div w:id="1345399970">
                                  <w:marLeft w:val="0"/>
                                  <w:marRight w:val="0"/>
                                  <w:marTop w:val="0"/>
                                  <w:marBottom w:val="0"/>
                                  <w:divBdr>
                                    <w:top w:val="none" w:sz="0" w:space="0" w:color="auto"/>
                                    <w:left w:val="none" w:sz="0" w:space="0" w:color="auto"/>
                                    <w:bottom w:val="none" w:sz="0" w:space="0" w:color="auto"/>
                                    <w:right w:val="none" w:sz="0" w:space="0" w:color="auto"/>
                                  </w:divBdr>
                                  <w:divsChild>
                                    <w:div w:id="1586647978">
                                      <w:marLeft w:val="0"/>
                                      <w:marRight w:val="0"/>
                                      <w:marTop w:val="0"/>
                                      <w:marBottom w:val="0"/>
                                      <w:divBdr>
                                        <w:top w:val="none" w:sz="0" w:space="0" w:color="auto"/>
                                        <w:left w:val="none" w:sz="0" w:space="0" w:color="auto"/>
                                        <w:bottom w:val="none" w:sz="0" w:space="0" w:color="auto"/>
                                        <w:right w:val="none" w:sz="0" w:space="0" w:color="auto"/>
                                      </w:divBdr>
                                      <w:divsChild>
                                        <w:div w:id="1504128296">
                                          <w:marLeft w:val="0"/>
                                          <w:marRight w:val="0"/>
                                          <w:marTop w:val="0"/>
                                          <w:marBottom w:val="0"/>
                                          <w:divBdr>
                                            <w:top w:val="none" w:sz="0" w:space="0" w:color="auto"/>
                                            <w:left w:val="none" w:sz="0" w:space="0" w:color="auto"/>
                                            <w:bottom w:val="none" w:sz="0" w:space="0" w:color="auto"/>
                                            <w:right w:val="none" w:sz="0" w:space="0" w:color="auto"/>
                                          </w:divBdr>
                                          <w:divsChild>
                                            <w:div w:id="105203529">
                                              <w:marLeft w:val="0"/>
                                              <w:marRight w:val="0"/>
                                              <w:marTop w:val="0"/>
                                              <w:marBottom w:val="0"/>
                                              <w:divBdr>
                                                <w:top w:val="none" w:sz="0" w:space="0" w:color="auto"/>
                                                <w:left w:val="none" w:sz="0" w:space="0" w:color="auto"/>
                                                <w:bottom w:val="none" w:sz="0" w:space="0" w:color="auto"/>
                                                <w:right w:val="none" w:sz="0" w:space="0" w:color="auto"/>
                                              </w:divBdr>
                                              <w:divsChild>
                                                <w:div w:id="25065534">
                                                  <w:marLeft w:val="0"/>
                                                  <w:marRight w:val="0"/>
                                                  <w:marTop w:val="0"/>
                                                  <w:marBottom w:val="0"/>
                                                  <w:divBdr>
                                                    <w:top w:val="none" w:sz="0" w:space="0" w:color="auto"/>
                                                    <w:left w:val="none" w:sz="0" w:space="0" w:color="auto"/>
                                                    <w:bottom w:val="none" w:sz="0" w:space="0" w:color="auto"/>
                                                    <w:right w:val="none" w:sz="0" w:space="0" w:color="auto"/>
                                                  </w:divBdr>
                                                  <w:divsChild>
                                                    <w:div w:id="72703713">
                                                      <w:marLeft w:val="0"/>
                                                      <w:marRight w:val="0"/>
                                                      <w:marTop w:val="0"/>
                                                      <w:marBottom w:val="0"/>
                                                      <w:divBdr>
                                                        <w:top w:val="none" w:sz="0" w:space="0" w:color="auto"/>
                                                        <w:left w:val="none" w:sz="0" w:space="0" w:color="auto"/>
                                                        <w:bottom w:val="none" w:sz="0" w:space="0" w:color="auto"/>
                                                        <w:right w:val="none" w:sz="0" w:space="0" w:color="auto"/>
                                                      </w:divBdr>
                                                      <w:divsChild>
                                                        <w:div w:id="238708783">
                                                          <w:marLeft w:val="0"/>
                                                          <w:marRight w:val="0"/>
                                                          <w:marTop w:val="0"/>
                                                          <w:marBottom w:val="0"/>
                                                          <w:divBdr>
                                                            <w:top w:val="none" w:sz="0" w:space="0" w:color="auto"/>
                                                            <w:left w:val="none" w:sz="0" w:space="0" w:color="auto"/>
                                                            <w:bottom w:val="none" w:sz="0" w:space="0" w:color="auto"/>
                                                            <w:right w:val="none" w:sz="0" w:space="0" w:color="auto"/>
                                                          </w:divBdr>
                                                          <w:divsChild>
                                                            <w:div w:id="829491037">
                                                              <w:marLeft w:val="0"/>
                                                              <w:marRight w:val="0"/>
                                                              <w:marTop w:val="0"/>
                                                              <w:marBottom w:val="0"/>
                                                              <w:divBdr>
                                                                <w:top w:val="none" w:sz="0" w:space="0" w:color="auto"/>
                                                                <w:left w:val="none" w:sz="0" w:space="0" w:color="auto"/>
                                                                <w:bottom w:val="none" w:sz="0" w:space="0" w:color="auto"/>
                                                                <w:right w:val="none" w:sz="0" w:space="0" w:color="auto"/>
                                                              </w:divBdr>
                                                              <w:divsChild>
                                                                <w:div w:id="13592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249118063">
      <w:bodyDiv w:val="1"/>
      <w:marLeft w:val="0"/>
      <w:marRight w:val="0"/>
      <w:marTop w:val="0"/>
      <w:marBottom w:val="0"/>
      <w:divBdr>
        <w:top w:val="none" w:sz="0" w:space="0" w:color="auto"/>
        <w:left w:val="none" w:sz="0" w:space="0" w:color="auto"/>
        <w:bottom w:val="none" w:sz="0" w:space="0" w:color="auto"/>
        <w:right w:val="none" w:sz="0" w:space="0" w:color="auto"/>
      </w:divBdr>
    </w:div>
    <w:div w:id="1310014007">
      <w:bodyDiv w:val="1"/>
      <w:marLeft w:val="0"/>
      <w:marRight w:val="0"/>
      <w:marTop w:val="0"/>
      <w:marBottom w:val="0"/>
      <w:divBdr>
        <w:top w:val="none" w:sz="0" w:space="0" w:color="auto"/>
        <w:left w:val="none" w:sz="0" w:space="0" w:color="auto"/>
        <w:bottom w:val="none" w:sz="0" w:space="0" w:color="auto"/>
        <w:right w:val="none" w:sz="0" w:space="0" w:color="auto"/>
      </w:divBdr>
    </w:div>
    <w:div w:id="1361511280">
      <w:bodyDiv w:val="1"/>
      <w:marLeft w:val="0"/>
      <w:marRight w:val="0"/>
      <w:marTop w:val="0"/>
      <w:marBottom w:val="0"/>
      <w:divBdr>
        <w:top w:val="none" w:sz="0" w:space="0" w:color="auto"/>
        <w:left w:val="none" w:sz="0" w:space="0" w:color="auto"/>
        <w:bottom w:val="none" w:sz="0" w:space="0" w:color="auto"/>
        <w:right w:val="none" w:sz="0" w:space="0" w:color="auto"/>
      </w:divBdr>
    </w:div>
    <w:div w:id="1386948170">
      <w:bodyDiv w:val="1"/>
      <w:marLeft w:val="0"/>
      <w:marRight w:val="0"/>
      <w:marTop w:val="0"/>
      <w:marBottom w:val="0"/>
      <w:divBdr>
        <w:top w:val="none" w:sz="0" w:space="0" w:color="auto"/>
        <w:left w:val="none" w:sz="0" w:space="0" w:color="auto"/>
        <w:bottom w:val="none" w:sz="0" w:space="0" w:color="auto"/>
        <w:right w:val="none" w:sz="0" w:space="0" w:color="auto"/>
      </w:divBdr>
    </w:div>
    <w:div w:id="1401513677">
      <w:bodyDiv w:val="1"/>
      <w:marLeft w:val="0"/>
      <w:marRight w:val="0"/>
      <w:marTop w:val="0"/>
      <w:marBottom w:val="0"/>
      <w:divBdr>
        <w:top w:val="none" w:sz="0" w:space="0" w:color="auto"/>
        <w:left w:val="none" w:sz="0" w:space="0" w:color="auto"/>
        <w:bottom w:val="none" w:sz="0" w:space="0" w:color="auto"/>
        <w:right w:val="none" w:sz="0" w:space="0" w:color="auto"/>
      </w:divBdr>
    </w:div>
    <w:div w:id="1409185708">
      <w:bodyDiv w:val="1"/>
      <w:marLeft w:val="0"/>
      <w:marRight w:val="0"/>
      <w:marTop w:val="0"/>
      <w:marBottom w:val="0"/>
      <w:divBdr>
        <w:top w:val="none" w:sz="0" w:space="0" w:color="auto"/>
        <w:left w:val="none" w:sz="0" w:space="0" w:color="auto"/>
        <w:bottom w:val="none" w:sz="0" w:space="0" w:color="auto"/>
        <w:right w:val="none" w:sz="0" w:space="0" w:color="auto"/>
      </w:divBdr>
    </w:div>
    <w:div w:id="1410612781">
      <w:bodyDiv w:val="1"/>
      <w:marLeft w:val="0"/>
      <w:marRight w:val="0"/>
      <w:marTop w:val="0"/>
      <w:marBottom w:val="0"/>
      <w:divBdr>
        <w:top w:val="none" w:sz="0" w:space="0" w:color="auto"/>
        <w:left w:val="none" w:sz="0" w:space="0" w:color="auto"/>
        <w:bottom w:val="none" w:sz="0" w:space="0" w:color="auto"/>
        <w:right w:val="none" w:sz="0" w:space="0" w:color="auto"/>
      </w:divBdr>
    </w:div>
    <w:div w:id="1414863436">
      <w:bodyDiv w:val="1"/>
      <w:marLeft w:val="0"/>
      <w:marRight w:val="0"/>
      <w:marTop w:val="0"/>
      <w:marBottom w:val="0"/>
      <w:divBdr>
        <w:top w:val="none" w:sz="0" w:space="0" w:color="auto"/>
        <w:left w:val="none" w:sz="0" w:space="0" w:color="auto"/>
        <w:bottom w:val="none" w:sz="0" w:space="0" w:color="auto"/>
        <w:right w:val="none" w:sz="0" w:space="0" w:color="auto"/>
      </w:divBdr>
    </w:div>
    <w:div w:id="1437941948">
      <w:bodyDiv w:val="1"/>
      <w:marLeft w:val="0"/>
      <w:marRight w:val="0"/>
      <w:marTop w:val="0"/>
      <w:marBottom w:val="0"/>
      <w:divBdr>
        <w:top w:val="none" w:sz="0" w:space="0" w:color="auto"/>
        <w:left w:val="none" w:sz="0" w:space="0" w:color="auto"/>
        <w:bottom w:val="none" w:sz="0" w:space="0" w:color="auto"/>
        <w:right w:val="none" w:sz="0" w:space="0" w:color="auto"/>
      </w:divBdr>
      <w:divsChild>
        <w:div w:id="1789156310">
          <w:marLeft w:val="0"/>
          <w:marRight w:val="0"/>
          <w:marTop w:val="0"/>
          <w:marBottom w:val="0"/>
          <w:divBdr>
            <w:top w:val="none" w:sz="0" w:space="0" w:color="auto"/>
            <w:left w:val="none" w:sz="0" w:space="0" w:color="auto"/>
            <w:bottom w:val="none" w:sz="0" w:space="0" w:color="auto"/>
            <w:right w:val="none" w:sz="0" w:space="0" w:color="auto"/>
          </w:divBdr>
        </w:div>
      </w:divsChild>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1495993538">
      <w:bodyDiv w:val="1"/>
      <w:marLeft w:val="0"/>
      <w:marRight w:val="0"/>
      <w:marTop w:val="0"/>
      <w:marBottom w:val="0"/>
      <w:divBdr>
        <w:top w:val="none" w:sz="0" w:space="0" w:color="auto"/>
        <w:left w:val="none" w:sz="0" w:space="0" w:color="auto"/>
        <w:bottom w:val="none" w:sz="0" w:space="0" w:color="auto"/>
        <w:right w:val="none" w:sz="0" w:space="0" w:color="auto"/>
      </w:divBdr>
    </w:div>
    <w:div w:id="1567453455">
      <w:bodyDiv w:val="1"/>
      <w:marLeft w:val="0"/>
      <w:marRight w:val="0"/>
      <w:marTop w:val="0"/>
      <w:marBottom w:val="0"/>
      <w:divBdr>
        <w:top w:val="none" w:sz="0" w:space="0" w:color="auto"/>
        <w:left w:val="none" w:sz="0" w:space="0" w:color="auto"/>
        <w:bottom w:val="none" w:sz="0" w:space="0" w:color="auto"/>
        <w:right w:val="none" w:sz="0" w:space="0" w:color="auto"/>
      </w:divBdr>
    </w:div>
    <w:div w:id="1704750633">
      <w:bodyDiv w:val="1"/>
      <w:marLeft w:val="0"/>
      <w:marRight w:val="0"/>
      <w:marTop w:val="0"/>
      <w:marBottom w:val="0"/>
      <w:divBdr>
        <w:top w:val="none" w:sz="0" w:space="0" w:color="auto"/>
        <w:left w:val="none" w:sz="0" w:space="0" w:color="auto"/>
        <w:bottom w:val="none" w:sz="0" w:space="0" w:color="auto"/>
        <w:right w:val="none" w:sz="0" w:space="0" w:color="auto"/>
      </w:divBdr>
    </w:div>
    <w:div w:id="1796411359">
      <w:bodyDiv w:val="1"/>
      <w:marLeft w:val="0"/>
      <w:marRight w:val="0"/>
      <w:marTop w:val="0"/>
      <w:marBottom w:val="0"/>
      <w:divBdr>
        <w:top w:val="none" w:sz="0" w:space="0" w:color="auto"/>
        <w:left w:val="none" w:sz="0" w:space="0" w:color="auto"/>
        <w:bottom w:val="none" w:sz="0" w:space="0" w:color="auto"/>
        <w:right w:val="none" w:sz="0" w:space="0" w:color="auto"/>
      </w:divBdr>
    </w:div>
    <w:div w:id="1812480669">
      <w:bodyDiv w:val="1"/>
      <w:marLeft w:val="0"/>
      <w:marRight w:val="0"/>
      <w:marTop w:val="0"/>
      <w:marBottom w:val="0"/>
      <w:divBdr>
        <w:top w:val="none" w:sz="0" w:space="0" w:color="auto"/>
        <w:left w:val="none" w:sz="0" w:space="0" w:color="auto"/>
        <w:bottom w:val="none" w:sz="0" w:space="0" w:color="auto"/>
        <w:right w:val="none" w:sz="0" w:space="0" w:color="auto"/>
      </w:divBdr>
    </w:div>
    <w:div w:id="1823809056">
      <w:bodyDiv w:val="1"/>
      <w:marLeft w:val="0"/>
      <w:marRight w:val="0"/>
      <w:marTop w:val="0"/>
      <w:marBottom w:val="0"/>
      <w:divBdr>
        <w:top w:val="none" w:sz="0" w:space="0" w:color="auto"/>
        <w:left w:val="none" w:sz="0" w:space="0" w:color="auto"/>
        <w:bottom w:val="none" w:sz="0" w:space="0" w:color="auto"/>
        <w:right w:val="none" w:sz="0" w:space="0" w:color="auto"/>
      </w:divBdr>
    </w:div>
    <w:div w:id="1863587307">
      <w:bodyDiv w:val="1"/>
      <w:marLeft w:val="0"/>
      <w:marRight w:val="0"/>
      <w:marTop w:val="0"/>
      <w:marBottom w:val="0"/>
      <w:divBdr>
        <w:top w:val="none" w:sz="0" w:space="0" w:color="auto"/>
        <w:left w:val="none" w:sz="0" w:space="0" w:color="auto"/>
        <w:bottom w:val="none" w:sz="0" w:space="0" w:color="auto"/>
        <w:right w:val="none" w:sz="0" w:space="0" w:color="auto"/>
      </w:divBdr>
    </w:div>
    <w:div w:id="2023390764">
      <w:bodyDiv w:val="1"/>
      <w:marLeft w:val="0"/>
      <w:marRight w:val="0"/>
      <w:marTop w:val="0"/>
      <w:marBottom w:val="0"/>
      <w:divBdr>
        <w:top w:val="none" w:sz="0" w:space="0" w:color="auto"/>
        <w:left w:val="none" w:sz="0" w:space="0" w:color="auto"/>
        <w:bottom w:val="none" w:sz="0" w:space="0" w:color="auto"/>
        <w:right w:val="none" w:sz="0" w:space="0" w:color="auto"/>
      </w:divBdr>
    </w:div>
    <w:div w:id="2028174758">
      <w:bodyDiv w:val="1"/>
      <w:marLeft w:val="0"/>
      <w:marRight w:val="0"/>
      <w:marTop w:val="0"/>
      <w:marBottom w:val="0"/>
      <w:divBdr>
        <w:top w:val="none" w:sz="0" w:space="0" w:color="auto"/>
        <w:left w:val="none" w:sz="0" w:space="0" w:color="auto"/>
        <w:bottom w:val="none" w:sz="0" w:space="0" w:color="auto"/>
        <w:right w:val="none" w:sz="0" w:space="0" w:color="auto"/>
      </w:divBdr>
    </w:div>
    <w:div w:id="212017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7.xml"/><Relationship Id="rId42" Type="http://schemas.openxmlformats.org/officeDocument/2006/relationships/chart" Target="charts/chart3.xml"/><Relationship Id="rId47" Type="http://schemas.openxmlformats.org/officeDocument/2006/relationships/chart" Target="charts/chart7.xml"/><Relationship Id="rId63" Type="http://schemas.openxmlformats.org/officeDocument/2006/relationships/footer" Target="footer20.xml"/><Relationship Id="rId68" Type="http://schemas.openxmlformats.org/officeDocument/2006/relationships/image" Target="media/image6.png"/><Relationship Id="rId84" Type="http://schemas.openxmlformats.org/officeDocument/2006/relationships/header" Target="header27.xml"/><Relationship Id="rId89" Type="http://schemas.openxmlformats.org/officeDocument/2006/relationships/header" Target="header29.xml"/><Relationship Id="rId112" Type="http://schemas.openxmlformats.org/officeDocument/2006/relationships/hyperlink" Target="https://apvma.gov.au/node/1088" TargetMode="External"/><Relationship Id="rId16" Type="http://schemas.openxmlformats.org/officeDocument/2006/relationships/header" Target="header5.xml"/><Relationship Id="rId107" Type="http://schemas.openxmlformats.org/officeDocument/2006/relationships/footer" Target="footer31.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6.xml"/><Relationship Id="rId53" Type="http://schemas.openxmlformats.org/officeDocument/2006/relationships/header" Target="header18.xml"/><Relationship Id="rId58" Type="http://schemas.openxmlformats.org/officeDocument/2006/relationships/header" Target="header20.xml"/><Relationship Id="rId74" Type="http://schemas.openxmlformats.org/officeDocument/2006/relationships/footer" Target="footer22.xml"/><Relationship Id="rId79" Type="http://schemas.openxmlformats.org/officeDocument/2006/relationships/hyperlink" Target="http://www.hse.gov.uk/pesticides/topics/pesticide-approvals/pesticides-registration/applicant-guide/the-applicant-guide-applica-2.htm" TargetMode="External"/><Relationship Id="rId102" Type="http://schemas.openxmlformats.org/officeDocument/2006/relationships/footer" Target="footer29.xml"/><Relationship Id="rId123" Type="http://schemas.openxmlformats.org/officeDocument/2006/relationships/footer" Target="footer36.xml"/><Relationship Id="rId128"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eader" Target="header30.xml"/><Relationship Id="rId95" Type="http://schemas.openxmlformats.org/officeDocument/2006/relationships/header" Target="header32.xml"/><Relationship Id="rId22" Type="http://schemas.openxmlformats.org/officeDocument/2006/relationships/header" Target="header8.xml"/><Relationship Id="rId27" Type="http://schemas.openxmlformats.org/officeDocument/2006/relationships/footer" Target="footer10.xml"/><Relationship Id="rId43" Type="http://schemas.openxmlformats.org/officeDocument/2006/relationships/chart" Target="charts/chart4.xml"/><Relationship Id="rId48" Type="http://schemas.openxmlformats.org/officeDocument/2006/relationships/chart" Target="charts/chart8.xml"/><Relationship Id="rId64" Type="http://schemas.openxmlformats.org/officeDocument/2006/relationships/image" Target="media/image2.png"/><Relationship Id="rId69" Type="http://schemas.openxmlformats.org/officeDocument/2006/relationships/image" Target="media/image7.png"/><Relationship Id="rId113" Type="http://schemas.openxmlformats.org/officeDocument/2006/relationships/hyperlink" Target="https://apvma.gov.au/node/1088" TargetMode="External"/><Relationship Id="rId118" Type="http://schemas.openxmlformats.org/officeDocument/2006/relationships/footer" Target="footer34.xml"/><Relationship Id="rId80" Type="http://schemas.openxmlformats.org/officeDocument/2006/relationships/hyperlink" Target="https://www.epa.gov/pria-fees/pria-fee-category-table-registration-division-new-active-ingredients" TargetMode="External"/><Relationship Id="rId85" Type="http://schemas.openxmlformats.org/officeDocument/2006/relationships/footer" Target="footer23.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5.xml"/><Relationship Id="rId59" Type="http://schemas.openxmlformats.org/officeDocument/2006/relationships/header" Target="header21.xml"/><Relationship Id="rId103" Type="http://schemas.openxmlformats.org/officeDocument/2006/relationships/header" Target="header37.xml"/><Relationship Id="rId108" Type="http://schemas.openxmlformats.org/officeDocument/2006/relationships/footer" Target="footer32.xml"/><Relationship Id="rId124" Type="http://schemas.openxmlformats.org/officeDocument/2006/relationships/footer" Target="footer37.xml"/><Relationship Id="rId129" Type="http://schemas.openxmlformats.org/officeDocument/2006/relationships/theme" Target="theme/theme1.xml"/><Relationship Id="rId54" Type="http://schemas.openxmlformats.org/officeDocument/2006/relationships/footer" Target="footer16.xml"/><Relationship Id="rId70" Type="http://schemas.openxmlformats.org/officeDocument/2006/relationships/header" Target="header23.xml"/><Relationship Id="rId75" Type="http://schemas.openxmlformats.org/officeDocument/2006/relationships/hyperlink" Target="https://apvma.gov.au/node/19751" TargetMode="External"/><Relationship Id="rId91" Type="http://schemas.openxmlformats.org/officeDocument/2006/relationships/footer" Target="footer25.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1.xml"/><Relationship Id="rId49" Type="http://schemas.openxmlformats.org/officeDocument/2006/relationships/chart" Target="charts/chart9.xml"/><Relationship Id="rId114" Type="http://schemas.openxmlformats.org/officeDocument/2006/relationships/hyperlink" Target="https://apvma.gov.au/node/1088" TargetMode="External"/><Relationship Id="rId119" Type="http://schemas.openxmlformats.org/officeDocument/2006/relationships/header" Target="header43.xml"/><Relationship Id="rId44" Type="http://schemas.openxmlformats.org/officeDocument/2006/relationships/chart" Target="charts/chart5.xml"/><Relationship Id="rId60" Type="http://schemas.openxmlformats.org/officeDocument/2006/relationships/footer" Target="footer18.xml"/><Relationship Id="rId65" Type="http://schemas.openxmlformats.org/officeDocument/2006/relationships/image" Target="media/image3.png"/><Relationship Id="rId81" Type="http://schemas.openxmlformats.org/officeDocument/2006/relationships/hyperlink" Target="https://www.fda.gov/AnimalVeterinary/NewsEvents/CVMUpdates/ucm513124.htm" TargetMode="External"/><Relationship Id="rId86" Type="http://schemas.openxmlformats.org/officeDocument/2006/relationships/header" Target="header28.xml"/><Relationship Id="rId130" Type="http://schemas.openxmlformats.org/officeDocument/2006/relationships/customXml" Target="../customXml/item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png"/><Relationship Id="rId109" Type="http://schemas.openxmlformats.org/officeDocument/2006/relationships/header" Target="header40.xml"/><Relationship Id="rId34" Type="http://schemas.openxmlformats.org/officeDocument/2006/relationships/header" Target="header15.xml"/><Relationship Id="rId50" Type="http://schemas.openxmlformats.org/officeDocument/2006/relationships/chart" Target="charts/chart10.xml"/><Relationship Id="rId55" Type="http://schemas.openxmlformats.org/officeDocument/2006/relationships/header" Target="header19.xml"/><Relationship Id="rId76" Type="http://schemas.openxmlformats.org/officeDocument/2006/relationships/image" Target="media/image8.wmf"/><Relationship Id="rId97" Type="http://schemas.openxmlformats.org/officeDocument/2006/relationships/footer" Target="footer27.xml"/><Relationship Id="rId104" Type="http://schemas.openxmlformats.org/officeDocument/2006/relationships/footer" Target="footer30.xml"/><Relationship Id="rId120" Type="http://schemas.openxmlformats.org/officeDocument/2006/relationships/footer" Target="footer35.xml"/><Relationship Id="rId125"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image" Target="media/image4.png"/><Relationship Id="rId87" Type="http://schemas.openxmlformats.org/officeDocument/2006/relationships/footer" Target="footer24.xml"/><Relationship Id="rId110" Type="http://schemas.openxmlformats.org/officeDocument/2006/relationships/footer" Target="footer33.xml"/><Relationship Id="rId115" Type="http://schemas.openxmlformats.org/officeDocument/2006/relationships/hyperlink" Target="https://apvma.gov.au/node/667%20" TargetMode="External"/><Relationship Id="rId131" Type="http://schemas.openxmlformats.org/officeDocument/2006/relationships/customXml" Target="../customXml/item3.xml"/><Relationship Id="rId61" Type="http://schemas.openxmlformats.org/officeDocument/2006/relationships/footer" Target="footer19.xml"/><Relationship Id="rId82" Type="http://schemas.openxmlformats.org/officeDocument/2006/relationships/hyperlink" Target="http://www.foodsafety.govt.nz/elibrary/industry/estimated-fees-for-regulatory-assessment-of-agchems.pdf" TargetMode="Externa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17.xml"/><Relationship Id="rId77" Type="http://schemas.openxmlformats.org/officeDocument/2006/relationships/image" Target="media/image9.wmf"/><Relationship Id="rId100" Type="http://schemas.openxmlformats.org/officeDocument/2006/relationships/header" Target="header35.xml"/><Relationship Id="rId105" Type="http://schemas.openxmlformats.org/officeDocument/2006/relationships/header" Target="header38.xml"/><Relationship Id="rId126" Type="http://schemas.openxmlformats.org/officeDocument/2006/relationships/footer" Target="footer38.xml"/><Relationship Id="rId8" Type="http://schemas.openxmlformats.org/officeDocument/2006/relationships/header" Target="header1.xml"/><Relationship Id="rId51" Type="http://schemas.openxmlformats.org/officeDocument/2006/relationships/hyperlink" Target="https://rirdc.infoservices.com.au/items/17-019" TargetMode="External"/><Relationship Id="rId72" Type="http://schemas.openxmlformats.org/officeDocument/2006/relationships/footer" Target="footer21.xml"/><Relationship Id="rId93" Type="http://schemas.openxmlformats.org/officeDocument/2006/relationships/footer" Target="footer26.xml"/><Relationship Id="rId98" Type="http://schemas.openxmlformats.org/officeDocument/2006/relationships/header" Target="header34.xml"/><Relationship Id="rId121" Type="http://schemas.openxmlformats.org/officeDocument/2006/relationships/header" Target="header44.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yperlink" Target="http://websvr.infopest.com.au/SearchJS" TargetMode="External"/><Relationship Id="rId67" Type="http://schemas.openxmlformats.org/officeDocument/2006/relationships/image" Target="media/image5.png"/><Relationship Id="rId116" Type="http://schemas.openxmlformats.org/officeDocument/2006/relationships/header" Target="header41.xml"/><Relationship Id="rId20" Type="http://schemas.openxmlformats.org/officeDocument/2006/relationships/header" Target="header7.xml"/><Relationship Id="rId41" Type="http://schemas.openxmlformats.org/officeDocument/2006/relationships/chart" Target="charts/chart2.xml"/><Relationship Id="rId62" Type="http://schemas.openxmlformats.org/officeDocument/2006/relationships/header" Target="header22.xml"/><Relationship Id="rId83" Type="http://schemas.openxmlformats.org/officeDocument/2006/relationships/header" Target="header26.xml"/><Relationship Id="rId88" Type="http://schemas.openxmlformats.org/officeDocument/2006/relationships/hyperlink" Target="http://ir4.rutgers.edu/" TargetMode="External"/><Relationship Id="rId111" Type="http://schemas.openxmlformats.org/officeDocument/2006/relationships/hyperlink" Target="https://apvma.gov.au/node/1088" TargetMode="External"/><Relationship Id="rId132" Type="http://schemas.openxmlformats.org/officeDocument/2006/relationships/customXml" Target="../customXml/item4.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hyperlink" Target="https://apvma.gov.au/node/581" TargetMode="External"/><Relationship Id="rId106" Type="http://schemas.openxmlformats.org/officeDocument/2006/relationships/header" Target="header39.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17.xml"/><Relationship Id="rId73" Type="http://schemas.openxmlformats.org/officeDocument/2006/relationships/header" Target="header25.xml"/><Relationship Id="rId78" Type="http://schemas.openxmlformats.org/officeDocument/2006/relationships/hyperlink" Target="http://archive.apvma.gov.au/about/work/better_regulation/docs/fees-charges-slides.pdf" TargetMode="External"/><Relationship Id="rId94" Type="http://schemas.openxmlformats.org/officeDocument/2006/relationships/hyperlink" Target="http://achristie.com/wp-content/uploads/2011/08/IPRIA-Patent-Extension-Review-2.pdf" TargetMode="External"/><Relationship Id="rId99" Type="http://schemas.openxmlformats.org/officeDocument/2006/relationships/footer" Target="footer28.xml"/><Relationship Id="rId101" Type="http://schemas.openxmlformats.org/officeDocument/2006/relationships/header" Target="header36.xml"/><Relationship Id="rId122"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10.xml"/></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legal-content/EN/TXT/PDF/?uri=CELEX:32001L0082&amp;from=EN" TargetMode="External"/><Relationship Id="rId18" Type="http://schemas.openxmlformats.org/officeDocument/2006/relationships/hyperlink" Target="http://www.aph.gov.au/Parliamentary_Business/Bills_Legislation/Bills_Search_Results/Result?bId=r2536" TargetMode="External"/><Relationship Id="rId26" Type="http://schemas.openxmlformats.org/officeDocument/2006/relationships/hyperlink" Target="https://www.accessdata.fda.gov/scripts/cdrh/cfdocs/cfcfr/cfrsearch.cfm?fr=516.171" TargetMode="External"/><Relationship Id="rId39" Type="http://schemas.openxmlformats.org/officeDocument/2006/relationships/hyperlink" Target="https://apvma.gov.au/node/10971" TargetMode="External"/><Relationship Id="rId21" Type="http://schemas.openxmlformats.org/officeDocument/2006/relationships/hyperlink" Target="https://www.ifpma.org/wp-content/uploads/2016/01/IFPMA_2011_Data_Exclusivity__En_Web.pdf" TargetMode="External"/><Relationship Id="rId34" Type="http://schemas.openxmlformats.org/officeDocument/2006/relationships/hyperlink" Target="https://www.lrvhp.ca/public/documents/view/overview" TargetMode="External"/><Relationship Id="rId42" Type="http://schemas.openxmlformats.org/officeDocument/2006/relationships/hyperlink" Target="http://www.ema.europa.eu/docs/en_GB/document_library/Leaflet/2014/08/WC500171674.pdf" TargetMode="External"/><Relationship Id="rId47" Type="http://schemas.openxmlformats.org/officeDocument/2006/relationships/hyperlink" Target="http://www.foodsafety.govt.nz/industry/acvm/agricultural-chemicals/authorisation/" TargetMode="External"/><Relationship Id="rId50" Type="http://schemas.openxmlformats.org/officeDocument/2006/relationships/hyperlink" Target="http://ris.pmc.gov.au/sites/default/files/posts/2011/11/04-Better-Regulation-of-AGVET.pdf" TargetMode="External"/><Relationship Id="rId55" Type="http://schemas.openxmlformats.org/officeDocument/2006/relationships/hyperlink" Target="http://www.pc.gov.au/inquiries/completed/chemicals-plastics/report/chemicals-plastics-regulation.pdf" TargetMode="External"/><Relationship Id="rId63" Type="http://schemas.openxmlformats.org/officeDocument/2006/relationships/hyperlink" Target="http://www.ema.europa.eu/docs/en_GB/document_library/Regulatory_and_procedural_guideline/2014/09/WC500172928.pdf" TargetMode="External"/><Relationship Id="rId68" Type="http://schemas.openxmlformats.org/officeDocument/2006/relationships/hyperlink" Target="http://www.oecd.org/officialdocuments/publicdisplaydocumentpdf/?cote=env/jm/mono(2011)14&amp;doclanguage=en" TargetMode="External"/><Relationship Id="rId7" Type="http://schemas.openxmlformats.org/officeDocument/2006/relationships/hyperlink" Target="http://ec.europa.eu/growth/industry/intellectual-property/patents/.htm" TargetMode="External"/><Relationship Id="rId71" Type="http://schemas.openxmlformats.org/officeDocument/2006/relationships/hyperlink" Target="http://horticulture.com.au/wp-content/uploads/2017/02/Nursery-Papers-December-2016.pdf" TargetMode="External"/><Relationship Id="rId2" Type="http://schemas.openxmlformats.org/officeDocument/2006/relationships/hyperlink" Target="http://www.nebraskafarmer.com/crop-protection/comparing-generic-vs-name-brand-pesticides" TargetMode="External"/><Relationship Id="rId16" Type="http://schemas.openxmlformats.org/officeDocument/2006/relationships/hyperlink" Target="https://www.uspto.gov/web/offices/pac/mpep/s2701.html" TargetMode="External"/><Relationship Id="rId29" Type="http://schemas.openxmlformats.org/officeDocument/2006/relationships/hyperlink" Target="https://www.canada.ca/en/health-canada/services/drug-health-product-review-approval/request-disclosure-confidential-business-information/disclosure-confidential-business-information/guidance.html" TargetMode="External"/><Relationship Id="rId11" Type="http://schemas.openxmlformats.org/officeDocument/2006/relationships/hyperlink" Target="http://www.legislation.gov.uk/uksi/2007/3293/made" TargetMode="External"/><Relationship Id="rId24" Type="http://schemas.openxmlformats.org/officeDocument/2006/relationships/hyperlink" Target="https://ec.europa.eu/health//sites/health/files/files/veterinary/vet_2014-09/regulation/reg_part1_en.pdf" TargetMode="External"/><Relationship Id="rId32" Type="http://schemas.openxmlformats.org/officeDocument/2006/relationships/hyperlink" Target="http://www.bvl.bund.de/EN/05_Veterinary_Drugs/veterinary_node.html;jsessionid=7E6A0CA57D1DF385D3A261990D336E88.1_cid332" TargetMode="External"/><Relationship Id="rId37" Type="http://schemas.openxmlformats.org/officeDocument/2006/relationships/hyperlink" Target="https://apvma.gov.au/sites/default/files/docs/apvma-2015-16-ar.pdf" TargetMode="External"/><Relationship Id="rId40" Type="http://schemas.openxmlformats.org/officeDocument/2006/relationships/hyperlink" Target="https://apvma.gov.au/definition-of-terms/t" TargetMode="External"/><Relationship Id="rId45" Type="http://schemas.openxmlformats.org/officeDocument/2006/relationships/hyperlink" Target="https://www.fda.gov/AnimalVeterinary/GuidanceComplianceEnforcement/GuidanceforIndustry/ucm123821.htm" TargetMode="External"/><Relationship Id="rId53" Type="http://schemas.openxmlformats.org/officeDocument/2006/relationships/hyperlink" Target="https://apvma.gov.au/node/1088" TargetMode="External"/><Relationship Id="rId58" Type="http://schemas.openxmlformats.org/officeDocument/2006/relationships/hyperlink" Target="https://www.canada.ca/en/health-canada/services/consumer-product-safety/reports-publications/pesticides-pest-management/policies-guidelines/fees-charges-regulations.html" TargetMode="External"/><Relationship Id="rId66" Type="http://schemas.openxmlformats.org/officeDocument/2006/relationships/hyperlink" Target="http://ir4.rutgers.edu/" TargetMode="External"/><Relationship Id="rId74" Type="http://schemas.openxmlformats.org/officeDocument/2006/relationships/hyperlink" Target="https://www.fda.gov/downloads/drugs/developmentapprovalprocess/smallbusinessassistance/ucm447307.pdf" TargetMode="External"/><Relationship Id="rId5" Type="http://schemas.openxmlformats.org/officeDocument/2006/relationships/hyperlink" Target="http://www.aph.gov.au/Parliamentary_Business/Committees/Senate/Former_Committees/agric/completed_inquiries/2008-10/fertiliser/report/index" TargetMode="External"/><Relationship Id="rId15" Type="http://schemas.openxmlformats.org/officeDocument/2006/relationships/hyperlink" Target="http://www.gesetze-im-internet.de/englisch_patg/patent_act__patent%20gesetz__patg_.pdf" TargetMode="External"/><Relationship Id="rId23" Type="http://schemas.openxmlformats.org/officeDocument/2006/relationships/hyperlink" Target="https://www.canada.ca/en/health-canada/services/consumer-product-safety/reports-publications/pesticides-pest-management/corporate-plans-reports/pest-management-regulatory-agency-response-intersol-group-ltd-report-recommendations-administering-data-protection-program-pesticides.html" TargetMode="External"/><Relationship Id="rId28" Type="http://schemas.openxmlformats.org/officeDocument/2006/relationships/hyperlink" Target="http://www.hc-sc.gc.ca/dhp-mps/alt_formats/pdf/prodpharma/applic-demande/guide-ld/mf-guide-ld-fm-eng.pdf" TargetMode="External"/><Relationship Id="rId36" Type="http://schemas.openxmlformats.org/officeDocument/2006/relationships/hyperlink" Target="http://www.epa.govt.nz/Publications/Antifouling_manufacturers_and_importers.pdf" TargetMode="External"/><Relationship Id="rId49" Type="http://schemas.openxmlformats.org/officeDocument/2006/relationships/hyperlink" Target="https://apvma.gov.au/node/1088" TargetMode="External"/><Relationship Id="rId57" Type="http://schemas.openxmlformats.org/officeDocument/2006/relationships/hyperlink" Target="https://www.gov.uk/government/uploads/system/uploads/attachment_data/file/423370/719776_Fees_sheet_6.pdf" TargetMode="External"/><Relationship Id="rId61" Type="http://schemas.openxmlformats.org/officeDocument/2006/relationships/hyperlink" Target="http://www.oecd.org/officialdocuments/publicdisplaydocumentpdf/?cote=env/jm/mono(2009)39&amp;doclanguage=en" TargetMode="External"/><Relationship Id="rId10" Type="http://schemas.openxmlformats.org/officeDocument/2006/relationships/hyperlink" Target="http://www.legislation.gov.uk/uksi/1996/3120/made" TargetMode="External"/><Relationship Id="rId19" Type="http://schemas.openxmlformats.org/officeDocument/2006/relationships/hyperlink" Target="http://ec.europa.eu/health//sites/health/files/files/eudralex/vol-1/reg_2004_726/reg_2004_726_en.pdf" TargetMode="External"/><Relationship Id="rId31" Type="http://schemas.openxmlformats.org/officeDocument/2006/relationships/hyperlink" Target="http://www.pc.gov.au/inquiries/completed/chemicals-plastics/report/chemicals-plastics-regulation.pdf" TargetMode="External"/><Relationship Id="rId44" Type="http://schemas.openxmlformats.org/officeDocument/2006/relationships/hyperlink" Target="https://www.gov.uk/guidance/marketing-authorisations-for-veterinary-medicines%23authorisation-routes" TargetMode="External"/><Relationship Id="rId52" Type="http://schemas.openxmlformats.org/officeDocument/2006/relationships/hyperlink" Target="http://ris.pmc.gov.au/sites/default/files/posts/2011/11/04-Better-Regulation-of-AGVET.pdf" TargetMode="External"/><Relationship Id="rId60" Type="http://schemas.openxmlformats.org/officeDocument/2006/relationships/hyperlink" Target="http://www.oecd.org/officialdocuments/publicdisplaydocumentpdf/?cote=env/jm/mono(2011)16&amp;doclanguage=en" TargetMode="External"/><Relationship Id="rId65" Type="http://schemas.openxmlformats.org/officeDocument/2006/relationships/hyperlink" Target="http://www.agr.gc.ca/eng/?id=1286197216280" TargetMode="External"/><Relationship Id="rId73" Type="http://schemas.openxmlformats.org/officeDocument/2006/relationships/hyperlink" Target="http://www.pizzeys.com.au/Articles/Pharmaceutical%20Extensions%20in%20Australia.pdf" TargetMode="External"/><Relationship Id="rId4" Type="http://schemas.openxmlformats.org/officeDocument/2006/relationships/hyperlink" Target="http://www.agriculture.gov.au/abares/publications/display?url=http://143.188.17.20/anrdl/DAFFService/display.php%3Ffid%3Dpb_agcstd9abcc0022016_Sn9Dg.xml" TargetMode="External"/><Relationship Id="rId9" Type="http://schemas.openxmlformats.org/officeDocument/2006/relationships/hyperlink" Target="http://www.legislation.gov.uk/uksi/1992/3091/made" TargetMode="External"/><Relationship Id="rId14" Type="http://schemas.openxmlformats.org/officeDocument/2006/relationships/hyperlink" Target="http://eur-lex.europa.eu/legal-content/EN/TXT/PDF/?uri=CELEX:31991L0414&amp;from=EN" TargetMode="External"/><Relationship Id="rId22" Type="http://schemas.openxmlformats.org/officeDocument/2006/relationships/hyperlink" Target="http://www.wipo.int/edocs/lexdocs/laws/en/ca/ca052en.pdf" TargetMode="External"/><Relationship Id="rId27" Type="http://schemas.openxmlformats.org/officeDocument/2006/relationships/hyperlink" Target="https://www.accessdata.fda.gov/scripts/cdrh/cfdocs/cfcfr/CFRSearch.cfm?CFRPart=20&amp;showFR=1&amp;subpartNode=21:1.0.1.1.16.4" TargetMode="External"/><Relationship Id="rId30" Type="http://schemas.openxmlformats.org/officeDocument/2006/relationships/hyperlink" Target="http://www.legislation.govt.nz/act/public/1981/0118/latest/DLM55085.html" TargetMode="External"/><Relationship Id="rId35" Type="http://schemas.openxmlformats.org/officeDocument/2006/relationships/hyperlink" Target="http://www.epa.govt.nz/Publications/OPC_manufacturers_and_importers.pdf" TargetMode="External"/><Relationship Id="rId43" Type="http://schemas.openxmlformats.org/officeDocument/2006/relationships/hyperlink" Target="http://www.hse.gov.uk/pesticides/topics/pesticide-approvals/pesticides-registration/general/introduction-to-active-substance-approval.htm" TargetMode="External"/><Relationship Id="rId48" Type="http://schemas.openxmlformats.org/officeDocument/2006/relationships/hyperlink" Target="http://www.foodsafety.govt.nz/elibrary/industry/acvm_registration-ensures_that.htm" TargetMode="External"/><Relationship Id="rId56" Type="http://schemas.openxmlformats.org/officeDocument/2006/relationships/hyperlink" Target="http://www.hse.gov.uk/pesticides/topics/pesticide-approvals/pesticides-registration/streams-and-fees.htm" TargetMode="External"/><Relationship Id="rId64" Type="http://schemas.openxmlformats.org/officeDocument/2006/relationships/hyperlink" Target="https://www.epa.gov/pesticide-registration/minor-uses-and-grower-resources" TargetMode="External"/><Relationship Id="rId69" Type="http://schemas.openxmlformats.org/officeDocument/2006/relationships/hyperlink" Target="https://apvma.gov.au/node/10931" TargetMode="External"/><Relationship Id="rId8" Type="http://schemas.openxmlformats.org/officeDocument/2006/relationships/hyperlink" Target="http://ec.europa.eu/growth/industry/intellectual-property/patents/supplementary-protection-certificates/index_en.htm" TargetMode="External"/><Relationship Id="rId51" Type="http://schemas.openxmlformats.org/officeDocument/2006/relationships/hyperlink" Target="https://apvma.gov.au/node/20231%20(accessed%2023%20May%202017)" TargetMode="External"/><Relationship Id="rId72" Type="http://schemas.openxmlformats.org/officeDocument/2006/relationships/hyperlink" Target="https://medicinesaustralia.com.au/wp-content/uploads/sites/52/2010/02/20121218-sub-Pharmaceutical-Patents-Review.pdf%20" TargetMode="External"/><Relationship Id="rId3" Type="http://schemas.openxmlformats.org/officeDocument/2006/relationships/hyperlink" Target="http://191hmt1pr08amfq62276etw2.wpengine.netdna-cdn.com/wp-content/uploads/2016/04/Phillips-McDougall-Final-Report_4.6.16.pdf" TargetMode="External"/><Relationship Id="rId12" Type="http://schemas.openxmlformats.org/officeDocument/2006/relationships/hyperlink" Target="http://eur-lex.europa.eu/LexUriServ/LexUriServ.do?uri=OJ:L:2009:152:0001:0010:en:pdf" TargetMode="External"/><Relationship Id="rId17" Type="http://schemas.openxmlformats.org/officeDocument/2006/relationships/hyperlink" Target="http://www.mbie.govt.nz/info-services/business/intellectual-property/tpp-intellectual-property-chapter/consultation-on-proposed-patent-term-extension-regulations" TargetMode="External"/><Relationship Id="rId25" Type="http://schemas.openxmlformats.org/officeDocument/2006/relationships/hyperlink" Target="http://www.ema.europa.eu/docs/en_GB/document_library/Other/2012/03/WC500124536.pdf" TargetMode="External"/><Relationship Id="rId33" Type="http://schemas.openxmlformats.org/officeDocument/2006/relationships/hyperlink" Target="https://www.fda.gov/AnimalVeterinary/GuidanceComplianceEnforcement/GuidanceforIndustry/ucm042451.htm" TargetMode="External"/><Relationship Id="rId38" Type="http://schemas.openxmlformats.org/officeDocument/2006/relationships/hyperlink" Target="https://apvma.gov.au/node/612" TargetMode="External"/><Relationship Id="rId46" Type="http://schemas.openxmlformats.org/officeDocument/2006/relationships/hyperlink" Target="https://www.fda.gov/downloads/AnimalVeterinary/GuidanceComplianceEnforcement/GuidanceforIndustry/UCM052180.pdf" TargetMode="External"/><Relationship Id="rId59" Type="http://schemas.openxmlformats.org/officeDocument/2006/relationships/hyperlink" Target="https://www.canada.ca/content/dam/hc-sc/migration/hc-sc/dhp-mps/alt_formats/pdf/vet/applic-demande/form/author_sell_vet_reg_vendre-eng.pdf" TargetMode="External"/><Relationship Id="rId67" Type="http://schemas.openxmlformats.org/officeDocument/2006/relationships/hyperlink" Target="http://ir4.rutgers.edu/Other/IR4EconomicImpact.pdf" TargetMode="External"/><Relationship Id="rId20" Type="http://schemas.openxmlformats.org/officeDocument/2006/relationships/hyperlink" Target="http://ec.europa.eu/health//sites/health/files/files/eudralex/vol-1/dir_2001_83_consol_2012/dir_2001_83_cons_2012_en.pdf" TargetMode="External"/><Relationship Id="rId41" Type="http://schemas.openxmlformats.org/officeDocument/2006/relationships/hyperlink" Target="https://ec.europa.eu/food/sites/food/files/plant/docs/pesticides_ppp_app-proc_efsa-proc.pdf" TargetMode="External"/><Relationship Id="rId54" Type="http://schemas.openxmlformats.org/officeDocument/2006/relationships/hyperlink" Target="https://apvma.gov.au/node/4161%20" TargetMode="External"/><Relationship Id="rId62" Type="http://schemas.openxmlformats.org/officeDocument/2006/relationships/hyperlink" Target="https://apvma.gov.au/node/10931" TargetMode="External"/><Relationship Id="rId70" Type="http://schemas.openxmlformats.org/officeDocument/2006/relationships/hyperlink" Target="https://apvma.gov.au/node/1114" TargetMode="External"/><Relationship Id="rId75" Type="http://schemas.openxmlformats.org/officeDocument/2006/relationships/hyperlink" Target="https://www.tga.gov.au/consultation/consultation-criteria-comparable-overseas-regulators" TargetMode="External"/><Relationship Id="rId1" Type="http://schemas.openxmlformats.org/officeDocument/2006/relationships/hyperlink" Target="https://rirdc.infoservices.com.au/items/17-019" TargetMode="External"/><Relationship Id="rId6" Type="http://schemas.openxmlformats.org/officeDocument/2006/relationships/hyperlink" Target="https://www.ncbi.nlm.nih.gov/pubmed/271745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ACIL%20Allen\1.Projects\JBE170302%20AGVET%20Chemical%20IP\Data\Phillips%20McDougal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ACIL%20Allen\1.Projects\JBE170302%20AGVET%20Chemical%20IP\AaReport\Agvet.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ACIL%20Allen\1.Projects\JBE170302%20AGVET%20Chemical%20IP\Data\ACS2016_FarmInputsTables_v1.0.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ACIL%20Allen\1.Projects\JBE170302%20AGVET%20Chemical%20IP\Data\ACS2016_FarmInputsTables_v1.0.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ACIL%20Allen\1.Projects\JBE170302%20AGVET%20Chemical%20IP\Data\ACS2016_FarmInputsTables_v1.0.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ACIL%20Allen\1.Projects\2016-17\JBE170302%20AGVET%20Chemical%20IP\Data\Aus%20novel%20and%20generic%20product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ACIL%20Allen\1.Projects\2016-17\JBE170302%20AGVET%20Chemical%20IP\Data\USDA\USDA%20Prices%20Paid%20Chemical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ACIL%20Allen\1.Projects\2016-17\JBE170302%20AGVET%20Chemical%20IP\Data\Canada%20novel%20and%20generic%20product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Time!$B$6:$B$9</c:f>
              <c:strCache>
                <c:ptCount val="4"/>
                <c:pt idx="0">
                  <c:v>1995</c:v>
                </c:pt>
                <c:pt idx="1">
                  <c:v>2000</c:v>
                </c:pt>
                <c:pt idx="2">
                  <c:v>2005-08</c:v>
                </c:pt>
                <c:pt idx="3">
                  <c:v>2010-14</c:v>
                </c:pt>
              </c:strCache>
            </c:strRef>
          </c:cat>
          <c:val>
            <c:numRef>
              <c:f>Time!$C$6:$C$9</c:f>
              <c:numCache>
                <c:formatCode>General</c:formatCode>
                <c:ptCount val="4"/>
                <c:pt idx="0">
                  <c:v>8.3000000000000007</c:v>
                </c:pt>
                <c:pt idx="1">
                  <c:v>9.1</c:v>
                </c:pt>
                <c:pt idx="2">
                  <c:v>9.8000000000000007</c:v>
                </c:pt>
                <c:pt idx="3">
                  <c:v>11.3</c:v>
                </c:pt>
              </c:numCache>
            </c:numRef>
          </c:val>
        </c:ser>
        <c:dLbls>
          <c:showLegendKey val="0"/>
          <c:showVal val="0"/>
          <c:showCatName val="0"/>
          <c:showSerName val="0"/>
          <c:showPercent val="0"/>
          <c:showBubbleSize val="0"/>
        </c:dLbls>
        <c:gapWidth val="150"/>
        <c:axId val="489305584"/>
        <c:axId val="489305976"/>
      </c:barChart>
      <c:catAx>
        <c:axId val="48930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89305976"/>
        <c:crosses val="autoZero"/>
        <c:auto val="1"/>
        <c:lblAlgn val="ctr"/>
        <c:lblOffset val="100"/>
        <c:noMultiLvlLbl val="0"/>
      </c:catAx>
      <c:valAx>
        <c:axId val="489305976"/>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Years</a:t>
                </a:r>
              </a:p>
            </c:rich>
          </c:tx>
          <c:layout>
            <c:manualLayout>
              <c:xMode val="edge"/>
              <c:yMode val="edge"/>
              <c:x val="1.3888888888888888E-2"/>
              <c:y val="0.405925925925925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8930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NZ!$D$2</c:f>
              <c:strCache>
                <c:ptCount val="1"/>
                <c:pt idx="0">
                  <c:v>Generic</c:v>
                </c:pt>
              </c:strCache>
            </c:strRef>
          </c:tx>
          <c:spPr>
            <a:solidFill>
              <a:schemeClr val="accent1"/>
            </a:solidFill>
            <a:ln>
              <a:noFill/>
            </a:ln>
            <a:effectLst/>
          </c:spPr>
          <c:invertIfNegative val="0"/>
          <c:cat>
            <c:numRef>
              <c:f>NZ!$C$3:$C$8</c:f>
              <c:numCache>
                <c:formatCode>General</c:formatCode>
                <c:ptCount val="6"/>
                <c:pt idx="0">
                  <c:v>2011</c:v>
                </c:pt>
                <c:pt idx="1">
                  <c:v>2012</c:v>
                </c:pt>
                <c:pt idx="2">
                  <c:v>2013</c:v>
                </c:pt>
                <c:pt idx="3">
                  <c:v>2014</c:v>
                </c:pt>
                <c:pt idx="4">
                  <c:v>2015</c:v>
                </c:pt>
                <c:pt idx="5">
                  <c:v>2016</c:v>
                </c:pt>
              </c:numCache>
            </c:numRef>
          </c:cat>
          <c:val>
            <c:numRef>
              <c:f>NZ!$D$3:$D$8</c:f>
              <c:numCache>
                <c:formatCode>General</c:formatCode>
                <c:ptCount val="6"/>
                <c:pt idx="0">
                  <c:v>135</c:v>
                </c:pt>
                <c:pt idx="1">
                  <c:v>138</c:v>
                </c:pt>
                <c:pt idx="2">
                  <c:v>189</c:v>
                </c:pt>
                <c:pt idx="3">
                  <c:v>150</c:v>
                </c:pt>
                <c:pt idx="4">
                  <c:v>153</c:v>
                </c:pt>
                <c:pt idx="5">
                  <c:v>142</c:v>
                </c:pt>
              </c:numCache>
            </c:numRef>
          </c:val>
        </c:ser>
        <c:ser>
          <c:idx val="1"/>
          <c:order val="1"/>
          <c:tx>
            <c:strRef>
              <c:f>NZ!$E$2</c:f>
              <c:strCache>
                <c:ptCount val="1"/>
                <c:pt idx="0">
                  <c:v>Novel</c:v>
                </c:pt>
              </c:strCache>
            </c:strRef>
          </c:tx>
          <c:spPr>
            <a:solidFill>
              <a:schemeClr val="accent2"/>
            </a:solidFill>
            <a:ln>
              <a:noFill/>
            </a:ln>
            <a:effectLst/>
          </c:spPr>
          <c:invertIfNegative val="0"/>
          <c:cat>
            <c:numRef>
              <c:f>NZ!$C$3:$C$8</c:f>
              <c:numCache>
                <c:formatCode>General</c:formatCode>
                <c:ptCount val="6"/>
                <c:pt idx="0">
                  <c:v>2011</c:v>
                </c:pt>
                <c:pt idx="1">
                  <c:v>2012</c:v>
                </c:pt>
                <c:pt idx="2">
                  <c:v>2013</c:v>
                </c:pt>
                <c:pt idx="3">
                  <c:v>2014</c:v>
                </c:pt>
                <c:pt idx="4">
                  <c:v>2015</c:v>
                </c:pt>
                <c:pt idx="5">
                  <c:v>2016</c:v>
                </c:pt>
              </c:numCache>
            </c:numRef>
          </c:cat>
          <c:val>
            <c:numRef>
              <c:f>NZ!$E$3:$E$8</c:f>
              <c:numCache>
                <c:formatCode>General</c:formatCode>
                <c:ptCount val="6"/>
                <c:pt idx="0">
                  <c:v>14</c:v>
                </c:pt>
                <c:pt idx="1">
                  <c:v>20</c:v>
                </c:pt>
                <c:pt idx="2">
                  <c:v>15</c:v>
                </c:pt>
                <c:pt idx="3">
                  <c:v>13</c:v>
                </c:pt>
                <c:pt idx="4">
                  <c:v>11</c:v>
                </c:pt>
                <c:pt idx="5">
                  <c:v>16</c:v>
                </c:pt>
              </c:numCache>
            </c:numRef>
          </c:val>
        </c:ser>
        <c:dLbls>
          <c:showLegendKey val="0"/>
          <c:showVal val="0"/>
          <c:showCatName val="0"/>
          <c:showSerName val="0"/>
          <c:showPercent val="0"/>
          <c:showBubbleSize val="0"/>
        </c:dLbls>
        <c:gapWidth val="219"/>
        <c:overlap val="-27"/>
        <c:axId val="602301288"/>
        <c:axId val="602300112"/>
      </c:barChart>
      <c:catAx>
        <c:axId val="60230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a:ea typeface="Arial Narrow"/>
                <a:cs typeface="Arial Narrow"/>
              </a:defRPr>
            </a:pPr>
            <a:endParaRPr lang="en-US"/>
          </a:p>
        </c:txPr>
        <c:crossAx val="602300112"/>
        <c:crosses val="autoZero"/>
        <c:auto val="1"/>
        <c:lblAlgn val="ctr"/>
        <c:lblOffset val="100"/>
        <c:noMultiLvlLbl val="0"/>
      </c:catAx>
      <c:valAx>
        <c:axId val="60230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a:ea typeface="Arial Narrow"/>
                <a:cs typeface="Arial Narrow"/>
              </a:defRPr>
            </a:pPr>
            <a:endParaRPr lang="en-US"/>
          </a:p>
        </c:txPr>
        <c:crossAx val="60230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a:ea typeface="Arial Narrow"/>
              <a:cs typeface="Arial Narrow"/>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800">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913132337331"/>
          <c:y val="5.8588548601864181E-2"/>
          <c:w val="0.7400861864097974"/>
          <c:h val="0.52868133826813579"/>
        </c:manualLayout>
      </c:layout>
      <c:lineChart>
        <c:grouping val="standard"/>
        <c:varyColors val="0"/>
        <c:ser>
          <c:idx val="0"/>
          <c:order val="0"/>
          <c:tx>
            <c:v>Herbicides (LHS)</c:v>
          </c:tx>
          <c:spPr>
            <a:ln w="28575" cap="rnd">
              <a:solidFill>
                <a:schemeClr val="accent1"/>
              </a:solidFill>
              <a:round/>
            </a:ln>
            <a:effectLst/>
          </c:spPr>
          <c:marker>
            <c:symbol val="none"/>
          </c:marker>
          <c:cat>
            <c:strRef>
              <c:f>Table81!$B$12:$B$48</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Table81!$I$12:$I$48</c:f>
              <c:numCache>
                <c:formatCode>0</c:formatCode>
                <c:ptCount val="11"/>
                <c:pt idx="0">
                  <c:v>908.51855761000002</c:v>
                </c:pt>
                <c:pt idx="1">
                  <c:v>960.75096383000005</c:v>
                </c:pt>
                <c:pt idx="2">
                  <c:v>915.01794689000008</c:v>
                </c:pt>
                <c:pt idx="3">
                  <c:v>1411.3573122700002</c:v>
                </c:pt>
                <c:pt idx="4">
                  <c:v>1067.03797403</c:v>
                </c:pt>
                <c:pt idx="5">
                  <c:v>1192.6233657100001</c:v>
                </c:pt>
                <c:pt idx="6">
                  <c:v>1251.7786999500001</c:v>
                </c:pt>
                <c:pt idx="7">
                  <c:v>1301.9046329999999</c:v>
                </c:pt>
                <c:pt idx="8">
                  <c:v>1261.7720024</c:v>
                </c:pt>
                <c:pt idx="9">
                  <c:v>1481.45307</c:v>
                </c:pt>
                <c:pt idx="10">
                  <c:v>1545.493477</c:v>
                </c:pt>
              </c:numCache>
            </c:numRef>
          </c:val>
          <c:smooth val="0"/>
        </c:ser>
        <c:ser>
          <c:idx val="1"/>
          <c:order val="1"/>
          <c:tx>
            <c:v>Fungicides and plant growth regulants (LHS)</c:v>
          </c:tx>
          <c:spPr>
            <a:ln w="28575" cap="rnd">
              <a:solidFill>
                <a:schemeClr val="accent2"/>
              </a:solidFill>
              <a:round/>
            </a:ln>
            <a:effectLst/>
          </c:spPr>
          <c:marker>
            <c:symbol val="none"/>
          </c:marker>
          <c:cat>
            <c:strRef>
              <c:f>Table81!$B$12:$B$48</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Table81!$J$12:$J$48</c:f>
              <c:numCache>
                <c:formatCode>0</c:formatCode>
                <c:ptCount val="11"/>
                <c:pt idx="0">
                  <c:v>185.11957396</c:v>
                </c:pt>
                <c:pt idx="1">
                  <c:v>179.53627186</c:v>
                </c:pt>
                <c:pt idx="2">
                  <c:v>133.01579388000002</c:v>
                </c:pt>
                <c:pt idx="3">
                  <c:v>145.99094302</c:v>
                </c:pt>
                <c:pt idx="4">
                  <c:v>189.86725680000001</c:v>
                </c:pt>
                <c:pt idx="5">
                  <c:v>182.08508377000001</c:v>
                </c:pt>
                <c:pt idx="6">
                  <c:v>271.61766404000002</c:v>
                </c:pt>
                <c:pt idx="7">
                  <c:v>256.09609367999997</c:v>
                </c:pt>
                <c:pt idx="8">
                  <c:v>202.46582712</c:v>
                </c:pt>
                <c:pt idx="9">
                  <c:v>215.01529199999999</c:v>
                </c:pt>
                <c:pt idx="10">
                  <c:v>236.754761</c:v>
                </c:pt>
              </c:numCache>
            </c:numRef>
          </c:val>
          <c:smooth val="0"/>
        </c:ser>
        <c:ser>
          <c:idx val="2"/>
          <c:order val="2"/>
          <c:tx>
            <c:v>Insecticides (LHS)</c:v>
          </c:tx>
          <c:spPr>
            <a:ln w="28575" cap="rnd">
              <a:solidFill>
                <a:schemeClr val="accent3"/>
              </a:solidFill>
              <a:round/>
            </a:ln>
            <a:effectLst/>
          </c:spPr>
          <c:marker>
            <c:symbol val="none"/>
          </c:marker>
          <c:cat>
            <c:strRef>
              <c:f>Table81!$B$12:$B$48</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Table81!$K$12:$K$48</c:f>
              <c:numCache>
                <c:formatCode>0</c:formatCode>
                <c:ptCount val="11"/>
                <c:pt idx="0">
                  <c:v>321.13924881999998</c:v>
                </c:pt>
                <c:pt idx="1">
                  <c:v>326.73499099999998</c:v>
                </c:pt>
                <c:pt idx="2">
                  <c:v>261.79118384000003</c:v>
                </c:pt>
                <c:pt idx="3">
                  <c:v>246.88809537</c:v>
                </c:pt>
                <c:pt idx="4">
                  <c:v>287.47565718999999</c:v>
                </c:pt>
                <c:pt idx="5">
                  <c:v>329.89445159999997</c:v>
                </c:pt>
                <c:pt idx="6">
                  <c:v>431.26529301000005</c:v>
                </c:pt>
                <c:pt idx="7">
                  <c:v>481.34886323999996</c:v>
                </c:pt>
                <c:pt idx="8">
                  <c:v>411.10845397999998</c:v>
                </c:pt>
                <c:pt idx="9">
                  <c:v>417.45402799999999</c:v>
                </c:pt>
                <c:pt idx="10">
                  <c:v>444.53563600000001</c:v>
                </c:pt>
              </c:numCache>
            </c:numRef>
          </c:val>
          <c:smooth val="0"/>
        </c:ser>
        <c:ser>
          <c:idx val="3"/>
          <c:order val="3"/>
          <c:tx>
            <c:v>Animal health products (LHS)</c:v>
          </c:tx>
          <c:spPr>
            <a:ln w="28575" cap="rnd">
              <a:solidFill>
                <a:srgbClr val="92D050"/>
              </a:solidFill>
              <a:round/>
            </a:ln>
            <a:effectLst/>
          </c:spPr>
          <c:marker>
            <c:symbol val="none"/>
          </c:marker>
          <c:cat>
            <c:strRef>
              <c:f>Table81!$B$12:$B$48</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Table81!$L$12:$L$48</c:f>
              <c:numCache>
                <c:formatCode>0</c:formatCode>
                <c:ptCount val="11"/>
                <c:pt idx="0">
                  <c:v>620.74414000000002</c:v>
                </c:pt>
                <c:pt idx="1">
                  <c:v>674.52136586000006</c:v>
                </c:pt>
                <c:pt idx="2">
                  <c:v>707.38281886000004</c:v>
                </c:pt>
                <c:pt idx="3">
                  <c:v>739.97256521999998</c:v>
                </c:pt>
                <c:pt idx="4">
                  <c:v>754.01721329999998</c:v>
                </c:pt>
                <c:pt idx="5">
                  <c:v>820.43708950999996</c:v>
                </c:pt>
                <c:pt idx="6">
                  <c:v>897.17965732999994</c:v>
                </c:pt>
                <c:pt idx="7">
                  <c:v>944.35026825</c:v>
                </c:pt>
                <c:pt idx="8">
                  <c:v>938.99260763999996</c:v>
                </c:pt>
                <c:pt idx="9">
                  <c:v>934.09937200000002</c:v>
                </c:pt>
                <c:pt idx="10">
                  <c:v>954.86410599999999</c:v>
                </c:pt>
              </c:numCache>
            </c:numRef>
          </c:val>
          <c:smooth val="0"/>
        </c:ser>
        <c:dLbls>
          <c:showLegendKey val="0"/>
          <c:showVal val="0"/>
          <c:showCatName val="0"/>
          <c:showSerName val="0"/>
          <c:showPercent val="0"/>
          <c:showBubbleSize val="0"/>
        </c:dLbls>
        <c:marker val="1"/>
        <c:smooth val="0"/>
        <c:axId val="489306368"/>
        <c:axId val="489306760"/>
      </c:lineChart>
      <c:lineChart>
        <c:grouping val="standard"/>
        <c:varyColors val="0"/>
        <c:ser>
          <c:idx val="4"/>
          <c:order val="4"/>
          <c:tx>
            <c:v>Index of prices paid for chemicals (RHS)</c:v>
          </c:tx>
          <c:spPr>
            <a:ln w="28575" cap="rnd">
              <a:solidFill>
                <a:schemeClr val="tx1"/>
              </a:solidFill>
              <a:round/>
            </a:ln>
            <a:effectLst/>
          </c:spPr>
          <c:marker>
            <c:symbol val="none"/>
          </c:marker>
          <c:cat>
            <c:strRef>
              <c:f>Table81!$B$12:$B$48</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Table81!$M$12:$M$48</c:f>
              <c:numCache>
                <c:formatCode>###\ \ ##0.0;\–###\ \ ##0</c:formatCode>
                <c:ptCount val="11"/>
                <c:pt idx="0">
                  <c:v>111.93694499999999</c:v>
                </c:pt>
                <c:pt idx="1">
                  <c:v>114.62343242342401</c:v>
                </c:pt>
                <c:pt idx="2">
                  <c:v>124.71029447668499</c:v>
                </c:pt>
                <c:pt idx="3">
                  <c:v>149.65235337202199</c:v>
                </c:pt>
                <c:pt idx="4">
                  <c:v>136.70611363937701</c:v>
                </c:pt>
                <c:pt idx="5">
                  <c:v>116.20019659347</c:v>
                </c:pt>
                <c:pt idx="6">
                  <c:v>110.390186763797</c:v>
                </c:pt>
                <c:pt idx="7">
                  <c:v>112.59799049907301</c:v>
                </c:pt>
                <c:pt idx="8">
                  <c:v>110.255952296692</c:v>
                </c:pt>
                <c:pt idx="9">
                  <c:v>113.563630865593</c:v>
                </c:pt>
                <c:pt idx="10">
                  <c:v>114.699267174249</c:v>
                </c:pt>
              </c:numCache>
            </c:numRef>
          </c:val>
          <c:smooth val="0"/>
        </c:ser>
        <c:dLbls>
          <c:showLegendKey val="0"/>
          <c:showVal val="0"/>
          <c:showCatName val="0"/>
          <c:showSerName val="0"/>
          <c:showPercent val="0"/>
          <c:showBubbleSize val="0"/>
        </c:dLbls>
        <c:marker val="1"/>
        <c:smooth val="0"/>
        <c:axId val="489307544"/>
        <c:axId val="489307152"/>
      </c:lineChart>
      <c:catAx>
        <c:axId val="4893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89306760"/>
        <c:crosses val="autoZero"/>
        <c:auto val="1"/>
        <c:lblAlgn val="ctr"/>
        <c:lblOffset val="100"/>
        <c:noMultiLvlLbl val="0"/>
      </c:catAx>
      <c:valAx>
        <c:axId val="489306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 million</a:t>
                </a:r>
              </a:p>
            </c:rich>
          </c:tx>
          <c:layout>
            <c:manualLayout>
              <c:xMode val="edge"/>
              <c:yMode val="edge"/>
              <c:x val="1.2658227848101266E-2"/>
              <c:y val="0.3079394566295834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89306368"/>
        <c:crosses val="autoZero"/>
        <c:crossBetween val="between"/>
      </c:valAx>
      <c:valAx>
        <c:axId val="489307152"/>
        <c:scaling>
          <c:orientation val="minMax"/>
          <c:min val="7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Price index</a:t>
                </a:r>
              </a:p>
            </c:rich>
          </c:tx>
          <c:layout>
            <c:manualLayout>
              <c:xMode val="edge"/>
              <c:yMode val="edge"/>
              <c:x val="0.94674325480441701"/>
              <c:y val="0.2159229164263920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89307544"/>
        <c:crosses val="max"/>
        <c:crossBetween val="between"/>
      </c:valAx>
      <c:catAx>
        <c:axId val="489307544"/>
        <c:scaling>
          <c:orientation val="minMax"/>
        </c:scaling>
        <c:delete val="1"/>
        <c:axPos val="b"/>
        <c:numFmt formatCode="General" sourceLinked="1"/>
        <c:majorTickMark val="out"/>
        <c:minorTickMark val="none"/>
        <c:tickLblPos val="nextTo"/>
        <c:crossAx val="489307152"/>
        <c:crosses val="autoZero"/>
        <c:auto val="1"/>
        <c:lblAlgn val="ctr"/>
        <c:lblOffset val="100"/>
        <c:noMultiLvlLbl val="0"/>
      </c:catAx>
      <c:spPr>
        <a:noFill/>
        <a:ln>
          <a:noFill/>
        </a:ln>
        <a:effectLst/>
      </c:spPr>
    </c:plotArea>
    <c:legend>
      <c:legendPos val="b"/>
      <c:layout>
        <c:manualLayout>
          <c:xMode val="edge"/>
          <c:yMode val="edge"/>
          <c:x val="4.1482160680619148E-2"/>
          <c:y val="0.77555133837298296"/>
          <c:w val="0.94356829956114641"/>
          <c:h val="0.205152027229473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70">
                <a:solidFill>
                  <a:schemeClr val="lt1"/>
                </a:solidFill>
              </a:ln>
              <a:effectLst/>
            </c:spPr>
          </c:dPt>
          <c:dPt>
            <c:idx val="1"/>
            <c:bubble3D val="0"/>
            <c:spPr>
              <a:solidFill>
                <a:schemeClr val="accent2"/>
              </a:solidFill>
              <a:ln w="19070">
                <a:solidFill>
                  <a:schemeClr val="lt1"/>
                </a:solidFill>
              </a:ln>
              <a:effectLst/>
            </c:spPr>
          </c:dPt>
          <c:dPt>
            <c:idx val="2"/>
            <c:bubble3D val="0"/>
            <c:spPr>
              <a:solidFill>
                <a:schemeClr val="accent3"/>
              </a:solidFill>
              <a:ln w="19070">
                <a:solidFill>
                  <a:schemeClr val="lt1"/>
                </a:solidFill>
              </a:ln>
              <a:effectLst/>
            </c:spPr>
          </c:dPt>
          <c:dPt>
            <c:idx val="3"/>
            <c:bubble3D val="0"/>
            <c:spPr>
              <a:solidFill>
                <a:schemeClr val="accent4"/>
              </a:solidFill>
              <a:ln w="19070">
                <a:solidFill>
                  <a:schemeClr val="lt1"/>
                </a:solidFill>
              </a:ln>
              <a:effectLst/>
            </c:spPr>
          </c:dPt>
          <c:dLbls>
            <c:dLbl>
              <c:idx val="0"/>
              <c:layout>
                <c:manualLayout>
                  <c:x val="4.1666666666666664E-2"/>
                  <c:y val="-8.4875562720133283E-1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1666666666666664E-2"/>
                  <c:y val="-6.018518518518518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5.2777777777777792E-2"/>
                  <c:y val="1.851851851851849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5.0925337632079971E-17"/>
                  <c:y val="-3.7037037037037035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w="2542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1"/>
            <c:showCatName val="1"/>
            <c:showSerName val="0"/>
            <c:showPercent val="0"/>
            <c:showBubbleSize val="0"/>
            <c:showLeaderLines val="1"/>
            <c:leaderLines>
              <c:spPr>
                <a:ln w="953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Table81!$B$74:$B$77</c:f>
              <c:strCache>
                <c:ptCount val="4"/>
                <c:pt idx="0">
                  <c:v>Nufarm Ltd</c:v>
                </c:pt>
                <c:pt idx="1">
                  <c:v>Bayer CropScience Holdings Pty Ltd</c:v>
                </c:pt>
                <c:pt idx="2">
                  <c:v>Syngenta Australia Pty Ltd</c:v>
                </c:pt>
                <c:pt idx="3">
                  <c:v>Others</c:v>
                </c:pt>
              </c:strCache>
            </c:strRef>
          </c:cat>
          <c:val>
            <c:numRef>
              <c:f>Table81!$C$74:$C$77</c:f>
              <c:numCache>
                <c:formatCode>0.0%</c:formatCode>
                <c:ptCount val="4"/>
                <c:pt idx="0">
                  <c:v>0.502</c:v>
                </c:pt>
                <c:pt idx="1">
                  <c:v>0.27200000000000002</c:v>
                </c:pt>
                <c:pt idx="2">
                  <c:v>0.19700000000000001</c:v>
                </c:pt>
                <c:pt idx="3">
                  <c:v>2.8999999999999915E-2</c:v>
                </c:pt>
              </c:numCache>
            </c:numRef>
          </c:val>
        </c:ser>
        <c:dLbls>
          <c:showLegendKey val="0"/>
          <c:showVal val="0"/>
          <c:showCatName val="0"/>
          <c:showSerName val="0"/>
          <c:showPercent val="0"/>
          <c:showBubbleSize val="0"/>
          <c:showLeaderLines val="1"/>
        </c:dLbls>
        <c:firstSliceAng val="0"/>
      </c:pieChart>
      <c:spPr>
        <a:noFill/>
        <a:ln w="25426">
          <a:noFill/>
        </a:ln>
      </c:spPr>
    </c:plotArea>
    <c:plotVisOnly val="1"/>
    <c:dispBlanksAs val="gap"/>
    <c:showDLblsOverMax val="0"/>
  </c:chart>
  <c:spPr>
    <a:solidFill>
      <a:schemeClr val="bg1"/>
    </a:solidFill>
    <a:ln>
      <a:noFill/>
    </a:ln>
    <a:effectLst/>
  </c:spPr>
  <c:txPr>
    <a:bodyPr/>
    <a:lstStyle/>
    <a:p>
      <a:pPr>
        <a:defRPr>
          <a:latin typeface="Arial Narrow" panose="020B0606020202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45">
                <a:solidFill>
                  <a:schemeClr val="lt1"/>
                </a:solidFill>
              </a:ln>
              <a:effectLst/>
            </c:spPr>
          </c:dPt>
          <c:dPt>
            <c:idx val="1"/>
            <c:bubble3D val="0"/>
            <c:spPr>
              <a:solidFill>
                <a:schemeClr val="accent2"/>
              </a:solidFill>
              <a:ln w="19045">
                <a:solidFill>
                  <a:schemeClr val="lt1"/>
                </a:solidFill>
              </a:ln>
              <a:effectLst/>
            </c:spPr>
          </c:dPt>
          <c:dPt>
            <c:idx val="2"/>
            <c:bubble3D val="0"/>
            <c:spPr>
              <a:solidFill>
                <a:schemeClr val="accent3"/>
              </a:solidFill>
              <a:ln w="19045">
                <a:solidFill>
                  <a:schemeClr val="lt1"/>
                </a:solidFill>
              </a:ln>
              <a:effectLst/>
            </c:spPr>
          </c:dPt>
          <c:dPt>
            <c:idx val="3"/>
            <c:bubble3D val="0"/>
            <c:spPr>
              <a:solidFill>
                <a:schemeClr val="accent4"/>
              </a:solidFill>
              <a:ln w="19045">
                <a:solidFill>
                  <a:schemeClr val="lt1"/>
                </a:solidFill>
              </a:ln>
              <a:effectLst/>
            </c:spPr>
          </c:dPt>
          <c:dPt>
            <c:idx val="4"/>
            <c:bubble3D val="0"/>
            <c:spPr>
              <a:solidFill>
                <a:schemeClr val="accent5"/>
              </a:solidFill>
              <a:ln w="19045">
                <a:solidFill>
                  <a:schemeClr val="lt1"/>
                </a:solidFill>
              </a:ln>
              <a:effectLst/>
            </c:spPr>
          </c:dPt>
          <c:dLbls>
            <c:dLbl>
              <c:idx val="0"/>
              <c:layout>
                <c:manualLayout>
                  <c:x val="2.5000000000000001E-2"/>
                  <c:y val="-9.2592592592592587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19517181636143238"/>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2.7777777777777776E-2"/>
                  <c:y val="-4.6296296296297144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2.222222222222223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3.8888888888888917E-2"/>
                  <c:y val="-9.2592592592592587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1"/>
            <c:showCatName val="1"/>
            <c:showSerName val="0"/>
            <c:showPercent val="0"/>
            <c:showBubbleSize val="0"/>
            <c:showLeaderLines val="1"/>
            <c:leaderLines>
              <c:spPr>
                <a:ln w="952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Table81!$D$74:$D$78</c:f>
              <c:strCache>
                <c:ptCount val="5"/>
                <c:pt idx="0">
                  <c:v>Zoetis Australia Pty Ltd</c:v>
                </c:pt>
                <c:pt idx="1">
                  <c:v>Virbac (Australia) Pty Ltd</c:v>
                </c:pt>
                <c:pt idx="2">
                  <c:v>Intervet Australia Pty Ltd</c:v>
                </c:pt>
                <c:pt idx="3">
                  <c:v>Jurox Pty Ltd</c:v>
                </c:pt>
                <c:pt idx="4">
                  <c:v>Other</c:v>
                </c:pt>
              </c:strCache>
            </c:strRef>
          </c:cat>
          <c:val>
            <c:numRef>
              <c:f>Table81!$E$74:$E$78</c:f>
              <c:numCache>
                <c:formatCode>0.0%</c:formatCode>
                <c:ptCount val="5"/>
                <c:pt idx="0">
                  <c:v>0.36399999999999999</c:v>
                </c:pt>
                <c:pt idx="1">
                  <c:v>0.20599999999999999</c:v>
                </c:pt>
                <c:pt idx="2">
                  <c:v>0.17100000000000001</c:v>
                </c:pt>
                <c:pt idx="3">
                  <c:v>7.0000000000000007E-2</c:v>
                </c:pt>
                <c:pt idx="4">
                  <c:v>0.189</c:v>
                </c:pt>
              </c:numCache>
            </c:numRef>
          </c:val>
        </c:ser>
        <c:dLbls>
          <c:showLegendKey val="0"/>
          <c:showVal val="0"/>
          <c:showCatName val="0"/>
          <c:showSerName val="0"/>
          <c:showPercent val="0"/>
          <c:showBubbleSize val="0"/>
          <c:showLeaderLines val="1"/>
        </c:dLbls>
        <c:firstSliceAng val="0"/>
      </c:pieChart>
      <c:spPr>
        <a:noFill/>
        <a:ln w="25393">
          <a:noFill/>
        </a:ln>
      </c:spPr>
    </c:plotArea>
    <c:plotVisOnly val="1"/>
    <c:dispBlanksAs val="gap"/>
    <c:showDLblsOverMax val="0"/>
  </c:chart>
  <c:spPr>
    <a:solidFill>
      <a:schemeClr val="bg1"/>
    </a:solidFill>
    <a:ln>
      <a:noFill/>
    </a:ln>
    <a:effectLst/>
  </c:spPr>
  <c:txPr>
    <a:bodyPr/>
    <a:lstStyle/>
    <a:p>
      <a:pPr>
        <a:defRPr>
          <a:latin typeface="Arial Narrow" panose="020B0606020202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20277777777777783"/>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1666666666666664E-2"/>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8.8888888888888781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6665091167713106"/>
                  <c:y val="4.839252303938498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7.7018639096925981E-2"/>
                  <c:y val="6.396314692282266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7.7777777777777682E-2"/>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4.4444444444444446E-2"/>
                  <c:y val="-0.13888888888888881"/>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Table81!$B$53:$B$59</c:f>
              <c:strCache>
                <c:ptCount val="7"/>
                <c:pt idx="0">
                  <c:v>Profit</c:v>
                </c:pt>
                <c:pt idx="1">
                  <c:v>Rent</c:v>
                </c:pt>
                <c:pt idx="2">
                  <c:v>Utilities</c:v>
                </c:pt>
                <c:pt idx="3">
                  <c:v>Depreciation</c:v>
                </c:pt>
                <c:pt idx="4">
                  <c:v>Other</c:v>
                </c:pt>
                <c:pt idx="5">
                  <c:v>Wages</c:v>
                </c:pt>
                <c:pt idx="6">
                  <c:v>Purchases</c:v>
                </c:pt>
              </c:strCache>
            </c:strRef>
          </c:cat>
          <c:val>
            <c:numRef>
              <c:f>Table81!$C$53:$C$59</c:f>
              <c:numCache>
                <c:formatCode>General</c:formatCode>
                <c:ptCount val="7"/>
                <c:pt idx="0">
                  <c:v>7.3</c:v>
                </c:pt>
                <c:pt idx="1">
                  <c:v>2</c:v>
                </c:pt>
                <c:pt idx="2">
                  <c:v>0</c:v>
                </c:pt>
                <c:pt idx="3">
                  <c:v>1.7</c:v>
                </c:pt>
                <c:pt idx="4">
                  <c:v>12.1</c:v>
                </c:pt>
                <c:pt idx="5">
                  <c:v>9.9</c:v>
                </c:pt>
                <c:pt idx="6">
                  <c:v>67</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8.0555555555555561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0829389388128221E-2"/>
                  <c:y val="-7.911843098114101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8.646835259964783E-2"/>
                      <c:h val="0.16967572174336523"/>
                    </c:manualLayout>
                  </c15:layout>
                </c:ext>
              </c:extLst>
            </c:dLbl>
            <c:dLbl>
              <c:idx val="2"/>
              <c:layout>
                <c:manualLayout>
                  <c:x val="8.8888888888888781E-2"/>
                  <c:y val="-0.12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166666666666666E-2"/>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5.8333333333333334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05"/>
                  <c:y val="-1.851851851851843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Table81!$B$53:$B$59</c:f>
              <c:strCache>
                <c:ptCount val="7"/>
                <c:pt idx="0">
                  <c:v>Profit</c:v>
                </c:pt>
                <c:pt idx="1">
                  <c:v>Rent</c:v>
                </c:pt>
                <c:pt idx="2">
                  <c:v>Utilities</c:v>
                </c:pt>
                <c:pt idx="3">
                  <c:v>Depreciation</c:v>
                </c:pt>
                <c:pt idx="4">
                  <c:v>Other</c:v>
                </c:pt>
                <c:pt idx="5">
                  <c:v>Wages</c:v>
                </c:pt>
                <c:pt idx="6">
                  <c:v>Purchases</c:v>
                </c:pt>
              </c:strCache>
            </c:strRef>
          </c:cat>
          <c:val>
            <c:numRef>
              <c:f>Table81!$D$53:$D$59</c:f>
              <c:numCache>
                <c:formatCode>General</c:formatCode>
                <c:ptCount val="7"/>
                <c:pt idx="0">
                  <c:v>12.4</c:v>
                </c:pt>
                <c:pt idx="1">
                  <c:v>1.8</c:v>
                </c:pt>
                <c:pt idx="2">
                  <c:v>0</c:v>
                </c:pt>
                <c:pt idx="3">
                  <c:v>3.5</c:v>
                </c:pt>
                <c:pt idx="4">
                  <c:v>11.1</c:v>
                </c:pt>
                <c:pt idx="5">
                  <c:v>15.7</c:v>
                </c:pt>
                <c:pt idx="6">
                  <c:v>55.5</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Sheet2!$J$5</c:f>
              <c:strCache>
                <c:ptCount val="1"/>
                <c:pt idx="0">
                  <c:v>Generic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Sheet2!$I$6:$I$10</c:f>
              <c:strCache>
                <c:ptCount val="5"/>
                <c:pt idx="0">
                  <c:v>2011-12</c:v>
                </c:pt>
                <c:pt idx="1">
                  <c:v>2012-13</c:v>
                </c:pt>
                <c:pt idx="2">
                  <c:v>2013-14</c:v>
                </c:pt>
                <c:pt idx="3">
                  <c:v>2014-15</c:v>
                </c:pt>
                <c:pt idx="4">
                  <c:v>2015-16</c:v>
                </c:pt>
              </c:strCache>
            </c:strRef>
          </c:cat>
          <c:val>
            <c:numRef>
              <c:f>Sheet2!$J$6:$J$10</c:f>
              <c:numCache>
                <c:formatCode>General</c:formatCode>
                <c:ptCount val="5"/>
                <c:pt idx="0">
                  <c:v>1026</c:v>
                </c:pt>
                <c:pt idx="1">
                  <c:v>1110</c:v>
                </c:pt>
                <c:pt idx="2">
                  <c:v>847</c:v>
                </c:pt>
                <c:pt idx="3">
                  <c:v>635</c:v>
                </c:pt>
                <c:pt idx="4">
                  <c:v>591</c:v>
                </c:pt>
              </c:numCache>
            </c:numRef>
          </c:val>
        </c:ser>
        <c:ser>
          <c:idx val="0"/>
          <c:order val="1"/>
          <c:tx>
            <c:strRef>
              <c:f>Sheet2!$K$5</c:f>
              <c:strCache>
                <c:ptCount val="1"/>
                <c:pt idx="0">
                  <c:v>Novel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Sheet2!$I$6:$I$10</c:f>
              <c:strCache>
                <c:ptCount val="5"/>
                <c:pt idx="0">
                  <c:v>2011-12</c:v>
                </c:pt>
                <c:pt idx="1">
                  <c:v>2012-13</c:v>
                </c:pt>
                <c:pt idx="2">
                  <c:v>2013-14</c:v>
                </c:pt>
                <c:pt idx="3">
                  <c:v>2014-15</c:v>
                </c:pt>
                <c:pt idx="4">
                  <c:v>2015-16</c:v>
                </c:pt>
              </c:strCache>
            </c:strRef>
          </c:cat>
          <c:val>
            <c:numRef>
              <c:f>Sheet2!$K$6:$K$10</c:f>
              <c:numCache>
                <c:formatCode>General</c:formatCode>
                <c:ptCount val="5"/>
                <c:pt idx="0">
                  <c:v>27</c:v>
                </c:pt>
                <c:pt idx="1">
                  <c:v>27</c:v>
                </c:pt>
                <c:pt idx="2">
                  <c:v>13</c:v>
                </c:pt>
                <c:pt idx="3">
                  <c:v>37</c:v>
                </c:pt>
                <c:pt idx="4">
                  <c:v>32</c:v>
                </c:pt>
              </c:numCache>
            </c:numRef>
          </c:val>
        </c:ser>
        <c:dLbls>
          <c:showLegendKey val="0"/>
          <c:showVal val="0"/>
          <c:showCatName val="0"/>
          <c:showSerName val="0"/>
          <c:showPercent val="0"/>
          <c:showBubbleSize val="0"/>
        </c:dLbls>
        <c:gapWidth val="219"/>
        <c:overlap val="-27"/>
        <c:axId val="489318912"/>
        <c:axId val="602304424"/>
      </c:barChart>
      <c:catAx>
        <c:axId val="4893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a:ea typeface="Arial Narrow"/>
                <a:cs typeface="Arial Narrow"/>
              </a:defRPr>
            </a:pPr>
            <a:endParaRPr lang="en-US"/>
          </a:p>
        </c:txPr>
        <c:crossAx val="602304424"/>
        <c:crosses val="autoZero"/>
        <c:auto val="1"/>
        <c:lblAlgn val="ctr"/>
        <c:lblOffset val="100"/>
        <c:noMultiLvlLbl val="0"/>
      </c:catAx>
      <c:valAx>
        <c:axId val="602304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a:ea typeface="Arial Narrow"/>
                <a:cs typeface="Arial Narrow"/>
              </a:defRPr>
            </a:pPr>
            <a:endParaRPr lang="en-US"/>
          </a:p>
        </c:txPr>
        <c:crossAx val="48931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a:ea typeface="Arial Narrow"/>
              <a:cs typeface="Arial Narrow"/>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a:latin typeface="Arial Narrow"/>
          <a:ea typeface="Arial Narrow"/>
          <a:cs typeface="Arial Narrow"/>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7193203927468"/>
          <c:y val="7.4581319793126405E-2"/>
          <c:w val="0.82653343830736126"/>
          <c:h val="0.77085629659421051"/>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power"/>
            <c:dispRSqr val="0"/>
            <c:dispEq val="0"/>
          </c:trendline>
          <c:cat>
            <c:numRef>
              <c:f>Figure!$B$2:$O$2</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Figure!$B$3:$O$3</c:f>
              <c:numCache>
                <c:formatCode>General</c:formatCode>
                <c:ptCount val="14"/>
                <c:pt idx="0">
                  <c:v>44.5</c:v>
                </c:pt>
                <c:pt idx="1">
                  <c:v>43.5</c:v>
                </c:pt>
                <c:pt idx="2">
                  <c:v>43.3</c:v>
                </c:pt>
                <c:pt idx="3">
                  <c:v>39.700000000000003</c:v>
                </c:pt>
                <c:pt idx="4">
                  <c:v>33.799999999999997</c:v>
                </c:pt>
                <c:pt idx="5">
                  <c:v>29.3</c:v>
                </c:pt>
                <c:pt idx="6">
                  <c:v>28.9</c:v>
                </c:pt>
                <c:pt idx="7">
                  <c:v>40.5</c:v>
                </c:pt>
                <c:pt idx="8">
                  <c:v>42.8</c:v>
                </c:pt>
                <c:pt idx="9">
                  <c:v>22.8</c:v>
                </c:pt>
                <c:pt idx="10">
                  <c:v>16.8</c:v>
                </c:pt>
                <c:pt idx="11">
                  <c:v>17.899999999999999</c:v>
                </c:pt>
                <c:pt idx="12">
                  <c:v>18.2</c:v>
                </c:pt>
                <c:pt idx="13">
                  <c:v>18.7</c:v>
                </c:pt>
              </c:numCache>
            </c:numRef>
          </c:val>
          <c:smooth val="0"/>
        </c:ser>
        <c:dLbls>
          <c:showLegendKey val="0"/>
          <c:showVal val="0"/>
          <c:showCatName val="0"/>
          <c:showSerName val="0"/>
          <c:showPercent val="0"/>
          <c:showBubbleSize val="0"/>
        </c:dLbls>
        <c:smooth val="0"/>
        <c:axId val="602304816"/>
        <c:axId val="602307952"/>
      </c:lineChart>
      <c:catAx>
        <c:axId val="6023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a:ea typeface="Arial Narrow"/>
                <a:cs typeface="Arial Narrow"/>
              </a:defRPr>
            </a:pPr>
            <a:endParaRPr lang="en-US"/>
          </a:p>
        </c:txPr>
        <c:crossAx val="602307952"/>
        <c:crosses val="autoZero"/>
        <c:auto val="1"/>
        <c:lblAlgn val="ctr"/>
        <c:lblOffset val="100"/>
        <c:noMultiLvlLbl val="0"/>
      </c:catAx>
      <c:valAx>
        <c:axId val="60230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a:ea typeface="Arial Narrow"/>
                    <a:cs typeface="Arial Narrow"/>
                  </a:defRPr>
                </a:pPr>
                <a:r>
                  <a:rPr lang="en-US"/>
                  <a:t>US$/gallon</a:t>
                </a:r>
              </a:p>
            </c:rich>
          </c:tx>
          <c:layout>
            <c:manualLayout>
              <c:xMode val="edge"/>
              <c:yMode val="edge"/>
              <c:x val="1.6212596932500066E-2"/>
              <c:y val="0.357448176014677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a:ea typeface="Arial Narrow"/>
                <a:cs typeface="Arial Narrow"/>
              </a:defRPr>
            </a:pPr>
            <a:endParaRPr lang="en-US"/>
          </a:p>
        </c:txPr>
        <c:crossAx val="602304816"/>
        <c:crosses val="autoZero"/>
        <c:crossBetween val="between"/>
      </c:valAx>
      <c:spPr>
        <a:noFill/>
        <a:ln>
          <a:noFill/>
        </a:ln>
        <a:effectLst/>
      </c:spPr>
    </c:plotArea>
    <c:plotVisOnly val="1"/>
    <c:dispBlanksAs val="gap"/>
    <c:showDLblsOverMax val="0"/>
  </c:chart>
  <c:spPr>
    <a:solidFill>
      <a:schemeClr val="bg1"/>
    </a:solidFill>
    <a:ln w="25400" cap="flat" cmpd="sng" algn="ctr">
      <a:noFill/>
      <a:round/>
    </a:ln>
    <a:effectLst/>
  </c:spPr>
  <c:txPr>
    <a:bodyPr/>
    <a:lstStyle/>
    <a:p>
      <a:pPr>
        <a:defRPr sz="1000">
          <a:latin typeface="Arial Narrow"/>
          <a:ea typeface="Arial Narrow"/>
          <a:cs typeface="Arial Narrow"/>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'PMRA Annual Report'!$K$10</c:f>
              <c:strCache>
                <c:ptCount val="1"/>
                <c:pt idx="0">
                  <c:v>Generic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'PMRA Annual Report'!$L$9:$P$9</c:f>
              <c:strCache>
                <c:ptCount val="5"/>
                <c:pt idx="0">
                  <c:v>2011-12</c:v>
                </c:pt>
                <c:pt idx="1">
                  <c:v>2012-13</c:v>
                </c:pt>
                <c:pt idx="2">
                  <c:v>2013-14</c:v>
                </c:pt>
                <c:pt idx="3">
                  <c:v>2014-15</c:v>
                </c:pt>
                <c:pt idx="4">
                  <c:v>2015-16</c:v>
                </c:pt>
              </c:strCache>
            </c:strRef>
          </c:cat>
          <c:val>
            <c:numRef>
              <c:f>'PMRA Annual Report'!$L$10:$P$10</c:f>
              <c:numCache>
                <c:formatCode>General</c:formatCode>
                <c:ptCount val="5"/>
                <c:pt idx="0">
                  <c:v>45</c:v>
                </c:pt>
                <c:pt idx="1">
                  <c:v>35</c:v>
                </c:pt>
                <c:pt idx="2">
                  <c:v>48</c:v>
                </c:pt>
                <c:pt idx="3">
                  <c:v>46</c:v>
                </c:pt>
                <c:pt idx="4">
                  <c:v>44</c:v>
                </c:pt>
              </c:numCache>
            </c:numRef>
          </c:val>
        </c:ser>
        <c:ser>
          <c:idx val="1"/>
          <c:order val="1"/>
          <c:tx>
            <c:strRef>
              <c:f>'PMRA Annual Report'!$K$11</c:f>
              <c:strCache>
                <c:ptCount val="1"/>
                <c:pt idx="0">
                  <c:v>Novel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'PMRA Annual Report'!$L$9:$P$9</c:f>
              <c:strCache>
                <c:ptCount val="5"/>
                <c:pt idx="0">
                  <c:v>2011-12</c:v>
                </c:pt>
                <c:pt idx="1">
                  <c:v>2012-13</c:v>
                </c:pt>
                <c:pt idx="2">
                  <c:v>2013-14</c:v>
                </c:pt>
                <c:pt idx="3">
                  <c:v>2014-15</c:v>
                </c:pt>
                <c:pt idx="4">
                  <c:v>2015-16</c:v>
                </c:pt>
              </c:strCache>
            </c:strRef>
          </c:cat>
          <c:val>
            <c:numRef>
              <c:f>'PMRA Annual Report'!$L$11:$P$11</c:f>
              <c:numCache>
                <c:formatCode>General</c:formatCode>
                <c:ptCount val="5"/>
                <c:pt idx="0">
                  <c:v>15</c:v>
                </c:pt>
                <c:pt idx="1">
                  <c:v>27</c:v>
                </c:pt>
                <c:pt idx="2">
                  <c:v>12</c:v>
                </c:pt>
                <c:pt idx="3">
                  <c:v>14</c:v>
                </c:pt>
                <c:pt idx="4">
                  <c:v>18</c:v>
                </c:pt>
              </c:numCache>
            </c:numRef>
          </c:val>
        </c:ser>
        <c:dLbls>
          <c:showLegendKey val="0"/>
          <c:showVal val="0"/>
          <c:showCatName val="0"/>
          <c:showSerName val="0"/>
          <c:showPercent val="0"/>
          <c:showBubbleSize val="0"/>
        </c:dLbls>
        <c:gapWidth val="219"/>
        <c:overlap val="-27"/>
        <c:axId val="602298152"/>
        <c:axId val="602299328"/>
      </c:barChart>
      <c:catAx>
        <c:axId val="60229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02299328"/>
        <c:crosses val="autoZero"/>
        <c:auto val="1"/>
        <c:lblAlgn val="ctr"/>
        <c:lblOffset val="100"/>
        <c:noMultiLvlLbl val="0"/>
      </c:catAx>
      <c:valAx>
        <c:axId val="60229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022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DCD4F77051F4DD09515197344748DA1"/>
        <w:category>
          <w:name w:val="General"/>
          <w:gallery w:val="placeholder"/>
        </w:category>
        <w:types>
          <w:type w:val="bbPlcHdr"/>
        </w:types>
        <w:behaviors>
          <w:behavior w:val="content"/>
        </w:behaviors>
        <w:guid w:val="{E6FCD1BC-74DB-491B-A094-1415E5B50205}"/>
      </w:docPartPr>
      <w:docPartBody>
        <w:p w:rsidR="00F66C1C" w:rsidRDefault="00F66C1C" w:rsidP="00F66C1C">
          <w:pPr>
            <w:pStyle w:val="ADCD4F77051F4DD09515197344748DA1"/>
          </w:pPr>
          <w:r w:rsidRPr="00C20FE7">
            <w:rPr>
              <w:rStyle w:val="PlaceholderText"/>
            </w:rPr>
            <w:t>Choose an item.</w:t>
          </w:r>
        </w:p>
      </w:docPartBody>
    </w:docPart>
    <w:docPart>
      <w:docPartPr>
        <w:name w:val="77C0BE4844C94454A84BFD55203E1CFB"/>
        <w:category>
          <w:name w:val="General"/>
          <w:gallery w:val="placeholder"/>
        </w:category>
        <w:types>
          <w:type w:val="bbPlcHdr"/>
        </w:types>
        <w:behaviors>
          <w:behavior w:val="content"/>
        </w:behaviors>
        <w:guid w:val="{A33D9182-57BA-421B-95C3-9299F503D9FF}"/>
      </w:docPartPr>
      <w:docPartBody>
        <w:p w:rsidR="00F66C1C" w:rsidRDefault="00F66C1C" w:rsidP="00F66C1C">
          <w:pPr>
            <w:pStyle w:val="77C0BE4844C94454A84BFD55203E1CFB"/>
          </w:pPr>
          <w:r w:rsidRPr="00383D0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doni MT">
    <w:altName w:val="Sitka Small"/>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Helvetica Neue">
    <w:altName w:val="Arial"/>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C1C"/>
    <w:rsid w:val="00022D38"/>
    <w:rsid w:val="00025C49"/>
    <w:rsid w:val="000F532F"/>
    <w:rsid w:val="00111FC0"/>
    <w:rsid w:val="001B04BC"/>
    <w:rsid w:val="001C59E5"/>
    <w:rsid w:val="001E7B22"/>
    <w:rsid w:val="00216CC8"/>
    <w:rsid w:val="002351F6"/>
    <w:rsid w:val="00235DF7"/>
    <w:rsid w:val="002A5AA8"/>
    <w:rsid w:val="002F0164"/>
    <w:rsid w:val="00305D22"/>
    <w:rsid w:val="00310A76"/>
    <w:rsid w:val="00312073"/>
    <w:rsid w:val="00312A1B"/>
    <w:rsid w:val="0031552D"/>
    <w:rsid w:val="00333CAB"/>
    <w:rsid w:val="00347CE6"/>
    <w:rsid w:val="00370038"/>
    <w:rsid w:val="003B1B2F"/>
    <w:rsid w:val="003C778F"/>
    <w:rsid w:val="003D015D"/>
    <w:rsid w:val="003D5AB6"/>
    <w:rsid w:val="004275EE"/>
    <w:rsid w:val="00435079"/>
    <w:rsid w:val="0043754B"/>
    <w:rsid w:val="00496EC7"/>
    <w:rsid w:val="004D5780"/>
    <w:rsid w:val="004E714C"/>
    <w:rsid w:val="004F62E0"/>
    <w:rsid w:val="00545BB0"/>
    <w:rsid w:val="00550C8D"/>
    <w:rsid w:val="00580F94"/>
    <w:rsid w:val="0058743C"/>
    <w:rsid w:val="006001D5"/>
    <w:rsid w:val="00661FE9"/>
    <w:rsid w:val="006F4526"/>
    <w:rsid w:val="00700F29"/>
    <w:rsid w:val="00707035"/>
    <w:rsid w:val="00727949"/>
    <w:rsid w:val="007364EF"/>
    <w:rsid w:val="007376FA"/>
    <w:rsid w:val="00740DD8"/>
    <w:rsid w:val="007460B7"/>
    <w:rsid w:val="007E3445"/>
    <w:rsid w:val="00822FAB"/>
    <w:rsid w:val="008253DE"/>
    <w:rsid w:val="00830147"/>
    <w:rsid w:val="00843201"/>
    <w:rsid w:val="008473BC"/>
    <w:rsid w:val="00890D4F"/>
    <w:rsid w:val="008B44E9"/>
    <w:rsid w:val="008D2732"/>
    <w:rsid w:val="008E55B9"/>
    <w:rsid w:val="0091567F"/>
    <w:rsid w:val="00922328"/>
    <w:rsid w:val="00930CDC"/>
    <w:rsid w:val="00961F0A"/>
    <w:rsid w:val="009758F2"/>
    <w:rsid w:val="00983A8D"/>
    <w:rsid w:val="009963E2"/>
    <w:rsid w:val="009C0D8A"/>
    <w:rsid w:val="009C2203"/>
    <w:rsid w:val="009D6A64"/>
    <w:rsid w:val="00A02559"/>
    <w:rsid w:val="00A04E30"/>
    <w:rsid w:val="00A6025E"/>
    <w:rsid w:val="00A927DE"/>
    <w:rsid w:val="00AA54F1"/>
    <w:rsid w:val="00AC5A7A"/>
    <w:rsid w:val="00AD35D2"/>
    <w:rsid w:val="00AF4A0B"/>
    <w:rsid w:val="00B16C20"/>
    <w:rsid w:val="00B21A21"/>
    <w:rsid w:val="00B6497C"/>
    <w:rsid w:val="00B742EB"/>
    <w:rsid w:val="00BD68FD"/>
    <w:rsid w:val="00BE394E"/>
    <w:rsid w:val="00BE7046"/>
    <w:rsid w:val="00C04F67"/>
    <w:rsid w:val="00C05893"/>
    <w:rsid w:val="00C36EBD"/>
    <w:rsid w:val="00C379DB"/>
    <w:rsid w:val="00C5035D"/>
    <w:rsid w:val="00C93B99"/>
    <w:rsid w:val="00C95A40"/>
    <w:rsid w:val="00CE6171"/>
    <w:rsid w:val="00D0755B"/>
    <w:rsid w:val="00D11F8D"/>
    <w:rsid w:val="00D12226"/>
    <w:rsid w:val="00D33E08"/>
    <w:rsid w:val="00D42312"/>
    <w:rsid w:val="00D604C9"/>
    <w:rsid w:val="00D65D4E"/>
    <w:rsid w:val="00D8161F"/>
    <w:rsid w:val="00D81D65"/>
    <w:rsid w:val="00D922D2"/>
    <w:rsid w:val="00D92552"/>
    <w:rsid w:val="00DB3EAD"/>
    <w:rsid w:val="00DC143F"/>
    <w:rsid w:val="00E11483"/>
    <w:rsid w:val="00E16570"/>
    <w:rsid w:val="00E31D74"/>
    <w:rsid w:val="00E468CF"/>
    <w:rsid w:val="00E67B3D"/>
    <w:rsid w:val="00E90B96"/>
    <w:rsid w:val="00F25A02"/>
    <w:rsid w:val="00F276B8"/>
    <w:rsid w:val="00F66C1C"/>
    <w:rsid w:val="00F7261D"/>
    <w:rsid w:val="00F90061"/>
    <w:rsid w:val="00FB3F31"/>
    <w:rsid w:val="00FF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3A8D"/>
    <w:rPr>
      <w:color w:val="808080"/>
    </w:rPr>
  </w:style>
  <w:style w:type="paragraph" w:customStyle="1" w:styleId="ADCD4F77051F4DD09515197344748DA1">
    <w:name w:val="ADCD4F77051F4DD09515197344748DA1"/>
    <w:rsid w:val="00F66C1C"/>
  </w:style>
  <w:style w:type="paragraph" w:customStyle="1" w:styleId="77C0BE4844C94454A84BFD55203E1CFB">
    <w:name w:val="77C0BE4844C94454A84BFD55203E1CFB"/>
    <w:rsid w:val="00F66C1C"/>
  </w:style>
  <w:style w:type="paragraph" w:customStyle="1" w:styleId="A610A7B579DE4F5A96D55786F0B3E4FB">
    <w:name w:val="A610A7B579DE4F5A96D55786F0B3E4FB"/>
    <w:rsid w:val="00983A8D"/>
    <w:rPr>
      <w:lang w:val="en-AU" w:eastAsia="en-AU"/>
    </w:rPr>
  </w:style>
  <w:style w:type="paragraph" w:customStyle="1" w:styleId="D1A78CBA25D546559FC4B0A81AAC60F2">
    <w:name w:val="D1A78CBA25D546559FC4B0A81AAC60F2"/>
    <w:rsid w:val="00983A8D"/>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84F9F39D-D4BD-46E6-A03A-7D9C4FCB3676}"/>
</file>

<file path=customXml/itemProps2.xml><?xml version="1.0" encoding="utf-8"?>
<ds:datastoreItem xmlns:ds="http://schemas.openxmlformats.org/officeDocument/2006/customXml" ds:itemID="{1ED20E21-44E8-4198-AA26-A991D49AB1BD}"/>
</file>

<file path=customXml/itemProps3.xml><?xml version="1.0" encoding="utf-8"?>
<ds:datastoreItem xmlns:ds="http://schemas.openxmlformats.org/officeDocument/2006/customXml" ds:itemID="{4D444F95-6D7D-4ED9-8709-71DB06C4FF8F}"/>
</file>

<file path=customXml/itemProps4.xml><?xml version="1.0" encoding="utf-8"?>
<ds:datastoreItem xmlns:ds="http://schemas.openxmlformats.org/officeDocument/2006/customXml" ds:itemID="{149C9DD9-CDBA-4951-B44B-7D1D1F8CB4B7}"/>
</file>

<file path=docProps/app.xml><?xml version="1.0" encoding="utf-8"?>
<Properties xmlns="http://schemas.openxmlformats.org/officeDocument/2006/extended-properties" xmlns:vt="http://schemas.openxmlformats.org/officeDocument/2006/docPropsVTypes">
  <Template>Acil Allen Template.dotm</Template>
  <TotalTime>0</TotalTime>
  <Pages>3</Pages>
  <Words>49358</Words>
  <Characters>281343</Characters>
  <Application>Microsoft Office Word</Application>
  <DocSecurity>4</DocSecurity>
  <Lines>2344</Lines>
  <Paragraphs>660</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330041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subject/>
  <dc:creator>Jyothi Gali</dc:creator>
  <cp:keywords/>
  <dc:description/>
  <cp:lastModifiedBy>RoM</cp:lastModifiedBy>
  <cp:revision>2</cp:revision>
  <cp:lastPrinted>2017-11-01T00:15:00Z</cp:lastPrinted>
  <dcterms:created xsi:type="dcterms:W3CDTF">2018-06-25T00:23:00Z</dcterms:created>
  <dcterms:modified xsi:type="dcterms:W3CDTF">2018-06-25T00:23:00Z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97p22p04</vt:lpwstr>
  </property>
  <property fmtid="{D5CDD505-2E9C-101B-9397-08002B2CF9AE}" pid="6" name="ContentTypeId">
    <vt:lpwstr>0x01010078F6B24EF29B14488A4D3E054F39A21B</vt:lpwstr>
  </property>
</Properties>
</file>