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53E64" w14:textId="7EBA6418" w:rsidR="004952F2" w:rsidRPr="00314563" w:rsidRDefault="004952F2" w:rsidP="001045B1">
      <w:pPr>
        <w:pStyle w:val="Heading1"/>
        <w:spacing w:after="120"/>
      </w:pPr>
      <w:r w:rsidRPr="00314563">
        <w:t>Nationa</w:t>
      </w:r>
      <w:r w:rsidR="000C7E73" w:rsidRPr="00314563">
        <w:t xml:space="preserve">l Xylella </w:t>
      </w:r>
      <w:r w:rsidRPr="00314563">
        <w:t>Action Plan 20</w:t>
      </w:r>
      <w:r w:rsidR="000C7E73" w:rsidRPr="00314563">
        <w:t>19</w:t>
      </w:r>
      <w:r w:rsidR="00387FF4" w:rsidRPr="00314563">
        <w:t>–</w:t>
      </w:r>
      <w:r w:rsidRPr="00314563">
        <w:t>20</w:t>
      </w:r>
      <w:r w:rsidR="000C7E73" w:rsidRPr="00314563">
        <w:t>29</w:t>
      </w:r>
      <w:r w:rsidR="006400C2" w:rsidRPr="00314563">
        <w:t>: i</w:t>
      </w:r>
      <w:r w:rsidRPr="00314563">
        <w:t>mplementation schedule</w:t>
      </w:r>
      <w:r w:rsidR="00A82705" w:rsidRPr="00314563">
        <w:t xml:space="preserve"> 202</w:t>
      </w:r>
      <w:r w:rsidR="009143AB">
        <w:t>3</w:t>
      </w:r>
    </w:p>
    <w:p w14:paraId="1563546A" w14:textId="1F287615" w:rsidR="00EA74C1" w:rsidRDefault="00013AE2" w:rsidP="00013AE2">
      <w:r w:rsidRPr="00314563">
        <w:t xml:space="preserve">The success of </w:t>
      </w:r>
      <w:r w:rsidR="00EE19B0" w:rsidRPr="00314563">
        <w:t xml:space="preserve">the </w:t>
      </w:r>
      <w:hyperlink r:id="rId10" w:history="1">
        <w:r w:rsidRPr="00314563">
          <w:rPr>
            <w:rStyle w:val="Hyperlink"/>
          </w:rPr>
          <w:t xml:space="preserve">National </w:t>
        </w:r>
        <w:r w:rsidR="000C7E73" w:rsidRPr="00314563">
          <w:rPr>
            <w:rStyle w:val="Hyperlink"/>
          </w:rPr>
          <w:t xml:space="preserve">Xylella </w:t>
        </w:r>
        <w:r w:rsidRPr="00314563">
          <w:rPr>
            <w:rStyle w:val="Hyperlink"/>
          </w:rPr>
          <w:t>Action Plan 20</w:t>
        </w:r>
        <w:r w:rsidR="000C7E73" w:rsidRPr="00314563">
          <w:rPr>
            <w:rStyle w:val="Hyperlink"/>
          </w:rPr>
          <w:t>19</w:t>
        </w:r>
        <w:r w:rsidR="00387FF4" w:rsidRPr="00314563">
          <w:rPr>
            <w:rStyle w:val="Hyperlink"/>
          </w:rPr>
          <w:t>–</w:t>
        </w:r>
        <w:r w:rsidRPr="00314563">
          <w:rPr>
            <w:rStyle w:val="Hyperlink"/>
          </w:rPr>
          <w:t>20</w:t>
        </w:r>
      </w:hyperlink>
      <w:r w:rsidR="000C7E73" w:rsidRPr="00314563">
        <w:rPr>
          <w:rStyle w:val="Hyperlink"/>
        </w:rPr>
        <w:t>29</w:t>
      </w:r>
      <w:r w:rsidR="009A5B4A">
        <w:t xml:space="preserve"> </w:t>
      </w:r>
      <w:r w:rsidR="00805938">
        <w:t>depends</w:t>
      </w:r>
      <w:r>
        <w:t xml:space="preserve"> on cooperation and collaboration between importers, shipping businesses, agricultural industries, all levels of government, non-government organisations and individuals, experts and research agencies. This implementation schedule will be used to</w:t>
      </w:r>
      <w:r w:rsidR="00FE4295">
        <w:t>:</w:t>
      </w:r>
    </w:p>
    <w:p w14:paraId="1D317D3B" w14:textId="5D0C18C0" w:rsidR="00EA74C1" w:rsidRDefault="00013AE2" w:rsidP="00EA74C1">
      <w:pPr>
        <w:pStyle w:val="ListBullet"/>
      </w:pPr>
      <w:r>
        <w:t>record the progress of actions set out in the</w:t>
      </w:r>
      <w:r w:rsidR="001F1952">
        <w:t xml:space="preserve"> </w:t>
      </w:r>
      <w:r w:rsidR="001F1952" w:rsidRPr="001F1952">
        <w:t>p</w:t>
      </w:r>
      <w:r w:rsidRPr="001F1952">
        <w:t>lan</w:t>
      </w:r>
    </w:p>
    <w:p w14:paraId="551A4875" w14:textId="341E5DBC" w:rsidR="00EA74C1" w:rsidRDefault="00013AE2" w:rsidP="00EA74C1">
      <w:pPr>
        <w:pStyle w:val="ListBullet"/>
      </w:pPr>
      <w:r>
        <w:t>document roles, responsibilities and funding mechanisms</w:t>
      </w:r>
    </w:p>
    <w:p w14:paraId="5C27C675" w14:textId="0BFEC2ED" w:rsidR="00EA74C1" w:rsidRDefault="00013AE2" w:rsidP="00EA74C1">
      <w:pPr>
        <w:pStyle w:val="ListBullet"/>
      </w:pPr>
      <w:r>
        <w:t>communicate progress with stakeholders.</w:t>
      </w:r>
    </w:p>
    <w:p w14:paraId="17B47B76" w14:textId="1646D017" w:rsidR="00013AE2" w:rsidRDefault="00013AE2" w:rsidP="00EA74C1">
      <w:r>
        <w:t xml:space="preserve">Actions in </w:t>
      </w:r>
      <w:r w:rsidR="00EA74C1">
        <w:t xml:space="preserve">this plan will complement actions in </w:t>
      </w:r>
      <w:r w:rsidR="00180FF6">
        <w:t xml:space="preserve">other </w:t>
      </w:r>
      <w:hyperlink r:id="rId11" w:history="1">
        <w:r w:rsidR="00387FF4">
          <w:rPr>
            <w:rStyle w:val="Hyperlink"/>
          </w:rPr>
          <w:t>national action plans for priority plant pests</w:t>
        </w:r>
      </w:hyperlink>
      <w:r w:rsidR="00387FF4" w:rsidRPr="001045B1">
        <w:t>.</w:t>
      </w:r>
    </w:p>
    <w:p w14:paraId="01F114A5" w14:textId="1940AB5D" w:rsidR="00013AE2" w:rsidRDefault="00092814" w:rsidP="00013AE2">
      <w:r>
        <w:t xml:space="preserve">Plant Health Committee (PHC) is responsible for </w:t>
      </w:r>
      <w:r w:rsidRPr="00DE79FB">
        <w:t>endors</w:t>
      </w:r>
      <w:r>
        <w:t>ing</w:t>
      </w:r>
      <w:r w:rsidRPr="00DE79FB">
        <w:t xml:space="preserve"> plans</w:t>
      </w:r>
      <w:r>
        <w:t xml:space="preserve"> and overseeing implementation. The Department of Agriculture, Fisheries and Forestry (DAFF) will host a</w:t>
      </w:r>
      <w:r w:rsidR="00102854">
        <w:t>nnual forums</w:t>
      </w:r>
      <w:r>
        <w:t xml:space="preserve"> </w:t>
      </w:r>
      <w:r w:rsidR="00102854">
        <w:t xml:space="preserve">with key stakeholders to monitor and review implementation schedules. </w:t>
      </w:r>
      <w:r w:rsidR="00367ACF">
        <w:t>The purpose of these forums is</w:t>
      </w:r>
      <w:r w:rsidR="00367ACF" w:rsidRPr="00367ACF">
        <w:t xml:space="preserve"> </w:t>
      </w:r>
      <w:r w:rsidR="006F5852">
        <w:t>to collect implementation information</w:t>
      </w:r>
      <w:r w:rsidR="00367ACF">
        <w:t xml:space="preserve"> and discuss potential proposals to support the plan</w:t>
      </w:r>
      <w:r w:rsidR="006F5852">
        <w:t xml:space="preserve">. </w:t>
      </w:r>
      <w:bookmarkStart w:id="0" w:name="_Hlk130568813"/>
      <w:r>
        <w:t>PHC will be provided with</w:t>
      </w:r>
      <w:r w:rsidR="00971732">
        <w:t xml:space="preserve"> </w:t>
      </w:r>
      <w:r>
        <w:t xml:space="preserve">forum </w:t>
      </w:r>
      <w:r w:rsidR="00971732">
        <w:t>f</w:t>
      </w:r>
      <w:r w:rsidR="006F5852">
        <w:t>indings</w:t>
      </w:r>
      <w:r>
        <w:t>.</w:t>
      </w:r>
      <w:bookmarkEnd w:id="0"/>
      <w:r w:rsidR="007A02BC">
        <w:t xml:space="preserve"> PHC will consider how implementation will occur where no lead has been identified for an action.</w:t>
      </w:r>
    </w:p>
    <w:p w14:paraId="18B1A8F4" w14:textId="76295E1F" w:rsidR="00013AE2" w:rsidRDefault="00367ACF" w:rsidP="00C678D4">
      <w:r>
        <w:t xml:space="preserve">The </w:t>
      </w:r>
      <w:r w:rsidR="00013AE2">
        <w:t xml:space="preserve">overall success of the </w:t>
      </w:r>
      <w:r w:rsidR="001F1952">
        <w:t>p</w:t>
      </w:r>
      <w:r w:rsidR="00013AE2" w:rsidRPr="001F1952">
        <w:t>lan</w:t>
      </w:r>
      <w:r>
        <w:t xml:space="preserve"> will be</w:t>
      </w:r>
      <w:r w:rsidR="00013AE2">
        <w:t xml:space="preserve"> assessed against </w:t>
      </w:r>
      <w:r w:rsidR="00277DB4">
        <w:t xml:space="preserve">6 </w:t>
      </w:r>
      <w:r w:rsidR="00013AE2">
        <w:t>measures</w:t>
      </w:r>
      <w:r w:rsidR="00277DB4">
        <w:t>:</w:t>
      </w:r>
    </w:p>
    <w:p w14:paraId="72AB5628" w14:textId="6849D2B2" w:rsidR="00013AE2" w:rsidRDefault="00013AE2" w:rsidP="00C678D4">
      <w:pPr>
        <w:pStyle w:val="ListNumber"/>
      </w:pPr>
      <w:r>
        <w:t>High level of engagement and support from stakeholders</w:t>
      </w:r>
      <w:r w:rsidR="001F6C05">
        <w:t xml:space="preserve"> (</w:t>
      </w:r>
      <w:r w:rsidR="00C83DBA">
        <w:t>e.g.</w:t>
      </w:r>
      <w:r w:rsidR="001F6C05">
        <w:t xml:space="preserve"> over 50 stakeholders at annual forums</w:t>
      </w:r>
      <w:r w:rsidR="009A5B4A">
        <w:t>)</w:t>
      </w:r>
      <w:r>
        <w:t>.</w:t>
      </w:r>
    </w:p>
    <w:p w14:paraId="3215323F" w14:textId="4074D778" w:rsidR="00013AE2" w:rsidRDefault="00013AE2" w:rsidP="00C678D4">
      <w:pPr>
        <w:pStyle w:val="ListNumber"/>
      </w:pPr>
      <w:r>
        <w:t>Improved diagnostic capacity and treatment capability</w:t>
      </w:r>
      <w:r w:rsidR="00971732">
        <w:t xml:space="preserve"> since</w:t>
      </w:r>
      <w:r w:rsidR="0054143D">
        <w:t xml:space="preserve"> the</w:t>
      </w:r>
      <w:r w:rsidR="00971732">
        <w:t xml:space="preserve"> development of the plan</w:t>
      </w:r>
      <w:r>
        <w:t>.</w:t>
      </w:r>
    </w:p>
    <w:p w14:paraId="72355C26" w14:textId="7374CD2A" w:rsidR="00013AE2" w:rsidRDefault="00277DB4" w:rsidP="00C678D4">
      <w:pPr>
        <w:pStyle w:val="ListNumber"/>
      </w:pPr>
      <w:r>
        <w:t>Increased</w:t>
      </w:r>
      <w:r w:rsidR="00013AE2">
        <w:t xml:space="preserve"> awareness </w:t>
      </w:r>
      <w:r w:rsidR="001F1952">
        <w:t>among importers, international and domestic shipping providers, Australian industry, governments and the general public</w:t>
      </w:r>
      <w:r w:rsidR="00800564">
        <w:t>,</w:t>
      </w:r>
      <w:r w:rsidR="001F1952" w:rsidDel="00277DB4">
        <w:t xml:space="preserve"> </w:t>
      </w:r>
      <w:r w:rsidR="00013AE2">
        <w:t xml:space="preserve">of the potential risks to Australian industry, the environment and social amenity from </w:t>
      </w:r>
      <w:r w:rsidR="00314563">
        <w:t>Xylella</w:t>
      </w:r>
      <w:r w:rsidR="0054143D">
        <w:t xml:space="preserve"> since the development of the plan</w:t>
      </w:r>
      <w:r w:rsidR="00013AE2">
        <w:t>.</w:t>
      </w:r>
    </w:p>
    <w:p w14:paraId="041CFFAA" w14:textId="574B1F18" w:rsidR="00013AE2" w:rsidRDefault="00013AE2" w:rsidP="00C678D4">
      <w:pPr>
        <w:pStyle w:val="ListNumber"/>
      </w:pPr>
      <w:r>
        <w:t xml:space="preserve">Number of projects initiated to provide data </w:t>
      </w:r>
      <w:r w:rsidR="00CD5E90">
        <w:t xml:space="preserve">to fill knowledge </w:t>
      </w:r>
      <w:r>
        <w:t>gaps</w:t>
      </w:r>
      <w:r w:rsidR="00800564">
        <w:t>,</w:t>
      </w:r>
      <w:r>
        <w:t xml:space="preserve"> </w:t>
      </w:r>
      <w:r w:rsidRPr="006A22D8">
        <w:t>and</w:t>
      </w:r>
      <w:r>
        <w:t xml:space="preserve"> </w:t>
      </w:r>
      <w:r w:rsidR="00EE19B0">
        <w:t xml:space="preserve">number of projects </w:t>
      </w:r>
      <w:r>
        <w:t>successfully concluded</w:t>
      </w:r>
      <w:r w:rsidR="0054143D">
        <w:t xml:space="preserve"> since the development of the plan</w:t>
      </w:r>
      <w:r>
        <w:t>.</w:t>
      </w:r>
    </w:p>
    <w:p w14:paraId="6788D8EC" w14:textId="47110836" w:rsidR="00013AE2" w:rsidRDefault="00013AE2" w:rsidP="00C678D4">
      <w:pPr>
        <w:pStyle w:val="ListNumber"/>
      </w:pPr>
      <w:r>
        <w:t>High level of confidence in national surveillance and diagnostic capability to provide evidence of Australia’s pest</w:t>
      </w:r>
      <w:r w:rsidR="00EE19B0">
        <w:t>-</w:t>
      </w:r>
      <w:r>
        <w:t xml:space="preserve">free status for </w:t>
      </w:r>
      <w:r w:rsidR="00314563">
        <w:t>Xylella</w:t>
      </w:r>
      <w:r>
        <w:t>.</w:t>
      </w:r>
    </w:p>
    <w:p w14:paraId="313D09B6" w14:textId="3F07624A" w:rsidR="00EA4853" w:rsidRDefault="00013AE2" w:rsidP="00C42AF8">
      <w:pPr>
        <w:pStyle w:val="ListNumber"/>
      </w:pPr>
      <w:r>
        <w:t>High</w:t>
      </w:r>
      <w:r w:rsidR="0054143D">
        <w:t>er</w:t>
      </w:r>
      <w:r>
        <w:t xml:space="preserve"> level of preparation among stakeholders to respond to a border incident or incursion of a </w:t>
      </w:r>
      <w:r w:rsidR="00314563">
        <w:t>Xylella</w:t>
      </w:r>
      <w:r w:rsidR="0054143D">
        <w:t xml:space="preserve"> since the development of the plan</w:t>
      </w:r>
      <w:r>
        <w:t>.</w:t>
      </w:r>
    </w:p>
    <w:p w14:paraId="2674E1AD" w14:textId="2CFFA32F" w:rsidR="003E17DC" w:rsidRDefault="00971732" w:rsidP="00A36C1B">
      <w:pPr>
        <w:pStyle w:val="Caption"/>
        <w:spacing w:before="240"/>
        <w:rPr>
          <w:b w:val="0"/>
          <w:bCs w:val="0"/>
          <w:sz w:val="22"/>
          <w:szCs w:val="22"/>
        </w:rPr>
      </w:pPr>
      <w:r w:rsidRPr="005A52B0">
        <w:rPr>
          <w:rFonts w:asciiTheme="minorHAnsi" w:hAnsiTheme="minorHAnsi"/>
          <w:b w:val="0"/>
          <w:bCs w:val="0"/>
          <w:sz w:val="22"/>
          <w:szCs w:val="22"/>
        </w:rPr>
        <w:t xml:space="preserve">Implementation of </w:t>
      </w:r>
      <w:r w:rsidR="00D737E2" w:rsidRPr="005A52B0">
        <w:rPr>
          <w:rFonts w:asciiTheme="minorHAnsi" w:hAnsiTheme="minorHAnsi"/>
          <w:b w:val="0"/>
          <w:bCs w:val="0"/>
          <w:sz w:val="22"/>
          <w:szCs w:val="22"/>
        </w:rPr>
        <w:t>the plan</w:t>
      </w:r>
      <w:r w:rsidR="00106C85" w:rsidRPr="005A52B0">
        <w:rPr>
          <w:rFonts w:asciiTheme="minorHAnsi" w:hAnsiTheme="minorHAnsi"/>
          <w:b w:val="0"/>
          <w:bCs w:val="0"/>
          <w:sz w:val="22"/>
          <w:szCs w:val="22"/>
        </w:rPr>
        <w:t>’</w:t>
      </w:r>
      <w:r w:rsidR="00D737E2" w:rsidRPr="005A52B0">
        <w:rPr>
          <w:rFonts w:asciiTheme="minorHAnsi" w:hAnsiTheme="minorHAnsi"/>
          <w:b w:val="0"/>
          <w:bCs w:val="0"/>
          <w:sz w:val="22"/>
          <w:szCs w:val="22"/>
        </w:rPr>
        <w:t>s a</w:t>
      </w:r>
      <w:r w:rsidRPr="005A52B0">
        <w:rPr>
          <w:rFonts w:asciiTheme="minorHAnsi" w:hAnsiTheme="minorHAnsi"/>
          <w:b w:val="0"/>
          <w:bCs w:val="0"/>
          <w:sz w:val="22"/>
          <w:szCs w:val="22"/>
        </w:rPr>
        <w:t>ctions</w:t>
      </w:r>
      <w:r w:rsidR="00D737E2" w:rsidRPr="005A52B0">
        <w:rPr>
          <w:rFonts w:asciiTheme="minorHAnsi" w:hAnsiTheme="minorHAnsi"/>
          <w:b w:val="0"/>
          <w:bCs w:val="0"/>
          <w:sz w:val="22"/>
          <w:szCs w:val="22"/>
        </w:rPr>
        <w:t xml:space="preserve"> are shown</w:t>
      </w:r>
      <w:r w:rsidRPr="005A52B0">
        <w:rPr>
          <w:rFonts w:asciiTheme="minorHAnsi" w:hAnsiTheme="minorHAnsi"/>
          <w:b w:val="0"/>
          <w:bCs w:val="0"/>
          <w:sz w:val="22"/>
          <w:szCs w:val="22"/>
        </w:rPr>
        <w:t xml:space="preserve"> </w:t>
      </w:r>
      <w:r w:rsidR="00106C85" w:rsidRPr="00892884">
        <w:rPr>
          <w:rFonts w:asciiTheme="minorHAnsi" w:hAnsiTheme="minorHAnsi"/>
          <w:b w:val="0"/>
          <w:bCs w:val="0"/>
          <w:sz w:val="22"/>
          <w:szCs w:val="22"/>
        </w:rPr>
        <w:t>in</w:t>
      </w:r>
      <w:r w:rsidRPr="00892884">
        <w:rPr>
          <w:rFonts w:asciiTheme="minorHAnsi" w:hAnsiTheme="minorHAnsi"/>
          <w:b w:val="0"/>
          <w:bCs w:val="0"/>
          <w:sz w:val="22"/>
          <w:szCs w:val="22"/>
        </w:rPr>
        <w:t xml:space="preserve"> </w:t>
      </w:r>
      <w:r w:rsidR="00FB337B">
        <w:rPr>
          <w:rFonts w:asciiTheme="minorHAnsi" w:hAnsiTheme="minorHAnsi"/>
          <w:b w:val="0"/>
          <w:bCs w:val="0"/>
          <w:sz w:val="22"/>
          <w:szCs w:val="22"/>
        </w:rPr>
        <w:t xml:space="preserve">Table 1 </w:t>
      </w:r>
      <w:r w:rsidRPr="00892884">
        <w:rPr>
          <w:rFonts w:asciiTheme="minorHAnsi" w:hAnsiTheme="minorHAnsi"/>
          <w:b w:val="0"/>
          <w:bCs w:val="0"/>
          <w:sz w:val="22"/>
          <w:szCs w:val="22"/>
        </w:rPr>
        <w:t>(</w:t>
      </w:r>
      <w:r w:rsidR="00106C85" w:rsidRPr="00892884">
        <w:rPr>
          <w:rFonts w:asciiTheme="minorHAnsi" w:hAnsiTheme="minorHAnsi"/>
          <w:b w:val="0"/>
          <w:bCs w:val="0"/>
          <w:sz w:val="22"/>
          <w:szCs w:val="22"/>
        </w:rPr>
        <w:t>p</w:t>
      </w:r>
      <w:r w:rsidRPr="00892884">
        <w:rPr>
          <w:rFonts w:asciiTheme="minorHAnsi" w:hAnsiTheme="minorHAnsi"/>
          <w:b w:val="0"/>
          <w:bCs w:val="0"/>
          <w:sz w:val="22"/>
          <w:szCs w:val="22"/>
        </w:rPr>
        <w:t xml:space="preserve">revention), </w:t>
      </w:r>
      <w:r w:rsidR="00FB337B">
        <w:rPr>
          <w:rFonts w:asciiTheme="minorHAnsi" w:hAnsiTheme="minorHAnsi"/>
          <w:b w:val="0"/>
          <w:bCs w:val="0"/>
          <w:sz w:val="22"/>
          <w:szCs w:val="22"/>
        </w:rPr>
        <w:t xml:space="preserve">Table 2 </w:t>
      </w:r>
      <w:r w:rsidRPr="00A36C1B">
        <w:rPr>
          <w:rFonts w:asciiTheme="minorHAnsi" w:hAnsiTheme="minorHAnsi"/>
          <w:b w:val="0"/>
          <w:bCs w:val="0"/>
          <w:sz w:val="22"/>
          <w:szCs w:val="22"/>
        </w:rPr>
        <w:t>(</w:t>
      </w:r>
      <w:r w:rsidR="00106C85" w:rsidRPr="00A36C1B">
        <w:rPr>
          <w:rFonts w:asciiTheme="minorHAnsi" w:hAnsiTheme="minorHAnsi"/>
          <w:b w:val="0"/>
          <w:bCs w:val="0"/>
          <w:sz w:val="22"/>
          <w:szCs w:val="22"/>
        </w:rPr>
        <w:t>d</w:t>
      </w:r>
      <w:r w:rsidRPr="00A36C1B">
        <w:rPr>
          <w:rFonts w:asciiTheme="minorHAnsi" w:hAnsiTheme="minorHAnsi"/>
          <w:b w:val="0"/>
          <w:bCs w:val="0"/>
          <w:sz w:val="22"/>
          <w:szCs w:val="22"/>
        </w:rPr>
        <w:t>etection)</w:t>
      </w:r>
      <w:r w:rsidR="00A36C1B" w:rsidRPr="00A36C1B">
        <w:rPr>
          <w:rFonts w:asciiTheme="minorHAnsi" w:hAnsiTheme="minorHAnsi"/>
          <w:b w:val="0"/>
          <w:bCs w:val="0"/>
          <w:sz w:val="22"/>
          <w:szCs w:val="22"/>
        </w:rPr>
        <w:t>,</w:t>
      </w:r>
      <w:r w:rsidR="00FB337B">
        <w:rPr>
          <w:rFonts w:asciiTheme="minorHAnsi" w:hAnsiTheme="minorHAnsi"/>
          <w:b w:val="0"/>
          <w:bCs w:val="0"/>
          <w:sz w:val="22"/>
          <w:szCs w:val="22"/>
        </w:rPr>
        <w:t xml:space="preserve"> Table 3</w:t>
      </w:r>
      <w:r w:rsidR="00106C85" w:rsidRPr="00A36C1B">
        <w:rPr>
          <w:b w:val="0"/>
          <w:bCs w:val="0"/>
          <w:sz w:val="22"/>
          <w:szCs w:val="22"/>
        </w:rPr>
        <w:t xml:space="preserve"> </w:t>
      </w:r>
      <w:r w:rsidRPr="00A36C1B">
        <w:rPr>
          <w:b w:val="0"/>
          <w:bCs w:val="0"/>
          <w:sz w:val="22"/>
          <w:szCs w:val="22"/>
        </w:rPr>
        <w:t>(</w:t>
      </w:r>
      <w:r w:rsidR="00106C85" w:rsidRPr="00A36C1B">
        <w:rPr>
          <w:b w:val="0"/>
          <w:bCs w:val="0"/>
          <w:sz w:val="22"/>
          <w:szCs w:val="22"/>
        </w:rPr>
        <w:t>r</w:t>
      </w:r>
      <w:r w:rsidRPr="00A36C1B">
        <w:rPr>
          <w:b w:val="0"/>
          <w:bCs w:val="0"/>
          <w:sz w:val="22"/>
          <w:szCs w:val="22"/>
        </w:rPr>
        <w:t>esponse)</w:t>
      </w:r>
      <w:r w:rsidR="009D6998" w:rsidRPr="00A36C1B">
        <w:rPr>
          <w:b w:val="0"/>
          <w:bCs w:val="0"/>
          <w:sz w:val="22"/>
          <w:szCs w:val="22"/>
        </w:rPr>
        <w:t xml:space="preserve"> </w:t>
      </w:r>
      <w:r w:rsidRPr="00A36C1B">
        <w:rPr>
          <w:b w:val="0"/>
          <w:bCs w:val="0"/>
          <w:sz w:val="22"/>
          <w:szCs w:val="22"/>
        </w:rPr>
        <w:t>and</w:t>
      </w:r>
      <w:r w:rsidR="009D6998" w:rsidRPr="00A36C1B">
        <w:rPr>
          <w:b w:val="0"/>
          <w:bCs w:val="0"/>
          <w:sz w:val="22"/>
          <w:szCs w:val="22"/>
        </w:rPr>
        <w:t xml:space="preserve"> </w:t>
      </w:r>
      <w:r w:rsidR="00FB337B">
        <w:rPr>
          <w:rFonts w:asciiTheme="minorHAnsi" w:hAnsiTheme="minorHAnsi"/>
          <w:b w:val="0"/>
          <w:bCs w:val="0"/>
          <w:sz w:val="22"/>
          <w:szCs w:val="22"/>
        </w:rPr>
        <w:t>Table 4</w:t>
      </w:r>
      <w:r w:rsidR="00FB337B" w:rsidRPr="00A36C1B">
        <w:rPr>
          <w:b w:val="0"/>
          <w:bCs w:val="0"/>
          <w:sz w:val="22"/>
          <w:szCs w:val="22"/>
        </w:rPr>
        <w:t xml:space="preserve"> </w:t>
      </w:r>
      <w:r w:rsidRPr="00A36C1B">
        <w:rPr>
          <w:b w:val="0"/>
          <w:bCs w:val="0"/>
          <w:sz w:val="22"/>
          <w:szCs w:val="22"/>
        </w:rPr>
        <w:t>(</w:t>
      </w:r>
      <w:r w:rsidR="00106C85" w:rsidRPr="00A36C1B">
        <w:rPr>
          <w:b w:val="0"/>
          <w:bCs w:val="0"/>
          <w:sz w:val="22"/>
          <w:szCs w:val="22"/>
        </w:rPr>
        <w:t>c</w:t>
      </w:r>
      <w:r w:rsidRPr="00A36C1B">
        <w:rPr>
          <w:b w:val="0"/>
          <w:bCs w:val="0"/>
          <w:sz w:val="22"/>
          <w:szCs w:val="22"/>
        </w:rPr>
        <w:t>ross</w:t>
      </w:r>
      <w:r w:rsidR="00106C85" w:rsidRPr="00A36C1B">
        <w:rPr>
          <w:b w:val="0"/>
          <w:bCs w:val="0"/>
          <w:sz w:val="22"/>
          <w:szCs w:val="22"/>
        </w:rPr>
        <w:t>-</w:t>
      </w:r>
      <w:r w:rsidRPr="00A36C1B">
        <w:rPr>
          <w:b w:val="0"/>
          <w:bCs w:val="0"/>
          <w:sz w:val="22"/>
          <w:szCs w:val="22"/>
        </w:rPr>
        <w:t>cutting).</w:t>
      </w:r>
      <w:r w:rsidR="007A02BC" w:rsidRPr="00A36C1B">
        <w:rPr>
          <w:b w:val="0"/>
          <w:bCs w:val="0"/>
          <w:sz w:val="22"/>
          <w:szCs w:val="22"/>
        </w:rPr>
        <w:t xml:space="preserve"> </w:t>
      </w:r>
      <w:r w:rsidR="007B0473" w:rsidRPr="00A36C1B">
        <w:rPr>
          <w:b w:val="0"/>
          <w:bCs w:val="0"/>
          <w:sz w:val="22"/>
          <w:szCs w:val="22"/>
        </w:rPr>
        <w:t>Indicative timeframes are short term (up to 3 years), medium term (4 to 8 years) and long term (up to 10 years).</w:t>
      </w:r>
    </w:p>
    <w:p w14:paraId="754B49C8" w14:textId="77777777" w:rsidR="00A36C1B" w:rsidRDefault="00A36C1B" w:rsidP="00A36C1B"/>
    <w:p w14:paraId="7E0B7922" w14:textId="77777777" w:rsidR="00A36C1B" w:rsidRDefault="00A36C1B" w:rsidP="00A36C1B"/>
    <w:p w14:paraId="53F850A6" w14:textId="77777777" w:rsidR="00A36C1B" w:rsidRPr="00A36C1B" w:rsidRDefault="00A36C1B" w:rsidP="00A36C1B"/>
    <w:p w14:paraId="6D027EBD" w14:textId="7F751662" w:rsidR="003E17DC" w:rsidRPr="007B0473" w:rsidRDefault="00486EF9" w:rsidP="003E17DC">
      <w:pPr>
        <w:pStyle w:val="FigureTableNoteSource"/>
        <w:spacing w:before="360" w:after="60" w:line="240" w:lineRule="auto"/>
        <w:contextualSpacing w:val="0"/>
        <w:rPr>
          <w:rStyle w:val="Strong"/>
        </w:rPr>
      </w:pPr>
      <w:r>
        <w:rPr>
          <w:rStyle w:val="Strong"/>
        </w:rPr>
        <w:lastRenderedPageBreak/>
        <w:t>Status k</w:t>
      </w:r>
      <w:r w:rsidR="003E17DC" w:rsidRPr="007B0473">
        <w:rPr>
          <w:rStyle w:val="Strong"/>
        </w:rPr>
        <w:t>ey</w:t>
      </w:r>
    </w:p>
    <w:tbl>
      <w:tblPr>
        <w:tblStyle w:val="TableGrid"/>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1"/>
        <w:gridCol w:w="8644"/>
      </w:tblGrid>
      <w:tr w:rsidR="00864B0B" w:rsidRPr="009C6E83" w14:paraId="748E6D47" w14:textId="77777777" w:rsidTr="003A1099">
        <w:tc>
          <w:tcPr>
            <w:tcW w:w="23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8677839" w14:textId="77777777" w:rsidR="00864B0B" w:rsidRPr="009C6E83" w:rsidRDefault="00864B0B" w:rsidP="00280FAA">
            <w:pPr>
              <w:pStyle w:val="FigureTableNoteSource"/>
              <w:spacing w:before="60" w:after="60" w:line="240" w:lineRule="auto"/>
              <w:contextualSpacing w:val="0"/>
            </w:pPr>
          </w:p>
        </w:tc>
        <w:tc>
          <w:tcPr>
            <w:tcW w:w="4768" w:type="pct"/>
            <w:tcBorders>
              <w:top w:val="nil"/>
              <w:left w:val="single" w:sz="4" w:space="0" w:color="auto"/>
              <w:bottom w:val="nil"/>
            </w:tcBorders>
          </w:tcPr>
          <w:p w14:paraId="147C0311" w14:textId="4456132F" w:rsidR="00864B0B" w:rsidRDefault="00864B0B" w:rsidP="00280FAA">
            <w:pPr>
              <w:pStyle w:val="FigureTableNoteSource"/>
              <w:spacing w:before="60" w:after="60" w:line="240" w:lineRule="auto"/>
              <w:contextualSpacing w:val="0"/>
            </w:pPr>
            <w:r>
              <w:rPr>
                <w:rFonts w:cs="Calibri"/>
                <w:szCs w:val="18"/>
              </w:rPr>
              <w:t xml:space="preserve">Ongoing – </w:t>
            </w:r>
            <w:r>
              <w:t>business as usual activity underway</w:t>
            </w:r>
          </w:p>
        </w:tc>
      </w:tr>
      <w:tr w:rsidR="003E17DC" w:rsidRPr="009C6E83" w14:paraId="5E7EA0A7" w14:textId="77777777" w:rsidTr="00E765F1">
        <w:tc>
          <w:tcPr>
            <w:tcW w:w="232" w:type="pct"/>
            <w:tcBorders>
              <w:top w:val="single" w:sz="4" w:space="0" w:color="auto"/>
              <w:left w:val="single" w:sz="4" w:space="0" w:color="auto"/>
              <w:bottom w:val="single" w:sz="4" w:space="0" w:color="auto"/>
              <w:right w:val="single" w:sz="4" w:space="0" w:color="auto"/>
            </w:tcBorders>
            <w:shd w:val="clear" w:color="auto" w:fill="DEF0C2"/>
          </w:tcPr>
          <w:p w14:paraId="13C51126" w14:textId="7B26551B" w:rsidR="003E17DC" w:rsidRPr="009C6E83" w:rsidRDefault="003E17DC" w:rsidP="00280FAA">
            <w:pPr>
              <w:pStyle w:val="FigureTableNoteSource"/>
              <w:spacing w:before="60" w:after="60" w:line="240" w:lineRule="auto"/>
              <w:contextualSpacing w:val="0"/>
            </w:pPr>
          </w:p>
        </w:tc>
        <w:tc>
          <w:tcPr>
            <w:tcW w:w="4768" w:type="pct"/>
            <w:tcBorders>
              <w:top w:val="nil"/>
              <w:left w:val="single" w:sz="4" w:space="0" w:color="auto"/>
              <w:bottom w:val="nil"/>
            </w:tcBorders>
          </w:tcPr>
          <w:p w14:paraId="0A2F9548" w14:textId="089BF09C" w:rsidR="003E17DC" w:rsidRDefault="003E17DC" w:rsidP="00280FAA">
            <w:pPr>
              <w:pStyle w:val="FigureTableNoteSource"/>
              <w:spacing w:before="60" w:after="60" w:line="240" w:lineRule="auto"/>
              <w:contextualSpacing w:val="0"/>
              <w:rPr>
                <w:rFonts w:cs="Calibri"/>
                <w:szCs w:val="18"/>
              </w:rPr>
            </w:pPr>
            <w:r>
              <w:t>Completed</w:t>
            </w:r>
            <w:r w:rsidR="00C83DBA">
              <w:t xml:space="preserve"> –</w:t>
            </w:r>
            <w:r>
              <w:t xml:space="preserve"> project finished</w:t>
            </w:r>
          </w:p>
        </w:tc>
      </w:tr>
      <w:tr w:rsidR="003E17DC" w:rsidRPr="009C6E83" w14:paraId="4B275A3D" w14:textId="77777777" w:rsidTr="00E765F1">
        <w:tc>
          <w:tcPr>
            <w:tcW w:w="232" w:type="pct"/>
            <w:tcBorders>
              <w:top w:val="single" w:sz="4" w:space="0" w:color="auto"/>
              <w:left w:val="single" w:sz="4" w:space="0" w:color="auto"/>
              <w:bottom w:val="single" w:sz="4" w:space="0" w:color="auto"/>
              <w:right w:val="single" w:sz="4" w:space="0" w:color="auto"/>
            </w:tcBorders>
            <w:shd w:val="clear" w:color="auto" w:fill="FDF4C7"/>
          </w:tcPr>
          <w:p w14:paraId="3AE61B08" w14:textId="616A57A1" w:rsidR="003E17DC" w:rsidRPr="009C6E83" w:rsidRDefault="003E17DC" w:rsidP="00280FAA">
            <w:pPr>
              <w:pStyle w:val="FigureTableNoteSource"/>
              <w:spacing w:before="60" w:after="60" w:line="240" w:lineRule="auto"/>
              <w:contextualSpacing w:val="0"/>
            </w:pPr>
          </w:p>
        </w:tc>
        <w:tc>
          <w:tcPr>
            <w:tcW w:w="4768" w:type="pct"/>
            <w:tcBorders>
              <w:top w:val="nil"/>
              <w:left w:val="single" w:sz="4" w:space="0" w:color="auto"/>
              <w:bottom w:val="nil"/>
            </w:tcBorders>
          </w:tcPr>
          <w:p w14:paraId="28A7DF1E" w14:textId="6572D355" w:rsidR="003E17DC" w:rsidRPr="009C6E83" w:rsidRDefault="003E17DC" w:rsidP="00280FAA">
            <w:pPr>
              <w:pStyle w:val="FigureTableNoteSource"/>
              <w:spacing w:before="60" w:after="60" w:line="240" w:lineRule="auto"/>
              <w:contextualSpacing w:val="0"/>
            </w:pPr>
            <w:r>
              <w:rPr>
                <w:rFonts w:cs="Calibri"/>
                <w:szCs w:val="18"/>
              </w:rPr>
              <w:t xml:space="preserve">On track – project commenced </w:t>
            </w:r>
          </w:p>
        </w:tc>
      </w:tr>
      <w:tr w:rsidR="003E17DC" w:rsidRPr="009C6E83" w14:paraId="446E6A3C" w14:textId="77777777" w:rsidTr="00E765F1">
        <w:tc>
          <w:tcPr>
            <w:tcW w:w="232"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FBDB5EB" w14:textId="5C71A848" w:rsidR="003E17DC" w:rsidRPr="009C6E83" w:rsidRDefault="003E17DC" w:rsidP="00280FAA">
            <w:pPr>
              <w:pStyle w:val="FigureTableNoteSource"/>
              <w:spacing w:before="60" w:after="60" w:line="240" w:lineRule="auto"/>
              <w:contextualSpacing w:val="0"/>
            </w:pPr>
          </w:p>
        </w:tc>
        <w:tc>
          <w:tcPr>
            <w:tcW w:w="4768" w:type="pct"/>
            <w:tcBorders>
              <w:top w:val="nil"/>
              <w:left w:val="single" w:sz="4" w:space="0" w:color="auto"/>
              <w:bottom w:val="nil"/>
            </w:tcBorders>
          </w:tcPr>
          <w:p w14:paraId="6BF8D774" w14:textId="2129EC60" w:rsidR="003E17DC" w:rsidRPr="009C6E83" w:rsidRDefault="003E17DC" w:rsidP="00280FAA">
            <w:pPr>
              <w:pStyle w:val="FigureTableNoteSource"/>
              <w:spacing w:before="60" w:after="60" w:line="240" w:lineRule="auto"/>
              <w:contextualSpacing w:val="0"/>
            </w:pPr>
            <w:r>
              <w:rPr>
                <w:rFonts w:cs="Calibri"/>
                <w:szCs w:val="18"/>
              </w:rPr>
              <w:t>Pending –</w:t>
            </w:r>
            <w:r>
              <w:rPr>
                <w:rFonts w:cs="Calibri"/>
                <w:szCs w:val="18"/>
                <w:shd w:val="clear" w:color="auto" w:fill="FFFFFF" w:themeFill="background1"/>
              </w:rPr>
              <w:t xml:space="preserve"> project or activity is yet to</w:t>
            </w:r>
            <w:r w:rsidRPr="00541A6C">
              <w:rPr>
                <w:rFonts w:cs="Calibri"/>
                <w:szCs w:val="18"/>
                <w:shd w:val="clear" w:color="auto" w:fill="FFFFFF" w:themeFill="background1"/>
              </w:rPr>
              <w:t xml:space="preserve"> commence</w:t>
            </w:r>
          </w:p>
        </w:tc>
      </w:tr>
      <w:tr w:rsidR="00E73A65" w:rsidRPr="009C6E83" w14:paraId="7A2D66B1" w14:textId="77777777" w:rsidTr="003A1099">
        <w:tc>
          <w:tcPr>
            <w:tcW w:w="232"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ECAA4EF" w14:textId="77777777" w:rsidR="00E73A65" w:rsidRPr="009C6E83" w:rsidRDefault="00E73A65" w:rsidP="00280FAA">
            <w:pPr>
              <w:pStyle w:val="FigureTableNoteSource"/>
              <w:spacing w:before="60" w:after="60" w:line="240" w:lineRule="auto"/>
              <w:contextualSpacing w:val="0"/>
            </w:pPr>
          </w:p>
        </w:tc>
        <w:tc>
          <w:tcPr>
            <w:tcW w:w="4768" w:type="pct"/>
            <w:tcBorders>
              <w:top w:val="nil"/>
              <w:left w:val="single" w:sz="4" w:space="0" w:color="auto"/>
              <w:bottom w:val="nil"/>
            </w:tcBorders>
          </w:tcPr>
          <w:p w14:paraId="7F2644E1" w14:textId="4F16676F" w:rsidR="00E73A65" w:rsidRDefault="00A82484" w:rsidP="00280FAA">
            <w:pPr>
              <w:pStyle w:val="FigureTableNoteSource"/>
              <w:spacing w:before="60" w:after="60" w:line="240" w:lineRule="auto"/>
              <w:contextualSpacing w:val="0"/>
              <w:rPr>
                <w:rFonts w:cs="Calibri"/>
                <w:szCs w:val="18"/>
              </w:rPr>
            </w:pPr>
            <w:r>
              <w:rPr>
                <w:rFonts w:cs="Calibri"/>
                <w:szCs w:val="18"/>
              </w:rPr>
              <w:t>Deleted –</w:t>
            </w:r>
            <w:r w:rsidRPr="003A1099">
              <w:rPr>
                <w:rFonts w:cs="Calibri"/>
                <w:szCs w:val="18"/>
              </w:rPr>
              <w:t xml:space="preserve"> </w:t>
            </w:r>
            <w:r>
              <w:rPr>
                <w:rFonts w:cs="Calibri"/>
                <w:szCs w:val="18"/>
              </w:rPr>
              <w:t>project has been deleted or incorporated into another project</w:t>
            </w:r>
          </w:p>
        </w:tc>
      </w:tr>
    </w:tbl>
    <w:p w14:paraId="581DBF3C" w14:textId="6674B5F2" w:rsidR="003E17DC" w:rsidRDefault="003E17DC" w:rsidP="00013AE2">
      <w:pPr>
        <w:sectPr w:rsidR="003E17DC" w:rsidSect="005A52B0">
          <w:headerReference w:type="even" r:id="rId12"/>
          <w:headerReference w:type="default" r:id="rId13"/>
          <w:footerReference w:type="even" r:id="rId14"/>
          <w:footerReference w:type="default" r:id="rId15"/>
          <w:headerReference w:type="first" r:id="rId16"/>
          <w:footerReference w:type="first" r:id="rId17"/>
          <w:pgSz w:w="11906" w:h="16838"/>
          <w:pgMar w:top="567" w:right="1418" w:bottom="851" w:left="1418" w:header="567" w:footer="284" w:gutter="0"/>
          <w:cols w:space="708"/>
          <w:titlePg/>
          <w:docGrid w:linePitch="360"/>
        </w:sectPr>
      </w:pPr>
    </w:p>
    <w:p w14:paraId="7BB70EEE" w14:textId="0F121EFA" w:rsidR="004A246C" w:rsidRPr="00E53CDE" w:rsidRDefault="00000000" w:rsidP="00106C85">
      <w:pPr>
        <w:pStyle w:val="Caption"/>
      </w:pPr>
      <w:hyperlink w:anchor="Table_1_Action_area_1_Prevention" w:history="1">
        <w:bookmarkStart w:id="1" w:name="_Ref175566693"/>
        <w:r w:rsidR="00106C85">
          <w:t xml:space="preserve">Table </w:t>
        </w:r>
        <w:r w:rsidR="00753AB9">
          <w:fldChar w:fldCharType="begin"/>
        </w:r>
        <w:r w:rsidR="00753AB9">
          <w:instrText xml:space="preserve"> SEQ Table \* ARABIC </w:instrText>
        </w:r>
        <w:r w:rsidR="00753AB9">
          <w:fldChar w:fldCharType="separate"/>
        </w:r>
        <w:r w:rsidR="00EA64DA">
          <w:rPr>
            <w:noProof/>
          </w:rPr>
          <w:t>1</w:t>
        </w:r>
        <w:r w:rsidR="00753AB9">
          <w:rPr>
            <w:noProof/>
          </w:rPr>
          <w:fldChar w:fldCharType="end"/>
        </w:r>
        <w:bookmarkEnd w:id="1"/>
        <w:r w:rsidR="00106C85">
          <w:t xml:space="preserve"> </w:t>
        </w:r>
        <w:r w:rsidR="00106B8A" w:rsidRPr="002E7ED9">
          <w:rPr>
            <w:rStyle w:val="Hyperlink"/>
            <w:color w:val="000000"/>
            <w:u w:val="none"/>
          </w:rPr>
          <w:t>Im</w:t>
        </w:r>
        <w:bookmarkStart w:id="2" w:name="Title_Glossary"/>
        <w:bookmarkEnd w:id="2"/>
        <w:r w:rsidR="00106B8A" w:rsidRPr="002E7ED9">
          <w:rPr>
            <w:rStyle w:val="Hyperlink"/>
            <w:color w:val="000000"/>
            <w:u w:val="none"/>
          </w:rPr>
          <w:t xml:space="preserve">plementation of activities for </w:t>
        </w:r>
        <w:r w:rsidR="00004733">
          <w:rPr>
            <w:rStyle w:val="Hyperlink"/>
            <w:color w:val="000000"/>
            <w:u w:val="none"/>
          </w:rPr>
          <w:t>A</w:t>
        </w:r>
        <w:r w:rsidR="00EF42AE" w:rsidRPr="002E7ED9">
          <w:rPr>
            <w:rStyle w:val="Hyperlink"/>
            <w:color w:val="000000"/>
            <w:u w:val="none"/>
          </w:rPr>
          <w:t>rea 1: Prevention</w:t>
        </w:r>
      </w:hyperlink>
    </w:p>
    <w:tbl>
      <w:tblPr>
        <w:tblW w:w="4805" w:type="pct"/>
        <w:tblBorders>
          <w:top w:val="single" w:sz="4" w:space="0" w:color="auto"/>
          <w:bottom w:val="single" w:sz="4" w:space="0" w:color="auto"/>
          <w:insideH w:val="single" w:sz="4" w:space="0" w:color="auto"/>
        </w:tblBorders>
        <w:tblLayout w:type="fixed"/>
        <w:tblCellMar>
          <w:bottom w:w="85" w:type="dxa"/>
        </w:tblCellMar>
        <w:tblLook w:val="0000" w:firstRow="0" w:lastRow="0" w:firstColumn="0" w:lastColumn="0" w:noHBand="0" w:noVBand="0"/>
      </w:tblPr>
      <w:tblGrid>
        <w:gridCol w:w="2835"/>
        <w:gridCol w:w="2575"/>
        <w:gridCol w:w="2702"/>
        <w:gridCol w:w="1407"/>
        <w:gridCol w:w="1983"/>
        <w:gridCol w:w="1954"/>
      </w:tblGrid>
      <w:tr w:rsidR="00F10CBD" w:rsidRPr="00F81ECF" w14:paraId="68399EC7" w14:textId="77777777" w:rsidTr="004B6AAB">
        <w:trPr>
          <w:tblHeader/>
        </w:trPr>
        <w:tc>
          <w:tcPr>
            <w:tcW w:w="1053" w:type="pct"/>
            <w:tcMar>
              <w:bottom w:w="28" w:type="dxa"/>
            </w:tcMar>
          </w:tcPr>
          <w:p w14:paraId="0C4975AA" w14:textId="2B17D35B" w:rsidR="00A8715D" w:rsidRPr="00A8715D" w:rsidRDefault="00A8715D" w:rsidP="00F81ECF">
            <w:pPr>
              <w:pStyle w:val="TableHeading"/>
            </w:pPr>
            <w:bookmarkStart w:id="3" w:name="_Hlk131514123"/>
            <w:r>
              <w:t>Action</w:t>
            </w:r>
          </w:p>
        </w:tc>
        <w:tc>
          <w:tcPr>
            <w:tcW w:w="957" w:type="pct"/>
            <w:tcMar>
              <w:left w:w="108" w:type="dxa"/>
              <w:bottom w:w="28" w:type="dxa"/>
              <w:right w:w="108" w:type="dxa"/>
            </w:tcMar>
          </w:tcPr>
          <w:p w14:paraId="213A2539" w14:textId="29F2FEFF" w:rsidR="00A8715D" w:rsidRPr="007B0473" w:rsidRDefault="00A8715D" w:rsidP="00F81ECF">
            <w:pPr>
              <w:pStyle w:val="TableHeading"/>
            </w:pPr>
            <w:r w:rsidRPr="007B0473">
              <w:t xml:space="preserve">Project or </w:t>
            </w:r>
            <w:r w:rsidR="0099743D">
              <w:t>b</w:t>
            </w:r>
            <w:r w:rsidR="006F5A0E">
              <w:t>usiness as usual</w:t>
            </w:r>
            <w:r w:rsidRPr="007B0473">
              <w:t xml:space="preserve"> activity</w:t>
            </w:r>
          </w:p>
        </w:tc>
        <w:tc>
          <w:tcPr>
            <w:tcW w:w="1004" w:type="pct"/>
            <w:tcMar>
              <w:left w:w="108" w:type="dxa"/>
              <w:bottom w:w="28" w:type="dxa"/>
              <w:right w:w="108" w:type="dxa"/>
            </w:tcMar>
          </w:tcPr>
          <w:p w14:paraId="4EB2B2C7" w14:textId="5A616346" w:rsidR="00A8715D" w:rsidRPr="007B0473" w:rsidRDefault="00A8715D" w:rsidP="00F81ECF">
            <w:pPr>
              <w:pStyle w:val="TableHeading"/>
            </w:pPr>
            <w:r w:rsidRPr="007B0473">
              <w:t xml:space="preserve">Status </w:t>
            </w:r>
          </w:p>
        </w:tc>
        <w:tc>
          <w:tcPr>
            <w:tcW w:w="523" w:type="pct"/>
            <w:tcMar>
              <w:left w:w="108" w:type="dxa"/>
              <w:bottom w:w="28" w:type="dxa"/>
              <w:right w:w="108" w:type="dxa"/>
            </w:tcMar>
          </w:tcPr>
          <w:p w14:paraId="3881698A" w14:textId="02707BF9" w:rsidR="00A8715D" w:rsidRPr="007B0473" w:rsidRDefault="00A8715D" w:rsidP="00F81ECF">
            <w:pPr>
              <w:pStyle w:val="TableHeading"/>
            </w:pPr>
            <w:r w:rsidRPr="007B0473">
              <w:t>Lead organisation</w:t>
            </w:r>
          </w:p>
        </w:tc>
        <w:tc>
          <w:tcPr>
            <w:tcW w:w="737" w:type="pct"/>
            <w:tcMar>
              <w:left w:w="108" w:type="dxa"/>
              <w:bottom w:w="28" w:type="dxa"/>
              <w:right w:w="108" w:type="dxa"/>
            </w:tcMar>
          </w:tcPr>
          <w:p w14:paraId="57BAA687" w14:textId="3050AFF0" w:rsidR="00A8715D" w:rsidRPr="007B0473" w:rsidRDefault="00A8715D" w:rsidP="00F81ECF">
            <w:pPr>
              <w:pStyle w:val="TableHeading"/>
            </w:pPr>
            <w:r w:rsidRPr="007B0473">
              <w:t>Contributors (financial and in-kind)</w:t>
            </w:r>
          </w:p>
        </w:tc>
        <w:tc>
          <w:tcPr>
            <w:tcW w:w="726" w:type="pct"/>
            <w:tcMar>
              <w:left w:w="108" w:type="dxa"/>
              <w:bottom w:w="28" w:type="dxa"/>
              <w:right w:w="108" w:type="dxa"/>
            </w:tcMar>
          </w:tcPr>
          <w:p w14:paraId="2E936941" w14:textId="1A0640F9" w:rsidR="00A8715D" w:rsidRPr="007B0473" w:rsidRDefault="00A8715D" w:rsidP="00F81ECF">
            <w:pPr>
              <w:pStyle w:val="TableHeading"/>
            </w:pPr>
            <w:r w:rsidRPr="007B0473">
              <w:t>Dependencies</w:t>
            </w:r>
          </w:p>
        </w:tc>
      </w:tr>
      <w:tr w:rsidR="00F10CBD" w:rsidRPr="00013AE2" w14:paraId="2B5F390C" w14:textId="77777777" w:rsidTr="004B6AAB">
        <w:tc>
          <w:tcPr>
            <w:tcW w:w="1053" w:type="pct"/>
            <w:vMerge w:val="restart"/>
            <w:tcMar>
              <w:bottom w:w="28" w:type="dxa"/>
            </w:tcMar>
          </w:tcPr>
          <w:p w14:paraId="3B030B64" w14:textId="56DA30E7" w:rsidR="00A8715D" w:rsidRPr="00AF3D1F" w:rsidRDefault="00A8715D" w:rsidP="009D6998">
            <w:pPr>
              <w:pStyle w:val="TableText"/>
            </w:pPr>
            <w:r w:rsidRPr="00AF3D1F">
              <w:rPr>
                <w:rStyle w:val="Strong"/>
              </w:rPr>
              <w:t>Action 1.1</w:t>
            </w:r>
            <w:r w:rsidR="00AF3D1F" w:rsidRPr="00AF3D1F">
              <w:rPr>
                <w:rStyle w:val="Strong"/>
              </w:rPr>
              <w:t>:</w:t>
            </w:r>
            <w:r w:rsidR="00AF3D1F">
              <w:rPr>
                <w:rStyle w:val="Strong"/>
              </w:rPr>
              <w:t xml:space="preserve"> </w:t>
            </w:r>
            <w:r w:rsidR="00023EAD" w:rsidRPr="00023EAD">
              <w:rPr>
                <w:rStyle w:val="Strong"/>
                <w:b w:val="0"/>
                <w:bCs w:val="0"/>
              </w:rPr>
              <w:t>Co</w:t>
            </w:r>
            <w:r w:rsidR="00023EAD">
              <w:rPr>
                <w:rStyle w:val="Strong"/>
                <w:b w:val="0"/>
                <w:bCs w:val="0"/>
              </w:rPr>
              <w:t xml:space="preserve">nduct a pest risk assessment </w:t>
            </w:r>
            <w:r w:rsidR="00023EAD" w:rsidRPr="00023EAD">
              <w:rPr>
                <w:rStyle w:val="Strong"/>
                <w:b w:val="0"/>
                <w:bCs w:val="0"/>
              </w:rPr>
              <w:t>and maintain appropriate regulation at the Australian border to minimise the risk of introduction into Australia</w:t>
            </w:r>
            <w:r w:rsidR="00023EAD">
              <w:rPr>
                <w:rStyle w:val="Strong"/>
                <w:b w:val="0"/>
                <w:bCs w:val="0"/>
              </w:rPr>
              <w:t>.</w:t>
            </w:r>
          </w:p>
          <w:p w14:paraId="5D9C59A1" w14:textId="54878582" w:rsidR="00A8715D" w:rsidRPr="00AF3D1F" w:rsidRDefault="00A8715D" w:rsidP="009D6998">
            <w:pPr>
              <w:pStyle w:val="TableText"/>
            </w:pPr>
            <w:r w:rsidRPr="009D6998">
              <w:rPr>
                <w:rStyle w:val="Strong"/>
              </w:rPr>
              <w:t>Expected benefit and outcome</w:t>
            </w:r>
            <w:r w:rsidR="00AF3D1F">
              <w:rPr>
                <w:rStyle w:val="Strong"/>
              </w:rPr>
              <w:t xml:space="preserve">: </w:t>
            </w:r>
            <w:r w:rsidR="00023EAD" w:rsidRPr="00023EAD">
              <w:t>A pest risk assessment is being conducted to support</w:t>
            </w:r>
            <w:r w:rsidR="00023EAD">
              <w:t xml:space="preserve"> </w:t>
            </w:r>
            <w:r w:rsidR="00023EAD" w:rsidRPr="00023EAD">
              <w:t>emergency measures. New information on geographical distribution and host range will be taken into consideration as it becomes available and import conditions will be revised as appropriate.</w:t>
            </w:r>
          </w:p>
          <w:p w14:paraId="4D372BDB" w14:textId="3B35AFE2" w:rsidR="00A8715D" w:rsidRPr="00AA2A13" w:rsidRDefault="00A8715D" w:rsidP="009D6998">
            <w:pPr>
              <w:pStyle w:val="TableText"/>
            </w:pPr>
            <w:r w:rsidRPr="009D6998">
              <w:rPr>
                <w:rStyle w:val="Strong"/>
              </w:rPr>
              <w:t>Priority</w:t>
            </w:r>
            <w:r w:rsidR="00AF3D1F">
              <w:rPr>
                <w:rStyle w:val="Strong"/>
              </w:rPr>
              <w:t xml:space="preserve">: </w:t>
            </w:r>
            <w:r w:rsidR="00AC3C86" w:rsidRPr="00AC3C86">
              <w:rPr>
                <w:rStyle w:val="Strong"/>
                <w:b w:val="0"/>
                <w:bCs w:val="0"/>
              </w:rPr>
              <w:t>high</w:t>
            </w:r>
          </w:p>
          <w:p w14:paraId="5D363F58" w14:textId="5DE2E1EC" w:rsidR="00A8715D" w:rsidRPr="00EA74C1" w:rsidRDefault="00A8715D" w:rsidP="00AF3D1F">
            <w:pPr>
              <w:pStyle w:val="TableText"/>
            </w:pPr>
            <w:r w:rsidRPr="009D6998">
              <w:rPr>
                <w:rStyle w:val="Strong"/>
              </w:rPr>
              <w:t>Time frame</w:t>
            </w:r>
            <w:r w:rsidR="00AF3D1F">
              <w:rPr>
                <w:rStyle w:val="Strong"/>
              </w:rPr>
              <w:t xml:space="preserve">: </w:t>
            </w:r>
            <w:r w:rsidR="00AC3C86" w:rsidRPr="00AC3C86">
              <w:rPr>
                <w:rStyle w:val="Strong"/>
                <w:b w:val="0"/>
                <w:bCs w:val="0"/>
              </w:rPr>
              <w:t xml:space="preserve">short </w:t>
            </w:r>
            <w:r w:rsidRPr="00AC3C86">
              <w:t>term</w:t>
            </w:r>
          </w:p>
        </w:tc>
        <w:tc>
          <w:tcPr>
            <w:tcW w:w="957" w:type="pct"/>
            <w:tcMar>
              <w:left w:w="108" w:type="dxa"/>
              <w:bottom w:w="28" w:type="dxa"/>
              <w:right w:w="108" w:type="dxa"/>
            </w:tcMar>
          </w:tcPr>
          <w:p w14:paraId="4FA5D203" w14:textId="2929EC53" w:rsidR="00A8715D" w:rsidRPr="00EA74C1" w:rsidRDefault="00A8715D" w:rsidP="00CF400B">
            <w:pPr>
              <w:pStyle w:val="TableText"/>
              <w:tabs>
                <w:tab w:val="left" w:pos="464"/>
              </w:tabs>
            </w:pPr>
            <w:r w:rsidRPr="00EA74C1">
              <w:t>1.1.1</w:t>
            </w:r>
            <w:r>
              <w:t xml:space="preserve"> </w:t>
            </w:r>
            <w:r w:rsidR="00023EAD">
              <w:t>Draft pest risk assessment</w:t>
            </w:r>
          </w:p>
        </w:tc>
        <w:tc>
          <w:tcPr>
            <w:tcW w:w="1004" w:type="pct"/>
            <w:shd w:val="clear" w:color="auto" w:fill="FDF4C7"/>
            <w:tcMar>
              <w:left w:w="108" w:type="dxa"/>
              <w:bottom w:w="28" w:type="dxa"/>
              <w:right w:w="108" w:type="dxa"/>
            </w:tcMar>
          </w:tcPr>
          <w:p w14:paraId="5B9FE34F" w14:textId="20040F20" w:rsidR="00433776" w:rsidRDefault="00023EAD" w:rsidP="00C85977">
            <w:pPr>
              <w:pStyle w:val="TableText"/>
            </w:pPr>
            <w:r>
              <w:t>On trac</w:t>
            </w:r>
            <w:r w:rsidR="00A9795B">
              <w:t>k</w:t>
            </w:r>
            <w:r>
              <w:t xml:space="preserve"> </w:t>
            </w:r>
            <w:r w:rsidR="00FA7BAA">
              <w:t xml:space="preserve">– </w:t>
            </w:r>
            <w:r w:rsidR="006E760B">
              <w:t>p</w:t>
            </w:r>
            <w:r w:rsidR="00B277FD">
              <w:t>roject commenced</w:t>
            </w:r>
          </w:p>
          <w:p w14:paraId="27769CA0" w14:textId="420C681C" w:rsidR="00A8715D" w:rsidRPr="00BF5F05" w:rsidRDefault="00B13BB6" w:rsidP="002A349D">
            <w:pPr>
              <w:pStyle w:val="TableText"/>
              <w:spacing w:before="0" w:after="0"/>
            </w:pPr>
            <w:r>
              <w:t xml:space="preserve">Draft report for the Pest Risk Analysis for bacterial pathogens in the genus </w:t>
            </w:r>
            <w:r w:rsidRPr="00F54326">
              <w:rPr>
                <w:i/>
                <w:iCs/>
              </w:rPr>
              <w:t>Xylella</w:t>
            </w:r>
            <w:r>
              <w:t xml:space="preserve"> is available on </w:t>
            </w:r>
            <w:hyperlink r:id="rId18" w:history="1">
              <w:r w:rsidRPr="00F54326">
                <w:rPr>
                  <w:i/>
                  <w:iCs/>
                </w:rPr>
                <w:t>Xylella</w:t>
              </w:r>
              <w:r w:rsidRPr="00F54326">
                <w:t xml:space="preserve"> bacterial pathogens was released in December 2022 </w:t>
              </w:r>
              <w:r w:rsidR="00892884">
                <w:t>[</w:t>
              </w:r>
              <w:r>
                <w:rPr>
                  <w:rStyle w:val="Hyperlink"/>
                </w:rPr>
                <w:t>(available from DAFF (agriculture.gov.au)</w:t>
              </w:r>
            </w:hyperlink>
            <w:r w:rsidR="00892884">
              <w:t>]</w:t>
            </w:r>
            <w:r>
              <w:t>. The final report has been delayed due to needing a regulatory solution for testing tissue cultured plantlets without growing them out.</w:t>
            </w:r>
          </w:p>
        </w:tc>
        <w:tc>
          <w:tcPr>
            <w:tcW w:w="523" w:type="pct"/>
            <w:tcMar>
              <w:left w:w="108" w:type="dxa"/>
              <w:bottom w:w="28" w:type="dxa"/>
              <w:right w:w="108" w:type="dxa"/>
            </w:tcMar>
          </w:tcPr>
          <w:p w14:paraId="0C63704F" w14:textId="5275905F" w:rsidR="00A8715D" w:rsidRPr="00D218F7" w:rsidRDefault="00A8715D" w:rsidP="00CF400B">
            <w:pPr>
              <w:pStyle w:val="TableText"/>
            </w:pPr>
            <w:r w:rsidRPr="00D218F7">
              <w:t xml:space="preserve">Commonwealth </w:t>
            </w:r>
            <w:r w:rsidR="00023EAD">
              <w:t>(BPSSD, PSARA, PIO)</w:t>
            </w:r>
          </w:p>
        </w:tc>
        <w:tc>
          <w:tcPr>
            <w:tcW w:w="737" w:type="pct"/>
            <w:tcMar>
              <w:left w:w="108" w:type="dxa"/>
              <w:bottom w:w="28" w:type="dxa"/>
              <w:right w:w="108" w:type="dxa"/>
            </w:tcMar>
          </w:tcPr>
          <w:p w14:paraId="5DD8336E" w14:textId="3C498F5C" w:rsidR="00A8715D" w:rsidRPr="000407B5" w:rsidRDefault="00B169AF" w:rsidP="00CF400B">
            <w:pPr>
              <w:pStyle w:val="TableText"/>
            </w:pPr>
            <w:r>
              <w:t xml:space="preserve">Not applicable </w:t>
            </w:r>
          </w:p>
        </w:tc>
        <w:tc>
          <w:tcPr>
            <w:tcW w:w="726" w:type="pct"/>
            <w:tcMar>
              <w:left w:w="108" w:type="dxa"/>
              <w:bottom w:w="28" w:type="dxa"/>
              <w:right w:w="108" w:type="dxa"/>
            </w:tcMar>
          </w:tcPr>
          <w:p w14:paraId="4A39EDA9" w14:textId="1827FF89" w:rsidR="00A8715D" w:rsidRPr="00C22748" w:rsidRDefault="00894754" w:rsidP="00297EE1">
            <w:pPr>
              <w:pStyle w:val="TableText"/>
            </w:pPr>
            <w:r>
              <w:t>Supports many other action areas.</w:t>
            </w:r>
            <w:r w:rsidR="0020678E">
              <w:t xml:space="preserve"> Related to project </w:t>
            </w:r>
            <w:r w:rsidR="00B13BB6">
              <w:t>1.1.2</w:t>
            </w:r>
          </w:p>
        </w:tc>
      </w:tr>
      <w:tr w:rsidR="00BC3C67" w:rsidRPr="00013AE2" w14:paraId="27D8F90F" w14:textId="77777777" w:rsidTr="004B6AAB">
        <w:trPr>
          <w:trHeight w:val="822"/>
        </w:trPr>
        <w:tc>
          <w:tcPr>
            <w:tcW w:w="1053" w:type="pct"/>
            <w:vMerge/>
            <w:tcMar>
              <w:bottom w:w="28" w:type="dxa"/>
            </w:tcMar>
          </w:tcPr>
          <w:p w14:paraId="0D5F5AE5" w14:textId="77777777" w:rsidR="00D47405" w:rsidRPr="00EA74C1" w:rsidRDefault="00D47405" w:rsidP="00CF400B">
            <w:pPr>
              <w:pStyle w:val="TableText"/>
              <w:tabs>
                <w:tab w:val="left" w:pos="464"/>
              </w:tabs>
            </w:pPr>
          </w:p>
        </w:tc>
        <w:tc>
          <w:tcPr>
            <w:tcW w:w="957" w:type="pct"/>
            <w:tcMar>
              <w:left w:w="108" w:type="dxa"/>
              <w:bottom w:w="28" w:type="dxa"/>
              <w:right w:w="108" w:type="dxa"/>
            </w:tcMar>
          </w:tcPr>
          <w:p w14:paraId="52B28BCA" w14:textId="7FAA8F56" w:rsidR="00D47405" w:rsidRPr="00013AE2" w:rsidRDefault="00D47405" w:rsidP="00CF400B">
            <w:pPr>
              <w:pStyle w:val="TableText"/>
              <w:tabs>
                <w:tab w:val="left" w:pos="464"/>
              </w:tabs>
            </w:pPr>
            <w:r w:rsidRPr="00EA74C1">
              <w:t>1.1.2</w:t>
            </w:r>
            <w:r>
              <w:t xml:space="preserve"> </w:t>
            </w:r>
            <w:r w:rsidR="00026F52" w:rsidRPr="00CB2641">
              <w:rPr>
                <w:rStyle w:val="normaltextrun"/>
                <w:rFonts w:ascii="Calibri" w:hAnsi="Calibri" w:cs="Calibri"/>
                <w:szCs w:val="18"/>
              </w:rPr>
              <w:t>Diagnosis of</w:t>
            </w:r>
            <w:r w:rsidR="00026F52" w:rsidRPr="00CB2641">
              <w:rPr>
                <w:rStyle w:val="normaltextrun"/>
                <w:rFonts w:ascii="Calibri" w:hAnsi="Calibri"/>
                <w:i/>
              </w:rPr>
              <w:t xml:space="preserve"> Xylella </w:t>
            </w:r>
            <w:r w:rsidR="00026F52" w:rsidRPr="00CB2641">
              <w:rPr>
                <w:rStyle w:val="normaltextrun"/>
                <w:rFonts w:ascii="Calibri" w:hAnsi="Calibri" w:cs="Calibri"/>
                <w:i/>
                <w:iCs/>
                <w:szCs w:val="18"/>
              </w:rPr>
              <w:t>fastidiosa</w:t>
            </w:r>
            <w:r w:rsidR="00026F52" w:rsidRPr="00CB2641">
              <w:rPr>
                <w:rStyle w:val="normaltextrun"/>
                <w:rFonts w:ascii="Calibri" w:hAnsi="Calibri" w:cs="Calibri"/>
                <w:szCs w:val="18"/>
              </w:rPr>
              <w:t>: detection on dormant</w:t>
            </w:r>
            <w:r w:rsidR="00026F52" w:rsidRPr="00CB2641">
              <w:rPr>
                <w:rStyle w:val="normaltextrun"/>
                <w:rFonts w:ascii="Calibri" w:hAnsi="Calibri"/>
              </w:rPr>
              <w:t xml:space="preserve"> plants </w:t>
            </w:r>
            <w:r w:rsidR="00026F52" w:rsidRPr="00CB2641">
              <w:rPr>
                <w:rStyle w:val="normaltextrun"/>
                <w:rFonts w:ascii="Calibri" w:hAnsi="Calibri" w:cs="Calibri"/>
                <w:szCs w:val="18"/>
              </w:rPr>
              <w:t>and tissue culture plantlets</w:t>
            </w:r>
          </w:p>
        </w:tc>
        <w:tc>
          <w:tcPr>
            <w:tcW w:w="1004" w:type="pct"/>
            <w:shd w:val="clear" w:color="auto" w:fill="FDF4C7"/>
            <w:tcMar>
              <w:left w:w="108" w:type="dxa"/>
              <w:bottom w:w="28" w:type="dxa"/>
              <w:right w:w="108" w:type="dxa"/>
            </w:tcMar>
          </w:tcPr>
          <w:p w14:paraId="018EF851" w14:textId="7C8BF953" w:rsidR="005D4D9E" w:rsidRPr="005D4D9E" w:rsidRDefault="004052AC">
            <w:pPr>
              <w:pStyle w:val="TableText"/>
              <w:rPr>
                <w:rFonts w:cstheme="minorHAnsi"/>
                <w:szCs w:val="18"/>
              </w:rPr>
            </w:pPr>
            <w:r w:rsidRPr="005D4D9E">
              <w:rPr>
                <w:rFonts w:cstheme="minorHAnsi"/>
                <w:szCs w:val="18"/>
              </w:rPr>
              <w:t>On track</w:t>
            </w:r>
            <w:r w:rsidRPr="00BC3C67">
              <w:t xml:space="preserve"> – project </w:t>
            </w:r>
            <w:r w:rsidRPr="005D4D9E">
              <w:rPr>
                <w:rFonts w:cstheme="minorHAnsi"/>
                <w:szCs w:val="18"/>
              </w:rPr>
              <w:t>commenced</w:t>
            </w:r>
          </w:p>
          <w:p w14:paraId="26A9A9C3" w14:textId="46A9A7DB" w:rsidR="007A4AF9" w:rsidRPr="000C34EF" w:rsidRDefault="007A4AF9" w:rsidP="00141698">
            <w:pPr>
              <w:pStyle w:val="paragraph"/>
              <w:spacing w:before="0" w:beforeAutospacing="0" w:after="0" w:afterAutospacing="0"/>
              <w:textAlignment w:val="baseline"/>
              <w:rPr>
                <w:rFonts w:asciiTheme="minorHAnsi" w:hAnsiTheme="minorHAnsi" w:cstheme="minorHAnsi"/>
                <w:color w:val="0078D4"/>
                <w:sz w:val="18"/>
                <w:szCs w:val="18"/>
                <w:lang w:val="en-GB"/>
              </w:rPr>
            </w:pPr>
            <w:r w:rsidRPr="00CB2641">
              <w:rPr>
                <w:rStyle w:val="normaltextrun"/>
                <w:rFonts w:asciiTheme="minorHAnsi" w:hAnsiTheme="minorHAnsi" w:cstheme="minorHAnsi"/>
                <w:sz w:val="18"/>
                <w:szCs w:val="18"/>
              </w:rPr>
              <w:t xml:space="preserve">The </w:t>
            </w:r>
            <w:r w:rsidR="000D4C52" w:rsidRPr="00CB2641">
              <w:rPr>
                <w:rStyle w:val="normaltextrun"/>
                <w:rFonts w:asciiTheme="minorHAnsi" w:hAnsiTheme="minorHAnsi" w:cstheme="minorHAnsi"/>
                <w:sz w:val="18"/>
                <w:szCs w:val="18"/>
              </w:rPr>
              <w:t>12-month</w:t>
            </w:r>
            <w:r w:rsidR="00627890" w:rsidRPr="00CB2641">
              <w:rPr>
                <w:rStyle w:val="normaltextrun"/>
                <w:rFonts w:asciiTheme="minorHAnsi" w:hAnsiTheme="minorHAnsi" w:cstheme="minorHAnsi"/>
                <w:sz w:val="18"/>
                <w:szCs w:val="18"/>
              </w:rPr>
              <w:t xml:space="preserve"> </w:t>
            </w:r>
            <w:r w:rsidRPr="00CB2641">
              <w:rPr>
                <w:rStyle w:val="normaltextrun"/>
                <w:rFonts w:asciiTheme="minorHAnsi" w:hAnsiTheme="minorHAnsi" w:cstheme="minorHAnsi"/>
                <w:sz w:val="18"/>
                <w:szCs w:val="18"/>
              </w:rPr>
              <w:t>project</w:t>
            </w:r>
            <w:r w:rsidRPr="00CB2641">
              <w:rPr>
                <w:rStyle w:val="normaltextrun"/>
                <w:rFonts w:asciiTheme="minorHAnsi" w:hAnsiTheme="minorHAnsi" w:cstheme="minorHAnsi"/>
                <w:i/>
                <w:iCs/>
                <w:sz w:val="18"/>
                <w:szCs w:val="18"/>
              </w:rPr>
              <w:t xml:space="preserve"> </w:t>
            </w:r>
            <w:r w:rsidRPr="00CB2641">
              <w:rPr>
                <w:rStyle w:val="normaltextrun"/>
                <w:rFonts w:asciiTheme="minorHAnsi" w:hAnsiTheme="minorHAnsi" w:cstheme="minorHAnsi"/>
                <w:sz w:val="18"/>
                <w:szCs w:val="18"/>
              </w:rPr>
              <w:t xml:space="preserve">has been </w:t>
            </w:r>
            <w:r w:rsidRPr="00CB2641">
              <w:rPr>
                <w:rStyle w:val="normaltextrun"/>
                <w:rFonts w:asciiTheme="minorHAnsi" w:hAnsiTheme="minorHAnsi"/>
                <w:sz w:val="18"/>
              </w:rPr>
              <w:t>fund</w:t>
            </w:r>
            <w:r w:rsidR="00627890" w:rsidRPr="00CB2641">
              <w:rPr>
                <w:rStyle w:val="normaltextrun"/>
                <w:rFonts w:asciiTheme="minorHAnsi" w:hAnsiTheme="minorHAnsi"/>
                <w:sz w:val="18"/>
              </w:rPr>
              <w:t>ed</w:t>
            </w:r>
            <w:r w:rsidRPr="00CB2641">
              <w:rPr>
                <w:rStyle w:val="normaltextrun"/>
                <w:rFonts w:asciiTheme="minorHAnsi" w:hAnsiTheme="minorHAnsi"/>
                <w:sz w:val="18"/>
              </w:rPr>
              <w:t xml:space="preserve"> </w:t>
            </w:r>
            <w:r w:rsidRPr="00CB2641">
              <w:rPr>
                <w:rStyle w:val="normaltextrun"/>
                <w:rFonts w:asciiTheme="minorHAnsi" w:hAnsiTheme="minorHAnsi" w:cstheme="minorHAnsi"/>
                <w:sz w:val="18"/>
                <w:szCs w:val="18"/>
              </w:rPr>
              <w:t>by DAFF</w:t>
            </w:r>
            <w:r w:rsidR="00627890" w:rsidRPr="00CB2641">
              <w:rPr>
                <w:rStyle w:val="normaltextrun"/>
                <w:rFonts w:asciiTheme="minorHAnsi" w:hAnsiTheme="minorHAnsi" w:cstheme="minorHAnsi"/>
                <w:sz w:val="18"/>
                <w:szCs w:val="18"/>
              </w:rPr>
              <w:t xml:space="preserve"> and will commence February 2024</w:t>
            </w:r>
            <w:r w:rsidRPr="00CB2641">
              <w:rPr>
                <w:rStyle w:val="normaltextrun"/>
                <w:rFonts w:asciiTheme="minorHAnsi" w:hAnsiTheme="minorHAnsi" w:cstheme="minorHAnsi"/>
                <w:sz w:val="18"/>
                <w:szCs w:val="18"/>
              </w:rPr>
              <w:t>. This is a joint project between the NSW and Victorian Governments</w:t>
            </w:r>
            <w:r w:rsidR="000D4C52" w:rsidRPr="00CB2641">
              <w:rPr>
                <w:rStyle w:val="normaltextrun"/>
                <w:rFonts w:asciiTheme="minorHAnsi" w:hAnsiTheme="minorHAnsi" w:cstheme="minorHAnsi"/>
                <w:sz w:val="18"/>
                <w:szCs w:val="18"/>
              </w:rPr>
              <w:t>.</w:t>
            </w:r>
            <w:r w:rsidR="000D4C52" w:rsidRPr="00CB2641">
              <w:rPr>
                <w:rStyle w:val="normaltextrun"/>
                <w:rFonts w:asciiTheme="minorHAnsi" w:hAnsiTheme="minorHAnsi" w:cstheme="minorHAnsi"/>
                <w:sz w:val="18"/>
                <w:szCs w:val="18"/>
                <w:u w:val="single"/>
              </w:rPr>
              <w:t xml:space="preserve"> </w:t>
            </w:r>
          </w:p>
        </w:tc>
        <w:tc>
          <w:tcPr>
            <w:tcW w:w="523" w:type="pct"/>
            <w:tcMar>
              <w:left w:w="108" w:type="dxa"/>
              <w:bottom w:w="28" w:type="dxa"/>
              <w:right w:w="108" w:type="dxa"/>
            </w:tcMar>
          </w:tcPr>
          <w:p w14:paraId="55E26E76" w14:textId="75994E4D" w:rsidR="0038483B" w:rsidRPr="00013AE2" w:rsidRDefault="004052AC" w:rsidP="00CF400B">
            <w:pPr>
              <w:pStyle w:val="TableText"/>
            </w:pPr>
            <w:r>
              <w:t>Jurisdiction</w:t>
            </w:r>
          </w:p>
        </w:tc>
        <w:tc>
          <w:tcPr>
            <w:tcW w:w="737" w:type="pct"/>
            <w:tcMar>
              <w:left w:w="108" w:type="dxa"/>
              <w:bottom w:w="28" w:type="dxa"/>
              <w:right w:w="108" w:type="dxa"/>
            </w:tcMar>
          </w:tcPr>
          <w:p w14:paraId="6AB48FCA" w14:textId="4E6804EB" w:rsidR="004052AC" w:rsidRPr="00013AE2" w:rsidRDefault="004052AC" w:rsidP="00CF400B">
            <w:pPr>
              <w:pStyle w:val="TableText"/>
            </w:pPr>
            <w:r>
              <w:t>Commonwealth</w:t>
            </w:r>
          </w:p>
        </w:tc>
        <w:tc>
          <w:tcPr>
            <w:tcW w:w="726" w:type="pct"/>
            <w:tcMar>
              <w:left w:w="108" w:type="dxa"/>
              <w:bottom w:w="28" w:type="dxa"/>
              <w:right w:w="108" w:type="dxa"/>
            </w:tcMar>
          </w:tcPr>
          <w:p w14:paraId="2BFD19F1" w14:textId="1CC8C8AB" w:rsidR="00D47405" w:rsidRPr="00013AE2" w:rsidRDefault="00DC034A" w:rsidP="00297EE1">
            <w:pPr>
              <w:pStyle w:val="TableText"/>
            </w:pPr>
            <w:r>
              <w:t xml:space="preserve">Not </w:t>
            </w:r>
            <w:r w:rsidRPr="00297EE1">
              <w:t>applicable</w:t>
            </w:r>
            <w:r>
              <w:t xml:space="preserve"> </w:t>
            </w:r>
          </w:p>
        </w:tc>
      </w:tr>
      <w:tr w:rsidR="00BC3C67" w:rsidRPr="00013AE2" w14:paraId="54BA7388" w14:textId="77777777" w:rsidTr="004B6AAB">
        <w:trPr>
          <w:trHeight w:val="1382"/>
        </w:trPr>
        <w:tc>
          <w:tcPr>
            <w:tcW w:w="1053" w:type="pct"/>
            <w:vMerge w:val="restart"/>
            <w:tcMar>
              <w:bottom w:w="28" w:type="dxa"/>
            </w:tcMar>
          </w:tcPr>
          <w:p w14:paraId="3073C9FF" w14:textId="7FEFFF81" w:rsidR="0002746B" w:rsidRPr="00D47405" w:rsidRDefault="0002746B" w:rsidP="00297EE1">
            <w:pPr>
              <w:pStyle w:val="TableText"/>
              <w:rPr>
                <w:b/>
                <w:bCs/>
              </w:rPr>
            </w:pPr>
            <w:r w:rsidRPr="009D6998">
              <w:rPr>
                <w:rStyle w:val="Strong"/>
              </w:rPr>
              <w:t>Action 1.2</w:t>
            </w:r>
            <w:r>
              <w:rPr>
                <w:rStyle w:val="Strong"/>
              </w:rPr>
              <w:t xml:space="preserve">: </w:t>
            </w:r>
            <w:r w:rsidRPr="00D47405">
              <w:rPr>
                <w:rStyle w:val="Strong"/>
                <w:b w:val="0"/>
                <w:bCs w:val="0"/>
              </w:rPr>
              <w:t xml:space="preserve">Identify plants that occur in </w:t>
            </w:r>
            <w:r w:rsidRPr="00297EE1">
              <w:rPr>
                <w:rStyle w:val="Strong"/>
                <w:b w:val="0"/>
                <w:bCs w:val="0"/>
              </w:rPr>
              <w:t>Australia</w:t>
            </w:r>
            <w:r w:rsidRPr="00D47405">
              <w:rPr>
                <w:rStyle w:val="Strong"/>
                <w:b w:val="0"/>
                <w:bCs w:val="0"/>
              </w:rPr>
              <w:t xml:space="preserve"> that are known, or have potential, to be hosts</w:t>
            </w:r>
            <w:r>
              <w:rPr>
                <w:rStyle w:val="Strong"/>
                <w:b w:val="0"/>
                <w:bCs w:val="0"/>
              </w:rPr>
              <w:t>.</w:t>
            </w:r>
          </w:p>
          <w:p w14:paraId="45FB4E0C" w14:textId="2382CC16" w:rsidR="0002746B" w:rsidRDefault="0002746B" w:rsidP="00290929">
            <w:pPr>
              <w:pStyle w:val="TableText"/>
              <w:rPr>
                <w:rStyle w:val="Strong"/>
                <w:b w:val="0"/>
                <w:bCs w:val="0"/>
              </w:rPr>
            </w:pPr>
            <w:r w:rsidRPr="009D6998">
              <w:rPr>
                <w:rStyle w:val="Strong"/>
              </w:rPr>
              <w:t>Expected benefit and outcome</w:t>
            </w:r>
            <w:r>
              <w:rPr>
                <w:rStyle w:val="Strong"/>
              </w:rPr>
              <w:t xml:space="preserve">: </w:t>
            </w:r>
            <w:r w:rsidRPr="00D47405">
              <w:rPr>
                <w:rStyle w:val="Strong"/>
                <w:b w:val="0"/>
                <w:bCs w:val="0"/>
              </w:rPr>
              <w:t>To (i) identify nationally agreed list of true and experimental hosts, (ii) identify risk material and pathways, (iii) identify control/eradication methods and (iv) propose phytosanitary</w:t>
            </w:r>
            <w:r w:rsidR="00415824">
              <w:rPr>
                <w:rStyle w:val="Strong"/>
                <w:b w:val="0"/>
                <w:bCs w:val="0"/>
              </w:rPr>
              <w:t xml:space="preserve"> </w:t>
            </w:r>
            <w:r w:rsidRPr="00D47405">
              <w:rPr>
                <w:rStyle w:val="Strong"/>
                <w:b w:val="0"/>
                <w:bCs w:val="0"/>
              </w:rPr>
              <w:t xml:space="preserve">treatment options for </w:t>
            </w:r>
            <w:r w:rsidRPr="00011B18">
              <w:rPr>
                <w:rStyle w:val="Strong"/>
                <w:b w:val="0"/>
                <w:bCs w:val="0"/>
                <w:i/>
                <w:iCs/>
              </w:rPr>
              <w:t>Xylella fastidiosa</w:t>
            </w:r>
            <w:r w:rsidRPr="00D47405">
              <w:rPr>
                <w:rStyle w:val="Strong"/>
                <w:b w:val="0"/>
                <w:bCs w:val="0"/>
              </w:rPr>
              <w:t>.</w:t>
            </w:r>
          </w:p>
          <w:p w14:paraId="42DBA58D" w14:textId="7F6AEAB6" w:rsidR="0002746B" w:rsidRPr="00D47405" w:rsidRDefault="0002746B" w:rsidP="00290929">
            <w:pPr>
              <w:pStyle w:val="TableText"/>
              <w:rPr>
                <w:rStyle w:val="Strong"/>
                <w:b w:val="0"/>
                <w:bCs w:val="0"/>
              </w:rPr>
            </w:pPr>
            <w:r w:rsidRPr="00D47405">
              <w:rPr>
                <w:rStyle w:val="Strong"/>
                <w:b w:val="0"/>
                <w:bCs w:val="0"/>
              </w:rPr>
              <w:lastRenderedPageBreak/>
              <w:t xml:space="preserve">To initiate project(s) to test the ability of plants present in Australia to host </w:t>
            </w:r>
            <w:r w:rsidRPr="008F2836">
              <w:rPr>
                <w:rStyle w:val="Strong"/>
                <w:b w:val="0"/>
                <w:bCs w:val="0"/>
                <w:i/>
                <w:iCs/>
              </w:rPr>
              <w:t>Xylella</w:t>
            </w:r>
            <w:r w:rsidRPr="00D47405">
              <w:rPr>
                <w:rStyle w:val="Strong"/>
                <w:b w:val="0"/>
                <w:bCs w:val="0"/>
              </w:rPr>
              <w:t xml:space="preserve"> spp.</w:t>
            </w:r>
          </w:p>
          <w:p w14:paraId="54EE0B7C" w14:textId="24F938C1" w:rsidR="0002746B" w:rsidRPr="009D6998" w:rsidRDefault="0002746B" w:rsidP="00290929">
            <w:pPr>
              <w:pStyle w:val="TableText"/>
            </w:pPr>
            <w:r w:rsidRPr="009D6998">
              <w:rPr>
                <w:rStyle w:val="Strong"/>
              </w:rPr>
              <w:t>Priority</w:t>
            </w:r>
            <w:r>
              <w:rPr>
                <w:rStyle w:val="Strong"/>
              </w:rPr>
              <w:t xml:space="preserve">: </w:t>
            </w:r>
            <w:r w:rsidR="005E6550" w:rsidRPr="005E6550">
              <w:rPr>
                <w:rStyle w:val="Strong"/>
                <w:b w:val="0"/>
                <w:bCs w:val="0"/>
              </w:rPr>
              <w:t xml:space="preserve">high </w:t>
            </w:r>
          </w:p>
          <w:p w14:paraId="363F2FA5" w14:textId="47B0A7AC" w:rsidR="0002746B" w:rsidRPr="009D6998" w:rsidRDefault="0002746B" w:rsidP="00290929">
            <w:pPr>
              <w:pStyle w:val="TableText"/>
            </w:pPr>
            <w:r w:rsidRPr="009D6998">
              <w:rPr>
                <w:rStyle w:val="Strong"/>
              </w:rPr>
              <w:t>Time frame</w:t>
            </w:r>
            <w:r>
              <w:rPr>
                <w:rStyle w:val="Strong"/>
              </w:rPr>
              <w:t xml:space="preserve">: </w:t>
            </w:r>
            <w:r w:rsidR="005E6550" w:rsidRPr="005E6550">
              <w:rPr>
                <w:rStyle w:val="Strong"/>
                <w:b w:val="0"/>
                <w:bCs w:val="0"/>
              </w:rPr>
              <w:t>short term</w:t>
            </w:r>
          </w:p>
        </w:tc>
        <w:tc>
          <w:tcPr>
            <w:tcW w:w="957" w:type="pct"/>
            <w:tcMar>
              <w:left w:w="108" w:type="dxa"/>
              <w:bottom w:w="28" w:type="dxa"/>
              <w:right w:w="108" w:type="dxa"/>
            </w:tcMar>
          </w:tcPr>
          <w:p w14:paraId="36611EFA" w14:textId="07918570" w:rsidR="0002746B" w:rsidRPr="009C6E83" w:rsidRDefault="0002746B" w:rsidP="00C85977">
            <w:pPr>
              <w:pStyle w:val="TableText"/>
            </w:pPr>
            <w:r w:rsidRPr="009C6E83">
              <w:lastRenderedPageBreak/>
              <w:t xml:space="preserve">1.2.1 </w:t>
            </w:r>
            <w:r>
              <w:t>NPPP True Host List and Risk Pathways project delivered</w:t>
            </w:r>
          </w:p>
        </w:tc>
        <w:tc>
          <w:tcPr>
            <w:tcW w:w="1004" w:type="pct"/>
            <w:shd w:val="clear" w:color="auto" w:fill="DEF0C2"/>
            <w:tcMar>
              <w:left w:w="108" w:type="dxa"/>
              <w:bottom w:w="28" w:type="dxa"/>
              <w:right w:w="108" w:type="dxa"/>
            </w:tcMar>
          </w:tcPr>
          <w:p w14:paraId="456A3BE0" w14:textId="728C3FF1" w:rsidR="00B169AF" w:rsidRDefault="0002746B" w:rsidP="005C66F3">
            <w:pPr>
              <w:pStyle w:val="Heading4"/>
              <w:numPr>
                <w:ilvl w:val="0"/>
                <w:numId w:val="0"/>
              </w:numPr>
              <w:rPr>
                <w:rFonts w:asciiTheme="minorHAnsi" w:eastAsiaTheme="minorHAnsi" w:hAnsiTheme="minorHAnsi" w:cstheme="minorBidi"/>
                <w:b w:val="0"/>
                <w:bCs w:val="0"/>
                <w:sz w:val="18"/>
                <w:szCs w:val="22"/>
              </w:rPr>
            </w:pPr>
            <w:r w:rsidRPr="00451900">
              <w:rPr>
                <w:rFonts w:asciiTheme="minorHAnsi" w:eastAsiaTheme="minorHAnsi" w:hAnsiTheme="minorHAnsi"/>
                <w:b w:val="0"/>
                <w:sz w:val="18"/>
              </w:rPr>
              <w:t xml:space="preserve">Completed – </w:t>
            </w:r>
            <w:r w:rsidR="006E760B" w:rsidRPr="00451900">
              <w:rPr>
                <w:rFonts w:asciiTheme="minorHAnsi" w:eastAsiaTheme="minorHAnsi" w:hAnsiTheme="minorHAnsi"/>
                <w:b w:val="0"/>
                <w:sz w:val="18"/>
              </w:rPr>
              <w:t>p</w:t>
            </w:r>
            <w:r w:rsidRPr="00451900">
              <w:rPr>
                <w:rFonts w:asciiTheme="minorHAnsi" w:eastAsiaTheme="minorHAnsi" w:hAnsiTheme="minorHAnsi"/>
                <w:b w:val="0"/>
                <w:sz w:val="18"/>
              </w:rPr>
              <w:t xml:space="preserve">roject </w:t>
            </w:r>
            <w:r>
              <w:rPr>
                <w:rFonts w:asciiTheme="minorHAnsi" w:eastAsiaTheme="minorHAnsi" w:hAnsiTheme="minorHAnsi" w:cstheme="minorBidi"/>
                <w:b w:val="0"/>
                <w:bCs w:val="0"/>
                <w:sz w:val="18"/>
                <w:szCs w:val="22"/>
              </w:rPr>
              <w:t>finished</w:t>
            </w:r>
            <w:r w:rsidR="00864B0B">
              <w:rPr>
                <w:rFonts w:asciiTheme="minorHAnsi" w:eastAsiaTheme="minorHAnsi" w:hAnsiTheme="minorHAnsi" w:cstheme="minorBidi"/>
                <w:b w:val="0"/>
                <w:bCs w:val="0"/>
                <w:sz w:val="18"/>
                <w:szCs w:val="22"/>
              </w:rPr>
              <w:t xml:space="preserve"> (2023)</w:t>
            </w:r>
          </w:p>
          <w:p w14:paraId="46EE322A" w14:textId="7102E3F8" w:rsidR="00C758E5" w:rsidRPr="000E06A9" w:rsidRDefault="00C758E5" w:rsidP="00C85977">
            <w:pPr>
              <w:pStyle w:val="TableText"/>
            </w:pPr>
            <w:r w:rsidRPr="000E06A9">
              <w:t>Discussion ongoing regarding accessibility to the project outcomes</w:t>
            </w:r>
          </w:p>
        </w:tc>
        <w:tc>
          <w:tcPr>
            <w:tcW w:w="523" w:type="pct"/>
            <w:tcMar>
              <w:bottom w:w="28" w:type="dxa"/>
            </w:tcMar>
          </w:tcPr>
          <w:p w14:paraId="3B074AD4" w14:textId="0510E598" w:rsidR="0002746B" w:rsidRPr="009C6E83" w:rsidRDefault="00894754" w:rsidP="00C85977">
            <w:pPr>
              <w:pStyle w:val="TableText"/>
            </w:pPr>
            <w:r>
              <w:t xml:space="preserve">Jurisdiction  </w:t>
            </w:r>
          </w:p>
        </w:tc>
        <w:tc>
          <w:tcPr>
            <w:tcW w:w="737" w:type="pct"/>
            <w:tcMar>
              <w:left w:w="108" w:type="dxa"/>
              <w:bottom w:w="28" w:type="dxa"/>
              <w:right w:w="108" w:type="dxa"/>
            </w:tcMar>
          </w:tcPr>
          <w:p w14:paraId="21CE6B21" w14:textId="0F72E025" w:rsidR="0002746B" w:rsidRPr="009C6E83" w:rsidRDefault="00894754" w:rsidP="00C85977">
            <w:pPr>
              <w:pStyle w:val="TableText"/>
            </w:pPr>
            <w:r>
              <w:t xml:space="preserve">Commonwealth </w:t>
            </w:r>
          </w:p>
        </w:tc>
        <w:tc>
          <w:tcPr>
            <w:tcW w:w="726" w:type="pct"/>
            <w:tcMar>
              <w:left w:w="108" w:type="dxa"/>
              <w:bottom w:w="28" w:type="dxa"/>
              <w:right w:w="108" w:type="dxa"/>
            </w:tcMar>
          </w:tcPr>
          <w:p w14:paraId="06F088BD" w14:textId="6778ED65" w:rsidR="0002746B" w:rsidRPr="009C6E83" w:rsidRDefault="00894754" w:rsidP="00C85977">
            <w:pPr>
              <w:pStyle w:val="TableText"/>
            </w:pPr>
            <w:r w:rsidRPr="00297EE1">
              <w:t>Relates</w:t>
            </w:r>
            <w:r>
              <w:t xml:space="preserve"> to action 1.1</w:t>
            </w:r>
          </w:p>
        </w:tc>
      </w:tr>
      <w:tr w:rsidR="00F10CBD" w:rsidRPr="00013AE2" w14:paraId="2D41B97A" w14:textId="77777777" w:rsidTr="004B6AAB">
        <w:trPr>
          <w:trHeight w:val="702"/>
        </w:trPr>
        <w:tc>
          <w:tcPr>
            <w:tcW w:w="1053" w:type="pct"/>
            <w:vMerge/>
            <w:tcMar>
              <w:bottom w:w="28" w:type="dxa"/>
            </w:tcMar>
          </w:tcPr>
          <w:p w14:paraId="3E31498C" w14:textId="77777777" w:rsidR="0002746B" w:rsidRPr="009D6998" w:rsidRDefault="0002746B" w:rsidP="00AF3D1F">
            <w:pPr>
              <w:pStyle w:val="TableText"/>
              <w:rPr>
                <w:rStyle w:val="Strong"/>
              </w:rPr>
            </w:pPr>
          </w:p>
        </w:tc>
        <w:tc>
          <w:tcPr>
            <w:tcW w:w="957" w:type="pct"/>
            <w:tcMar>
              <w:left w:w="108" w:type="dxa"/>
              <w:bottom w:w="28" w:type="dxa"/>
              <w:right w:w="108" w:type="dxa"/>
            </w:tcMar>
          </w:tcPr>
          <w:p w14:paraId="03DF5B80" w14:textId="097DF644" w:rsidR="0002746B" w:rsidRPr="009C6E83" w:rsidRDefault="0002746B" w:rsidP="00C85977">
            <w:pPr>
              <w:pStyle w:val="TableText"/>
            </w:pPr>
            <w:r>
              <w:t xml:space="preserve">1.2.2 </w:t>
            </w:r>
            <w:r w:rsidRPr="00297EE1">
              <w:t>Research</w:t>
            </w:r>
            <w:r>
              <w:t xml:space="preserve"> the time from infection to transmission to determine a period for preventative screening</w:t>
            </w:r>
          </w:p>
        </w:tc>
        <w:tc>
          <w:tcPr>
            <w:tcW w:w="1004" w:type="pct"/>
            <w:shd w:val="clear" w:color="auto" w:fill="F2DBDB"/>
            <w:tcMar>
              <w:left w:w="108" w:type="dxa"/>
              <w:bottom w:w="28" w:type="dxa"/>
              <w:right w:w="108" w:type="dxa"/>
            </w:tcMar>
          </w:tcPr>
          <w:p w14:paraId="3AD16AB5" w14:textId="77777777" w:rsidR="0002746B" w:rsidRDefault="0002746B" w:rsidP="00C85977">
            <w:pPr>
              <w:pStyle w:val="TableText"/>
            </w:pPr>
            <w:r>
              <w:t>Pending</w:t>
            </w:r>
            <w:r w:rsidR="009522BB">
              <w:t xml:space="preserve"> – </w:t>
            </w:r>
            <w:r w:rsidR="006E760B">
              <w:t>p</w:t>
            </w:r>
            <w:r>
              <w:t xml:space="preserve">roject </w:t>
            </w:r>
            <w:r w:rsidR="009522BB">
              <w:t>to commence</w:t>
            </w:r>
            <w:r w:rsidR="00433776">
              <w:t xml:space="preserve"> when funding available</w:t>
            </w:r>
          </w:p>
          <w:p w14:paraId="2AC5F699" w14:textId="474F371B" w:rsidR="003C4AE2" w:rsidRDefault="003C4AE2" w:rsidP="00C85977">
            <w:pPr>
              <w:pStyle w:val="TableText"/>
            </w:pPr>
            <w:r>
              <w:t xml:space="preserve">Project will be </w:t>
            </w:r>
            <w:r w:rsidR="00B72CE2">
              <w:t>needed</w:t>
            </w:r>
            <w:r>
              <w:t xml:space="preserve"> to consider host, vegetative/dormant state, </w:t>
            </w:r>
            <w:r w:rsidR="008F2836">
              <w:t xml:space="preserve">xylella </w:t>
            </w:r>
            <w:r>
              <w:t>strains etc</w:t>
            </w:r>
          </w:p>
        </w:tc>
        <w:tc>
          <w:tcPr>
            <w:tcW w:w="523" w:type="pct"/>
            <w:tcMar>
              <w:bottom w:w="28" w:type="dxa"/>
            </w:tcMar>
          </w:tcPr>
          <w:p w14:paraId="07920ECC" w14:textId="19F77830" w:rsidR="0002746B" w:rsidRPr="009C6E83" w:rsidRDefault="00564F4C" w:rsidP="00C85977">
            <w:pPr>
              <w:pStyle w:val="TableText"/>
            </w:pPr>
            <w:r w:rsidRPr="00564F4C">
              <w:t>To be determined</w:t>
            </w:r>
          </w:p>
        </w:tc>
        <w:tc>
          <w:tcPr>
            <w:tcW w:w="737" w:type="pct"/>
            <w:tcMar>
              <w:left w:w="108" w:type="dxa"/>
              <w:bottom w:w="28" w:type="dxa"/>
              <w:right w:w="108" w:type="dxa"/>
            </w:tcMar>
          </w:tcPr>
          <w:p w14:paraId="094E58F7" w14:textId="405D4FF7" w:rsidR="0002746B" w:rsidRPr="009C6E83" w:rsidRDefault="00894754" w:rsidP="00C85977">
            <w:pPr>
              <w:pStyle w:val="TableText"/>
            </w:pPr>
            <w:r>
              <w:t>To be determined</w:t>
            </w:r>
          </w:p>
        </w:tc>
        <w:tc>
          <w:tcPr>
            <w:tcW w:w="726" w:type="pct"/>
            <w:tcMar>
              <w:left w:w="108" w:type="dxa"/>
              <w:bottom w:w="28" w:type="dxa"/>
              <w:right w:w="108" w:type="dxa"/>
            </w:tcMar>
          </w:tcPr>
          <w:p w14:paraId="1DB7BFB1" w14:textId="25383274" w:rsidR="0002746B" w:rsidRPr="009C6E83" w:rsidRDefault="008B6725" w:rsidP="00C85977">
            <w:pPr>
              <w:pStyle w:val="TableText"/>
            </w:pPr>
            <w:r>
              <w:t>Relates to action 1.1</w:t>
            </w:r>
          </w:p>
        </w:tc>
      </w:tr>
      <w:tr w:rsidR="00F10CBD" w:rsidRPr="00013AE2" w14:paraId="7847B5DA" w14:textId="77777777" w:rsidTr="004B6AAB">
        <w:trPr>
          <w:trHeight w:val="2712"/>
        </w:trPr>
        <w:tc>
          <w:tcPr>
            <w:tcW w:w="1053" w:type="pct"/>
            <w:vMerge/>
            <w:tcMar>
              <w:bottom w:w="28" w:type="dxa"/>
            </w:tcMar>
          </w:tcPr>
          <w:p w14:paraId="3B3A68C1" w14:textId="77777777" w:rsidR="00507B88" w:rsidRPr="009D6998" w:rsidRDefault="00507B88" w:rsidP="00AF3D1F">
            <w:pPr>
              <w:pStyle w:val="TableText"/>
              <w:rPr>
                <w:rStyle w:val="Strong"/>
              </w:rPr>
            </w:pPr>
          </w:p>
        </w:tc>
        <w:tc>
          <w:tcPr>
            <w:tcW w:w="957" w:type="pct"/>
            <w:tcMar>
              <w:left w:w="108" w:type="dxa"/>
              <w:bottom w:w="28" w:type="dxa"/>
              <w:right w:w="108" w:type="dxa"/>
            </w:tcMar>
          </w:tcPr>
          <w:p w14:paraId="4AD189FB" w14:textId="6E7AA709" w:rsidR="00507B88" w:rsidRPr="007B4AB4" w:rsidRDefault="00507B88" w:rsidP="00C85977">
            <w:pPr>
              <w:pStyle w:val="TableText"/>
            </w:pPr>
            <w:r w:rsidRPr="007B4AB4">
              <w:t>1.2</w:t>
            </w:r>
            <w:r>
              <w:t xml:space="preserve">.3 Duplicate NZ </w:t>
            </w:r>
            <w:r w:rsidRPr="00507B88">
              <w:t xml:space="preserve">MPI project to ‘Undertake research to determine if iconic Australian native plant species could be </w:t>
            </w:r>
            <w:r w:rsidR="008F2836" w:rsidRPr="00507B88">
              <w:t xml:space="preserve">xylella </w:t>
            </w:r>
            <w:r w:rsidRPr="00507B88">
              <w:t>hosts’</w:t>
            </w:r>
          </w:p>
        </w:tc>
        <w:tc>
          <w:tcPr>
            <w:tcW w:w="1004" w:type="pct"/>
            <w:shd w:val="clear" w:color="auto" w:fill="F2DBDB"/>
            <w:tcMar>
              <w:left w:w="108" w:type="dxa"/>
              <w:bottom w:w="28" w:type="dxa"/>
              <w:right w:w="108" w:type="dxa"/>
            </w:tcMar>
          </w:tcPr>
          <w:p w14:paraId="3D0ED675" w14:textId="77777777" w:rsidR="00507B88" w:rsidRDefault="00507B88" w:rsidP="00C85977">
            <w:pPr>
              <w:pStyle w:val="TableText"/>
            </w:pPr>
            <w:r>
              <w:t>Pending –</w:t>
            </w:r>
            <w:r w:rsidR="009522BB">
              <w:t xml:space="preserve"> </w:t>
            </w:r>
            <w:r w:rsidR="006E760B">
              <w:t>p</w:t>
            </w:r>
            <w:r w:rsidR="009522BB">
              <w:t>roject to commence</w:t>
            </w:r>
            <w:r w:rsidR="00433776">
              <w:t xml:space="preserve"> when funding available</w:t>
            </w:r>
          </w:p>
          <w:p w14:paraId="4DF28A6C" w14:textId="1F610AC5" w:rsidR="006F1668" w:rsidRDefault="006F1668" w:rsidP="00C85977">
            <w:pPr>
              <w:pStyle w:val="TableText"/>
            </w:pPr>
            <w:r>
              <w:t>NZ project information</w:t>
            </w:r>
            <w:r w:rsidR="00263E40">
              <w:t>:</w:t>
            </w:r>
            <w:r>
              <w:t xml:space="preserve"> </w:t>
            </w:r>
          </w:p>
          <w:p w14:paraId="63A7422A" w14:textId="121F1843" w:rsidR="006F1668" w:rsidRDefault="00000000" w:rsidP="00C85977">
            <w:pPr>
              <w:pStyle w:val="TableText"/>
            </w:pPr>
            <w:hyperlink r:id="rId19" w:history="1">
              <w:r w:rsidR="006F1668">
                <w:rPr>
                  <w:rStyle w:val="Hyperlink"/>
                </w:rPr>
                <w:t>Xylella fastidiosa (Xf) and its New Zealand vectors - B3 | Science Solutions for Better Border Biosecurity (b3nz.org.nz)</w:t>
              </w:r>
            </w:hyperlink>
          </w:p>
        </w:tc>
        <w:tc>
          <w:tcPr>
            <w:tcW w:w="523" w:type="pct"/>
            <w:tcMar>
              <w:bottom w:w="28" w:type="dxa"/>
            </w:tcMar>
          </w:tcPr>
          <w:p w14:paraId="22A23940" w14:textId="34336DA7" w:rsidR="00507B88" w:rsidRPr="009C6E83" w:rsidRDefault="00BC222E" w:rsidP="00C85977">
            <w:pPr>
              <w:pStyle w:val="TableText"/>
            </w:pPr>
            <w:r>
              <w:t>To be determined</w:t>
            </w:r>
          </w:p>
        </w:tc>
        <w:tc>
          <w:tcPr>
            <w:tcW w:w="737" w:type="pct"/>
            <w:tcMar>
              <w:left w:w="108" w:type="dxa"/>
              <w:bottom w:w="28" w:type="dxa"/>
              <w:right w:w="108" w:type="dxa"/>
            </w:tcMar>
          </w:tcPr>
          <w:p w14:paraId="447B069F" w14:textId="06771BD0" w:rsidR="00507B88" w:rsidRPr="009C6E83" w:rsidRDefault="00BC222E" w:rsidP="00C85977">
            <w:pPr>
              <w:pStyle w:val="TableText"/>
            </w:pPr>
            <w:r>
              <w:t>To be determined</w:t>
            </w:r>
          </w:p>
        </w:tc>
        <w:tc>
          <w:tcPr>
            <w:tcW w:w="726" w:type="pct"/>
            <w:tcMar>
              <w:left w:w="108" w:type="dxa"/>
              <w:bottom w:w="28" w:type="dxa"/>
              <w:right w:w="108" w:type="dxa"/>
            </w:tcMar>
          </w:tcPr>
          <w:p w14:paraId="3EB9C858" w14:textId="384C874A" w:rsidR="00507B88" w:rsidRPr="009C6E83" w:rsidRDefault="00DC034A" w:rsidP="00C85977">
            <w:pPr>
              <w:pStyle w:val="TableText"/>
            </w:pPr>
            <w:r>
              <w:t xml:space="preserve">Not applicable </w:t>
            </w:r>
          </w:p>
        </w:tc>
      </w:tr>
      <w:tr w:rsidR="00C04FE9" w:rsidRPr="00013AE2" w14:paraId="700BA001" w14:textId="77777777" w:rsidTr="004B6AAB">
        <w:trPr>
          <w:trHeight w:val="993"/>
        </w:trPr>
        <w:tc>
          <w:tcPr>
            <w:tcW w:w="1053" w:type="pct"/>
            <w:tcMar>
              <w:bottom w:w="28" w:type="dxa"/>
            </w:tcMar>
          </w:tcPr>
          <w:p w14:paraId="0EB88346" w14:textId="5DAAA1E4" w:rsidR="00C04FE9" w:rsidRPr="009522BB" w:rsidRDefault="00C04FE9" w:rsidP="00297EE1">
            <w:pPr>
              <w:pStyle w:val="TableText"/>
              <w:rPr>
                <w:rStyle w:val="Strong"/>
                <w:b w:val="0"/>
                <w:bCs w:val="0"/>
              </w:rPr>
            </w:pPr>
            <w:r w:rsidRPr="009522BB">
              <w:rPr>
                <w:rStyle w:val="Strong"/>
              </w:rPr>
              <w:t>Action 1.</w:t>
            </w:r>
            <w:r>
              <w:rPr>
                <w:rStyle w:val="Strong"/>
              </w:rPr>
              <w:t>3</w:t>
            </w:r>
            <w:r w:rsidRPr="009522BB">
              <w:rPr>
                <w:rStyle w:val="Strong"/>
              </w:rPr>
              <w:t>:</w:t>
            </w:r>
            <w:r>
              <w:rPr>
                <w:rStyle w:val="Strong"/>
              </w:rPr>
              <w:t xml:space="preserve"> </w:t>
            </w:r>
            <w:r>
              <w:rPr>
                <w:rStyle w:val="Strong"/>
                <w:b w:val="0"/>
                <w:bCs w:val="0"/>
              </w:rPr>
              <w:t xml:space="preserve">Identify insects that occur in Australia that are known, or have </w:t>
            </w:r>
            <w:r w:rsidRPr="00297EE1">
              <w:rPr>
                <w:rStyle w:val="Strong"/>
                <w:b w:val="0"/>
                <w:bCs w:val="0"/>
              </w:rPr>
              <w:t>potential</w:t>
            </w:r>
            <w:r>
              <w:rPr>
                <w:rStyle w:val="Strong"/>
                <w:b w:val="0"/>
                <w:bCs w:val="0"/>
              </w:rPr>
              <w:t xml:space="preserve">, to vector </w:t>
            </w:r>
            <w:r w:rsidR="008F2836">
              <w:rPr>
                <w:rStyle w:val="Strong"/>
                <w:b w:val="0"/>
                <w:bCs w:val="0"/>
              </w:rPr>
              <w:t>xylella</w:t>
            </w:r>
            <w:r>
              <w:rPr>
                <w:rStyle w:val="Strong"/>
                <w:b w:val="0"/>
                <w:bCs w:val="0"/>
              </w:rPr>
              <w:t xml:space="preserve">. </w:t>
            </w:r>
          </w:p>
          <w:p w14:paraId="5790BF23" w14:textId="3DC3BEBB" w:rsidR="00C04FE9" w:rsidRPr="009522BB" w:rsidRDefault="00C04FE9" w:rsidP="009522BB">
            <w:pPr>
              <w:pStyle w:val="TableText"/>
              <w:rPr>
                <w:rStyle w:val="Strong"/>
                <w:b w:val="0"/>
                <w:bCs w:val="0"/>
              </w:rPr>
            </w:pPr>
            <w:r w:rsidRPr="009522BB">
              <w:rPr>
                <w:rStyle w:val="Strong"/>
              </w:rPr>
              <w:t xml:space="preserve">Expected benefit and outcome: </w:t>
            </w:r>
            <w:r>
              <w:rPr>
                <w:rStyle w:val="Strong"/>
                <w:b w:val="0"/>
                <w:bCs w:val="0"/>
              </w:rPr>
              <w:t xml:space="preserve">To conduct research that will contribute to a better understanding of the potential for native insects to be vectors for </w:t>
            </w:r>
            <w:r w:rsidRPr="009522BB">
              <w:rPr>
                <w:rStyle w:val="Strong"/>
                <w:b w:val="0"/>
                <w:bCs w:val="0"/>
                <w:i/>
                <w:iCs/>
              </w:rPr>
              <w:t>Xylella</w:t>
            </w:r>
            <w:r>
              <w:rPr>
                <w:rStyle w:val="Strong"/>
                <w:b w:val="0"/>
                <w:bCs w:val="0"/>
              </w:rPr>
              <w:t xml:space="preserve"> spp.</w:t>
            </w:r>
          </w:p>
          <w:p w14:paraId="420164D3" w14:textId="0B520B3E" w:rsidR="00C04FE9" w:rsidRPr="009522BB" w:rsidRDefault="00C04FE9" w:rsidP="009522BB">
            <w:pPr>
              <w:pStyle w:val="TableText"/>
              <w:rPr>
                <w:rStyle w:val="Strong"/>
              </w:rPr>
            </w:pPr>
            <w:r w:rsidRPr="009522BB">
              <w:rPr>
                <w:rStyle w:val="Strong"/>
              </w:rPr>
              <w:t xml:space="preserve">Priority: </w:t>
            </w:r>
            <w:r w:rsidRPr="005E6550">
              <w:rPr>
                <w:rStyle w:val="Strong"/>
                <w:b w:val="0"/>
                <w:bCs w:val="0"/>
              </w:rPr>
              <w:t>high</w:t>
            </w:r>
          </w:p>
          <w:p w14:paraId="2ABBFA27" w14:textId="62C30E5C" w:rsidR="00C04FE9" w:rsidRPr="009D6998" w:rsidRDefault="00C04FE9" w:rsidP="009522BB">
            <w:pPr>
              <w:pStyle w:val="TableText"/>
              <w:rPr>
                <w:rStyle w:val="Strong"/>
              </w:rPr>
            </w:pPr>
            <w:r w:rsidRPr="009522BB">
              <w:rPr>
                <w:rStyle w:val="Strong"/>
              </w:rPr>
              <w:t xml:space="preserve">Time frame: </w:t>
            </w:r>
            <w:r w:rsidRPr="005E6550">
              <w:rPr>
                <w:rStyle w:val="Strong"/>
                <w:b w:val="0"/>
                <w:bCs w:val="0"/>
              </w:rPr>
              <w:t>short term</w:t>
            </w:r>
            <w:r>
              <w:rPr>
                <w:rStyle w:val="Strong"/>
              </w:rPr>
              <w:t xml:space="preserve"> </w:t>
            </w:r>
          </w:p>
        </w:tc>
        <w:tc>
          <w:tcPr>
            <w:tcW w:w="957" w:type="pct"/>
            <w:tcMar>
              <w:left w:w="108" w:type="dxa"/>
              <w:bottom w:w="28" w:type="dxa"/>
              <w:right w:w="108" w:type="dxa"/>
            </w:tcMar>
          </w:tcPr>
          <w:p w14:paraId="0878824A" w14:textId="5D9AAB36" w:rsidR="00C04FE9" w:rsidRPr="009522BB" w:rsidRDefault="00C04FE9" w:rsidP="00C85977">
            <w:pPr>
              <w:pStyle w:val="TableText"/>
            </w:pPr>
            <w:r w:rsidRPr="009522BB">
              <w:t xml:space="preserve">1.3.1 Tools and </w:t>
            </w:r>
            <w:r>
              <w:t>k</w:t>
            </w:r>
            <w:r w:rsidRPr="009522BB">
              <w:t xml:space="preserve">nowledge to mitigate the potential spread of </w:t>
            </w:r>
            <w:r w:rsidRPr="00011B18">
              <w:rPr>
                <w:i/>
                <w:iCs/>
              </w:rPr>
              <w:t>Xylella fastidiosa</w:t>
            </w:r>
            <w:r w:rsidRPr="009522BB">
              <w:t xml:space="preserve"> in Australia and New Zealand by understanding its potential vectors </w:t>
            </w:r>
          </w:p>
        </w:tc>
        <w:tc>
          <w:tcPr>
            <w:tcW w:w="1004" w:type="pct"/>
            <w:shd w:val="clear" w:color="auto" w:fill="FDF4C7"/>
            <w:tcMar>
              <w:left w:w="108" w:type="dxa"/>
              <w:bottom w:w="28" w:type="dxa"/>
              <w:right w:w="108" w:type="dxa"/>
            </w:tcMar>
          </w:tcPr>
          <w:p w14:paraId="63BA3730" w14:textId="25E95802" w:rsidR="00C04FE9" w:rsidRPr="00BB65B3" w:rsidRDefault="00C04FE9" w:rsidP="00C85977">
            <w:pPr>
              <w:pStyle w:val="TableText"/>
            </w:pPr>
            <w:r>
              <w:t>On track – project commenced and to be completed in 2024</w:t>
            </w:r>
            <w:r w:rsidR="00286E08">
              <w:t>.</w:t>
            </w:r>
          </w:p>
          <w:p w14:paraId="14BD69CE" w14:textId="2272A426" w:rsidR="00C42AF8" w:rsidRPr="00141698" w:rsidRDefault="00C42AF8" w:rsidP="00141698">
            <w:pPr>
              <w:rPr>
                <w:b/>
                <w:bCs/>
                <w:sz w:val="18"/>
                <w:szCs w:val="18"/>
              </w:rPr>
            </w:pPr>
            <w:r w:rsidRPr="00141698">
              <w:rPr>
                <w:sz w:val="18"/>
                <w:szCs w:val="18"/>
              </w:rPr>
              <w:t>This project demonstrates potential native vector present in abundance in Australia and New Zealand. Discussion with PBRI</w:t>
            </w:r>
            <w:r w:rsidR="003C4AE2">
              <w:rPr>
                <w:sz w:val="18"/>
                <w:szCs w:val="18"/>
              </w:rPr>
              <w:t>/B3 NZ and DAFF</w:t>
            </w:r>
            <w:r w:rsidRPr="00141698">
              <w:rPr>
                <w:sz w:val="18"/>
                <w:szCs w:val="18"/>
              </w:rPr>
              <w:t xml:space="preserve"> on how to continue this investigation </w:t>
            </w:r>
            <w:r w:rsidR="003C4AE2">
              <w:rPr>
                <w:sz w:val="18"/>
                <w:szCs w:val="18"/>
              </w:rPr>
              <w:t>is</w:t>
            </w:r>
            <w:r w:rsidRPr="00141698">
              <w:rPr>
                <w:sz w:val="18"/>
                <w:szCs w:val="18"/>
              </w:rPr>
              <w:t xml:space="preserve"> underway. </w:t>
            </w:r>
          </w:p>
          <w:p w14:paraId="122AF560" w14:textId="51B1FE0E" w:rsidR="00AB1290" w:rsidRPr="00AB1290" w:rsidRDefault="00000000" w:rsidP="00F9109F">
            <w:pPr>
              <w:rPr>
                <w:rFonts w:cstheme="minorHAnsi"/>
                <w:sz w:val="18"/>
                <w:szCs w:val="18"/>
              </w:rPr>
            </w:pPr>
            <w:hyperlink r:id="rId20" w:history="1">
              <w:r w:rsidR="00AB1290" w:rsidRPr="00AB1290">
                <w:rPr>
                  <w:rStyle w:val="cf01"/>
                  <w:rFonts w:asciiTheme="minorHAnsi" w:hAnsiTheme="minorHAnsi" w:cstheme="minorHAnsi"/>
                  <w:color w:val="0000FF"/>
                  <w:u w:val="single"/>
                </w:rPr>
                <w:t>Hort Innovation | Xylella insect vectors (ST19018) (horticulture.com.au)</w:t>
              </w:r>
            </w:hyperlink>
          </w:p>
        </w:tc>
        <w:tc>
          <w:tcPr>
            <w:tcW w:w="523" w:type="pct"/>
            <w:tcMar>
              <w:bottom w:w="28" w:type="dxa"/>
            </w:tcMar>
          </w:tcPr>
          <w:p w14:paraId="0AB71E12" w14:textId="3E77F7D5" w:rsidR="00C04FE9" w:rsidRDefault="00C04FE9" w:rsidP="00C85977">
            <w:pPr>
              <w:pStyle w:val="TableText"/>
            </w:pPr>
            <w:r>
              <w:t>Jurisdiction</w:t>
            </w:r>
          </w:p>
          <w:p w14:paraId="757D3561" w14:textId="028E3E12" w:rsidR="00911CF0" w:rsidRDefault="00911CF0" w:rsidP="00C85977">
            <w:pPr>
              <w:pStyle w:val="TableText"/>
            </w:pPr>
            <w:r>
              <w:t>Macquarie University</w:t>
            </w:r>
          </w:p>
          <w:p w14:paraId="151428F6" w14:textId="3B83FB29" w:rsidR="00C04FE9" w:rsidRPr="0056113C" w:rsidRDefault="00C04FE9" w:rsidP="00C85977">
            <w:pPr>
              <w:pStyle w:val="TableText"/>
            </w:pPr>
            <w:r>
              <w:t xml:space="preserve"> </w:t>
            </w:r>
          </w:p>
        </w:tc>
        <w:tc>
          <w:tcPr>
            <w:tcW w:w="737" w:type="pct"/>
            <w:tcMar>
              <w:left w:w="108" w:type="dxa"/>
              <w:bottom w:w="28" w:type="dxa"/>
              <w:right w:w="108" w:type="dxa"/>
            </w:tcMar>
          </w:tcPr>
          <w:p w14:paraId="3F658732" w14:textId="7794058C" w:rsidR="00911CF0" w:rsidRPr="00433C0F" w:rsidRDefault="00911CF0" w:rsidP="00911CF0">
            <w:pPr>
              <w:pStyle w:val="TableText"/>
            </w:pPr>
            <w:r w:rsidRPr="00433C0F">
              <w:t>Wine Australia</w:t>
            </w:r>
          </w:p>
          <w:p w14:paraId="79FE3517" w14:textId="77777777" w:rsidR="00C04FE9" w:rsidRDefault="00911CF0" w:rsidP="00911CF0">
            <w:pPr>
              <w:pStyle w:val="TableText"/>
            </w:pPr>
            <w:r>
              <w:t>Hort Innovation</w:t>
            </w:r>
          </w:p>
          <w:p w14:paraId="41742AFA" w14:textId="0BC9827D" w:rsidR="00911CF0" w:rsidRPr="009C6E83" w:rsidRDefault="00911CF0" w:rsidP="00911CF0">
            <w:pPr>
              <w:pStyle w:val="TableText"/>
            </w:pPr>
            <w:r>
              <w:t>Commonwealth (PPEBD)</w:t>
            </w:r>
          </w:p>
        </w:tc>
        <w:tc>
          <w:tcPr>
            <w:tcW w:w="726" w:type="pct"/>
            <w:tcMar>
              <w:left w:w="108" w:type="dxa"/>
              <w:bottom w:w="28" w:type="dxa"/>
              <w:right w:w="108" w:type="dxa"/>
            </w:tcMar>
          </w:tcPr>
          <w:p w14:paraId="20A188D9" w14:textId="7266E8BF" w:rsidR="00C04FE9" w:rsidRPr="009C6E83" w:rsidRDefault="00C04FE9" w:rsidP="00C85977">
            <w:pPr>
              <w:pStyle w:val="TableText"/>
            </w:pPr>
            <w:r>
              <w:t>Relates to action 1.1</w:t>
            </w:r>
          </w:p>
        </w:tc>
      </w:tr>
      <w:tr w:rsidR="00F10CBD" w:rsidRPr="00013AE2" w14:paraId="33B603F9" w14:textId="77777777" w:rsidTr="003A1099">
        <w:trPr>
          <w:trHeight w:val="758"/>
        </w:trPr>
        <w:tc>
          <w:tcPr>
            <w:tcW w:w="1053" w:type="pct"/>
            <w:vMerge w:val="restart"/>
            <w:tcMar>
              <w:bottom w:w="28" w:type="dxa"/>
            </w:tcMar>
          </w:tcPr>
          <w:p w14:paraId="51FC4E45" w14:textId="53109028" w:rsidR="00877577" w:rsidRPr="00433C0F" w:rsidRDefault="00877577" w:rsidP="00297EE1">
            <w:pPr>
              <w:pStyle w:val="TableText"/>
              <w:rPr>
                <w:rStyle w:val="Strong"/>
                <w:b w:val="0"/>
                <w:bCs w:val="0"/>
              </w:rPr>
            </w:pPr>
            <w:r w:rsidRPr="00433C0F">
              <w:rPr>
                <w:rStyle w:val="Strong"/>
              </w:rPr>
              <w:t>Action 1.</w:t>
            </w:r>
            <w:r>
              <w:rPr>
                <w:rStyle w:val="Strong"/>
              </w:rPr>
              <w:t>4</w:t>
            </w:r>
            <w:r w:rsidRPr="00433C0F">
              <w:rPr>
                <w:rStyle w:val="Strong"/>
              </w:rPr>
              <w:t xml:space="preserve">: </w:t>
            </w:r>
            <w:r>
              <w:rPr>
                <w:rStyle w:val="Strong"/>
                <w:b w:val="0"/>
                <w:bCs w:val="0"/>
              </w:rPr>
              <w:t xml:space="preserve">Analyse known and </w:t>
            </w:r>
            <w:r w:rsidRPr="00297EE1">
              <w:rPr>
                <w:rStyle w:val="Strong"/>
                <w:b w:val="0"/>
                <w:bCs w:val="0"/>
              </w:rPr>
              <w:t>potential</w:t>
            </w:r>
            <w:r>
              <w:rPr>
                <w:rStyle w:val="Strong"/>
                <w:b w:val="0"/>
                <w:bCs w:val="0"/>
              </w:rPr>
              <w:t xml:space="preserve"> vectors and hosts to improve understanding of potential risks. </w:t>
            </w:r>
          </w:p>
          <w:p w14:paraId="575383E8" w14:textId="55D06809" w:rsidR="00877577" w:rsidRPr="00433C0F" w:rsidRDefault="00877577" w:rsidP="00433C0F">
            <w:pPr>
              <w:pStyle w:val="TableText"/>
              <w:rPr>
                <w:rStyle w:val="Strong"/>
              </w:rPr>
            </w:pPr>
            <w:r w:rsidRPr="00433C0F">
              <w:rPr>
                <w:rStyle w:val="Strong"/>
              </w:rPr>
              <w:t>Expected benefit and outcome:</w:t>
            </w:r>
            <w:r>
              <w:rPr>
                <w:rStyle w:val="Strong"/>
              </w:rPr>
              <w:t xml:space="preserve"> </w:t>
            </w:r>
            <w:r>
              <w:rPr>
                <w:rStyle w:val="Strong"/>
                <w:b w:val="0"/>
                <w:bCs w:val="0"/>
              </w:rPr>
              <w:t>To conduct research to improve understanding of potential risks from known and potential vectors and hosts, drawing on outcomes from Actions 1.1 to 1.3.</w:t>
            </w:r>
            <w:r w:rsidRPr="00433C0F">
              <w:rPr>
                <w:rStyle w:val="Strong"/>
              </w:rPr>
              <w:t xml:space="preserve"> </w:t>
            </w:r>
          </w:p>
          <w:p w14:paraId="39F84920" w14:textId="7B118F24" w:rsidR="00877577" w:rsidRPr="00433C0F" w:rsidRDefault="00877577" w:rsidP="00433C0F">
            <w:pPr>
              <w:pStyle w:val="TableText"/>
              <w:rPr>
                <w:rStyle w:val="Strong"/>
              </w:rPr>
            </w:pPr>
            <w:r w:rsidRPr="00433C0F">
              <w:rPr>
                <w:rStyle w:val="Strong"/>
              </w:rPr>
              <w:t xml:space="preserve">Priority: </w:t>
            </w:r>
            <w:r w:rsidR="005E6550" w:rsidRPr="005E6550">
              <w:rPr>
                <w:rStyle w:val="Strong"/>
                <w:b w:val="0"/>
                <w:bCs w:val="0"/>
              </w:rPr>
              <w:t>medium</w:t>
            </w:r>
          </w:p>
          <w:p w14:paraId="77E3E9F9" w14:textId="38B77977" w:rsidR="00877577" w:rsidRPr="009522BB" w:rsidRDefault="00877577" w:rsidP="00433C0F">
            <w:pPr>
              <w:pStyle w:val="TableText"/>
              <w:rPr>
                <w:rStyle w:val="Strong"/>
              </w:rPr>
            </w:pPr>
            <w:r w:rsidRPr="00433C0F">
              <w:rPr>
                <w:rStyle w:val="Strong"/>
              </w:rPr>
              <w:lastRenderedPageBreak/>
              <w:t xml:space="preserve">Time frame: </w:t>
            </w:r>
            <w:r w:rsidR="005E6550" w:rsidRPr="005E6550">
              <w:rPr>
                <w:rStyle w:val="Strong"/>
                <w:b w:val="0"/>
                <w:bCs w:val="0"/>
              </w:rPr>
              <w:t>medium term</w:t>
            </w:r>
          </w:p>
        </w:tc>
        <w:tc>
          <w:tcPr>
            <w:tcW w:w="957" w:type="pct"/>
            <w:tcMar>
              <w:left w:w="108" w:type="dxa"/>
              <w:bottom w:w="28" w:type="dxa"/>
              <w:right w:w="108" w:type="dxa"/>
            </w:tcMar>
          </w:tcPr>
          <w:p w14:paraId="7D93DDAE" w14:textId="4B367B0A" w:rsidR="007E6650" w:rsidRPr="009522BB" w:rsidRDefault="00877577" w:rsidP="00C85977">
            <w:pPr>
              <w:pStyle w:val="TableText"/>
            </w:pPr>
            <w:r>
              <w:lastRenderedPageBreak/>
              <w:t>1.</w:t>
            </w:r>
            <w:r w:rsidRPr="00257539">
              <w:t>4.1</w:t>
            </w:r>
            <w:r w:rsidR="00894754">
              <w:t xml:space="preserve"> </w:t>
            </w:r>
          </w:p>
        </w:tc>
        <w:tc>
          <w:tcPr>
            <w:tcW w:w="1004" w:type="pct"/>
            <w:shd w:val="clear" w:color="auto" w:fill="FABF8F" w:themeFill="accent6" w:themeFillTint="99"/>
            <w:tcMar>
              <w:left w:w="108" w:type="dxa"/>
              <w:bottom w:w="28" w:type="dxa"/>
              <w:right w:w="108" w:type="dxa"/>
            </w:tcMar>
          </w:tcPr>
          <w:p w14:paraId="29473781" w14:textId="34E658EE" w:rsidR="009F70A1" w:rsidRDefault="009F70A1" w:rsidP="00C85977">
            <w:pPr>
              <w:pStyle w:val="TableText"/>
              <w:rPr>
                <w:rFonts w:cstheme="minorHAnsi"/>
                <w:szCs w:val="18"/>
              </w:rPr>
            </w:pPr>
            <w:r>
              <w:rPr>
                <w:rFonts w:cstheme="minorHAnsi"/>
                <w:szCs w:val="18"/>
              </w:rPr>
              <w:t>Deleted</w:t>
            </w:r>
          </w:p>
          <w:p w14:paraId="2CAC4F87" w14:textId="00F3EFE8" w:rsidR="001437C3" w:rsidRPr="00390928" w:rsidRDefault="00E73A65" w:rsidP="00C85977">
            <w:pPr>
              <w:pStyle w:val="TableText"/>
            </w:pPr>
            <w:r>
              <w:rPr>
                <w:rFonts w:cstheme="minorHAnsi"/>
                <w:szCs w:val="18"/>
              </w:rPr>
              <w:t xml:space="preserve">In 2023, this project was agreed to be </w:t>
            </w:r>
            <w:r>
              <w:t>deleted, as the project title was missing in earlier versions and stakeholders were unclear about the intent of the work.</w:t>
            </w:r>
            <w:r>
              <w:rPr>
                <w:rFonts w:cstheme="minorHAnsi"/>
                <w:szCs w:val="18"/>
              </w:rPr>
              <w:t xml:space="preserve"> </w:t>
            </w:r>
          </w:p>
        </w:tc>
        <w:tc>
          <w:tcPr>
            <w:tcW w:w="523" w:type="pct"/>
            <w:tcMar>
              <w:bottom w:w="28" w:type="dxa"/>
            </w:tcMar>
          </w:tcPr>
          <w:p w14:paraId="6973B67F" w14:textId="4C9F9D7F" w:rsidR="00877577" w:rsidRDefault="004501EF" w:rsidP="00C85977">
            <w:pPr>
              <w:pStyle w:val="TableText"/>
            </w:pPr>
            <w:r>
              <w:t>To be determined</w:t>
            </w:r>
          </w:p>
        </w:tc>
        <w:tc>
          <w:tcPr>
            <w:tcW w:w="737" w:type="pct"/>
            <w:tcMar>
              <w:left w:w="108" w:type="dxa"/>
              <w:bottom w:w="28" w:type="dxa"/>
              <w:right w:w="108" w:type="dxa"/>
            </w:tcMar>
          </w:tcPr>
          <w:p w14:paraId="172D18C8" w14:textId="2269F1CC" w:rsidR="00877577" w:rsidRPr="009C6E83" w:rsidRDefault="00BC222E" w:rsidP="00C85977">
            <w:pPr>
              <w:pStyle w:val="TableText"/>
            </w:pPr>
            <w:r>
              <w:t>To be determined</w:t>
            </w:r>
          </w:p>
        </w:tc>
        <w:tc>
          <w:tcPr>
            <w:tcW w:w="726" w:type="pct"/>
            <w:tcMar>
              <w:left w:w="108" w:type="dxa"/>
              <w:bottom w:w="28" w:type="dxa"/>
              <w:right w:w="108" w:type="dxa"/>
            </w:tcMar>
          </w:tcPr>
          <w:p w14:paraId="4864D13A" w14:textId="08893948" w:rsidR="00877577" w:rsidRDefault="00894754" w:rsidP="00C85977">
            <w:pPr>
              <w:pStyle w:val="TableText"/>
            </w:pPr>
            <w:r>
              <w:t>Dependent on action 1.1, 1.2, 1.3</w:t>
            </w:r>
            <w:r w:rsidR="0007122E">
              <w:t xml:space="preserve"> (in particular project 1.3.1)</w:t>
            </w:r>
          </w:p>
          <w:p w14:paraId="381C60B0" w14:textId="79F9F7EA" w:rsidR="00E212E1" w:rsidRPr="00E212E1" w:rsidRDefault="00E212E1" w:rsidP="00011B18">
            <w:pPr>
              <w:rPr>
                <w:sz w:val="18"/>
                <w:szCs w:val="18"/>
              </w:rPr>
            </w:pPr>
            <w:r w:rsidRPr="00011B18">
              <w:rPr>
                <w:sz w:val="18"/>
                <w:szCs w:val="18"/>
              </w:rPr>
              <w:t>Relates to action 1.3, 4.4</w:t>
            </w:r>
          </w:p>
        </w:tc>
      </w:tr>
      <w:tr w:rsidR="00F10CBD" w:rsidRPr="00013AE2" w14:paraId="70605AFD" w14:textId="77777777" w:rsidTr="004B6AAB">
        <w:trPr>
          <w:trHeight w:val="1263"/>
        </w:trPr>
        <w:tc>
          <w:tcPr>
            <w:tcW w:w="1053" w:type="pct"/>
            <w:vMerge/>
            <w:tcMar>
              <w:bottom w:w="28" w:type="dxa"/>
            </w:tcMar>
          </w:tcPr>
          <w:p w14:paraId="75C1B323" w14:textId="77777777" w:rsidR="00877577" w:rsidRPr="00433C0F" w:rsidRDefault="00877577" w:rsidP="00433C0F">
            <w:pPr>
              <w:pStyle w:val="TableText"/>
              <w:rPr>
                <w:rStyle w:val="Strong"/>
              </w:rPr>
            </w:pPr>
          </w:p>
        </w:tc>
        <w:tc>
          <w:tcPr>
            <w:tcW w:w="957" w:type="pct"/>
            <w:tcMar>
              <w:left w:w="108" w:type="dxa"/>
              <w:bottom w:w="28" w:type="dxa"/>
              <w:right w:w="108" w:type="dxa"/>
            </w:tcMar>
          </w:tcPr>
          <w:p w14:paraId="23024445" w14:textId="7DC44973" w:rsidR="00877577" w:rsidRDefault="00877577" w:rsidP="00C85977">
            <w:pPr>
              <w:pStyle w:val="TableText"/>
            </w:pPr>
            <w:r>
              <w:t>1.4.</w:t>
            </w:r>
            <w:r w:rsidR="00143CB0">
              <w:t>1</w:t>
            </w:r>
            <w:r>
              <w:t xml:space="preserve"> </w:t>
            </w:r>
            <w:r w:rsidR="00535319">
              <w:t>A</w:t>
            </w:r>
            <w:r>
              <w:t xml:space="preserve">nalyse vectors to determine if there are any differences in the strains/species they can vector </w:t>
            </w:r>
          </w:p>
        </w:tc>
        <w:tc>
          <w:tcPr>
            <w:tcW w:w="1004" w:type="pct"/>
            <w:shd w:val="clear" w:color="auto" w:fill="F2DBDB"/>
            <w:tcMar>
              <w:left w:w="108" w:type="dxa"/>
              <w:bottom w:w="28" w:type="dxa"/>
              <w:right w:w="108" w:type="dxa"/>
            </w:tcMar>
          </w:tcPr>
          <w:p w14:paraId="0952DC82" w14:textId="0AD8C558" w:rsidR="00B25859" w:rsidRPr="00BB65B3" w:rsidRDefault="00877577" w:rsidP="00C85977">
            <w:pPr>
              <w:pStyle w:val="TableText"/>
            </w:pPr>
            <w:r w:rsidRPr="00317C7B">
              <w:t xml:space="preserve">Pending – </w:t>
            </w:r>
            <w:r w:rsidR="006E760B">
              <w:t>p</w:t>
            </w:r>
            <w:r w:rsidRPr="00317C7B">
              <w:t>roject to commence</w:t>
            </w:r>
            <w:r w:rsidR="00433776">
              <w:t xml:space="preserve"> when funding available</w:t>
            </w:r>
          </w:p>
          <w:p w14:paraId="2901DCF7" w14:textId="7BB24D40" w:rsidR="00C758E5" w:rsidRPr="00317C7B" w:rsidRDefault="00317C7B" w:rsidP="00011B18">
            <w:pPr>
              <w:spacing w:after="0" w:line="240" w:lineRule="auto"/>
              <w:rPr>
                <w:sz w:val="18"/>
                <w:szCs w:val="18"/>
              </w:rPr>
            </w:pPr>
            <w:r w:rsidRPr="00317C7B">
              <w:rPr>
                <w:sz w:val="18"/>
                <w:szCs w:val="18"/>
              </w:rPr>
              <w:t>Project proposed at 6 May 2021 forum</w:t>
            </w:r>
            <w:r w:rsidR="0007122E">
              <w:rPr>
                <w:sz w:val="18"/>
                <w:szCs w:val="18"/>
              </w:rPr>
              <w:t xml:space="preserve">. </w:t>
            </w:r>
            <w:r w:rsidRPr="00317C7B">
              <w:rPr>
                <w:sz w:val="18"/>
                <w:szCs w:val="18"/>
              </w:rPr>
              <w:t xml:space="preserve">This proposal is under review by the Commonwealth. </w:t>
            </w:r>
          </w:p>
        </w:tc>
        <w:tc>
          <w:tcPr>
            <w:tcW w:w="523" w:type="pct"/>
            <w:tcMar>
              <w:bottom w:w="28" w:type="dxa"/>
            </w:tcMar>
          </w:tcPr>
          <w:p w14:paraId="4786B7A9" w14:textId="6D14E265" w:rsidR="00877577" w:rsidRDefault="00F77273" w:rsidP="00C85977">
            <w:pPr>
              <w:pStyle w:val="TableText"/>
            </w:pPr>
            <w:r>
              <w:t>Commonwealth (BPSSD, PSARA)</w:t>
            </w:r>
          </w:p>
        </w:tc>
        <w:tc>
          <w:tcPr>
            <w:tcW w:w="737" w:type="pct"/>
            <w:tcMar>
              <w:left w:w="108" w:type="dxa"/>
              <w:bottom w:w="28" w:type="dxa"/>
              <w:right w:w="108" w:type="dxa"/>
            </w:tcMar>
          </w:tcPr>
          <w:p w14:paraId="1640B69F" w14:textId="333E0D70" w:rsidR="00877577" w:rsidRPr="009C6E83" w:rsidRDefault="00BC222E" w:rsidP="00C85977">
            <w:pPr>
              <w:pStyle w:val="TableText"/>
            </w:pPr>
            <w:r>
              <w:t>To be determined.</w:t>
            </w:r>
          </w:p>
        </w:tc>
        <w:tc>
          <w:tcPr>
            <w:tcW w:w="726" w:type="pct"/>
            <w:tcMar>
              <w:left w:w="108" w:type="dxa"/>
              <w:bottom w:w="28" w:type="dxa"/>
              <w:right w:w="108" w:type="dxa"/>
            </w:tcMar>
          </w:tcPr>
          <w:p w14:paraId="4BAABEA3" w14:textId="05A8D31B" w:rsidR="00877577" w:rsidRDefault="00894754" w:rsidP="00C85977">
            <w:pPr>
              <w:pStyle w:val="TableText"/>
            </w:pPr>
            <w:r>
              <w:t>Dependent on action 1.1, 1.2, 1.3</w:t>
            </w:r>
          </w:p>
        </w:tc>
      </w:tr>
      <w:tr w:rsidR="00F10CBD" w:rsidRPr="00013AE2" w14:paraId="2BF9629F" w14:textId="77777777" w:rsidTr="003A1099">
        <w:trPr>
          <w:trHeight w:val="362"/>
        </w:trPr>
        <w:tc>
          <w:tcPr>
            <w:tcW w:w="1053" w:type="pct"/>
            <w:vMerge w:val="restart"/>
            <w:tcMar>
              <w:bottom w:w="28" w:type="dxa"/>
            </w:tcMar>
          </w:tcPr>
          <w:p w14:paraId="08CE5EA9" w14:textId="5AD4E344" w:rsidR="00FA7BAA" w:rsidRPr="00B3156A" w:rsidRDefault="00FA7BAA" w:rsidP="00297EE1">
            <w:pPr>
              <w:pStyle w:val="TableText"/>
              <w:rPr>
                <w:rStyle w:val="Strong"/>
                <w:b w:val="0"/>
                <w:bCs w:val="0"/>
              </w:rPr>
            </w:pPr>
            <w:r w:rsidRPr="00B3156A">
              <w:rPr>
                <w:rStyle w:val="Strong"/>
              </w:rPr>
              <w:t>Action 1.</w:t>
            </w:r>
            <w:r>
              <w:rPr>
                <w:rStyle w:val="Strong"/>
              </w:rPr>
              <w:t>5</w:t>
            </w:r>
            <w:r w:rsidRPr="00B3156A">
              <w:rPr>
                <w:rStyle w:val="Strong"/>
              </w:rPr>
              <w:t xml:space="preserve">: </w:t>
            </w:r>
            <w:r>
              <w:rPr>
                <w:rStyle w:val="Strong"/>
                <w:b w:val="0"/>
                <w:bCs w:val="0"/>
              </w:rPr>
              <w:t>Build biosecurity capacity in our southeast Asian and Pacific neighbours.</w:t>
            </w:r>
          </w:p>
          <w:p w14:paraId="70123EA0" w14:textId="75A1CACD" w:rsidR="00FA7BAA" w:rsidRPr="00B3156A" w:rsidRDefault="00FA7BAA" w:rsidP="00B3156A">
            <w:pPr>
              <w:pStyle w:val="TableText"/>
              <w:rPr>
                <w:rStyle w:val="Strong"/>
                <w:b w:val="0"/>
                <w:bCs w:val="0"/>
              </w:rPr>
            </w:pPr>
            <w:r w:rsidRPr="00B3156A">
              <w:rPr>
                <w:rStyle w:val="Strong"/>
              </w:rPr>
              <w:t xml:space="preserve">Expected benefit and outcome: </w:t>
            </w:r>
            <w:r w:rsidRPr="00B3156A">
              <w:rPr>
                <w:rStyle w:val="Strong"/>
                <w:b w:val="0"/>
                <w:bCs w:val="0"/>
              </w:rPr>
              <w:t>To</w:t>
            </w:r>
            <w:r>
              <w:rPr>
                <w:rStyle w:val="Strong"/>
                <w:b w:val="0"/>
                <w:bCs w:val="0"/>
              </w:rPr>
              <w:t xml:space="preserve"> build biosecurity capability and capacity by exchanging </w:t>
            </w:r>
            <w:r w:rsidRPr="00B3156A">
              <w:rPr>
                <w:rStyle w:val="Strong"/>
                <w:b w:val="0"/>
                <w:bCs w:val="0"/>
              </w:rPr>
              <w:t>information about emerging pests as part of ongoing dialogue, including in relation to the Pacific Plant Protection Organisation and Asia and Pacific Plant Protection Commission.</w:t>
            </w:r>
          </w:p>
          <w:p w14:paraId="06F97A0A" w14:textId="3791EDE8" w:rsidR="00FA7BAA" w:rsidRPr="00B3156A" w:rsidRDefault="00FA7BAA" w:rsidP="00B3156A">
            <w:pPr>
              <w:pStyle w:val="TableText"/>
              <w:rPr>
                <w:rStyle w:val="Strong"/>
              </w:rPr>
            </w:pPr>
            <w:r w:rsidRPr="00B3156A">
              <w:rPr>
                <w:rStyle w:val="Strong"/>
              </w:rPr>
              <w:t xml:space="preserve">Priority: </w:t>
            </w:r>
            <w:r w:rsidR="005E6550" w:rsidRPr="005E6550">
              <w:rPr>
                <w:rStyle w:val="Strong"/>
                <w:b w:val="0"/>
                <w:bCs w:val="0"/>
              </w:rPr>
              <w:t>medium</w:t>
            </w:r>
          </w:p>
          <w:p w14:paraId="287EF843" w14:textId="1B10A61C" w:rsidR="00FA7BAA" w:rsidRPr="00433C0F" w:rsidRDefault="00FA7BAA" w:rsidP="00B3156A">
            <w:pPr>
              <w:pStyle w:val="TableText"/>
              <w:rPr>
                <w:rStyle w:val="Strong"/>
              </w:rPr>
            </w:pPr>
            <w:r w:rsidRPr="00B3156A">
              <w:rPr>
                <w:rStyle w:val="Strong"/>
              </w:rPr>
              <w:t xml:space="preserve">Time frame: </w:t>
            </w:r>
            <w:r w:rsidR="005E6550" w:rsidRPr="005E6550">
              <w:rPr>
                <w:rStyle w:val="Strong"/>
                <w:b w:val="0"/>
                <w:bCs w:val="0"/>
              </w:rPr>
              <w:t>long term</w:t>
            </w:r>
          </w:p>
        </w:tc>
        <w:tc>
          <w:tcPr>
            <w:tcW w:w="957" w:type="pct"/>
            <w:tcMar>
              <w:left w:w="108" w:type="dxa"/>
              <w:bottom w:w="28" w:type="dxa"/>
              <w:right w:w="108" w:type="dxa"/>
            </w:tcMar>
          </w:tcPr>
          <w:p w14:paraId="2A06FB95" w14:textId="2A73E4B2" w:rsidR="00FA7BAA" w:rsidRPr="00B3156A" w:rsidRDefault="00FA7BAA" w:rsidP="00C85977">
            <w:pPr>
              <w:pStyle w:val="TableText"/>
            </w:pPr>
            <w:r>
              <w:t>1</w:t>
            </w:r>
            <w:r w:rsidRPr="00B3156A">
              <w:t>.5.1</w:t>
            </w:r>
            <w:r>
              <w:t xml:space="preserve"> </w:t>
            </w:r>
            <w:r w:rsidRPr="00B3156A">
              <w:t xml:space="preserve">Bilateral </w:t>
            </w:r>
            <w:r w:rsidR="0007122E">
              <w:t>s</w:t>
            </w:r>
            <w:r w:rsidRPr="00B3156A">
              <w:t>upport</w:t>
            </w:r>
            <w:r>
              <w:t xml:space="preserve"> </w:t>
            </w:r>
          </w:p>
        </w:tc>
        <w:tc>
          <w:tcPr>
            <w:tcW w:w="1004" w:type="pct"/>
            <w:shd w:val="clear" w:color="auto" w:fill="C6D9F1" w:themeFill="text2" w:themeFillTint="33"/>
            <w:tcMar>
              <w:left w:w="108" w:type="dxa"/>
              <w:bottom w:w="28" w:type="dxa"/>
              <w:right w:w="108" w:type="dxa"/>
            </w:tcMar>
          </w:tcPr>
          <w:p w14:paraId="769FCC2D" w14:textId="6B30EDDA" w:rsidR="00B25859" w:rsidRPr="00011B18" w:rsidRDefault="00FA7BAA" w:rsidP="00C85977">
            <w:pPr>
              <w:pStyle w:val="TableText"/>
            </w:pPr>
            <w:r>
              <w:t xml:space="preserve">Ongoing – </w:t>
            </w:r>
            <w:r w:rsidR="006E760B">
              <w:t>b</w:t>
            </w:r>
            <w:r>
              <w:t>usiness as usual</w:t>
            </w:r>
          </w:p>
          <w:p w14:paraId="68EE5A6B" w14:textId="74B93011" w:rsidR="008168EA" w:rsidRPr="00011B18" w:rsidRDefault="008168EA" w:rsidP="00C85977">
            <w:pPr>
              <w:pStyle w:val="TableText"/>
              <w:rPr>
                <w:sz w:val="22"/>
              </w:rPr>
            </w:pPr>
            <w:r w:rsidRPr="00011B18">
              <w:t xml:space="preserve">The Commonwealth provides technical and operational </w:t>
            </w:r>
            <w:r w:rsidR="00892884" w:rsidRPr="00011B18">
              <w:t xml:space="preserve">xylella </w:t>
            </w:r>
            <w:r w:rsidRPr="00011B18">
              <w:t xml:space="preserve">surveillance and diagnostics support to biosecurity and plant protection agencies in our near neighbours (Timor-Leste, PNG and Solomon Island The Commonwealth has also facilitated </w:t>
            </w:r>
            <w:r w:rsidR="00892884" w:rsidRPr="00011B18">
              <w:t xml:space="preserve">xylella </w:t>
            </w:r>
            <w:r w:rsidRPr="00011B18">
              <w:t>diagnostics training of near neighbour plant pathology representatives and also facilitated and funded near neighbour CPPOs to attend the International Xylella Symposium (held in Brisbane, May 2017).</w:t>
            </w:r>
          </w:p>
        </w:tc>
        <w:tc>
          <w:tcPr>
            <w:tcW w:w="523" w:type="pct"/>
            <w:tcMar>
              <w:bottom w:w="28" w:type="dxa"/>
            </w:tcMar>
          </w:tcPr>
          <w:p w14:paraId="1B0FAC2A" w14:textId="71194ADC" w:rsidR="00FA7BAA" w:rsidRDefault="00FA7BAA" w:rsidP="00C85977">
            <w:pPr>
              <w:pStyle w:val="TableText"/>
            </w:pPr>
            <w:r>
              <w:t>Commonwealth (PPEBD)</w:t>
            </w:r>
          </w:p>
        </w:tc>
        <w:tc>
          <w:tcPr>
            <w:tcW w:w="737" w:type="pct"/>
            <w:tcMar>
              <w:left w:w="108" w:type="dxa"/>
              <w:bottom w:w="28" w:type="dxa"/>
              <w:right w:w="108" w:type="dxa"/>
            </w:tcMar>
          </w:tcPr>
          <w:p w14:paraId="434C934F" w14:textId="312B4B18" w:rsidR="00FA7BAA" w:rsidRPr="009C6E83" w:rsidRDefault="00B169AF" w:rsidP="00C85977">
            <w:pPr>
              <w:pStyle w:val="TableText"/>
            </w:pPr>
            <w:r>
              <w:t xml:space="preserve">Not applicable </w:t>
            </w:r>
          </w:p>
        </w:tc>
        <w:tc>
          <w:tcPr>
            <w:tcW w:w="726" w:type="pct"/>
            <w:tcMar>
              <w:left w:w="108" w:type="dxa"/>
              <w:bottom w:w="28" w:type="dxa"/>
              <w:right w:w="108" w:type="dxa"/>
            </w:tcMar>
          </w:tcPr>
          <w:p w14:paraId="69D563ED" w14:textId="71BBAF15" w:rsidR="008B6725" w:rsidRDefault="00894754" w:rsidP="00C85977">
            <w:pPr>
              <w:pStyle w:val="TableText"/>
            </w:pPr>
            <w:r>
              <w:t>Supports many other action areas</w:t>
            </w:r>
          </w:p>
          <w:p w14:paraId="6BBC258C" w14:textId="4838A533" w:rsidR="008B6725" w:rsidRPr="008B6725" w:rsidRDefault="008B6725" w:rsidP="008B6725">
            <w:pPr>
              <w:rPr>
                <w:rFonts w:cstheme="minorHAnsi"/>
                <w:sz w:val="18"/>
                <w:szCs w:val="18"/>
              </w:rPr>
            </w:pPr>
            <w:r w:rsidRPr="008B6725">
              <w:rPr>
                <w:rFonts w:cstheme="minorHAnsi"/>
                <w:sz w:val="18"/>
                <w:szCs w:val="18"/>
              </w:rPr>
              <w:t>Dependent on outcome of bilateral discussions and approvals</w:t>
            </w:r>
          </w:p>
        </w:tc>
      </w:tr>
      <w:tr w:rsidR="00F10CBD" w:rsidRPr="00013AE2" w14:paraId="4885FFD3" w14:textId="77777777" w:rsidTr="003A1099">
        <w:trPr>
          <w:trHeight w:val="504"/>
        </w:trPr>
        <w:tc>
          <w:tcPr>
            <w:tcW w:w="1053" w:type="pct"/>
            <w:vMerge/>
            <w:tcMar>
              <w:bottom w:w="28" w:type="dxa"/>
            </w:tcMar>
          </w:tcPr>
          <w:p w14:paraId="11A68C65" w14:textId="77777777" w:rsidR="00894754" w:rsidRPr="00B3156A" w:rsidRDefault="00894754" w:rsidP="00894754">
            <w:pPr>
              <w:pStyle w:val="TableText"/>
              <w:rPr>
                <w:rStyle w:val="Strong"/>
              </w:rPr>
            </w:pPr>
          </w:p>
        </w:tc>
        <w:tc>
          <w:tcPr>
            <w:tcW w:w="957" w:type="pct"/>
            <w:tcMar>
              <w:left w:w="108" w:type="dxa"/>
              <w:bottom w:w="28" w:type="dxa"/>
              <w:right w:w="108" w:type="dxa"/>
            </w:tcMar>
          </w:tcPr>
          <w:p w14:paraId="3D64C546" w14:textId="51DDD025" w:rsidR="00894754" w:rsidRPr="00B3156A" w:rsidRDefault="00894754" w:rsidP="00C85977">
            <w:pPr>
              <w:pStyle w:val="TableText"/>
            </w:pPr>
            <w:r>
              <w:t xml:space="preserve">1.5.2 Regional </w:t>
            </w:r>
            <w:r w:rsidR="0007122E">
              <w:t>s</w:t>
            </w:r>
            <w:r>
              <w:t>upport</w:t>
            </w:r>
          </w:p>
        </w:tc>
        <w:tc>
          <w:tcPr>
            <w:tcW w:w="1004" w:type="pct"/>
            <w:shd w:val="clear" w:color="auto" w:fill="C6D9F1" w:themeFill="text2" w:themeFillTint="33"/>
            <w:tcMar>
              <w:left w:w="108" w:type="dxa"/>
              <w:bottom w:w="28" w:type="dxa"/>
              <w:right w:w="108" w:type="dxa"/>
            </w:tcMar>
          </w:tcPr>
          <w:p w14:paraId="0FAACC64" w14:textId="3CFE9111" w:rsidR="00B25859" w:rsidRPr="00011B18" w:rsidRDefault="00894754" w:rsidP="00C85977">
            <w:pPr>
              <w:pStyle w:val="TableText"/>
            </w:pPr>
            <w:r>
              <w:t>Ongoing – business as usual</w:t>
            </w:r>
          </w:p>
          <w:p w14:paraId="5DF0EC50" w14:textId="48BED8FE" w:rsidR="008168EA" w:rsidRPr="001544E7" w:rsidRDefault="008168EA" w:rsidP="00C85977">
            <w:pPr>
              <w:pStyle w:val="TableText"/>
            </w:pPr>
            <w:r w:rsidRPr="00011B18">
              <w:t xml:space="preserve">The Commonwealth has also provided regional technical support through the Asia Pacific Plant Protection Commission (APPPC) by coordinating and delivering a series of 5 annual technical surveillance workshops, focusing on Regional Priority Plant Pests (of which </w:t>
            </w:r>
            <w:r w:rsidR="00892884" w:rsidRPr="00011B18">
              <w:t xml:space="preserve">xylella </w:t>
            </w:r>
            <w:r w:rsidRPr="00011B18">
              <w:t xml:space="preserve">is a priority target). These workshops have focussed on priority pest surveillance, monitoring, reporting and surveillance information management for member countries of the Asia and </w:t>
            </w:r>
            <w:r w:rsidRPr="00011B18">
              <w:lastRenderedPageBreak/>
              <w:t xml:space="preserve">Pacific Plant Protection Commission. These workshops will also support national and regional </w:t>
            </w:r>
            <w:r w:rsidR="00892884" w:rsidRPr="00011B18">
              <w:t xml:space="preserve">xylella </w:t>
            </w:r>
            <w:r w:rsidRPr="00011B18">
              <w:t xml:space="preserve">monitoring and management programs and link into </w:t>
            </w:r>
            <w:r w:rsidR="00890BA6">
              <w:t>r</w:t>
            </w:r>
            <w:r w:rsidRPr="00011B18">
              <w:t xml:space="preserve">egional </w:t>
            </w:r>
            <w:r w:rsidR="00892884" w:rsidRPr="00011B18">
              <w:t xml:space="preserve">xylella </w:t>
            </w:r>
            <w:r w:rsidRPr="00011B18">
              <w:t>management programs.</w:t>
            </w:r>
          </w:p>
        </w:tc>
        <w:tc>
          <w:tcPr>
            <w:tcW w:w="523" w:type="pct"/>
            <w:tcMar>
              <w:bottom w:w="28" w:type="dxa"/>
            </w:tcMar>
          </w:tcPr>
          <w:p w14:paraId="7EA6A9C0" w14:textId="09F1CB9C" w:rsidR="00894754" w:rsidRDefault="00894754" w:rsidP="00C85977">
            <w:pPr>
              <w:pStyle w:val="TableText"/>
            </w:pPr>
            <w:r>
              <w:lastRenderedPageBreak/>
              <w:t>Commonwealth (PPEBD)</w:t>
            </w:r>
          </w:p>
        </w:tc>
        <w:tc>
          <w:tcPr>
            <w:tcW w:w="737" w:type="pct"/>
            <w:tcMar>
              <w:left w:w="108" w:type="dxa"/>
              <w:bottom w:w="28" w:type="dxa"/>
              <w:right w:w="108" w:type="dxa"/>
            </w:tcMar>
          </w:tcPr>
          <w:p w14:paraId="5ACB3225" w14:textId="41F4AC3D" w:rsidR="00894754" w:rsidRPr="009C6E83" w:rsidRDefault="00B169AF" w:rsidP="00C85977">
            <w:pPr>
              <w:pStyle w:val="TableText"/>
            </w:pPr>
            <w:r>
              <w:t xml:space="preserve">Not applicable </w:t>
            </w:r>
          </w:p>
        </w:tc>
        <w:tc>
          <w:tcPr>
            <w:tcW w:w="726" w:type="pct"/>
            <w:tcMar>
              <w:left w:w="108" w:type="dxa"/>
              <w:bottom w:w="28" w:type="dxa"/>
              <w:right w:w="108" w:type="dxa"/>
            </w:tcMar>
          </w:tcPr>
          <w:p w14:paraId="632552BC" w14:textId="1EB06DA2" w:rsidR="00894754" w:rsidRDefault="00894754" w:rsidP="00C85977">
            <w:pPr>
              <w:pStyle w:val="TableText"/>
            </w:pPr>
            <w:r>
              <w:t>Supports many other action areas</w:t>
            </w:r>
          </w:p>
          <w:p w14:paraId="404F97F9" w14:textId="29E3EC76" w:rsidR="008B6725" w:rsidRPr="008B6725" w:rsidRDefault="008B6725" w:rsidP="008B6725">
            <w:r w:rsidRPr="008B6725">
              <w:rPr>
                <w:rFonts w:cstheme="minorHAnsi"/>
                <w:sz w:val="18"/>
                <w:szCs w:val="18"/>
              </w:rPr>
              <w:t>Dependent on outcome of bilateral discussions and approvals</w:t>
            </w:r>
          </w:p>
        </w:tc>
      </w:tr>
      <w:tr w:rsidR="00F10CBD" w:rsidRPr="00013AE2" w14:paraId="229798BC" w14:textId="77777777" w:rsidTr="003A1099">
        <w:trPr>
          <w:trHeight w:val="929"/>
        </w:trPr>
        <w:tc>
          <w:tcPr>
            <w:tcW w:w="1053" w:type="pct"/>
            <w:vMerge/>
            <w:tcMar>
              <w:bottom w:w="28" w:type="dxa"/>
            </w:tcMar>
          </w:tcPr>
          <w:p w14:paraId="78EF9DD0" w14:textId="77777777" w:rsidR="00894754" w:rsidRPr="00B3156A" w:rsidRDefault="00894754" w:rsidP="00894754">
            <w:pPr>
              <w:pStyle w:val="TableText"/>
              <w:rPr>
                <w:rStyle w:val="Strong"/>
              </w:rPr>
            </w:pPr>
          </w:p>
        </w:tc>
        <w:tc>
          <w:tcPr>
            <w:tcW w:w="957" w:type="pct"/>
            <w:tcMar>
              <w:left w:w="108" w:type="dxa"/>
              <w:bottom w:w="28" w:type="dxa"/>
              <w:right w:w="108" w:type="dxa"/>
            </w:tcMar>
          </w:tcPr>
          <w:p w14:paraId="1B863225" w14:textId="30CF439F" w:rsidR="00894754" w:rsidRPr="00B3156A" w:rsidRDefault="00894754" w:rsidP="00C85977">
            <w:pPr>
              <w:pStyle w:val="TableText"/>
            </w:pPr>
            <w:r>
              <w:t xml:space="preserve">1.5.3 Global </w:t>
            </w:r>
            <w:r w:rsidR="00C5096D">
              <w:t>s</w:t>
            </w:r>
            <w:r>
              <w:t>upport</w:t>
            </w:r>
          </w:p>
        </w:tc>
        <w:tc>
          <w:tcPr>
            <w:tcW w:w="1004" w:type="pct"/>
            <w:shd w:val="clear" w:color="auto" w:fill="C6D9F1" w:themeFill="text2" w:themeFillTint="33"/>
            <w:tcMar>
              <w:left w:w="108" w:type="dxa"/>
              <w:bottom w:w="28" w:type="dxa"/>
              <w:right w:w="108" w:type="dxa"/>
            </w:tcMar>
          </w:tcPr>
          <w:p w14:paraId="42A6E4ED" w14:textId="016033F2" w:rsidR="008168EA" w:rsidRPr="00BB65B3" w:rsidRDefault="00894754" w:rsidP="00C85977">
            <w:pPr>
              <w:pStyle w:val="TableText"/>
            </w:pPr>
            <w:r>
              <w:t>Ongoing – business as usual</w:t>
            </w:r>
          </w:p>
          <w:p w14:paraId="063E7968" w14:textId="5F38AA7A" w:rsidR="00894754" w:rsidRDefault="008168EA" w:rsidP="00011B18">
            <w:pPr>
              <w:pStyle w:val="Heading4"/>
              <w:numPr>
                <w:ilvl w:val="0"/>
                <w:numId w:val="0"/>
              </w:numPr>
              <w:rPr>
                <w:rFonts w:asciiTheme="minorHAnsi" w:eastAsiaTheme="minorHAnsi" w:hAnsiTheme="minorHAnsi" w:cstheme="minorBidi"/>
                <w:b w:val="0"/>
                <w:bCs w:val="0"/>
                <w:sz w:val="18"/>
                <w:szCs w:val="22"/>
              </w:rPr>
            </w:pPr>
            <w:r w:rsidRPr="00011B18">
              <w:rPr>
                <w:rFonts w:eastAsiaTheme="minorHAnsi" w:cs="Calibri"/>
                <w:b w:val="0"/>
                <w:bCs w:val="0"/>
                <w:sz w:val="18"/>
                <w:szCs w:val="22"/>
              </w:rPr>
              <w:t xml:space="preserve">The Commonwealth is represented within the International Plant Protection Convention (IPPC) by surveillance subject matter experts on the IPPC Implementation and Capacity Building Committee. The representative is currently leading the IPPC ‘Global Surveillance Initiative’ project and the development of ‘international’ protocols, guidelines and tools for </w:t>
            </w:r>
            <w:r w:rsidR="00892884" w:rsidRPr="00011B18">
              <w:rPr>
                <w:rFonts w:eastAsiaTheme="minorHAnsi" w:cs="Calibri"/>
                <w:b w:val="0"/>
                <w:bCs w:val="0"/>
                <w:sz w:val="18"/>
                <w:szCs w:val="22"/>
              </w:rPr>
              <w:t xml:space="preserve">xylella </w:t>
            </w:r>
            <w:r w:rsidRPr="00011B18">
              <w:rPr>
                <w:rFonts w:eastAsiaTheme="minorHAnsi" w:cs="Calibri"/>
                <w:b w:val="0"/>
                <w:bCs w:val="0"/>
                <w:sz w:val="18"/>
                <w:szCs w:val="22"/>
              </w:rPr>
              <w:t>surveillance, inspection, diagnostics and modelling are one of the key deliverables of this project.</w:t>
            </w:r>
          </w:p>
        </w:tc>
        <w:tc>
          <w:tcPr>
            <w:tcW w:w="523" w:type="pct"/>
            <w:tcMar>
              <w:bottom w:w="28" w:type="dxa"/>
            </w:tcMar>
          </w:tcPr>
          <w:p w14:paraId="25C43498" w14:textId="4C32538D" w:rsidR="00894754" w:rsidRDefault="00894754" w:rsidP="00C85977">
            <w:pPr>
              <w:pStyle w:val="TableText"/>
            </w:pPr>
            <w:r>
              <w:t>Commonwealth (PPEBD)</w:t>
            </w:r>
          </w:p>
        </w:tc>
        <w:tc>
          <w:tcPr>
            <w:tcW w:w="737" w:type="pct"/>
            <w:tcMar>
              <w:left w:w="108" w:type="dxa"/>
              <w:bottom w:w="28" w:type="dxa"/>
              <w:right w:w="108" w:type="dxa"/>
            </w:tcMar>
          </w:tcPr>
          <w:p w14:paraId="73226C54" w14:textId="6A7E4673" w:rsidR="00894754" w:rsidRPr="009C6E83" w:rsidRDefault="0030792A" w:rsidP="00C85977">
            <w:pPr>
              <w:pStyle w:val="TableText"/>
            </w:pPr>
            <w:r>
              <w:t>Not applicable</w:t>
            </w:r>
          </w:p>
        </w:tc>
        <w:tc>
          <w:tcPr>
            <w:tcW w:w="726" w:type="pct"/>
            <w:tcMar>
              <w:left w:w="108" w:type="dxa"/>
              <w:bottom w:w="28" w:type="dxa"/>
              <w:right w:w="108" w:type="dxa"/>
            </w:tcMar>
          </w:tcPr>
          <w:p w14:paraId="37722A07" w14:textId="20D0CD1F" w:rsidR="00894754" w:rsidRDefault="00894754" w:rsidP="00C85977">
            <w:pPr>
              <w:pStyle w:val="TableText"/>
            </w:pPr>
            <w:r>
              <w:t>Supports many other action areas</w:t>
            </w:r>
          </w:p>
          <w:p w14:paraId="0AA2CCCD" w14:textId="31C310EE" w:rsidR="008B6725" w:rsidRPr="008B6725" w:rsidRDefault="008B6725" w:rsidP="008B6725">
            <w:r w:rsidRPr="008B6725">
              <w:rPr>
                <w:rFonts w:cstheme="minorHAnsi"/>
                <w:sz w:val="18"/>
                <w:szCs w:val="18"/>
              </w:rPr>
              <w:t>Dependent on outcome of bilateral discussions and approvals</w:t>
            </w:r>
          </w:p>
        </w:tc>
      </w:tr>
      <w:tr w:rsidR="00F10CBD" w:rsidRPr="00013AE2" w14:paraId="7CFF146B" w14:textId="77777777" w:rsidTr="003A1099">
        <w:trPr>
          <w:trHeight w:val="993"/>
        </w:trPr>
        <w:tc>
          <w:tcPr>
            <w:tcW w:w="1053" w:type="pct"/>
            <w:vMerge/>
            <w:tcMar>
              <w:bottom w:w="28" w:type="dxa"/>
            </w:tcMar>
          </w:tcPr>
          <w:p w14:paraId="1784DAA6" w14:textId="77777777" w:rsidR="00894754" w:rsidRPr="00B3156A" w:rsidRDefault="00894754" w:rsidP="00894754">
            <w:pPr>
              <w:pStyle w:val="TableText"/>
              <w:rPr>
                <w:rStyle w:val="Strong"/>
              </w:rPr>
            </w:pPr>
          </w:p>
        </w:tc>
        <w:tc>
          <w:tcPr>
            <w:tcW w:w="957" w:type="pct"/>
            <w:tcMar>
              <w:left w:w="108" w:type="dxa"/>
              <w:bottom w:w="28" w:type="dxa"/>
              <w:right w:w="108" w:type="dxa"/>
            </w:tcMar>
          </w:tcPr>
          <w:p w14:paraId="5EC4D597" w14:textId="1AF816FC" w:rsidR="00894754" w:rsidRPr="00FA7BAA" w:rsidRDefault="00894754" w:rsidP="00C85977">
            <w:pPr>
              <w:pStyle w:val="TableText"/>
            </w:pPr>
            <w:r>
              <w:t xml:space="preserve">1.5.4 Whole of </w:t>
            </w:r>
            <w:r w:rsidR="00892884">
              <w:t xml:space="preserve">government </w:t>
            </w:r>
            <w:r>
              <w:t>Support</w:t>
            </w:r>
          </w:p>
        </w:tc>
        <w:tc>
          <w:tcPr>
            <w:tcW w:w="1004" w:type="pct"/>
            <w:shd w:val="clear" w:color="auto" w:fill="C6D9F1" w:themeFill="text2" w:themeFillTint="33"/>
            <w:tcMar>
              <w:left w:w="108" w:type="dxa"/>
              <w:bottom w:w="28" w:type="dxa"/>
              <w:right w:w="108" w:type="dxa"/>
            </w:tcMar>
          </w:tcPr>
          <w:p w14:paraId="35079B45" w14:textId="740AB645" w:rsidR="00B25859" w:rsidRPr="00011B18" w:rsidRDefault="00894754" w:rsidP="00C85977">
            <w:pPr>
              <w:pStyle w:val="TableText"/>
            </w:pPr>
            <w:r w:rsidRPr="00011B18">
              <w:t>Ongoing – business as usual</w:t>
            </w:r>
          </w:p>
          <w:p w14:paraId="4042E00A" w14:textId="3452159F" w:rsidR="00187A50" w:rsidRPr="00011B18" w:rsidRDefault="00187A50" w:rsidP="00C85977">
            <w:pPr>
              <w:pStyle w:val="TableText"/>
            </w:pPr>
            <w:r w:rsidRPr="00011B18">
              <w:t>The DFAT/DAFF International Agricultural Biosecurity Technical Working Group (IABTWG) is coordinating regional biosecurity response, preparedness and food security programs and activities across our regional near neighbours (Timor-Leste, PNG, Solomon Islands, Vanuatu) and the broader pacific region. Whil</w:t>
            </w:r>
            <w:r w:rsidR="00892884">
              <w:t>e</w:t>
            </w:r>
            <w:r w:rsidRPr="00011B18">
              <w:t xml:space="preserve"> the focus of the IABTWG is currently on </w:t>
            </w:r>
            <w:r w:rsidR="00892884" w:rsidRPr="00011B18">
              <w:t xml:space="preserve">fall armyworm, </w:t>
            </w:r>
            <w:r w:rsidRPr="00011B18">
              <w:lastRenderedPageBreak/>
              <w:t xml:space="preserve">African </w:t>
            </w:r>
            <w:r w:rsidR="00892884" w:rsidRPr="00011B18">
              <w:t xml:space="preserve">swine fever </w:t>
            </w:r>
            <w:r w:rsidRPr="00011B18">
              <w:t xml:space="preserve">and Khapra </w:t>
            </w:r>
            <w:r w:rsidR="00892884" w:rsidRPr="00011B18">
              <w:t>beetle, xy</w:t>
            </w:r>
            <w:r w:rsidRPr="00011B18">
              <w:t xml:space="preserve">lella remains a priority ‘emerging’ regional pest and the IABTWG is closely monitoring its pest status within the Asia Pacific Region to raise awareness and initiate preparedness and response arrangements in the event of a </w:t>
            </w:r>
            <w:r w:rsidR="00892884" w:rsidRPr="00011B18">
              <w:t xml:space="preserve">xylella </w:t>
            </w:r>
            <w:r w:rsidRPr="00011B18">
              <w:t xml:space="preserve">detection and incursion </w:t>
            </w:r>
            <w:r w:rsidR="00892884" w:rsidRPr="00011B18">
              <w:t xml:space="preserve">within </w:t>
            </w:r>
            <w:r w:rsidRPr="00011B18">
              <w:t>the near neighbour countries.</w:t>
            </w:r>
          </w:p>
        </w:tc>
        <w:tc>
          <w:tcPr>
            <w:tcW w:w="523" w:type="pct"/>
            <w:tcMar>
              <w:bottom w:w="28" w:type="dxa"/>
            </w:tcMar>
          </w:tcPr>
          <w:p w14:paraId="6099C5D5" w14:textId="41BC328C" w:rsidR="00894754" w:rsidRDefault="00894754" w:rsidP="00C85977">
            <w:pPr>
              <w:pStyle w:val="TableText"/>
            </w:pPr>
            <w:r>
              <w:lastRenderedPageBreak/>
              <w:t>Commonwealth (PPEBD)</w:t>
            </w:r>
          </w:p>
        </w:tc>
        <w:tc>
          <w:tcPr>
            <w:tcW w:w="737" w:type="pct"/>
            <w:tcMar>
              <w:left w:w="108" w:type="dxa"/>
              <w:bottom w:w="28" w:type="dxa"/>
              <w:right w:w="108" w:type="dxa"/>
            </w:tcMar>
          </w:tcPr>
          <w:p w14:paraId="0647734B" w14:textId="337DF43E" w:rsidR="00894754" w:rsidRPr="009C6E83" w:rsidRDefault="0030792A" w:rsidP="00C85977">
            <w:pPr>
              <w:pStyle w:val="TableText"/>
            </w:pPr>
            <w:r>
              <w:t>Not applicable</w:t>
            </w:r>
          </w:p>
        </w:tc>
        <w:tc>
          <w:tcPr>
            <w:tcW w:w="726" w:type="pct"/>
            <w:tcMar>
              <w:left w:w="108" w:type="dxa"/>
              <w:bottom w:w="28" w:type="dxa"/>
              <w:right w:w="108" w:type="dxa"/>
            </w:tcMar>
          </w:tcPr>
          <w:p w14:paraId="33E6240B" w14:textId="63627F39" w:rsidR="00894754" w:rsidRDefault="00894754" w:rsidP="00C85977">
            <w:pPr>
              <w:pStyle w:val="TableText"/>
            </w:pPr>
            <w:r>
              <w:t>Supports many other action areas</w:t>
            </w:r>
          </w:p>
          <w:p w14:paraId="7E1EC1D5" w14:textId="1F01860D" w:rsidR="008B6725" w:rsidRPr="008B6725" w:rsidRDefault="008B6725" w:rsidP="008B6725">
            <w:r w:rsidRPr="008B6725">
              <w:rPr>
                <w:rFonts w:cstheme="minorHAnsi"/>
                <w:sz w:val="18"/>
                <w:szCs w:val="18"/>
              </w:rPr>
              <w:t>Dependent on outcome of bilateral discussions and approvals</w:t>
            </w:r>
          </w:p>
        </w:tc>
      </w:tr>
      <w:bookmarkEnd w:id="3"/>
    </w:tbl>
    <w:p w14:paraId="18F4344A" w14:textId="77777777" w:rsidR="00424757" w:rsidRDefault="00424757" w:rsidP="00106C85">
      <w:pPr>
        <w:pStyle w:val="Caption"/>
        <w:sectPr w:rsidR="00424757" w:rsidSect="00180FF6">
          <w:pgSz w:w="16838" w:h="11906" w:orient="landscape"/>
          <w:pgMar w:top="1418" w:right="1418" w:bottom="851" w:left="1418" w:header="567" w:footer="283" w:gutter="0"/>
          <w:cols w:space="708"/>
          <w:docGrid w:linePitch="360"/>
        </w:sectPr>
      </w:pPr>
    </w:p>
    <w:p w14:paraId="38305F3F" w14:textId="7DA536EE" w:rsidR="003A04B6" w:rsidRPr="007B0473" w:rsidRDefault="00106C85" w:rsidP="00106C85">
      <w:pPr>
        <w:pStyle w:val="Caption"/>
      </w:pPr>
      <w:bookmarkStart w:id="4" w:name="_Ref175566703"/>
      <w:r>
        <w:lastRenderedPageBreak/>
        <w:t xml:space="preserve">Table </w:t>
      </w:r>
      <w:r w:rsidR="00753AB9">
        <w:fldChar w:fldCharType="begin"/>
      </w:r>
      <w:r w:rsidR="00753AB9">
        <w:instrText xml:space="preserve"> SEQ Table \* ARABIC </w:instrText>
      </w:r>
      <w:r w:rsidR="00753AB9">
        <w:fldChar w:fldCharType="separate"/>
      </w:r>
      <w:r w:rsidR="00EA64DA">
        <w:rPr>
          <w:noProof/>
        </w:rPr>
        <w:t>2</w:t>
      </w:r>
      <w:r w:rsidR="00753AB9">
        <w:rPr>
          <w:noProof/>
        </w:rPr>
        <w:fldChar w:fldCharType="end"/>
      </w:r>
      <w:bookmarkEnd w:id="4"/>
      <w:r>
        <w:t xml:space="preserve"> </w:t>
      </w:r>
      <w:r w:rsidR="003A04B6" w:rsidRPr="00DE7573">
        <w:t xml:space="preserve">Implementation of activities for </w:t>
      </w:r>
      <w:r w:rsidR="00004733">
        <w:t>A</w:t>
      </w:r>
      <w:r w:rsidR="003A04B6" w:rsidRPr="00DE7573">
        <w:t>rea 2: Detection</w:t>
      </w:r>
    </w:p>
    <w:tbl>
      <w:tblPr>
        <w:tblW w:w="5000" w:type="pct"/>
        <w:tblBorders>
          <w:top w:val="single" w:sz="4" w:space="0" w:color="auto"/>
          <w:bottom w:val="single" w:sz="4" w:space="0" w:color="auto"/>
          <w:insideH w:val="single" w:sz="4" w:space="0" w:color="auto"/>
        </w:tblBorders>
        <w:tblLayout w:type="fixed"/>
        <w:tblCellMar>
          <w:bottom w:w="57" w:type="dxa"/>
        </w:tblCellMar>
        <w:tblLook w:val="0000" w:firstRow="0" w:lastRow="0" w:firstColumn="0" w:lastColumn="0" w:noHBand="0" w:noVBand="0"/>
      </w:tblPr>
      <w:tblGrid>
        <w:gridCol w:w="2814"/>
        <w:gridCol w:w="2812"/>
        <w:gridCol w:w="3044"/>
        <w:gridCol w:w="1403"/>
        <w:gridCol w:w="1966"/>
        <w:gridCol w:w="1963"/>
      </w:tblGrid>
      <w:tr w:rsidR="00F10CBD" w:rsidRPr="00F81ECF" w14:paraId="503D1679" w14:textId="77777777" w:rsidTr="00C85977">
        <w:trPr>
          <w:tblHeader/>
        </w:trPr>
        <w:tc>
          <w:tcPr>
            <w:tcW w:w="1005" w:type="pct"/>
            <w:tcMar>
              <w:bottom w:w="28" w:type="dxa"/>
            </w:tcMar>
          </w:tcPr>
          <w:p w14:paraId="32C52BA7" w14:textId="77777777" w:rsidR="003A04B6" w:rsidRPr="00A8715D" w:rsidRDefault="003A04B6" w:rsidP="00280FAA">
            <w:pPr>
              <w:pStyle w:val="TableHeading"/>
            </w:pPr>
            <w:r>
              <w:t>Action</w:t>
            </w:r>
          </w:p>
        </w:tc>
        <w:tc>
          <w:tcPr>
            <w:tcW w:w="1004" w:type="pct"/>
            <w:tcMar>
              <w:left w:w="108" w:type="dxa"/>
              <w:bottom w:w="28" w:type="dxa"/>
              <w:right w:w="108" w:type="dxa"/>
            </w:tcMar>
          </w:tcPr>
          <w:p w14:paraId="51286AE7" w14:textId="77777777" w:rsidR="003A04B6" w:rsidRPr="00261848" w:rsidRDefault="003A04B6" w:rsidP="00280FAA">
            <w:pPr>
              <w:pStyle w:val="TableHeading"/>
            </w:pPr>
            <w:r w:rsidRPr="00261848">
              <w:t>Project or business</w:t>
            </w:r>
            <w:r>
              <w:t>-</w:t>
            </w:r>
            <w:r w:rsidRPr="00261848">
              <w:t>as</w:t>
            </w:r>
            <w:r>
              <w:t>-</w:t>
            </w:r>
            <w:r w:rsidRPr="00261848">
              <w:t>usual activity</w:t>
            </w:r>
          </w:p>
        </w:tc>
        <w:tc>
          <w:tcPr>
            <w:tcW w:w="1087" w:type="pct"/>
            <w:tcMar>
              <w:left w:w="108" w:type="dxa"/>
              <w:bottom w:w="28" w:type="dxa"/>
              <w:right w:w="108" w:type="dxa"/>
            </w:tcMar>
          </w:tcPr>
          <w:p w14:paraId="1699F377" w14:textId="652A53D0" w:rsidR="006F5A0E" w:rsidRPr="00261848" w:rsidRDefault="003A04B6" w:rsidP="00280FAA">
            <w:pPr>
              <w:pStyle w:val="TableHeading"/>
            </w:pPr>
            <w:r w:rsidRPr="00261848">
              <w:t xml:space="preserve">Status </w:t>
            </w:r>
          </w:p>
        </w:tc>
        <w:tc>
          <w:tcPr>
            <w:tcW w:w="501" w:type="pct"/>
            <w:tcMar>
              <w:left w:w="108" w:type="dxa"/>
              <w:bottom w:w="28" w:type="dxa"/>
              <w:right w:w="108" w:type="dxa"/>
            </w:tcMar>
          </w:tcPr>
          <w:p w14:paraId="2B1DE403" w14:textId="77777777" w:rsidR="003A04B6" w:rsidRPr="00261848" w:rsidRDefault="003A04B6" w:rsidP="00280FAA">
            <w:pPr>
              <w:pStyle w:val="TableHeading"/>
            </w:pPr>
            <w:r w:rsidRPr="00261848">
              <w:t>Lead organisation</w:t>
            </w:r>
          </w:p>
        </w:tc>
        <w:tc>
          <w:tcPr>
            <w:tcW w:w="702" w:type="pct"/>
            <w:tcMar>
              <w:left w:w="108" w:type="dxa"/>
              <w:bottom w:w="28" w:type="dxa"/>
              <w:right w:w="108" w:type="dxa"/>
            </w:tcMar>
          </w:tcPr>
          <w:p w14:paraId="34C12161" w14:textId="77777777" w:rsidR="003A04B6" w:rsidRPr="00261848" w:rsidRDefault="003A04B6" w:rsidP="00280FAA">
            <w:pPr>
              <w:pStyle w:val="TableHeading"/>
            </w:pPr>
            <w:r w:rsidRPr="00261848">
              <w:t>Contributors (financial and in-kind)</w:t>
            </w:r>
          </w:p>
        </w:tc>
        <w:tc>
          <w:tcPr>
            <w:tcW w:w="701" w:type="pct"/>
            <w:tcMar>
              <w:left w:w="108" w:type="dxa"/>
              <w:bottom w:w="28" w:type="dxa"/>
              <w:right w:w="108" w:type="dxa"/>
            </w:tcMar>
          </w:tcPr>
          <w:p w14:paraId="702A5B5B" w14:textId="77777777" w:rsidR="003A04B6" w:rsidRPr="00261848" w:rsidRDefault="003A04B6" w:rsidP="00280FAA">
            <w:pPr>
              <w:pStyle w:val="TableHeading"/>
            </w:pPr>
            <w:r w:rsidRPr="00261848">
              <w:t>Dependencies</w:t>
            </w:r>
          </w:p>
        </w:tc>
      </w:tr>
      <w:tr w:rsidR="00D1155C" w:rsidRPr="00013AE2" w14:paraId="57419480" w14:textId="77777777" w:rsidTr="00C85977">
        <w:tc>
          <w:tcPr>
            <w:tcW w:w="1005" w:type="pct"/>
            <w:vMerge w:val="restart"/>
            <w:tcMar>
              <w:bottom w:w="28" w:type="dxa"/>
            </w:tcMar>
          </w:tcPr>
          <w:p w14:paraId="2C08F500" w14:textId="18A078FA" w:rsidR="00D1155C" w:rsidRPr="00FA7BAA" w:rsidRDefault="00D1155C" w:rsidP="00C2627F">
            <w:pPr>
              <w:pStyle w:val="TableText"/>
              <w:rPr>
                <w:b/>
                <w:bCs/>
              </w:rPr>
            </w:pPr>
            <w:r w:rsidRPr="007B0473">
              <w:rPr>
                <w:rStyle w:val="Strong"/>
              </w:rPr>
              <w:t xml:space="preserve">Action </w:t>
            </w:r>
            <w:r>
              <w:rPr>
                <w:rStyle w:val="Strong"/>
              </w:rPr>
              <w:t>2</w:t>
            </w:r>
            <w:r w:rsidRPr="007B0473">
              <w:rPr>
                <w:rStyle w:val="Strong"/>
              </w:rPr>
              <w:t>.1</w:t>
            </w:r>
            <w:r>
              <w:rPr>
                <w:rStyle w:val="Strong"/>
              </w:rPr>
              <w:t xml:space="preserve">: </w:t>
            </w:r>
            <w:r w:rsidRPr="00FA7BAA">
              <w:rPr>
                <w:rStyle w:val="Strong"/>
                <w:b w:val="0"/>
                <w:bCs w:val="0"/>
              </w:rPr>
              <w:t xml:space="preserve">Develop diagnostic testing capacity and capability to differentiate between species of </w:t>
            </w:r>
            <w:r w:rsidR="00892884" w:rsidRPr="00FA7BAA">
              <w:rPr>
                <w:rStyle w:val="Strong"/>
                <w:b w:val="0"/>
                <w:bCs w:val="0"/>
              </w:rPr>
              <w:t>xylella</w:t>
            </w:r>
            <w:r w:rsidRPr="00FA7BAA">
              <w:rPr>
                <w:rStyle w:val="Strong"/>
                <w:b w:val="0"/>
                <w:bCs w:val="0"/>
              </w:rPr>
              <w:t xml:space="preserve">, subspecies (and genotypes) of </w:t>
            </w:r>
            <w:r w:rsidRPr="00892884">
              <w:rPr>
                <w:rStyle w:val="Strong"/>
                <w:b w:val="0"/>
                <w:bCs w:val="0"/>
                <w:i/>
                <w:iCs/>
              </w:rPr>
              <w:t>X. fastidiosa subsp. fastidiosa</w:t>
            </w:r>
            <w:r w:rsidRPr="00FA7BAA">
              <w:rPr>
                <w:rStyle w:val="Strong"/>
                <w:b w:val="0"/>
                <w:bCs w:val="0"/>
              </w:rPr>
              <w:t>, and to identify vectors</w:t>
            </w:r>
            <w:r>
              <w:rPr>
                <w:rStyle w:val="Strong"/>
                <w:b w:val="0"/>
                <w:bCs w:val="0"/>
              </w:rPr>
              <w:t>.</w:t>
            </w:r>
          </w:p>
          <w:p w14:paraId="0489F8DA" w14:textId="59FF7D36" w:rsidR="00D1155C" w:rsidRDefault="00D1155C" w:rsidP="00C2627F">
            <w:pPr>
              <w:pStyle w:val="TableText"/>
              <w:rPr>
                <w:rStyle w:val="Strong"/>
                <w:b w:val="0"/>
                <w:bCs w:val="0"/>
              </w:rPr>
            </w:pPr>
            <w:r w:rsidRPr="00E72202">
              <w:rPr>
                <w:rStyle w:val="Strong"/>
              </w:rPr>
              <w:t>Expected benefit and outcome:</w:t>
            </w:r>
            <w:r>
              <w:t xml:space="preserve"> </w:t>
            </w:r>
            <w:r w:rsidRPr="00FA7BAA">
              <w:rPr>
                <w:rStyle w:val="Strong"/>
                <w:b w:val="0"/>
                <w:bCs w:val="0"/>
              </w:rPr>
              <w:t xml:space="preserve">To improve preparedness and response capability through the adoption of best practice diagnostic methods for the detection and identification of </w:t>
            </w:r>
            <w:r w:rsidRPr="00FA7BAA">
              <w:rPr>
                <w:rStyle w:val="Strong"/>
                <w:b w:val="0"/>
                <w:bCs w:val="0"/>
                <w:i/>
                <w:iCs/>
              </w:rPr>
              <w:t>Xylella</w:t>
            </w:r>
            <w:r w:rsidRPr="00FA7BAA">
              <w:rPr>
                <w:rStyle w:val="Strong"/>
                <w:b w:val="0"/>
                <w:bCs w:val="0"/>
              </w:rPr>
              <w:t xml:space="preserve"> </w:t>
            </w:r>
            <w:r w:rsidR="000D4C52" w:rsidRPr="00FA7BAA">
              <w:rPr>
                <w:rStyle w:val="Strong"/>
                <w:b w:val="0"/>
                <w:bCs w:val="0"/>
              </w:rPr>
              <w:t xml:space="preserve">spp. </w:t>
            </w:r>
          </w:p>
          <w:p w14:paraId="46D1ECE7" w14:textId="5E179D62" w:rsidR="00D1155C" w:rsidRPr="00FA7BAA" w:rsidRDefault="00D1155C" w:rsidP="00C2627F">
            <w:pPr>
              <w:pStyle w:val="TableText"/>
            </w:pPr>
            <w:r w:rsidRPr="00FA7BAA">
              <w:t>Initiate project(s) to develop tools and protocols for the diagnosis of vectors.</w:t>
            </w:r>
          </w:p>
          <w:p w14:paraId="7A91E76D" w14:textId="07BC7327" w:rsidR="00D1155C" w:rsidRPr="00AA2A13" w:rsidRDefault="00D1155C" w:rsidP="00C2627F">
            <w:pPr>
              <w:pStyle w:val="TableText"/>
              <w:rPr>
                <w:szCs w:val="18"/>
              </w:rPr>
            </w:pPr>
            <w:r w:rsidRPr="00E72202">
              <w:rPr>
                <w:rStyle w:val="Strong"/>
              </w:rPr>
              <w:t>Priority:</w:t>
            </w:r>
            <w:r>
              <w:rPr>
                <w:szCs w:val="18"/>
              </w:rPr>
              <w:t xml:space="preserve"> high</w:t>
            </w:r>
          </w:p>
          <w:p w14:paraId="419CA0FC" w14:textId="4B7AAA39" w:rsidR="00D1155C" w:rsidRPr="00EA74C1" w:rsidRDefault="00D1155C" w:rsidP="00C2627F">
            <w:pPr>
              <w:pStyle w:val="TableText"/>
            </w:pPr>
            <w:r w:rsidRPr="00E72202">
              <w:rPr>
                <w:rStyle w:val="Strong"/>
              </w:rPr>
              <w:t>Time frame:</w:t>
            </w:r>
            <w:r>
              <w:rPr>
                <w:szCs w:val="18"/>
              </w:rPr>
              <w:t xml:space="preserve"> short</w:t>
            </w:r>
            <w:r w:rsidRPr="00AA2A13">
              <w:rPr>
                <w:szCs w:val="18"/>
              </w:rPr>
              <w:t xml:space="preserve"> term</w:t>
            </w:r>
          </w:p>
        </w:tc>
        <w:tc>
          <w:tcPr>
            <w:tcW w:w="1004" w:type="pct"/>
            <w:tcMar>
              <w:left w:w="108" w:type="dxa"/>
              <w:bottom w:w="28" w:type="dxa"/>
              <w:right w:w="108" w:type="dxa"/>
            </w:tcMar>
          </w:tcPr>
          <w:p w14:paraId="30D8C7E1" w14:textId="5B870D55" w:rsidR="00D1155C" w:rsidRPr="007C7B88" w:rsidRDefault="00D1155C" w:rsidP="00C85977">
            <w:pPr>
              <w:pStyle w:val="TableText"/>
              <w:rPr>
                <w:rFonts w:cstheme="minorHAnsi"/>
                <w:szCs w:val="18"/>
              </w:rPr>
            </w:pPr>
            <w:r>
              <w:t>2.1.1</w:t>
            </w:r>
            <w:r w:rsidR="008C64DA">
              <w:t xml:space="preserve"> </w:t>
            </w:r>
            <w:r>
              <w:t>Improving preparedness of the Australia</w:t>
            </w:r>
            <w:r w:rsidR="008E2A99">
              <w:t>n</w:t>
            </w:r>
            <w:r>
              <w:t xml:space="preserve"> </w:t>
            </w:r>
            <w:r w:rsidRPr="00297EE1">
              <w:t>horticultural</w:t>
            </w:r>
            <w:r>
              <w:t xml:space="preserve"> sector to the threat potentially posed by </w:t>
            </w:r>
            <w:r w:rsidRPr="00F55CB1">
              <w:rPr>
                <w:i/>
                <w:iCs/>
              </w:rPr>
              <w:t>Xylella fastidiosa</w:t>
            </w:r>
            <w:r>
              <w:t xml:space="preserve"> (a severe biosecurity risk</w:t>
            </w:r>
          </w:p>
        </w:tc>
        <w:tc>
          <w:tcPr>
            <w:tcW w:w="1087" w:type="pct"/>
            <w:shd w:val="clear" w:color="auto" w:fill="DEF0C2"/>
            <w:tcMar>
              <w:left w:w="108" w:type="dxa"/>
              <w:bottom w:w="28" w:type="dxa"/>
              <w:right w:w="108" w:type="dxa"/>
            </w:tcMar>
          </w:tcPr>
          <w:p w14:paraId="1F28CDB5" w14:textId="19921F90" w:rsidR="00E342C9" w:rsidRDefault="00D1155C" w:rsidP="00A01FFD">
            <w:pPr>
              <w:pStyle w:val="TableText"/>
              <w:rPr>
                <w:rFonts w:cstheme="minorHAnsi"/>
                <w:szCs w:val="18"/>
              </w:rPr>
            </w:pPr>
            <w:r w:rsidRPr="00952E39">
              <w:rPr>
                <w:rFonts w:cstheme="minorHAnsi"/>
                <w:szCs w:val="18"/>
              </w:rPr>
              <w:t xml:space="preserve">Completed – project finished </w:t>
            </w:r>
            <w:r w:rsidR="00864B0B">
              <w:rPr>
                <w:rFonts w:cstheme="minorHAnsi"/>
                <w:szCs w:val="18"/>
              </w:rPr>
              <w:t>(2023)</w:t>
            </w:r>
          </w:p>
          <w:p w14:paraId="74E6BF9B" w14:textId="348BD623" w:rsidR="00E342C9" w:rsidRDefault="00E342C9" w:rsidP="00A01FFD">
            <w:pPr>
              <w:pStyle w:val="TableText"/>
              <w:rPr>
                <w:rFonts w:cstheme="minorHAnsi"/>
                <w:szCs w:val="18"/>
              </w:rPr>
            </w:pPr>
            <w:r>
              <w:rPr>
                <w:rFonts w:cstheme="minorHAnsi"/>
                <w:szCs w:val="18"/>
              </w:rPr>
              <w:t>The project strengthened Australia’s diagnostic capabilities by</w:t>
            </w:r>
            <w:r w:rsidR="00D62B82">
              <w:rPr>
                <w:rFonts w:cstheme="minorHAnsi"/>
                <w:szCs w:val="18"/>
              </w:rPr>
              <w:t xml:space="preserve"> delivering a new National Diagnostic </w:t>
            </w:r>
            <w:r w:rsidR="00C92102">
              <w:rPr>
                <w:rFonts w:cstheme="minorHAnsi"/>
                <w:szCs w:val="18"/>
              </w:rPr>
              <w:t>Protocol identification</w:t>
            </w:r>
            <w:r>
              <w:rPr>
                <w:rFonts w:cstheme="minorHAnsi"/>
                <w:szCs w:val="18"/>
              </w:rPr>
              <w:t xml:space="preserve"> of all </w:t>
            </w:r>
            <w:r>
              <w:rPr>
                <w:rFonts w:cstheme="minorHAnsi"/>
                <w:i/>
                <w:iCs/>
                <w:szCs w:val="18"/>
              </w:rPr>
              <w:t xml:space="preserve">X. fastidiosa </w:t>
            </w:r>
            <w:r>
              <w:rPr>
                <w:rFonts w:cstheme="minorHAnsi"/>
                <w:szCs w:val="18"/>
              </w:rPr>
              <w:t xml:space="preserve">subspecies and generic </w:t>
            </w:r>
            <w:r w:rsidR="00892884">
              <w:rPr>
                <w:rFonts w:cstheme="minorHAnsi"/>
                <w:szCs w:val="18"/>
              </w:rPr>
              <w:t xml:space="preserve">xylella </w:t>
            </w:r>
            <w:r>
              <w:rPr>
                <w:rFonts w:cstheme="minorHAnsi"/>
                <w:szCs w:val="18"/>
              </w:rPr>
              <w:t>detection. Capability training across Australian labs was also a highlight of the</w:t>
            </w:r>
            <w:r w:rsidR="00C92102">
              <w:rPr>
                <w:rFonts w:cstheme="minorHAnsi"/>
                <w:szCs w:val="18"/>
              </w:rPr>
              <w:t xml:space="preserve"> p</w:t>
            </w:r>
            <w:r w:rsidR="00D62B82">
              <w:rPr>
                <w:rFonts w:cstheme="minorHAnsi"/>
                <w:szCs w:val="18"/>
              </w:rPr>
              <w:t>rojec</w:t>
            </w:r>
            <w:r>
              <w:rPr>
                <w:rFonts w:cstheme="minorHAnsi"/>
                <w:szCs w:val="18"/>
              </w:rPr>
              <w:t>t.</w:t>
            </w:r>
          </w:p>
          <w:p w14:paraId="615F5821" w14:textId="0884B1C5" w:rsidR="00E342C9" w:rsidRDefault="00000000" w:rsidP="00A01FFD">
            <w:pPr>
              <w:pStyle w:val="TableText"/>
              <w:rPr>
                <w:rFonts w:cstheme="minorHAnsi"/>
                <w:szCs w:val="18"/>
              </w:rPr>
            </w:pPr>
            <w:hyperlink r:id="rId21" w:history="1">
              <w:r w:rsidR="00E342C9" w:rsidRPr="00952E39">
                <w:rPr>
                  <w:rStyle w:val="Hyperlink"/>
                  <w:rFonts w:cstheme="minorHAnsi"/>
                  <w:szCs w:val="18"/>
                </w:rPr>
                <w:t>Hort Innovation | Improving preparedness of the Australian horticultural sector to the threat potentially posed by</w:t>
              </w:r>
              <w:r w:rsidR="00E342C9" w:rsidRPr="005C659F">
                <w:rPr>
                  <w:rStyle w:val="Hyperlink"/>
                  <w:rFonts w:cstheme="minorHAnsi"/>
                  <w:i/>
                  <w:iCs/>
                  <w:szCs w:val="18"/>
                </w:rPr>
                <w:t xml:space="preserve"> Xylella fastidiosa</w:t>
              </w:r>
              <w:r w:rsidR="00E342C9" w:rsidRPr="00952E39">
                <w:rPr>
                  <w:rStyle w:val="Hyperlink"/>
                  <w:rFonts w:cstheme="minorHAnsi"/>
                  <w:szCs w:val="18"/>
                </w:rPr>
                <w:t xml:space="preserve"> (a severe biosecurity risk) (MT17006) (horticulture.com.au)</w:t>
              </w:r>
            </w:hyperlink>
          </w:p>
          <w:p w14:paraId="77BBB1F5" w14:textId="2D684EA3" w:rsidR="00952E39" w:rsidRDefault="00E342C9" w:rsidP="00F55CB1">
            <w:pPr>
              <w:pStyle w:val="TableText"/>
              <w:rPr>
                <w:rFonts w:cstheme="minorHAnsi"/>
                <w:szCs w:val="18"/>
              </w:rPr>
            </w:pPr>
            <w:r>
              <w:rPr>
                <w:rFonts w:cstheme="minorHAnsi"/>
                <w:szCs w:val="18"/>
              </w:rPr>
              <w:t xml:space="preserve">The NDP has been submitted and is nearing acceptance. Following endorsement it will be published on </w:t>
            </w:r>
            <w:hyperlink r:id="rId22" w:history="1">
              <w:r w:rsidR="00F21339" w:rsidRPr="00752C19">
                <w:rPr>
                  <w:rStyle w:val="Hyperlink"/>
                  <w:rFonts w:cstheme="minorHAnsi"/>
                  <w:szCs w:val="18"/>
                </w:rPr>
                <w:t>https://www.plantbiosecuritydiagnostics.net.au/national-diagnostic-protocol-list/</w:t>
              </w:r>
            </w:hyperlink>
          </w:p>
          <w:p w14:paraId="72EF95F1" w14:textId="0FDBB267" w:rsidR="00F21339" w:rsidRPr="00011B18" w:rsidRDefault="00F21339" w:rsidP="00F21339">
            <w:pPr>
              <w:pStyle w:val="TableText"/>
            </w:pPr>
            <w:r>
              <w:rPr>
                <w:rFonts w:cstheme="minorHAnsi"/>
                <w:szCs w:val="18"/>
              </w:rPr>
              <w:t xml:space="preserve">The </w:t>
            </w:r>
            <w:r w:rsidRPr="005C659F">
              <w:rPr>
                <w:rFonts w:cstheme="minorHAnsi"/>
                <w:i/>
                <w:iCs/>
                <w:szCs w:val="18"/>
              </w:rPr>
              <w:t>Xylella</w:t>
            </w:r>
            <w:r>
              <w:rPr>
                <w:rFonts w:cstheme="minorHAnsi"/>
                <w:szCs w:val="18"/>
              </w:rPr>
              <w:t xml:space="preserve"> sp</w:t>
            </w:r>
            <w:r w:rsidR="00D62B82">
              <w:rPr>
                <w:rFonts w:cstheme="minorHAnsi"/>
                <w:szCs w:val="18"/>
              </w:rPr>
              <w:t>p</w:t>
            </w:r>
            <w:r>
              <w:rPr>
                <w:rFonts w:cstheme="minorHAnsi"/>
                <w:szCs w:val="18"/>
              </w:rPr>
              <w:t>.</w:t>
            </w:r>
            <w:r w:rsidRPr="0090281E">
              <w:rPr>
                <w:rFonts w:cstheme="minorHAnsi"/>
                <w:szCs w:val="18"/>
              </w:rPr>
              <w:t xml:space="preserve"> National Diagnostic Protocol</w:t>
            </w:r>
            <w:r>
              <w:rPr>
                <w:rFonts w:cstheme="minorHAnsi"/>
                <w:szCs w:val="18"/>
              </w:rPr>
              <w:t xml:space="preserve"> was updated as part of </w:t>
            </w:r>
            <w:hyperlink r:id="rId23" w:history="1">
              <w:r>
                <w:t xml:space="preserve">Hort Innovation | Improving preparedness of the Australian horticultural sector to the threat potentially posed by </w:t>
              </w:r>
              <w:r w:rsidRPr="00D77618">
                <w:rPr>
                  <w:i/>
                  <w:iCs/>
                </w:rPr>
                <w:t>Xylella fastidiosa</w:t>
              </w:r>
              <w:r>
                <w:t xml:space="preserve"> (a severe biosecurity risk) (MT17006) (horticulture.com.au</w:t>
              </w:r>
            </w:hyperlink>
            <w:r w:rsidRPr="00437EFD">
              <w:rPr>
                <w:shd w:val="clear" w:color="auto" w:fill="E6E6E6"/>
              </w:rPr>
              <w:t>)</w:t>
            </w:r>
            <w:r w:rsidRPr="00437EFD">
              <w:t>.</w:t>
            </w:r>
          </w:p>
          <w:p w14:paraId="6C58250D" w14:textId="77777777" w:rsidR="00F21339" w:rsidRDefault="00F21339" w:rsidP="00F21339">
            <w:pPr>
              <w:pStyle w:val="TableText"/>
            </w:pPr>
            <w:r w:rsidRPr="759F6EBE">
              <w:t>The NDP is currently undergoing   review/verification through SPHD. It is expected that the NDP will be submitted for endorsement early 2024.</w:t>
            </w:r>
          </w:p>
          <w:p w14:paraId="0C925026" w14:textId="0DA9D06A" w:rsidR="00F21339" w:rsidRPr="000C00BC" w:rsidRDefault="00F21339" w:rsidP="00F21339">
            <w:pPr>
              <w:pStyle w:val="TableText"/>
              <w:rPr>
                <w:rFonts w:cstheme="minorHAnsi"/>
                <w:szCs w:val="18"/>
              </w:rPr>
            </w:pPr>
            <w:r w:rsidRPr="00FF184F">
              <w:rPr>
                <w:rStyle w:val="cf01"/>
                <w:rFonts w:asciiTheme="minorHAnsi" w:hAnsiTheme="minorHAnsi" w:cstheme="minorHAnsi"/>
              </w:rPr>
              <w:t xml:space="preserve">Training on the </w:t>
            </w:r>
            <w:r w:rsidR="00892884" w:rsidRPr="00892884">
              <w:rPr>
                <w:rStyle w:val="cf01"/>
                <w:rFonts w:asciiTheme="minorHAnsi" w:hAnsiTheme="minorHAnsi" w:cstheme="minorHAnsi"/>
              </w:rPr>
              <w:t>xylella</w:t>
            </w:r>
            <w:r w:rsidR="00892884" w:rsidRPr="00FF184F">
              <w:rPr>
                <w:rStyle w:val="cf01"/>
                <w:rFonts w:asciiTheme="minorHAnsi" w:hAnsiTheme="minorHAnsi" w:cstheme="minorHAnsi"/>
              </w:rPr>
              <w:t xml:space="preserve"> </w:t>
            </w:r>
            <w:r w:rsidRPr="00FF184F">
              <w:rPr>
                <w:rStyle w:val="cf01"/>
                <w:rFonts w:asciiTheme="minorHAnsi" w:hAnsiTheme="minorHAnsi" w:cstheme="minorHAnsi"/>
              </w:rPr>
              <w:t xml:space="preserve">NDP has been delivered through NPBDN </w:t>
            </w:r>
            <w:r>
              <w:rPr>
                <w:rStyle w:val="cf01"/>
                <w:rFonts w:asciiTheme="minorHAnsi" w:hAnsiTheme="minorHAnsi" w:cstheme="minorHAnsi"/>
              </w:rPr>
              <w:t>at</w:t>
            </w:r>
            <w:r w:rsidRPr="00FF184F">
              <w:rPr>
                <w:rStyle w:val="cf01"/>
                <w:rFonts w:asciiTheme="minorHAnsi" w:hAnsiTheme="minorHAnsi" w:cstheme="minorHAnsi"/>
              </w:rPr>
              <w:t xml:space="preserve"> the 2023 </w:t>
            </w:r>
            <w:r>
              <w:rPr>
                <w:rStyle w:val="cf01"/>
                <w:rFonts w:asciiTheme="minorHAnsi" w:hAnsiTheme="minorHAnsi" w:cstheme="minorHAnsi"/>
              </w:rPr>
              <w:lastRenderedPageBreak/>
              <w:t>Annual Diagnosticians and Surveillance workshop (</w:t>
            </w:r>
            <w:r w:rsidRPr="00FF184F">
              <w:rPr>
                <w:rStyle w:val="cf01"/>
                <w:rFonts w:asciiTheme="minorHAnsi" w:hAnsiTheme="minorHAnsi" w:cstheme="minorHAnsi"/>
              </w:rPr>
              <w:t>ADSW</w:t>
            </w:r>
            <w:r>
              <w:rPr>
                <w:rStyle w:val="cf01"/>
                <w:rFonts w:asciiTheme="minorHAnsi" w:hAnsiTheme="minorHAnsi" w:cstheme="minorHAnsi"/>
              </w:rPr>
              <w:t>).</w:t>
            </w:r>
          </w:p>
          <w:p w14:paraId="0778BE89" w14:textId="491DB07B" w:rsidR="00F21339" w:rsidRPr="00E342C9" w:rsidRDefault="00F21339" w:rsidP="00F21339">
            <w:pPr>
              <w:pStyle w:val="TableText"/>
              <w:rPr>
                <w:rFonts w:cstheme="minorHAnsi"/>
                <w:szCs w:val="18"/>
              </w:rPr>
            </w:pPr>
            <w:r w:rsidRPr="000C00BC">
              <w:rPr>
                <w:rStyle w:val="cf01"/>
                <w:rFonts w:asciiTheme="minorHAnsi" w:hAnsiTheme="minorHAnsi" w:cstheme="minorHAnsi"/>
              </w:rPr>
              <w:t xml:space="preserve">There </w:t>
            </w:r>
            <w:r w:rsidR="0094620A">
              <w:rPr>
                <w:rStyle w:val="cf01"/>
                <w:rFonts w:asciiTheme="minorHAnsi" w:hAnsiTheme="minorHAnsi" w:cstheme="minorHAnsi"/>
              </w:rPr>
              <w:t>was</w:t>
            </w:r>
            <w:r w:rsidRPr="000C00BC">
              <w:rPr>
                <w:rStyle w:val="cf01"/>
                <w:rFonts w:asciiTheme="minorHAnsi" w:hAnsiTheme="minorHAnsi" w:cstheme="minorHAnsi"/>
              </w:rPr>
              <w:t xml:space="preserve"> also a </w:t>
            </w:r>
            <w:r w:rsidR="00892884" w:rsidRPr="00892884">
              <w:rPr>
                <w:rStyle w:val="cf01"/>
                <w:rFonts w:asciiTheme="minorHAnsi" w:hAnsiTheme="minorHAnsi" w:cstheme="minorHAnsi"/>
              </w:rPr>
              <w:t>xylella</w:t>
            </w:r>
            <w:r w:rsidR="00892884" w:rsidRPr="00D77618">
              <w:rPr>
                <w:rStyle w:val="cf01"/>
                <w:rFonts w:asciiTheme="minorHAnsi" w:hAnsiTheme="minorHAnsi" w:cstheme="minorHAnsi"/>
                <w:i/>
                <w:iCs/>
              </w:rPr>
              <w:t xml:space="preserve"> </w:t>
            </w:r>
            <w:r w:rsidRPr="000C00BC">
              <w:rPr>
                <w:rStyle w:val="cf01"/>
                <w:rFonts w:asciiTheme="minorHAnsi" w:hAnsiTheme="minorHAnsi" w:cstheme="minorHAnsi"/>
              </w:rPr>
              <w:t xml:space="preserve">workshop in Nov 2023 as part of the APPS conference </w:t>
            </w:r>
            <w:hyperlink r:id="rId24" w:history="1">
              <w:r w:rsidRPr="000C00BC">
                <w:rPr>
                  <w:rStyle w:val="cf01"/>
                  <w:rFonts w:asciiTheme="minorHAnsi" w:hAnsiTheme="minorHAnsi" w:cstheme="minorHAnsi"/>
                  <w:color w:val="0000FF"/>
                  <w:u w:val="single"/>
                </w:rPr>
                <w:t>APPS2023 (eventsair.com)</w:t>
              </w:r>
            </w:hyperlink>
          </w:p>
        </w:tc>
        <w:tc>
          <w:tcPr>
            <w:tcW w:w="501" w:type="pct"/>
            <w:tcMar>
              <w:left w:w="108" w:type="dxa"/>
              <w:bottom w:w="28" w:type="dxa"/>
              <w:right w:w="108" w:type="dxa"/>
            </w:tcMar>
          </w:tcPr>
          <w:p w14:paraId="3E323F4C" w14:textId="5752AD88" w:rsidR="00D1155C" w:rsidRPr="00D218F7" w:rsidRDefault="00D1155C" w:rsidP="00C2627F">
            <w:pPr>
              <w:pStyle w:val="TableText"/>
            </w:pPr>
            <w:r>
              <w:lastRenderedPageBreak/>
              <w:t>Jurisdiction</w:t>
            </w:r>
          </w:p>
        </w:tc>
        <w:tc>
          <w:tcPr>
            <w:tcW w:w="702" w:type="pct"/>
            <w:tcMar>
              <w:left w:w="108" w:type="dxa"/>
              <w:bottom w:w="28" w:type="dxa"/>
              <w:right w:w="108" w:type="dxa"/>
            </w:tcMar>
          </w:tcPr>
          <w:p w14:paraId="28B322EC" w14:textId="1E7606E7" w:rsidR="00D1155C" w:rsidRPr="000407B5" w:rsidRDefault="00D1155C" w:rsidP="00297EE1">
            <w:pPr>
              <w:pStyle w:val="TableText"/>
            </w:pPr>
            <w:r>
              <w:t xml:space="preserve">Hort </w:t>
            </w:r>
            <w:r w:rsidRPr="00297EE1">
              <w:t>Innovation</w:t>
            </w:r>
            <w:r>
              <w:t xml:space="preserve"> </w:t>
            </w:r>
          </w:p>
        </w:tc>
        <w:tc>
          <w:tcPr>
            <w:tcW w:w="701" w:type="pct"/>
            <w:tcMar>
              <w:left w:w="108" w:type="dxa"/>
              <w:bottom w:w="28" w:type="dxa"/>
              <w:right w:w="108" w:type="dxa"/>
            </w:tcMar>
          </w:tcPr>
          <w:p w14:paraId="453E4E83" w14:textId="0F024B95" w:rsidR="00D1155C" w:rsidRDefault="00D1155C" w:rsidP="00C2627F">
            <w:pPr>
              <w:pStyle w:val="TableText"/>
            </w:pPr>
            <w:r>
              <w:t>Dependent on action 1.3</w:t>
            </w:r>
          </w:p>
          <w:p w14:paraId="22A60CB1" w14:textId="661A43E8" w:rsidR="00D1155C" w:rsidRPr="00C22748" w:rsidRDefault="00D1155C" w:rsidP="00011B18">
            <w:pPr>
              <w:pStyle w:val="TableText"/>
            </w:pPr>
            <w:r>
              <w:t>Relates to action 2.2, 2.3, 2.4, 2.5</w:t>
            </w:r>
          </w:p>
        </w:tc>
      </w:tr>
      <w:tr w:rsidR="00BC3C67" w:rsidRPr="00013AE2" w14:paraId="4F779E5B" w14:textId="77777777" w:rsidTr="006E5D7F">
        <w:trPr>
          <w:trHeight w:val="5479"/>
        </w:trPr>
        <w:tc>
          <w:tcPr>
            <w:tcW w:w="1005" w:type="pct"/>
            <w:vMerge/>
            <w:tcMar>
              <w:bottom w:w="28" w:type="dxa"/>
            </w:tcMar>
          </w:tcPr>
          <w:p w14:paraId="583E636A" w14:textId="77777777" w:rsidR="00D1155C" w:rsidRPr="007B0473" w:rsidRDefault="00D1155C" w:rsidP="00C2627F">
            <w:pPr>
              <w:pStyle w:val="TableText"/>
              <w:rPr>
                <w:rStyle w:val="Strong"/>
              </w:rPr>
            </w:pPr>
          </w:p>
        </w:tc>
        <w:tc>
          <w:tcPr>
            <w:tcW w:w="1004" w:type="pct"/>
            <w:tcMar>
              <w:left w:w="108" w:type="dxa"/>
              <w:bottom w:w="28" w:type="dxa"/>
              <w:right w:w="108" w:type="dxa"/>
            </w:tcMar>
          </w:tcPr>
          <w:p w14:paraId="6C78C208" w14:textId="1EE04775" w:rsidR="00D1155C" w:rsidRDefault="00D1155C" w:rsidP="00C85977">
            <w:pPr>
              <w:pStyle w:val="TableText"/>
            </w:pPr>
            <w:r>
              <w:t xml:space="preserve">2.1.2 </w:t>
            </w:r>
            <w:r w:rsidRPr="00E84EE7">
              <w:t xml:space="preserve">Development of the </w:t>
            </w:r>
            <w:r w:rsidR="00892884" w:rsidRPr="00E84EE7">
              <w:t xml:space="preserve">xylella </w:t>
            </w:r>
            <w:r w:rsidRPr="00E84EE7">
              <w:t>vectors National Diagnostic Protocol</w:t>
            </w:r>
          </w:p>
        </w:tc>
        <w:tc>
          <w:tcPr>
            <w:tcW w:w="1087" w:type="pct"/>
            <w:shd w:val="clear" w:color="auto" w:fill="FDF4C7"/>
            <w:tcMar>
              <w:left w:w="108" w:type="dxa"/>
              <w:bottom w:w="28" w:type="dxa"/>
              <w:right w:w="108" w:type="dxa"/>
            </w:tcMar>
          </w:tcPr>
          <w:p w14:paraId="00AD8B48" w14:textId="6187FBBF" w:rsidR="00D1155C" w:rsidRPr="00A01FFD" w:rsidRDefault="00D1155C" w:rsidP="00011B18">
            <w:pPr>
              <w:pStyle w:val="TableText"/>
              <w:rPr>
                <w:rFonts w:cstheme="minorHAnsi"/>
                <w:szCs w:val="18"/>
              </w:rPr>
            </w:pPr>
            <w:r w:rsidRPr="00A01FFD">
              <w:rPr>
                <w:rFonts w:cstheme="minorHAnsi"/>
                <w:szCs w:val="18"/>
              </w:rPr>
              <w:t>On track – project commenced</w:t>
            </w:r>
          </w:p>
          <w:p w14:paraId="1EAF5C27" w14:textId="142FE6AE" w:rsidR="00FF184F" w:rsidRPr="00451900" w:rsidRDefault="00D1155C" w:rsidP="00451900">
            <w:pPr>
              <w:pStyle w:val="TableText"/>
            </w:pPr>
            <w:r w:rsidRPr="00A01FFD">
              <w:rPr>
                <w:rFonts w:cstheme="minorHAnsi"/>
                <w:szCs w:val="18"/>
              </w:rPr>
              <w:t xml:space="preserve">The peer review and verification of the draft National Diagnostic Protocol for </w:t>
            </w:r>
            <w:r w:rsidR="00892884" w:rsidRPr="00A01FFD">
              <w:rPr>
                <w:rFonts w:cstheme="minorHAnsi"/>
                <w:szCs w:val="18"/>
              </w:rPr>
              <w:t xml:space="preserve">xylella </w:t>
            </w:r>
            <w:r w:rsidRPr="00A01FFD">
              <w:rPr>
                <w:rFonts w:cstheme="minorHAnsi"/>
                <w:szCs w:val="18"/>
              </w:rPr>
              <w:t xml:space="preserve">vectors are in progress. </w:t>
            </w:r>
          </w:p>
          <w:p w14:paraId="2B2C6BFB" w14:textId="3FB09B05" w:rsidR="00FF184F" w:rsidRPr="00C230BF" w:rsidRDefault="00FF184F" w:rsidP="00C230BF">
            <w:pPr>
              <w:pStyle w:val="TableText"/>
              <w:rPr>
                <w:rFonts w:cstheme="minorHAnsi"/>
                <w:szCs w:val="18"/>
              </w:rPr>
            </w:pPr>
            <w:r w:rsidRPr="00C230BF">
              <w:rPr>
                <w:rFonts w:eastAsia="Times New Roman" w:cstheme="minorHAnsi"/>
                <w:i/>
                <w:iCs/>
                <w:szCs w:val="18"/>
                <w:lang w:eastAsia="en-AU"/>
              </w:rPr>
              <w:t xml:space="preserve">1. The Homalodisca vitripennis </w:t>
            </w:r>
            <w:r w:rsidRPr="00C230BF">
              <w:rPr>
                <w:rFonts w:eastAsia="Times New Roman" w:cstheme="minorHAnsi"/>
                <w:szCs w:val="18"/>
                <w:lang w:eastAsia="en-AU"/>
              </w:rPr>
              <w:t>(</w:t>
            </w:r>
            <w:r w:rsidR="00892884" w:rsidRPr="00C230BF">
              <w:rPr>
                <w:rFonts w:eastAsia="Times New Roman" w:cstheme="minorHAnsi"/>
                <w:szCs w:val="18"/>
                <w:lang w:eastAsia="en-AU"/>
              </w:rPr>
              <w:t xml:space="preserve">glassy </w:t>
            </w:r>
            <w:r w:rsidRPr="00C230BF">
              <w:rPr>
                <w:rFonts w:eastAsia="Times New Roman" w:cstheme="minorHAnsi"/>
                <w:szCs w:val="18"/>
                <w:lang w:eastAsia="en-AU"/>
              </w:rPr>
              <w:t xml:space="preserve">winged </w:t>
            </w:r>
            <w:r w:rsidR="000D4C52" w:rsidRPr="00C230BF">
              <w:rPr>
                <w:rFonts w:eastAsia="Times New Roman" w:cstheme="minorHAnsi"/>
                <w:szCs w:val="18"/>
                <w:lang w:eastAsia="en-AU"/>
              </w:rPr>
              <w:t>sharpshooter</w:t>
            </w:r>
            <w:r w:rsidRPr="00C230BF">
              <w:rPr>
                <w:rFonts w:eastAsia="Times New Roman" w:cstheme="minorHAnsi"/>
                <w:szCs w:val="18"/>
                <w:lang w:eastAsia="en-AU"/>
              </w:rPr>
              <w:t xml:space="preserve">) NDP23 is currently being reviewed and updated. </w:t>
            </w:r>
          </w:p>
          <w:p w14:paraId="623733EE" w14:textId="050E1A67" w:rsidR="00FF184F" w:rsidRPr="00C230BF" w:rsidRDefault="00FF184F" w:rsidP="00FF184F">
            <w:pPr>
              <w:spacing w:before="100" w:beforeAutospacing="1" w:after="100" w:afterAutospacing="1" w:line="240" w:lineRule="auto"/>
              <w:rPr>
                <w:rFonts w:eastAsia="Times New Roman" w:cstheme="minorHAnsi"/>
                <w:sz w:val="20"/>
                <w:szCs w:val="20"/>
                <w:lang w:eastAsia="en-AU"/>
              </w:rPr>
            </w:pPr>
            <w:r w:rsidRPr="00C230BF">
              <w:rPr>
                <w:rFonts w:eastAsia="Times New Roman" w:cstheme="minorHAnsi"/>
                <w:i/>
                <w:iCs/>
                <w:sz w:val="18"/>
                <w:szCs w:val="18"/>
                <w:lang w:eastAsia="en-AU"/>
              </w:rPr>
              <w:t>2. The Philaenus spumarius</w:t>
            </w:r>
            <w:r w:rsidRPr="00C230BF">
              <w:rPr>
                <w:rFonts w:eastAsia="Times New Roman" w:cstheme="minorHAnsi"/>
                <w:sz w:val="18"/>
                <w:szCs w:val="18"/>
                <w:lang w:eastAsia="en-AU"/>
              </w:rPr>
              <w:t xml:space="preserve"> (</w:t>
            </w:r>
            <w:r w:rsidR="00892884" w:rsidRPr="00892884">
              <w:rPr>
                <w:rFonts w:eastAsia="Times New Roman" w:cstheme="minorHAnsi"/>
                <w:sz w:val="18"/>
                <w:szCs w:val="18"/>
                <w:lang w:eastAsia="en-AU"/>
              </w:rPr>
              <w:t>xylella</w:t>
            </w:r>
            <w:r w:rsidR="00892884" w:rsidRPr="00C230BF">
              <w:rPr>
                <w:rFonts w:eastAsia="Times New Roman" w:cstheme="minorHAnsi"/>
                <w:sz w:val="18"/>
                <w:szCs w:val="18"/>
                <w:lang w:eastAsia="en-AU"/>
              </w:rPr>
              <w:t xml:space="preserve"> </w:t>
            </w:r>
            <w:r w:rsidRPr="00C230BF">
              <w:rPr>
                <w:rFonts w:eastAsia="Times New Roman" w:cstheme="minorHAnsi"/>
                <w:sz w:val="18"/>
                <w:szCs w:val="18"/>
                <w:lang w:eastAsia="en-AU"/>
              </w:rPr>
              <w:t>exotic vectors) NDP has been developed and is currently undergoing review/verification through SPHD.</w:t>
            </w:r>
          </w:p>
          <w:p w14:paraId="6FB895A7" w14:textId="6414D42A" w:rsidR="00FF184F" w:rsidRPr="00B02274" w:rsidRDefault="00FF184F" w:rsidP="00B02274">
            <w:pPr>
              <w:spacing w:before="100" w:beforeAutospacing="1" w:after="100" w:afterAutospacing="1" w:line="240" w:lineRule="auto"/>
              <w:rPr>
                <w:sz w:val="18"/>
              </w:rPr>
            </w:pPr>
            <w:r w:rsidRPr="00C230BF">
              <w:rPr>
                <w:rFonts w:eastAsia="Times New Roman" w:cstheme="minorHAnsi"/>
                <w:sz w:val="18"/>
                <w:szCs w:val="18"/>
                <w:lang w:eastAsia="en-AU"/>
              </w:rPr>
              <w:t xml:space="preserve">3. The </w:t>
            </w:r>
            <w:r w:rsidR="00892884" w:rsidRPr="00C230BF">
              <w:rPr>
                <w:rFonts w:eastAsia="Times New Roman" w:cstheme="minorHAnsi"/>
                <w:sz w:val="18"/>
                <w:szCs w:val="18"/>
                <w:lang w:eastAsia="en-AU"/>
              </w:rPr>
              <w:t xml:space="preserve">xylella </w:t>
            </w:r>
            <w:r w:rsidRPr="00C230BF">
              <w:rPr>
                <w:rFonts w:eastAsia="Times New Roman" w:cstheme="minorHAnsi"/>
                <w:sz w:val="18"/>
                <w:szCs w:val="18"/>
                <w:lang w:eastAsia="en-AU"/>
              </w:rPr>
              <w:t>exotic</w:t>
            </w:r>
            <w:r w:rsidR="00E70EE1">
              <w:rPr>
                <w:rFonts w:eastAsia="Times New Roman" w:cstheme="minorHAnsi"/>
                <w:sz w:val="18"/>
                <w:szCs w:val="18"/>
                <w:lang w:eastAsia="en-AU"/>
              </w:rPr>
              <w:t xml:space="preserve"> vector</w:t>
            </w:r>
            <w:r w:rsidRPr="00C230BF">
              <w:rPr>
                <w:rFonts w:eastAsia="Times New Roman" w:cstheme="minorHAnsi"/>
                <w:sz w:val="18"/>
                <w:szCs w:val="18"/>
                <w:lang w:eastAsia="en-AU"/>
              </w:rPr>
              <w:t xml:space="preserve"> leafhopper NDP (</w:t>
            </w:r>
            <w:r w:rsidRPr="00C230BF">
              <w:rPr>
                <w:rFonts w:eastAsia="Times New Roman" w:cstheme="minorHAnsi"/>
                <w:i/>
                <w:iCs/>
                <w:sz w:val="18"/>
                <w:szCs w:val="18"/>
                <w:lang w:eastAsia="en-AU"/>
              </w:rPr>
              <w:t>Acrogonia terminalis, Cicadella viridis, Dilobopterus costalimai, Draeculacephala minerva, Graphocephala atropunctata, Oncometopia fascialis</w:t>
            </w:r>
            <w:r w:rsidRPr="00C230BF">
              <w:rPr>
                <w:rFonts w:eastAsia="Times New Roman" w:cstheme="minorHAnsi"/>
                <w:sz w:val="18"/>
                <w:szCs w:val="18"/>
                <w:lang w:eastAsia="en-AU"/>
              </w:rPr>
              <w:t xml:space="preserve"> and </w:t>
            </w:r>
            <w:r w:rsidRPr="00C230BF">
              <w:rPr>
                <w:rFonts w:eastAsia="Times New Roman" w:cstheme="minorHAnsi"/>
                <w:i/>
                <w:iCs/>
                <w:sz w:val="18"/>
                <w:szCs w:val="18"/>
                <w:lang w:eastAsia="en-AU"/>
              </w:rPr>
              <w:t>Xyphon fulgidum</w:t>
            </w:r>
            <w:r w:rsidRPr="00C230BF">
              <w:rPr>
                <w:rFonts w:eastAsia="Times New Roman" w:cstheme="minorHAnsi"/>
                <w:sz w:val="18"/>
                <w:szCs w:val="18"/>
                <w:lang w:eastAsia="en-AU"/>
              </w:rPr>
              <w:t>) has been developed and is currently undergoing review/verification through SPHD</w:t>
            </w:r>
            <w:r>
              <w:rPr>
                <w:rFonts w:eastAsia="Times New Roman" w:cstheme="minorHAnsi"/>
                <w:sz w:val="18"/>
                <w:szCs w:val="18"/>
                <w:lang w:eastAsia="en-AU"/>
              </w:rPr>
              <w:t>.</w:t>
            </w:r>
          </w:p>
        </w:tc>
        <w:tc>
          <w:tcPr>
            <w:tcW w:w="501" w:type="pct"/>
            <w:tcMar>
              <w:left w:w="108" w:type="dxa"/>
              <w:bottom w:w="28" w:type="dxa"/>
              <w:right w:w="108" w:type="dxa"/>
            </w:tcMar>
          </w:tcPr>
          <w:p w14:paraId="1752257A" w14:textId="1E24784A" w:rsidR="00D1155C" w:rsidRDefault="00D1155C" w:rsidP="00C2627F">
            <w:pPr>
              <w:pStyle w:val="TableText"/>
            </w:pPr>
            <w:r>
              <w:t>PHA</w:t>
            </w:r>
          </w:p>
        </w:tc>
        <w:tc>
          <w:tcPr>
            <w:tcW w:w="702" w:type="pct"/>
            <w:tcMar>
              <w:left w:w="108" w:type="dxa"/>
              <w:bottom w:w="28" w:type="dxa"/>
              <w:right w:w="108" w:type="dxa"/>
            </w:tcMar>
          </w:tcPr>
          <w:p w14:paraId="45746BE6" w14:textId="33DB0FB5" w:rsidR="00D1155C" w:rsidRPr="000407B5" w:rsidRDefault="00D1155C" w:rsidP="00C2627F">
            <w:pPr>
              <w:pStyle w:val="TableText"/>
            </w:pPr>
            <w:r>
              <w:t>Not applicable</w:t>
            </w:r>
          </w:p>
        </w:tc>
        <w:tc>
          <w:tcPr>
            <w:tcW w:w="701" w:type="pct"/>
            <w:tcMar>
              <w:left w:w="108" w:type="dxa"/>
              <w:bottom w:w="28" w:type="dxa"/>
              <w:right w:w="108" w:type="dxa"/>
            </w:tcMar>
          </w:tcPr>
          <w:p w14:paraId="1E5C2156" w14:textId="7A79BB87" w:rsidR="00D1155C" w:rsidRPr="00C22748" w:rsidRDefault="00D1155C" w:rsidP="00C2627F">
            <w:pPr>
              <w:pStyle w:val="TableText"/>
            </w:pPr>
            <w:r>
              <w:t xml:space="preserve">Not applicable </w:t>
            </w:r>
          </w:p>
        </w:tc>
      </w:tr>
      <w:tr w:rsidR="00D1155C" w:rsidRPr="00013AE2" w14:paraId="7CD3BEFC" w14:textId="77777777" w:rsidTr="00C85977">
        <w:tc>
          <w:tcPr>
            <w:tcW w:w="1005" w:type="pct"/>
            <w:vMerge/>
            <w:tcMar>
              <w:bottom w:w="28" w:type="dxa"/>
            </w:tcMar>
          </w:tcPr>
          <w:p w14:paraId="77C961E2" w14:textId="77777777" w:rsidR="00D1155C" w:rsidRPr="007B0473" w:rsidRDefault="00D1155C" w:rsidP="00C2627F">
            <w:pPr>
              <w:pStyle w:val="TableText"/>
              <w:rPr>
                <w:rStyle w:val="Strong"/>
              </w:rPr>
            </w:pPr>
          </w:p>
        </w:tc>
        <w:tc>
          <w:tcPr>
            <w:tcW w:w="1004" w:type="pct"/>
            <w:tcMar>
              <w:left w:w="108" w:type="dxa"/>
              <w:bottom w:w="28" w:type="dxa"/>
              <w:right w:w="108" w:type="dxa"/>
            </w:tcMar>
          </w:tcPr>
          <w:p w14:paraId="03BD0D5F" w14:textId="71C0EE8B" w:rsidR="00D1155C" w:rsidRDefault="00D1155C" w:rsidP="00C85977">
            <w:pPr>
              <w:pStyle w:val="TableText"/>
            </w:pPr>
            <w:r>
              <w:t>2.1.</w:t>
            </w:r>
            <w:r w:rsidRPr="00E84EE7">
              <w:t xml:space="preserve">3 Investigate a potential strategy for </w:t>
            </w:r>
            <w:r w:rsidRPr="00297EE1">
              <w:t>importation</w:t>
            </w:r>
            <w:r w:rsidRPr="00E84EE7">
              <w:t xml:space="preserve"> of live </w:t>
            </w:r>
            <w:r w:rsidR="00892884" w:rsidRPr="00E84EE7">
              <w:t xml:space="preserve">xylella </w:t>
            </w:r>
            <w:r w:rsidRPr="00E84EE7">
              <w:t>cultures to enhance diagnostic testing capability, including development of diagnostic controls</w:t>
            </w:r>
          </w:p>
        </w:tc>
        <w:tc>
          <w:tcPr>
            <w:tcW w:w="1087" w:type="pct"/>
            <w:shd w:val="clear" w:color="auto" w:fill="DEF0C2"/>
            <w:tcMar>
              <w:left w:w="108" w:type="dxa"/>
              <w:bottom w:w="28" w:type="dxa"/>
              <w:right w:w="108" w:type="dxa"/>
            </w:tcMar>
          </w:tcPr>
          <w:p w14:paraId="6FE2EA14" w14:textId="51123BD6" w:rsidR="00D1155C" w:rsidRPr="0074684B" w:rsidRDefault="00D1155C" w:rsidP="00297EE1">
            <w:pPr>
              <w:pStyle w:val="TableText"/>
            </w:pPr>
            <w:r w:rsidRPr="0074684B">
              <w:t xml:space="preserve">Completed – project </w:t>
            </w:r>
            <w:r w:rsidRPr="00297EE1">
              <w:t>finished</w:t>
            </w:r>
            <w:r w:rsidR="00864B0B">
              <w:t xml:space="preserve"> (2023)</w:t>
            </w:r>
          </w:p>
          <w:p w14:paraId="572D7086" w14:textId="361AE413" w:rsidR="00126EAC" w:rsidRDefault="00D1155C" w:rsidP="00A01FFD">
            <w:pPr>
              <w:pStyle w:val="TableText"/>
              <w:rPr>
                <w:szCs w:val="18"/>
              </w:rPr>
            </w:pPr>
            <w:r w:rsidRPr="00F9109F">
              <w:rPr>
                <w:szCs w:val="18"/>
              </w:rPr>
              <w:t xml:space="preserve">On 24 May 2023, the Department of Agriculture, Fisheries and Forestry granted an import permit to NSW DPI to permit a single importation of live cultures of the bacterial pathogen </w:t>
            </w:r>
            <w:r w:rsidR="00892884" w:rsidRPr="00892884">
              <w:rPr>
                <w:szCs w:val="18"/>
              </w:rPr>
              <w:t>xylella</w:t>
            </w:r>
            <w:r w:rsidR="00892884" w:rsidRPr="00451900">
              <w:t xml:space="preserve"> </w:t>
            </w:r>
            <w:r w:rsidRPr="00F9109F">
              <w:rPr>
                <w:szCs w:val="18"/>
              </w:rPr>
              <w:t>into Australia</w:t>
            </w:r>
            <w:r w:rsidR="00376432">
              <w:rPr>
                <w:szCs w:val="18"/>
              </w:rPr>
              <w:t xml:space="preserve"> for in vitro uses </w:t>
            </w:r>
            <w:r w:rsidR="00376432">
              <w:rPr>
                <w:szCs w:val="18"/>
              </w:rPr>
              <w:lastRenderedPageBreak/>
              <w:t>within a biosecurity containment laboratory</w:t>
            </w:r>
            <w:r w:rsidR="00DB0515">
              <w:rPr>
                <w:szCs w:val="18"/>
              </w:rPr>
              <w:t>.</w:t>
            </w:r>
          </w:p>
          <w:p w14:paraId="06B6A924" w14:textId="79C70B7B" w:rsidR="00D1155C" w:rsidRPr="00B05F75" w:rsidRDefault="00BC2E0B" w:rsidP="00A01FFD">
            <w:pPr>
              <w:pStyle w:val="TableText"/>
              <w:rPr>
                <w:szCs w:val="18"/>
              </w:rPr>
            </w:pPr>
            <w:r w:rsidRPr="00451900">
              <w:t xml:space="preserve">Xylella </w:t>
            </w:r>
            <w:r>
              <w:rPr>
                <w:szCs w:val="18"/>
              </w:rPr>
              <w:t xml:space="preserve">cultures were imported 1 July 2023. </w:t>
            </w:r>
          </w:p>
        </w:tc>
        <w:tc>
          <w:tcPr>
            <w:tcW w:w="501" w:type="pct"/>
            <w:tcMar>
              <w:left w:w="108" w:type="dxa"/>
              <w:bottom w:w="28" w:type="dxa"/>
              <w:right w:w="108" w:type="dxa"/>
            </w:tcMar>
          </w:tcPr>
          <w:p w14:paraId="028BFD85" w14:textId="09E24EF7" w:rsidR="00F62B4C" w:rsidRDefault="00F62B4C" w:rsidP="00297EE1">
            <w:pPr>
              <w:pStyle w:val="TableText"/>
            </w:pPr>
            <w:r>
              <w:lastRenderedPageBreak/>
              <w:t>Jurisdiction</w:t>
            </w:r>
          </w:p>
          <w:p w14:paraId="3A8F0984" w14:textId="67C16D53" w:rsidR="00D1155C" w:rsidRDefault="00D1155C" w:rsidP="00297EE1">
            <w:pPr>
              <w:pStyle w:val="TableText"/>
            </w:pPr>
            <w:r w:rsidRPr="00297EE1">
              <w:t>Commonwealth</w:t>
            </w:r>
            <w:r>
              <w:t xml:space="preserve"> (PIO, PSARA)</w:t>
            </w:r>
          </w:p>
          <w:p w14:paraId="28838353" w14:textId="0DAE4CA4" w:rsidR="00D1155C" w:rsidRDefault="00D1155C" w:rsidP="00C2627F">
            <w:pPr>
              <w:pStyle w:val="TableText"/>
            </w:pPr>
            <w:r>
              <w:t>SPHD</w:t>
            </w:r>
          </w:p>
        </w:tc>
        <w:tc>
          <w:tcPr>
            <w:tcW w:w="702" w:type="pct"/>
            <w:tcMar>
              <w:left w:w="108" w:type="dxa"/>
              <w:bottom w:w="28" w:type="dxa"/>
              <w:right w:w="108" w:type="dxa"/>
            </w:tcMar>
          </w:tcPr>
          <w:p w14:paraId="5851D84C" w14:textId="2DC258BB" w:rsidR="00D1155C" w:rsidRPr="000407B5" w:rsidRDefault="00D1155C" w:rsidP="00297EE1">
            <w:pPr>
              <w:pStyle w:val="TableText"/>
            </w:pPr>
            <w:r>
              <w:t xml:space="preserve">Not </w:t>
            </w:r>
            <w:r w:rsidRPr="00297EE1">
              <w:t>applicable</w:t>
            </w:r>
            <w:r>
              <w:t xml:space="preserve"> </w:t>
            </w:r>
          </w:p>
        </w:tc>
        <w:tc>
          <w:tcPr>
            <w:tcW w:w="701" w:type="pct"/>
            <w:tcMar>
              <w:left w:w="108" w:type="dxa"/>
              <w:bottom w:w="28" w:type="dxa"/>
              <w:right w:w="108" w:type="dxa"/>
            </w:tcMar>
          </w:tcPr>
          <w:p w14:paraId="56E3D0F2" w14:textId="62EAE884" w:rsidR="00D1155C" w:rsidRPr="00C22748" w:rsidRDefault="00D1155C" w:rsidP="00297EE1">
            <w:pPr>
              <w:pStyle w:val="TableText"/>
            </w:pPr>
            <w:r>
              <w:t xml:space="preserve">Not </w:t>
            </w:r>
            <w:r w:rsidRPr="00297EE1">
              <w:t>applicable</w:t>
            </w:r>
            <w:r>
              <w:t xml:space="preserve"> </w:t>
            </w:r>
          </w:p>
        </w:tc>
      </w:tr>
      <w:tr w:rsidR="00D1155C" w:rsidRPr="00013AE2" w14:paraId="09DC5A0F" w14:textId="77777777" w:rsidTr="006E5D7F">
        <w:tc>
          <w:tcPr>
            <w:tcW w:w="1005" w:type="pct"/>
            <w:vMerge/>
            <w:tcMar>
              <w:bottom w:w="28" w:type="dxa"/>
            </w:tcMar>
          </w:tcPr>
          <w:p w14:paraId="796613C9" w14:textId="77777777" w:rsidR="00D1155C" w:rsidRPr="007B0473" w:rsidRDefault="00D1155C" w:rsidP="00C2627F">
            <w:pPr>
              <w:pStyle w:val="TableText"/>
              <w:rPr>
                <w:rStyle w:val="Strong"/>
              </w:rPr>
            </w:pPr>
          </w:p>
        </w:tc>
        <w:tc>
          <w:tcPr>
            <w:tcW w:w="1004" w:type="pct"/>
            <w:tcMar>
              <w:left w:w="108" w:type="dxa"/>
              <w:bottom w:w="28" w:type="dxa"/>
              <w:right w:w="108" w:type="dxa"/>
            </w:tcMar>
          </w:tcPr>
          <w:p w14:paraId="5C11FBE1" w14:textId="413BA34A" w:rsidR="00D1155C" w:rsidRDefault="00D1155C" w:rsidP="00C2627F">
            <w:pPr>
              <w:pStyle w:val="TableText"/>
              <w:tabs>
                <w:tab w:val="left" w:pos="464"/>
              </w:tabs>
            </w:pPr>
            <w:r>
              <w:t xml:space="preserve">2.1.4 RRD4P – Boosting diagnostic </w:t>
            </w:r>
            <w:r w:rsidR="00437EFD">
              <w:t xml:space="preserve">capacity for plant production </w:t>
            </w:r>
            <w:r>
              <w:t>industries (WA1907)</w:t>
            </w:r>
          </w:p>
        </w:tc>
        <w:tc>
          <w:tcPr>
            <w:tcW w:w="1087" w:type="pct"/>
            <w:shd w:val="clear" w:color="auto" w:fill="DEF0C2"/>
            <w:tcMar>
              <w:left w:w="108" w:type="dxa"/>
              <w:bottom w:w="28" w:type="dxa"/>
              <w:right w:w="108" w:type="dxa"/>
            </w:tcMar>
          </w:tcPr>
          <w:p w14:paraId="7EF4A64A" w14:textId="212AF050" w:rsidR="00D1155C" w:rsidRDefault="002932C0" w:rsidP="00D72E3E">
            <w:pPr>
              <w:pStyle w:val="TableText"/>
              <w:rPr>
                <w:rFonts w:cstheme="minorHAnsi"/>
                <w:szCs w:val="18"/>
              </w:rPr>
            </w:pPr>
            <w:r>
              <w:rPr>
                <w:rFonts w:cstheme="minorHAnsi"/>
                <w:szCs w:val="18"/>
              </w:rPr>
              <w:t>C</w:t>
            </w:r>
            <w:r w:rsidR="00BC309F">
              <w:rPr>
                <w:rFonts w:cstheme="minorHAnsi"/>
                <w:szCs w:val="18"/>
              </w:rPr>
              <w:t>ompleted – project finished</w:t>
            </w:r>
            <w:r w:rsidR="00864B0B">
              <w:rPr>
                <w:rFonts w:cstheme="minorHAnsi"/>
                <w:szCs w:val="18"/>
              </w:rPr>
              <w:t xml:space="preserve"> (2023)</w:t>
            </w:r>
            <w:r w:rsidR="00BC309F">
              <w:rPr>
                <w:rFonts w:cstheme="minorHAnsi"/>
                <w:szCs w:val="18"/>
              </w:rPr>
              <w:t xml:space="preserve"> </w:t>
            </w:r>
          </w:p>
          <w:p w14:paraId="3644BE3D" w14:textId="27F42759" w:rsidR="00F55CB1" w:rsidRPr="00192CA1" w:rsidRDefault="00F55CB1" w:rsidP="00D72E3E">
            <w:pPr>
              <w:pStyle w:val="TableText"/>
              <w:rPr>
                <w:rFonts w:cstheme="minorHAnsi"/>
                <w:szCs w:val="18"/>
              </w:rPr>
            </w:pPr>
            <w:r>
              <w:rPr>
                <w:rFonts w:cstheme="minorHAnsi"/>
                <w:szCs w:val="18"/>
              </w:rPr>
              <w:t>Xylella for research undertake</w:t>
            </w:r>
            <w:r w:rsidR="00437EFD">
              <w:rPr>
                <w:rFonts w:cstheme="minorHAnsi"/>
                <w:szCs w:val="18"/>
              </w:rPr>
              <w:t>n</w:t>
            </w:r>
            <w:r>
              <w:rPr>
                <w:rFonts w:cstheme="minorHAnsi"/>
                <w:szCs w:val="18"/>
              </w:rPr>
              <w:t xml:space="preserve"> through Better Border Biosecurity (B3).</w:t>
            </w:r>
            <w:r>
              <w:t xml:space="preserve"> </w:t>
            </w:r>
            <w:r w:rsidRPr="000E25A5">
              <w:rPr>
                <w:rStyle w:val="cf01"/>
                <w:rFonts w:asciiTheme="minorHAnsi" w:hAnsiTheme="minorHAnsi" w:cstheme="minorHAnsi"/>
              </w:rPr>
              <w:t>Relevant information is being exchanged with our collaborators within the Boosting Diagnostics programme.</w:t>
            </w:r>
          </w:p>
          <w:p w14:paraId="38F8DC4D" w14:textId="6D562E6D" w:rsidR="00F55CB1" w:rsidRPr="00F9109F" w:rsidDel="00273FB3" w:rsidRDefault="00000000" w:rsidP="00D72E3E">
            <w:pPr>
              <w:pStyle w:val="TableText"/>
              <w:rPr>
                <w:rFonts w:cstheme="minorHAnsi"/>
                <w:szCs w:val="18"/>
              </w:rPr>
            </w:pPr>
            <w:hyperlink r:id="rId25" w:history="1">
              <w:r w:rsidR="00F55CB1" w:rsidRPr="00192CA1">
                <w:rPr>
                  <w:rStyle w:val="Hyperlink"/>
                  <w:rFonts w:cstheme="minorHAnsi"/>
                </w:rPr>
                <w:t>RRD4P – Boosting Diagnostic Capacity for Plant Production Industries | Wine Australia</w:t>
              </w:r>
            </w:hyperlink>
          </w:p>
        </w:tc>
        <w:tc>
          <w:tcPr>
            <w:tcW w:w="501" w:type="pct"/>
            <w:tcMar>
              <w:left w:w="108" w:type="dxa"/>
              <w:bottom w:w="28" w:type="dxa"/>
              <w:right w:w="108" w:type="dxa"/>
            </w:tcMar>
          </w:tcPr>
          <w:p w14:paraId="3E284F96" w14:textId="3BFEDD66" w:rsidR="00D1155C" w:rsidRDefault="00D1155C" w:rsidP="00C2627F">
            <w:pPr>
              <w:pStyle w:val="TableText"/>
            </w:pPr>
            <w:r>
              <w:t>GRDC</w:t>
            </w:r>
          </w:p>
        </w:tc>
        <w:tc>
          <w:tcPr>
            <w:tcW w:w="702" w:type="pct"/>
            <w:tcMar>
              <w:left w:w="108" w:type="dxa"/>
              <w:bottom w:w="28" w:type="dxa"/>
              <w:right w:w="108" w:type="dxa"/>
            </w:tcMar>
          </w:tcPr>
          <w:p w14:paraId="2B8210A0" w14:textId="1633E2CB" w:rsidR="00D1155C" w:rsidRDefault="00D1155C" w:rsidP="00C2627F">
            <w:pPr>
              <w:pStyle w:val="TableText"/>
            </w:pPr>
          </w:p>
        </w:tc>
        <w:tc>
          <w:tcPr>
            <w:tcW w:w="701" w:type="pct"/>
            <w:tcMar>
              <w:left w:w="108" w:type="dxa"/>
              <w:bottom w:w="28" w:type="dxa"/>
              <w:right w:w="108" w:type="dxa"/>
            </w:tcMar>
          </w:tcPr>
          <w:p w14:paraId="37C48984" w14:textId="5DDE2CFE" w:rsidR="00D1155C" w:rsidRDefault="00B05F75" w:rsidP="00C2627F">
            <w:pPr>
              <w:pStyle w:val="TableText"/>
            </w:pPr>
            <w:r>
              <w:t>Not applicable</w:t>
            </w:r>
          </w:p>
        </w:tc>
      </w:tr>
      <w:tr w:rsidR="00D1155C" w:rsidRPr="00013AE2" w14:paraId="09E0D3D6" w14:textId="77777777" w:rsidTr="003A1099">
        <w:tc>
          <w:tcPr>
            <w:tcW w:w="1005" w:type="pct"/>
            <w:vMerge/>
            <w:tcMar>
              <w:bottom w:w="28" w:type="dxa"/>
            </w:tcMar>
          </w:tcPr>
          <w:p w14:paraId="37C1D0AA" w14:textId="77777777" w:rsidR="00D1155C" w:rsidRPr="007B0473" w:rsidRDefault="00D1155C" w:rsidP="00C2627F">
            <w:pPr>
              <w:pStyle w:val="TableText"/>
              <w:rPr>
                <w:rStyle w:val="Strong"/>
              </w:rPr>
            </w:pPr>
          </w:p>
        </w:tc>
        <w:tc>
          <w:tcPr>
            <w:tcW w:w="1004" w:type="pct"/>
            <w:tcMar>
              <w:left w:w="108" w:type="dxa"/>
              <w:bottom w:w="28" w:type="dxa"/>
              <w:right w:w="108" w:type="dxa"/>
            </w:tcMar>
          </w:tcPr>
          <w:p w14:paraId="216EEDDD" w14:textId="450DA4FA" w:rsidR="00D1155C" w:rsidRDefault="00D1155C" w:rsidP="00C2627F">
            <w:pPr>
              <w:pStyle w:val="TableText"/>
              <w:tabs>
                <w:tab w:val="left" w:pos="464"/>
              </w:tabs>
            </w:pPr>
            <w:r>
              <w:t>2.1.5 Review and update list of draft and endorsed NDPs for NPPP, as part of the National Diagnostic Protocol Implementation Plan</w:t>
            </w:r>
          </w:p>
        </w:tc>
        <w:tc>
          <w:tcPr>
            <w:tcW w:w="1087" w:type="pct"/>
            <w:shd w:val="clear" w:color="auto" w:fill="C6D9F1" w:themeFill="text2" w:themeFillTint="33"/>
            <w:tcMar>
              <w:left w:w="108" w:type="dxa"/>
              <w:bottom w:w="28" w:type="dxa"/>
              <w:right w:w="108" w:type="dxa"/>
            </w:tcMar>
          </w:tcPr>
          <w:p w14:paraId="3E3AA9D9" w14:textId="67202F95" w:rsidR="00586D34" w:rsidRDefault="00A00D28" w:rsidP="00D72E3E">
            <w:pPr>
              <w:pStyle w:val="TableText"/>
              <w:rPr>
                <w:rFonts w:cstheme="minorHAnsi"/>
                <w:szCs w:val="18"/>
              </w:rPr>
            </w:pPr>
            <w:r>
              <w:rPr>
                <w:rFonts w:cstheme="minorHAnsi"/>
                <w:szCs w:val="18"/>
              </w:rPr>
              <w:t>Ongoing</w:t>
            </w:r>
            <w:r w:rsidR="00586D34">
              <w:rPr>
                <w:rFonts w:cstheme="minorHAnsi"/>
                <w:szCs w:val="18"/>
              </w:rPr>
              <w:t xml:space="preserve"> – business as usual </w:t>
            </w:r>
            <w:r>
              <w:rPr>
                <w:rFonts w:cstheme="minorHAnsi"/>
                <w:szCs w:val="18"/>
              </w:rPr>
              <w:t xml:space="preserve"> </w:t>
            </w:r>
          </w:p>
          <w:p w14:paraId="37A80489" w14:textId="6204EAB0" w:rsidR="00D1155C" w:rsidRDefault="00015490" w:rsidP="00D72E3E">
            <w:pPr>
              <w:pStyle w:val="TableText"/>
              <w:rPr>
                <w:rFonts w:cstheme="minorHAnsi"/>
                <w:szCs w:val="18"/>
              </w:rPr>
            </w:pPr>
            <w:r>
              <w:rPr>
                <w:rFonts w:cstheme="minorHAnsi"/>
                <w:szCs w:val="18"/>
              </w:rPr>
              <w:t>R</w:t>
            </w:r>
            <w:r w:rsidR="00A00D28">
              <w:rPr>
                <w:rFonts w:cstheme="minorHAnsi"/>
                <w:szCs w:val="18"/>
              </w:rPr>
              <w:t>eview evaluation every 5 years unless triggered sooner.</w:t>
            </w:r>
            <w:r w:rsidR="00437EFD">
              <w:rPr>
                <w:rFonts w:cstheme="minorHAnsi"/>
                <w:szCs w:val="18"/>
              </w:rPr>
              <w:t>=</w:t>
            </w:r>
          </w:p>
        </w:tc>
        <w:tc>
          <w:tcPr>
            <w:tcW w:w="501" w:type="pct"/>
            <w:tcMar>
              <w:left w:w="108" w:type="dxa"/>
              <w:bottom w:w="28" w:type="dxa"/>
              <w:right w:w="108" w:type="dxa"/>
            </w:tcMar>
          </w:tcPr>
          <w:p w14:paraId="43C2E006" w14:textId="3BA8C002" w:rsidR="00D1155C" w:rsidRDefault="00D1155C" w:rsidP="00C2627F">
            <w:pPr>
              <w:pStyle w:val="TableText"/>
            </w:pPr>
            <w:r>
              <w:t>SPHD</w:t>
            </w:r>
          </w:p>
        </w:tc>
        <w:tc>
          <w:tcPr>
            <w:tcW w:w="702" w:type="pct"/>
            <w:tcMar>
              <w:left w:w="108" w:type="dxa"/>
              <w:bottom w:w="28" w:type="dxa"/>
              <w:right w:w="108" w:type="dxa"/>
            </w:tcMar>
          </w:tcPr>
          <w:p w14:paraId="2619215F" w14:textId="0C04ADCE" w:rsidR="00D1155C" w:rsidRDefault="00D1155C" w:rsidP="00C2627F">
            <w:pPr>
              <w:pStyle w:val="TableText"/>
            </w:pPr>
            <w:r>
              <w:t>Not applicable</w:t>
            </w:r>
          </w:p>
        </w:tc>
        <w:tc>
          <w:tcPr>
            <w:tcW w:w="701" w:type="pct"/>
            <w:tcMar>
              <w:left w:w="108" w:type="dxa"/>
              <w:bottom w:w="28" w:type="dxa"/>
              <w:right w:w="108" w:type="dxa"/>
            </w:tcMar>
          </w:tcPr>
          <w:p w14:paraId="68ACA476" w14:textId="77777777" w:rsidR="00D1155C" w:rsidRDefault="00876E0B" w:rsidP="00C2627F">
            <w:pPr>
              <w:pStyle w:val="TableText"/>
            </w:pPr>
            <w:r>
              <w:t>Supports:</w:t>
            </w:r>
          </w:p>
          <w:p w14:paraId="5CA37815" w14:textId="18E62E12" w:rsidR="00876E0B" w:rsidRDefault="00876E0B" w:rsidP="00876E0B">
            <w:pPr>
              <w:pStyle w:val="TableBullet1"/>
            </w:pPr>
            <w:r>
              <w:t>National Khapra Beetle Action Plan action</w:t>
            </w:r>
            <w:r w:rsidR="00C54845">
              <w:t xml:space="preserve"> </w:t>
            </w:r>
            <w:r>
              <w:t>2.1</w:t>
            </w:r>
          </w:p>
          <w:p w14:paraId="2D21EF29" w14:textId="57B70C9B" w:rsidR="00876E0B" w:rsidRDefault="00876E0B" w:rsidP="00F55CB1">
            <w:pPr>
              <w:pStyle w:val="TableBullet1"/>
            </w:pPr>
            <w:r>
              <w:t xml:space="preserve">National Hitchhiker Action Plan action 2.2 </w:t>
            </w:r>
          </w:p>
        </w:tc>
      </w:tr>
      <w:tr w:rsidR="007510A2" w:rsidRPr="00013AE2" w14:paraId="6477C8A7" w14:textId="77777777" w:rsidTr="003A1099">
        <w:tc>
          <w:tcPr>
            <w:tcW w:w="1005" w:type="pct"/>
            <w:vMerge w:val="restart"/>
            <w:tcMar>
              <w:bottom w:w="28" w:type="dxa"/>
            </w:tcMar>
          </w:tcPr>
          <w:p w14:paraId="796C8E82" w14:textId="2D8BBA3C" w:rsidR="007510A2" w:rsidRPr="005479BF" w:rsidRDefault="007510A2" w:rsidP="008A73E7">
            <w:pPr>
              <w:pStyle w:val="TableText"/>
              <w:rPr>
                <w:rStyle w:val="Strong"/>
                <w:b w:val="0"/>
                <w:bCs w:val="0"/>
              </w:rPr>
            </w:pPr>
            <w:r>
              <w:rPr>
                <w:rStyle w:val="Strong"/>
              </w:rPr>
              <w:t xml:space="preserve">Action 2.2: </w:t>
            </w:r>
            <w:r>
              <w:rPr>
                <w:rStyle w:val="Strong"/>
                <w:b w:val="0"/>
                <w:bCs w:val="0"/>
              </w:rPr>
              <w:t>Establish high-throughput diagnostic testing capacity and capability.</w:t>
            </w:r>
          </w:p>
          <w:p w14:paraId="64A767DF" w14:textId="246B6C8E" w:rsidR="007510A2" w:rsidRPr="005479BF" w:rsidRDefault="007510A2" w:rsidP="008A73E7">
            <w:pPr>
              <w:pStyle w:val="TableText"/>
              <w:rPr>
                <w:rStyle w:val="Strong"/>
                <w:b w:val="0"/>
                <w:bCs w:val="0"/>
              </w:rPr>
            </w:pPr>
            <w:r w:rsidRPr="00DE7573">
              <w:rPr>
                <w:rStyle w:val="Strong"/>
              </w:rPr>
              <w:t>E</w:t>
            </w:r>
            <w:r>
              <w:rPr>
                <w:rStyle w:val="Strong"/>
              </w:rPr>
              <w:t>xpected benefit and outcome:</w:t>
            </w:r>
            <w:r>
              <w:t xml:space="preserve"> </w:t>
            </w:r>
            <w:r w:rsidRPr="005479BF">
              <w:rPr>
                <w:rStyle w:val="Strong"/>
                <w:b w:val="0"/>
                <w:bCs w:val="0"/>
              </w:rPr>
              <w:t xml:space="preserve">To improve preparedness and response capability in relation to incursions by </w:t>
            </w:r>
            <w:r w:rsidRPr="00011B18">
              <w:rPr>
                <w:rStyle w:val="Strong"/>
                <w:b w:val="0"/>
                <w:bCs w:val="0"/>
                <w:i/>
                <w:iCs/>
              </w:rPr>
              <w:t>Xylella fastidiosa</w:t>
            </w:r>
            <w:r w:rsidRPr="005479BF">
              <w:rPr>
                <w:rStyle w:val="Strong"/>
                <w:b w:val="0"/>
                <w:bCs w:val="0"/>
              </w:rPr>
              <w:t xml:space="preserve"> through the adoption of best practice diagnostic strategies to increase national surge capacity</w:t>
            </w:r>
            <w:r w:rsidR="000D4C52" w:rsidRPr="005479BF">
              <w:rPr>
                <w:rStyle w:val="Strong"/>
                <w:b w:val="0"/>
                <w:bCs w:val="0"/>
              </w:rPr>
              <w:t xml:space="preserve">. </w:t>
            </w:r>
          </w:p>
          <w:p w14:paraId="0548B9BF" w14:textId="31AB3FA0" w:rsidR="007510A2" w:rsidRDefault="007510A2" w:rsidP="008A73E7">
            <w:pPr>
              <w:pStyle w:val="TableText"/>
              <w:rPr>
                <w:rStyle w:val="Strong"/>
                <w:b w:val="0"/>
                <w:bCs w:val="0"/>
              </w:rPr>
            </w:pPr>
            <w:r w:rsidRPr="005479BF">
              <w:rPr>
                <w:rStyle w:val="Strong"/>
                <w:b w:val="0"/>
                <w:bCs w:val="0"/>
              </w:rPr>
              <w:t>SPHD to advise on strategies to improve national surge capacity.</w:t>
            </w:r>
          </w:p>
          <w:p w14:paraId="0DEFE642" w14:textId="4C9F29F9" w:rsidR="007510A2" w:rsidRPr="005479BF" w:rsidRDefault="007510A2" w:rsidP="008A73E7">
            <w:pPr>
              <w:pStyle w:val="TableText"/>
              <w:rPr>
                <w:rStyle w:val="Strong"/>
                <w:rFonts w:cstheme="minorHAnsi"/>
                <w:b w:val="0"/>
                <w:bCs w:val="0"/>
                <w:szCs w:val="18"/>
              </w:rPr>
            </w:pPr>
            <w:r w:rsidRPr="005479BF">
              <w:rPr>
                <w:rFonts w:cstheme="minorHAnsi"/>
                <w:szCs w:val="18"/>
              </w:rPr>
              <w:t>Initiate project(s) to develop tests and procedures for high-</w:t>
            </w:r>
            <w:r w:rsidRPr="005479BF">
              <w:rPr>
                <w:rFonts w:cstheme="minorHAnsi"/>
                <w:szCs w:val="18"/>
              </w:rPr>
              <w:lastRenderedPageBreak/>
              <w:t>throughput screening, including ELISA, PCR, qPCR, and LAMP if not addressed in Hort Innovation diagnostic project (see Action 2.1).</w:t>
            </w:r>
          </w:p>
          <w:p w14:paraId="0EBC842C" w14:textId="44D29F56" w:rsidR="007510A2" w:rsidRDefault="007510A2" w:rsidP="008A73E7">
            <w:pPr>
              <w:pStyle w:val="TableText"/>
              <w:rPr>
                <w:rStyle w:val="Strong"/>
              </w:rPr>
            </w:pPr>
            <w:r>
              <w:rPr>
                <w:rStyle w:val="Strong"/>
              </w:rPr>
              <w:t xml:space="preserve">Priority: </w:t>
            </w:r>
            <w:r w:rsidRPr="005E6550">
              <w:rPr>
                <w:rStyle w:val="Strong"/>
                <w:b w:val="0"/>
                <w:bCs w:val="0"/>
              </w:rPr>
              <w:t>medium</w:t>
            </w:r>
          </w:p>
          <w:p w14:paraId="04477427" w14:textId="74A27DD3" w:rsidR="007510A2" w:rsidRPr="00C2627F" w:rsidRDefault="007510A2" w:rsidP="008A73E7">
            <w:pPr>
              <w:pStyle w:val="TableText"/>
              <w:rPr>
                <w:rStyle w:val="Strong"/>
              </w:rPr>
            </w:pPr>
            <w:r>
              <w:rPr>
                <w:rStyle w:val="Strong"/>
              </w:rPr>
              <w:t xml:space="preserve">Time frame: </w:t>
            </w:r>
            <w:r w:rsidRPr="00DE7573">
              <w:rPr>
                <w:rStyle w:val="Strong"/>
                <w:b w:val="0"/>
                <w:bCs w:val="0"/>
              </w:rPr>
              <w:t>short term</w:t>
            </w:r>
          </w:p>
        </w:tc>
        <w:tc>
          <w:tcPr>
            <w:tcW w:w="1004" w:type="pct"/>
            <w:tcMar>
              <w:left w:w="108" w:type="dxa"/>
              <w:bottom w:w="28" w:type="dxa"/>
              <w:right w:w="108" w:type="dxa"/>
            </w:tcMar>
          </w:tcPr>
          <w:p w14:paraId="443F9DA9" w14:textId="483039AF" w:rsidR="007510A2" w:rsidRDefault="007510A2" w:rsidP="008A73E7">
            <w:pPr>
              <w:pStyle w:val="TableText"/>
              <w:tabs>
                <w:tab w:val="left" w:pos="464"/>
              </w:tabs>
            </w:pPr>
            <w:r>
              <w:lastRenderedPageBreak/>
              <w:t xml:space="preserve">2.2.1 </w:t>
            </w:r>
            <w:r w:rsidRPr="005479BF">
              <w:t>Exercises to test surge capacity workflow simulators</w:t>
            </w:r>
          </w:p>
        </w:tc>
        <w:tc>
          <w:tcPr>
            <w:tcW w:w="1087" w:type="pct"/>
            <w:shd w:val="clear" w:color="auto" w:fill="C6D9F1" w:themeFill="text2" w:themeFillTint="33"/>
            <w:tcMar>
              <w:left w:w="108" w:type="dxa"/>
              <w:bottom w:w="28" w:type="dxa"/>
              <w:right w:w="108" w:type="dxa"/>
            </w:tcMar>
          </w:tcPr>
          <w:p w14:paraId="57903DA6" w14:textId="67557FDD" w:rsidR="007510A2" w:rsidRPr="00011B18" w:rsidRDefault="007510A2" w:rsidP="008A73E7">
            <w:pPr>
              <w:pStyle w:val="TableText"/>
              <w:rPr>
                <w:rFonts w:cstheme="minorHAnsi"/>
                <w:szCs w:val="18"/>
              </w:rPr>
            </w:pPr>
            <w:r w:rsidRPr="00A01FFD">
              <w:rPr>
                <w:rFonts w:cstheme="minorHAnsi"/>
                <w:szCs w:val="18"/>
              </w:rPr>
              <w:t>Ongoing – business as usual</w:t>
            </w:r>
          </w:p>
        </w:tc>
        <w:tc>
          <w:tcPr>
            <w:tcW w:w="501" w:type="pct"/>
            <w:tcMar>
              <w:left w:w="108" w:type="dxa"/>
              <w:bottom w:w="28" w:type="dxa"/>
              <w:right w:w="108" w:type="dxa"/>
            </w:tcMar>
          </w:tcPr>
          <w:p w14:paraId="539A00AA" w14:textId="1515CC24" w:rsidR="007510A2" w:rsidRPr="005479BF" w:rsidRDefault="007510A2" w:rsidP="008A73E7">
            <w:pPr>
              <w:pStyle w:val="TableText"/>
            </w:pPr>
            <w:r w:rsidRPr="005479BF">
              <w:t>SPHD</w:t>
            </w:r>
          </w:p>
        </w:tc>
        <w:tc>
          <w:tcPr>
            <w:tcW w:w="702" w:type="pct"/>
            <w:tcMar>
              <w:left w:w="108" w:type="dxa"/>
              <w:bottom w:w="28" w:type="dxa"/>
              <w:right w:w="108" w:type="dxa"/>
            </w:tcMar>
          </w:tcPr>
          <w:p w14:paraId="56186128" w14:textId="556903AA" w:rsidR="007510A2" w:rsidRPr="005479BF" w:rsidRDefault="007510A2" w:rsidP="008A73E7">
            <w:pPr>
              <w:pStyle w:val="TableText"/>
            </w:pPr>
            <w:r>
              <w:t xml:space="preserve"> Not applicable</w:t>
            </w:r>
          </w:p>
        </w:tc>
        <w:tc>
          <w:tcPr>
            <w:tcW w:w="701" w:type="pct"/>
            <w:tcMar>
              <w:left w:w="108" w:type="dxa"/>
              <w:bottom w:w="28" w:type="dxa"/>
              <w:right w:w="108" w:type="dxa"/>
            </w:tcMar>
          </w:tcPr>
          <w:p w14:paraId="00542EDA" w14:textId="7D21CDF4" w:rsidR="007510A2" w:rsidRPr="00E765F1" w:rsidRDefault="007510A2" w:rsidP="008A73E7">
            <w:pPr>
              <w:pStyle w:val="TableText"/>
            </w:pPr>
            <w:r>
              <w:t>Relates to action 2.1, 2.3, 2.4, 2.5</w:t>
            </w:r>
          </w:p>
        </w:tc>
      </w:tr>
      <w:tr w:rsidR="007510A2" w:rsidRPr="00013AE2" w14:paraId="44119EBC" w14:textId="77777777" w:rsidTr="00C85977">
        <w:tc>
          <w:tcPr>
            <w:tcW w:w="1005" w:type="pct"/>
            <w:vMerge/>
            <w:tcMar>
              <w:bottom w:w="28" w:type="dxa"/>
            </w:tcMar>
          </w:tcPr>
          <w:p w14:paraId="1DC182E9" w14:textId="77777777" w:rsidR="007510A2" w:rsidRPr="007B0473" w:rsidRDefault="007510A2" w:rsidP="008A73E7">
            <w:pPr>
              <w:pStyle w:val="TableText"/>
              <w:rPr>
                <w:rStyle w:val="Strong"/>
              </w:rPr>
            </w:pPr>
          </w:p>
        </w:tc>
        <w:tc>
          <w:tcPr>
            <w:tcW w:w="1004" w:type="pct"/>
            <w:tcMar>
              <w:left w:w="108" w:type="dxa"/>
              <w:bottom w:w="28" w:type="dxa"/>
              <w:right w:w="108" w:type="dxa"/>
            </w:tcMar>
          </w:tcPr>
          <w:p w14:paraId="23C7E41C" w14:textId="14E7129D" w:rsidR="007510A2" w:rsidRDefault="007510A2" w:rsidP="008A73E7">
            <w:pPr>
              <w:pStyle w:val="TableText"/>
              <w:tabs>
                <w:tab w:val="left" w:pos="464"/>
              </w:tabs>
            </w:pPr>
            <w:r>
              <w:t xml:space="preserve">2.2.2 </w:t>
            </w:r>
            <w:r w:rsidRPr="005479BF">
              <w:t>Investigate project being established to utilise next gen sequencing to allow rapid diagnostics</w:t>
            </w:r>
          </w:p>
        </w:tc>
        <w:tc>
          <w:tcPr>
            <w:tcW w:w="1087" w:type="pct"/>
            <w:shd w:val="clear" w:color="auto" w:fill="F2DBDB"/>
            <w:tcMar>
              <w:left w:w="108" w:type="dxa"/>
              <w:bottom w:w="28" w:type="dxa"/>
              <w:right w:w="108" w:type="dxa"/>
            </w:tcMar>
          </w:tcPr>
          <w:p w14:paraId="0F55F292" w14:textId="1406A9E0" w:rsidR="007510A2" w:rsidRPr="00A01FFD" w:rsidRDefault="007510A2" w:rsidP="008A73E7">
            <w:pPr>
              <w:pStyle w:val="TableText"/>
              <w:rPr>
                <w:rFonts w:cstheme="minorHAnsi"/>
                <w:szCs w:val="18"/>
              </w:rPr>
            </w:pPr>
            <w:r w:rsidRPr="00A01FFD">
              <w:rPr>
                <w:rFonts w:cstheme="minorHAnsi"/>
                <w:szCs w:val="18"/>
              </w:rPr>
              <w:t>Pending – project to commence</w:t>
            </w:r>
            <w:r>
              <w:rPr>
                <w:rFonts w:cstheme="minorHAnsi"/>
                <w:szCs w:val="18"/>
              </w:rPr>
              <w:t xml:space="preserve"> when funding available</w:t>
            </w:r>
          </w:p>
          <w:p w14:paraId="4686DA3E" w14:textId="4E10AFDD" w:rsidR="007510A2" w:rsidRPr="00011B18" w:rsidRDefault="007510A2" w:rsidP="008A73E7">
            <w:pPr>
              <w:pStyle w:val="TableText"/>
              <w:rPr>
                <w:rFonts w:cstheme="minorHAnsi"/>
                <w:szCs w:val="18"/>
              </w:rPr>
            </w:pPr>
            <w:r w:rsidRPr="00A01FFD">
              <w:rPr>
                <w:rFonts w:cstheme="minorHAnsi"/>
                <w:szCs w:val="18"/>
              </w:rPr>
              <w:t xml:space="preserve">Project proposed at 6 May 2021 forum </w:t>
            </w:r>
          </w:p>
        </w:tc>
        <w:tc>
          <w:tcPr>
            <w:tcW w:w="501" w:type="pct"/>
            <w:shd w:val="clear" w:color="auto" w:fill="auto"/>
            <w:tcMar>
              <w:left w:w="108" w:type="dxa"/>
              <w:bottom w:w="28" w:type="dxa"/>
              <w:right w:w="108" w:type="dxa"/>
            </w:tcMar>
          </w:tcPr>
          <w:p w14:paraId="3E6F4EB8" w14:textId="57157712" w:rsidR="007510A2" w:rsidRPr="00A216EF" w:rsidRDefault="007510A2" w:rsidP="008A73E7">
            <w:pPr>
              <w:pStyle w:val="TableText"/>
            </w:pPr>
            <w:r w:rsidRPr="00A216EF">
              <w:t xml:space="preserve">To be determined </w:t>
            </w:r>
          </w:p>
        </w:tc>
        <w:tc>
          <w:tcPr>
            <w:tcW w:w="702" w:type="pct"/>
            <w:tcMar>
              <w:left w:w="108" w:type="dxa"/>
              <w:bottom w:w="28" w:type="dxa"/>
              <w:right w:w="108" w:type="dxa"/>
            </w:tcMar>
          </w:tcPr>
          <w:p w14:paraId="4F2BCCA6" w14:textId="0AB129F5" w:rsidR="007510A2" w:rsidRPr="00A216EF" w:rsidRDefault="007510A2" w:rsidP="008A73E7">
            <w:pPr>
              <w:pStyle w:val="TableText"/>
            </w:pPr>
            <w:r w:rsidRPr="00A216EF">
              <w:t xml:space="preserve">To be determined </w:t>
            </w:r>
          </w:p>
        </w:tc>
        <w:tc>
          <w:tcPr>
            <w:tcW w:w="701" w:type="pct"/>
            <w:tcMar>
              <w:left w:w="108" w:type="dxa"/>
              <w:bottom w:w="28" w:type="dxa"/>
              <w:right w:w="108" w:type="dxa"/>
            </w:tcMar>
          </w:tcPr>
          <w:p w14:paraId="5E56D40B" w14:textId="11A10C59" w:rsidR="007510A2" w:rsidRPr="00E765F1" w:rsidRDefault="007510A2" w:rsidP="008A73E7">
            <w:pPr>
              <w:pStyle w:val="TableBullet1"/>
              <w:numPr>
                <w:ilvl w:val="0"/>
                <w:numId w:val="0"/>
              </w:numPr>
              <w:ind w:left="284" w:hanging="284"/>
            </w:pPr>
            <w:r>
              <w:t xml:space="preserve">Not applicable </w:t>
            </w:r>
          </w:p>
        </w:tc>
      </w:tr>
      <w:tr w:rsidR="007510A2" w:rsidRPr="00013AE2" w14:paraId="71319CA5" w14:textId="77777777" w:rsidTr="00C85977">
        <w:tc>
          <w:tcPr>
            <w:tcW w:w="1005" w:type="pct"/>
            <w:vMerge/>
            <w:tcMar>
              <w:bottom w:w="28" w:type="dxa"/>
            </w:tcMar>
          </w:tcPr>
          <w:p w14:paraId="6EC0F58D" w14:textId="77777777" w:rsidR="007510A2" w:rsidRPr="007B0473" w:rsidRDefault="007510A2" w:rsidP="008A73E7">
            <w:pPr>
              <w:pStyle w:val="TableText"/>
              <w:rPr>
                <w:rStyle w:val="Strong"/>
              </w:rPr>
            </w:pPr>
          </w:p>
        </w:tc>
        <w:tc>
          <w:tcPr>
            <w:tcW w:w="1004" w:type="pct"/>
            <w:tcMar>
              <w:left w:w="108" w:type="dxa"/>
              <w:bottom w:w="28" w:type="dxa"/>
              <w:right w:w="108" w:type="dxa"/>
            </w:tcMar>
          </w:tcPr>
          <w:p w14:paraId="7B990E91" w14:textId="5F8EEFED" w:rsidR="007510A2" w:rsidRDefault="007510A2" w:rsidP="008A73E7">
            <w:pPr>
              <w:pStyle w:val="TableText"/>
              <w:tabs>
                <w:tab w:val="center" w:pos="1380"/>
              </w:tabs>
            </w:pPr>
            <w:r>
              <w:t xml:space="preserve">2.2.3 Including </w:t>
            </w:r>
            <w:r w:rsidR="00437EFD">
              <w:t xml:space="preserve">xylella </w:t>
            </w:r>
            <w:r>
              <w:t>in</w:t>
            </w:r>
            <w:r w:rsidRPr="00451900">
              <w:t xml:space="preserve"> the National Plant Health Proficiency Testing Program (NPHPTP</w:t>
            </w:r>
            <w:r w:rsidRPr="00986CAD">
              <w:t>)</w:t>
            </w:r>
          </w:p>
        </w:tc>
        <w:tc>
          <w:tcPr>
            <w:tcW w:w="1087" w:type="pct"/>
            <w:shd w:val="clear" w:color="auto" w:fill="F2DBDB"/>
            <w:tcMar>
              <w:left w:w="108" w:type="dxa"/>
              <w:bottom w:w="28" w:type="dxa"/>
              <w:right w:w="108" w:type="dxa"/>
            </w:tcMar>
          </w:tcPr>
          <w:p w14:paraId="643C129E" w14:textId="302C8D59" w:rsidR="007510A2" w:rsidRPr="00A01FFD" w:rsidRDefault="007510A2" w:rsidP="008A73E7">
            <w:pPr>
              <w:pStyle w:val="TableText"/>
              <w:rPr>
                <w:rFonts w:cstheme="minorHAnsi"/>
                <w:szCs w:val="18"/>
              </w:rPr>
            </w:pPr>
            <w:r w:rsidRPr="00A01FFD">
              <w:rPr>
                <w:rFonts w:cstheme="minorHAnsi"/>
                <w:szCs w:val="18"/>
              </w:rPr>
              <w:t>Pending – project to commence</w:t>
            </w:r>
            <w:r>
              <w:rPr>
                <w:rFonts w:cstheme="minorHAnsi"/>
                <w:szCs w:val="18"/>
              </w:rPr>
              <w:t xml:space="preserve"> when funding available</w:t>
            </w:r>
          </w:p>
          <w:p w14:paraId="2A5A000C" w14:textId="7B44EC09" w:rsidR="007510A2" w:rsidRPr="00A01FFD" w:rsidRDefault="007510A2" w:rsidP="008A73E7">
            <w:pPr>
              <w:pStyle w:val="TableText"/>
              <w:rPr>
                <w:rFonts w:cstheme="minorHAnsi"/>
                <w:szCs w:val="18"/>
              </w:rPr>
            </w:pPr>
            <w:r w:rsidRPr="00A01FFD">
              <w:rPr>
                <w:rFonts w:cstheme="minorHAnsi"/>
                <w:szCs w:val="18"/>
              </w:rPr>
              <w:t xml:space="preserve">SPHD has delivered the National Plant Health Proficiency Testing Program (NPHPTP) since 2012. The Proficiency Testing Coordinator, appointed by SPHD, manages the delivery of the </w:t>
            </w:r>
            <w:r w:rsidRPr="00A01FFD">
              <w:rPr>
                <w:rFonts w:cstheme="minorHAnsi"/>
                <w:szCs w:val="18"/>
              </w:rPr>
              <w:lastRenderedPageBreak/>
              <w:t>program in conjunction with Australian National Quality Assurance Program (ANQAP).</w:t>
            </w:r>
          </w:p>
          <w:p w14:paraId="300649F0" w14:textId="5DF0E5AF" w:rsidR="007510A2" w:rsidRPr="00A01FFD" w:rsidRDefault="007510A2" w:rsidP="008A73E7">
            <w:pPr>
              <w:pStyle w:val="TableText"/>
              <w:rPr>
                <w:rFonts w:cstheme="minorHAnsi"/>
                <w:szCs w:val="18"/>
              </w:rPr>
            </w:pPr>
            <w:r>
              <w:rPr>
                <w:rFonts w:cstheme="minorHAnsi"/>
                <w:szCs w:val="18"/>
              </w:rPr>
              <w:t xml:space="preserve">A review of the </w:t>
            </w:r>
            <w:r w:rsidRPr="00A01FFD">
              <w:rPr>
                <w:rFonts w:cstheme="minorHAnsi"/>
                <w:szCs w:val="18"/>
              </w:rPr>
              <w:t>National Plant Health Proficiency Testing program</w:t>
            </w:r>
            <w:r>
              <w:rPr>
                <w:rFonts w:cstheme="minorHAnsi"/>
                <w:szCs w:val="18"/>
              </w:rPr>
              <w:t xml:space="preserve"> has been completed by </w:t>
            </w:r>
            <w:r w:rsidRPr="00A01FFD">
              <w:rPr>
                <w:rFonts w:cstheme="minorHAnsi"/>
                <w:szCs w:val="18"/>
              </w:rPr>
              <w:t xml:space="preserve">DAFF. </w:t>
            </w:r>
            <w:r>
              <w:rPr>
                <w:rFonts w:cstheme="minorHAnsi"/>
                <w:szCs w:val="18"/>
              </w:rPr>
              <w:t xml:space="preserve">SPHD are currently </w:t>
            </w:r>
            <w:r w:rsidRPr="00A01FFD">
              <w:rPr>
                <w:rFonts w:cstheme="minorHAnsi"/>
                <w:szCs w:val="18"/>
              </w:rPr>
              <w:t>consider</w:t>
            </w:r>
            <w:r>
              <w:rPr>
                <w:rFonts w:cstheme="minorHAnsi"/>
                <w:szCs w:val="18"/>
              </w:rPr>
              <w:t>ing the outcomes from this review  including options for</w:t>
            </w:r>
            <w:r w:rsidRPr="00A01FFD">
              <w:rPr>
                <w:rFonts w:cstheme="minorHAnsi"/>
                <w:szCs w:val="18"/>
              </w:rPr>
              <w:t xml:space="preserve"> the inclusion of NPPPs within the program. For mor</w:t>
            </w:r>
            <w:r>
              <w:rPr>
                <w:rFonts w:cstheme="minorHAnsi"/>
                <w:szCs w:val="18"/>
              </w:rPr>
              <w:t>e</w:t>
            </w:r>
            <w:r w:rsidRPr="00A01FFD">
              <w:rPr>
                <w:rFonts w:cstheme="minorHAnsi"/>
                <w:szCs w:val="18"/>
              </w:rPr>
              <w:t xml:space="preserve"> information see: </w:t>
            </w:r>
            <w:bookmarkStart w:id="5" w:name="_Hlk135907872"/>
            <w:r>
              <w:fldChar w:fldCharType="begin"/>
            </w:r>
            <w:r>
              <w:instrText>HYPERLINK "https://www.plantbiosecuritydiagnostics.net.au/initiatives/proficiency-testing/"</w:instrText>
            </w:r>
            <w:r>
              <w:fldChar w:fldCharType="separate"/>
            </w:r>
            <w:r>
              <w:rPr>
                <w:rStyle w:val="Hyperlink"/>
              </w:rPr>
              <w:t>Proficiency Testing</w:t>
            </w:r>
            <w:r>
              <w:rPr>
                <w:rStyle w:val="Hyperlink"/>
              </w:rPr>
              <w:fldChar w:fldCharType="end"/>
            </w:r>
            <w:r w:rsidRPr="00A01FFD">
              <w:rPr>
                <w:rFonts w:cstheme="minorHAnsi"/>
                <w:szCs w:val="18"/>
              </w:rPr>
              <w:t xml:space="preserve"> </w:t>
            </w:r>
          </w:p>
          <w:bookmarkEnd w:id="5"/>
          <w:p w14:paraId="39D0C3B1" w14:textId="19D1C62C" w:rsidR="007510A2" w:rsidRPr="00A00D28" w:rsidRDefault="007510A2" w:rsidP="008A73E7">
            <w:pPr>
              <w:pStyle w:val="TableText"/>
              <w:rPr>
                <w:rFonts w:cstheme="minorHAnsi"/>
                <w:szCs w:val="18"/>
              </w:rPr>
            </w:pPr>
            <w:r w:rsidRPr="00A01FFD">
              <w:rPr>
                <w:rFonts w:cstheme="minorHAnsi"/>
                <w:szCs w:val="18"/>
              </w:rPr>
              <w:t xml:space="preserve">Xylella is not currently included in the program. </w:t>
            </w:r>
            <w:r w:rsidRPr="00A00D28">
              <w:rPr>
                <w:rFonts w:cstheme="minorHAnsi"/>
                <w:szCs w:val="18"/>
              </w:rPr>
              <w:t xml:space="preserve">As </w:t>
            </w:r>
            <w:r w:rsidR="00437EFD" w:rsidRPr="00690F33">
              <w:rPr>
                <w:rStyle w:val="cf01"/>
                <w:rFonts w:asciiTheme="minorHAnsi" w:hAnsiTheme="minorHAnsi" w:cstheme="minorHAnsi"/>
              </w:rPr>
              <w:t xml:space="preserve">xylella </w:t>
            </w:r>
            <w:r w:rsidRPr="00690F33">
              <w:rPr>
                <w:rStyle w:val="cf01"/>
                <w:rFonts w:asciiTheme="minorHAnsi" w:hAnsiTheme="minorHAnsi" w:cstheme="minorHAnsi"/>
              </w:rPr>
              <w:t>cultures available in the country we can now prepare DNA for inclusion of proficiency testing.</w:t>
            </w:r>
            <w:r w:rsidR="005C659F">
              <w:rPr>
                <w:rStyle w:val="cf01"/>
                <w:rFonts w:asciiTheme="minorHAnsi" w:hAnsiTheme="minorHAnsi" w:cstheme="minorHAnsi"/>
              </w:rPr>
              <w:t xml:space="preserve"> We can also provide 80% ethanol preserved solutions of </w:t>
            </w:r>
            <w:r w:rsidR="005C659F" w:rsidRPr="004B6AAB">
              <w:rPr>
                <w:rStyle w:val="cf01"/>
                <w:rFonts w:asciiTheme="minorHAnsi" w:hAnsiTheme="minorHAnsi" w:cstheme="minorHAnsi"/>
                <w:i/>
                <w:iCs/>
              </w:rPr>
              <w:t>Xylella</w:t>
            </w:r>
            <w:r w:rsidR="005C659F">
              <w:rPr>
                <w:rStyle w:val="cf01"/>
                <w:rFonts w:asciiTheme="minorHAnsi" w:hAnsiTheme="minorHAnsi" w:cstheme="minorHAnsi"/>
              </w:rPr>
              <w:t xml:space="preserve"> spp. for MALDI-Tof testing.</w:t>
            </w:r>
          </w:p>
        </w:tc>
        <w:tc>
          <w:tcPr>
            <w:tcW w:w="501" w:type="pct"/>
            <w:shd w:val="clear" w:color="auto" w:fill="auto"/>
            <w:tcMar>
              <w:left w:w="108" w:type="dxa"/>
              <w:bottom w:w="28" w:type="dxa"/>
              <w:right w:w="108" w:type="dxa"/>
            </w:tcMar>
          </w:tcPr>
          <w:p w14:paraId="640FCF24" w14:textId="77777777" w:rsidR="007510A2" w:rsidRDefault="007510A2" w:rsidP="008A73E7">
            <w:pPr>
              <w:pStyle w:val="TableText"/>
            </w:pPr>
            <w:r>
              <w:lastRenderedPageBreak/>
              <w:t>NPBDN</w:t>
            </w:r>
          </w:p>
          <w:p w14:paraId="18F03040" w14:textId="29E58FB8" w:rsidR="007510A2" w:rsidRPr="00A216EF" w:rsidRDefault="007510A2" w:rsidP="008A73E7">
            <w:pPr>
              <w:pStyle w:val="TableText"/>
            </w:pPr>
            <w:r>
              <w:t>SPHD</w:t>
            </w:r>
          </w:p>
        </w:tc>
        <w:tc>
          <w:tcPr>
            <w:tcW w:w="702" w:type="pct"/>
            <w:tcMar>
              <w:left w:w="108" w:type="dxa"/>
              <w:bottom w:w="28" w:type="dxa"/>
              <w:right w:w="108" w:type="dxa"/>
            </w:tcMar>
          </w:tcPr>
          <w:p w14:paraId="5177BDA6" w14:textId="7DA853B2" w:rsidR="007510A2" w:rsidRPr="00A216EF" w:rsidRDefault="007510A2" w:rsidP="008A73E7">
            <w:pPr>
              <w:pStyle w:val="TableText"/>
            </w:pPr>
          </w:p>
        </w:tc>
        <w:tc>
          <w:tcPr>
            <w:tcW w:w="701" w:type="pct"/>
            <w:tcMar>
              <w:left w:w="108" w:type="dxa"/>
              <w:bottom w:w="28" w:type="dxa"/>
              <w:right w:w="108" w:type="dxa"/>
            </w:tcMar>
          </w:tcPr>
          <w:p w14:paraId="79B35E32" w14:textId="3C1D0AC7" w:rsidR="007510A2" w:rsidRDefault="007510A2" w:rsidP="008A73E7">
            <w:pPr>
              <w:pStyle w:val="TableText"/>
            </w:pPr>
            <w:r>
              <w:t xml:space="preserve">Not applicable </w:t>
            </w:r>
          </w:p>
        </w:tc>
      </w:tr>
      <w:tr w:rsidR="007510A2" w:rsidRPr="00013AE2" w14:paraId="083A20FD" w14:textId="77777777" w:rsidTr="00C85977">
        <w:tc>
          <w:tcPr>
            <w:tcW w:w="1005" w:type="pct"/>
            <w:vMerge/>
            <w:tcMar>
              <w:bottom w:w="28" w:type="dxa"/>
            </w:tcMar>
          </w:tcPr>
          <w:p w14:paraId="0AC65D95" w14:textId="77777777" w:rsidR="007510A2" w:rsidRPr="007B0473" w:rsidRDefault="007510A2" w:rsidP="008A73E7">
            <w:pPr>
              <w:pStyle w:val="TableText"/>
              <w:rPr>
                <w:rStyle w:val="Strong"/>
              </w:rPr>
            </w:pPr>
          </w:p>
        </w:tc>
        <w:tc>
          <w:tcPr>
            <w:tcW w:w="1004" w:type="pct"/>
            <w:tcMar>
              <w:left w:w="108" w:type="dxa"/>
              <w:bottom w:w="28" w:type="dxa"/>
              <w:right w:w="108" w:type="dxa"/>
            </w:tcMar>
          </w:tcPr>
          <w:p w14:paraId="7700DEFD" w14:textId="4DB4A4D8" w:rsidR="007510A2" w:rsidRDefault="007510A2" w:rsidP="008A73E7">
            <w:pPr>
              <w:pStyle w:val="TableText"/>
              <w:tabs>
                <w:tab w:val="left" w:pos="464"/>
              </w:tabs>
            </w:pPr>
            <w:r>
              <w:t xml:space="preserve">2.2.4 </w:t>
            </w:r>
            <w:r w:rsidRPr="00422551">
              <w:t>Surge capacity workflow simulators</w:t>
            </w:r>
          </w:p>
        </w:tc>
        <w:tc>
          <w:tcPr>
            <w:tcW w:w="1087" w:type="pct"/>
            <w:shd w:val="clear" w:color="auto" w:fill="DEF0C2"/>
            <w:tcMar>
              <w:left w:w="108" w:type="dxa"/>
              <w:bottom w:w="28" w:type="dxa"/>
              <w:right w:w="108" w:type="dxa"/>
            </w:tcMar>
          </w:tcPr>
          <w:p w14:paraId="23152B23" w14:textId="2319DFF6" w:rsidR="007510A2" w:rsidRPr="00A01FFD" w:rsidRDefault="007510A2" w:rsidP="008A73E7">
            <w:pPr>
              <w:pStyle w:val="TableText"/>
              <w:rPr>
                <w:rFonts w:cstheme="minorHAnsi"/>
                <w:szCs w:val="18"/>
              </w:rPr>
            </w:pPr>
            <w:r w:rsidRPr="00A01FFD">
              <w:rPr>
                <w:rFonts w:cstheme="minorHAnsi"/>
                <w:szCs w:val="18"/>
              </w:rPr>
              <w:t>Completed – project finished</w:t>
            </w:r>
          </w:p>
          <w:p w14:paraId="7E52EF48" w14:textId="015FBE03" w:rsidR="007510A2" w:rsidRPr="00A01FFD" w:rsidRDefault="007510A2" w:rsidP="008A73E7">
            <w:pPr>
              <w:pStyle w:val="TableText"/>
              <w:rPr>
                <w:rFonts w:cstheme="minorHAnsi"/>
                <w:szCs w:val="18"/>
              </w:rPr>
            </w:pPr>
            <w:r w:rsidRPr="00A01FFD">
              <w:rPr>
                <w:rFonts w:cstheme="minorHAnsi"/>
                <w:szCs w:val="18"/>
              </w:rPr>
              <w:t>Plant Health Australia has completed the Commonwealth funded project for Surge capacity workflow simulators. However, the model requires further validation and real-time testing to ensure the projections are accurate.</w:t>
            </w:r>
          </w:p>
          <w:p w14:paraId="77778326" w14:textId="3607D117" w:rsidR="007510A2" w:rsidRPr="00A01FFD" w:rsidRDefault="007510A2" w:rsidP="008A73E7">
            <w:pPr>
              <w:pStyle w:val="TableText"/>
              <w:rPr>
                <w:rFonts w:cstheme="minorHAnsi"/>
                <w:szCs w:val="18"/>
              </w:rPr>
            </w:pPr>
            <w:r w:rsidRPr="00A01FFD">
              <w:rPr>
                <w:rFonts w:cstheme="minorHAnsi"/>
                <w:szCs w:val="18"/>
              </w:rPr>
              <w:t xml:space="preserve">The purpose of the project was to pilot workflow simulators and determine the most useful, effective tool for evaluating surge capacity for rollout to all relevant laboratories likely to be involved in emergency responses. Surge capacity workflow simulators were designed for six Australian diagnostic laboratories. The current model is useful for leaf foliar pathogens which utilises PCR-based techniques; however, the model </w:t>
            </w:r>
            <w:r w:rsidRPr="00A01FFD">
              <w:rPr>
                <w:rFonts w:cstheme="minorHAnsi"/>
                <w:szCs w:val="18"/>
              </w:rPr>
              <w:lastRenderedPageBreak/>
              <w:t>requires further validation and real-time testing to ensure the projections are accurate.</w:t>
            </w:r>
          </w:p>
        </w:tc>
        <w:tc>
          <w:tcPr>
            <w:tcW w:w="501" w:type="pct"/>
            <w:shd w:val="clear" w:color="auto" w:fill="auto"/>
            <w:tcMar>
              <w:left w:w="108" w:type="dxa"/>
              <w:bottom w:w="28" w:type="dxa"/>
              <w:right w:w="108" w:type="dxa"/>
            </w:tcMar>
          </w:tcPr>
          <w:p w14:paraId="3EEF30BB" w14:textId="15E1B966" w:rsidR="007510A2" w:rsidRPr="00A216EF" w:rsidRDefault="007510A2" w:rsidP="008A73E7">
            <w:pPr>
              <w:pStyle w:val="TableText"/>
            </w:pPr>
            <w:r>
              <w:lastRenderedPageBreak/>
              <w:t>PHA</w:t>
            </w:r>
          </w:p>
        </w:tc>
        <w:tc>
          <w:tcPr>
            <w:tcW w:w="702" w:type="pct"/>
            <w:tcMar>
              <w:left w:w="108" w:type="dxa"/>
              <w:bottom w:w="28" w:type="dxa"/>
              <w:right w:w="108" w:type="dxa"/>
            </w:tcMar>
          </w:tcPr>
          <w:p w14:paraId="792D4D5F" w14:textId="12D8C7B5" w:rsidR="007510A2" w:rsidRPr="00A216EF" w:rsidRDefault="007510A2" w:rsidP="008A73E7">
            <w:pPr>
              <w:pStyle w:val="TableText"/>
            </w:pPr>
            <w:r>
              <w:t>Commonwealth</w:t>
            </w:r>
          </w:p>
        </w:tc>
        <w:tc>
          <w:tcPr>
            <w:tcW w:w="701" w:type="pct"/>
            <w:tcMar>
              <w:left w:w="108" w:type="dxa"/>
              <w:bottom w:w="28" w:type="dxa"/>
              <w:right w:w="108" w:type="dxa"/>
            </w:tcMar>
          </w:tcPr>
          <w:p w14:paraId="59FE34BD" w14:textId="2624D23B" w:rsidR="007510A2" w:rsidRDefault="007510A2" w:rsidP="008A73E7">
            <w:pPr>
              <w:pStyle w:val="TableText"/>
            </w:pPr>
            <w:r>
              <w:t>Relates to action 2.1</w:t>
            </w:r>
          </w:p>
        </w:tc>
      </w:tr>
      <w:tr w:rsidR="007510A2" w:rsidRPr="00013AE2" w14:paraId="1E93D7E2" w14:textId="77777777" w:rsidTr="003A1099">
        <w:tc>
          <w:tcPr>
            <w:tcW w:w="1005" w:type="pct"/>
            <w:vMerge/>
            <w:tcMar>
              <w:bottom w:w="28" w:type="dxa"/>
            </w:tcMar>
          </w:tcPr>
          <w:p w14:paraId="7F7AE38B" w14:textId="77777777" w:rsidR="007510A2" w:rsidRPr="007B0473" w:rsidRDefault="007510A2" w:rsidP="008A73E7">
            <w:pPr>
              <w:pStyle w:val="TableText"/>
              <w:rPr>
                <w:rStyle w:val="Strong"/>
              </w:rPr>
            </w:pPr>
          </w:p>
        </w:tc>
        <w:tc>
          <w:tcPr>
            <w:tcW w:w="1004" w:type="pct"/>
            <w:tcMar>
              <w:left w:w="108" w:type="dxa"/>
              <w:bottom w:w="28" w:type="dxa"/>
              <w:right w:w="108" w:type="dxa"/>
            </w:tcMar>
          </w:tcPr>
          <w:p w14:paraId="28784C60" w14:textId="762E28C4" w:rsidR="007510A2" w:rsidRDefault="007510A2" w:rsidP="008A73E7">
            <w:pPr>
              <w:pStyle w:val="TableText"/>
              <w:tabs>
                <w:tab w:val="left" w:pos="464"/>
              </w:tabs>
            </w:pPr>
            <w:r>
              <w:t xml:space="preserve">2.2.5 </w:t>
            </w:r>
            <w:r w:rsidRPr="00C04AE9">
              <w:t xml:space="preserve"> Developing rapid, accurate and field deployable diagnostics (Phase 2 CRISPR-CAS)</w:t>
            </w:r>
          </w:p>
        </w:tc>
        <w:tc>
          <w:tcPr>
            <w:tcW w:w="1087" w:type="pct"/>
            <w:shd w:val="clear" w:color="auto" w:fill="DEF0C2"/>
            <w:tcMar>
              <w:left w:w="108" w:type="dxa"/>
              <w:bottom w:w="28" w:type="dxa"/>
              <w:right w:w="108" w:type="dxa"/>
            </w:tcMar>
          </w:tcPr>
          <w:p w14:paraId="4CD1959E" w14:textId="2F09A869" w:rsidR="007510A2" w:rsidRDefault="007510A2" w:rsidP="00746D07">
            <w:pPr>
              <w:pStyle w:val="TableText"/>
              <w:rPr>
                <w:rFonts w:cstheme="minorHAnsi"/>
                <w:szCs w:val="18"/>
              </w:rPr>
            </w:pPr>
            <w:r>
              <w:rPr>
                <w:rFonts w:cstheme="minorHAnsi"/>
                <w:szCs w:val="18"/>
              </w:rPr>
              <w:t xml:space="preserve">Completed </w:t>
            </w:r>
            <w:r>
              <w:rPr>
                <w:rFonts w:cstheme="minorHAnsi"/>
                <w:szCs w:val="18"/>
              </w:rPr>
              <w:softHyphen/>
            </w:r>
            <w:r>
              <w:t xml:space="preserve">– project finished </w:t>
            </w:r>
            <w:r w:rsidR="00864B0B">
              <w:t>(2023)</w:t>
            </w:r>
          </w:p>
          <w:p w14:paraId="61C626F1" w14:textId="208E8D0D" w:rsidR="007510A2" w:rsidRDefault="007510A2" w:rsidP="00746D07">
            <w:pPr>
              <w:pStyle w:val="TableText"/>
            </w:pPr>
            <w:r w:rsidRPr="00A01FFD">
              <w:rPr>
                <w:rFonts w:cstheme="minorHAnsi"/>
                <w:szCs w:val="18"/>
              </w:rPr>
              <w:t xml:space="preserve">CRISPR-Cas enzymes offer rapid, sensitive and field based detection of pathogens. DETECTR and Cas12a method can produce a rapid fluorescence readout on amplified products. Cas12a can be coupled with current DNA/RNA amplification detection methods to improve sensitivity, speed, portability and ease of </w:t>
            </w:r>
            <w:r w:rsidRPr="001318B9">
              <w:rPr>
                <w:rFonts w:cstheme="minorHAnsi"/>
                <w:szCs w:val="18"/>
              </w:rPr>
              <w:t>use.</w:t>
            </w:r>
            <w:r w:rsidRPr="000E25A5">
              <w:t xml:space="preserve"> </w:t>
            </w:r>
          </w:p>
          <w:p w14:paraId="2A16C289" w14:textId="53E12C63" w:rsidR="007510A2" w:rsidRPr="00A01FFD" w:rsidRDefault="007510A2" w:rsidP="00746D07">
            <w:pPr>
              <w:pStyle w:val="TableText"/>
              <w:rPr>
                <w:rFonts w:cstheme="minorHAnsi"/>
                <w:szCs w:val="18"/>
              </w:rPr>
            </w:pPr>
            <w:r>
              <w:t xml:space="preserve">The Plant Innovation Centre has published the outputs of this work using </w:t>
            </w:r>
            <w:r w:rsidR="00437EFD">
              <w:t xml:space="preserve">xylella </w:t>
            </w:r>
            <w:r>
              <w:t>as a ‘proof of concept’ [</w:t>
            </w:r>
            <w:hyperlink r:id="rId26" w:history="1">
              <w:r>
                <w:rPr>
                  <w:rStyle w:val="Hyperlink"/>
                </w:rPr>
                <w:t xml:space="preserve"> Australasian Plant Pathology (springer.com)</w:t>
              </w:r>
            </w:hyperlink>
            <w:r>
              <w:t xml:space="preserve">]. Attention will now turn to refining, optimising and multiplexing with other priority pests (HLB, citrus canker etc). Further progression of this work for </w:t>
            </w:r>
            <w:r w:rsidR="00437EFD">
              <w:t xml:space="preserve">xylella </w:t>
            </w:r>
            <w:r>
              <w:t>could occur in partnership with other parties e.g.</w:t>
            </w:r>
            <w:r w:rsidR="000D4C52">
              <w:t xml:space="preserve"> </w:t>
            </w:r>
            <w:r>
              <w:t>CSIRO under the CAB initiative if relevant.</w:t>
            </w:r>
          </w:p>
        </w:tc>
        <w:tc>
          <w:tcPr>
            <w:tcW w:w="501" w:type="pct"/>
            <w:shd w:val="clear" w:color="auto" w:fill="auto"/>
            <w:tcMar>
              <w:left w:w="108" w:type="dxa"/>
              <w:bottom w:w="28" w:type="dxa"/>
              <w:right w:w="108" w:type="dxa"/>
            </w:tcMar>
          </w:tcPr>
          <w:p w14:paraId="4631DC6F" w14:textId="00CBDEAC" w:rsidR="007510A2" w:rsidRPr="00A216EF" w:rsidRDefault="007510A2" w:rsidP="008A73E7">
            <w:pPr>
              <w:pStyle w:val="TableText"/>
            </w:pPr>
            <w:r>
              <w:t>Commonwealth (BPSSD, PIO)</w:t>
            </w:r>
          </w:p>
        </w:tc>
        <w:tc>
          <w:tcPr>
            <w:tcW w:w="702" w:type="pct"/>
            <w:tcMar>
              <w:left w:w="108" w:type="dxa"/>
              <w:bottom w:w="28" w:type="dxa"/>
              <w:right w:w="108" w:type="dxa"/>
            </w:tcMar>
          </w:tcPr>
          <w:p w14:paraId="01E25FED" w14:textId="07F83287" w:rsidR="007510A2" w:rsidRPr="00A216EF" w:rsidRDefault="007510A2" w:rsidP="008A73E7">
            <w:pPr>
              <w:pStyle w:val="TableText"/>
            </w:pPr>
          </w:p>
        </w:tc>
        <w:tc>
          <w:tcPr>
            <w:tcW w:w="701" w:type="pct"/>
            <w:tcMar>
              <w:left w:w="108" w:type="dxa"/>
              <w:bottom w:w="28" w:type="dxa"/>
              <w:right w:w="108" w:type="dxa"/>
            </w:tcMar>
          </w:tcPr>
          <w:p w14:paraId="6486B327" w14:textId="17C5FB73" w:rsidR="007510A2" w:rsidRDefault="007510A2" w:rsidP="008A73E7">
            <w:pPr>
              <w:pStyle w:val="TableText"/>
            </w:pPr>
            <w:r>
              <w:t>Supports the National Action Plan for pests of Horticultural crops (in development)</w:t>
            </w:r>
          </w:p>
        </w:tc>
      </w:tr>
      <w:tr w:rsidR="007510A2" w:rsidRPr="00013AE2" w14:paraId="197E8ED7" w14:textId="77777777" w:rsidTr="001318B9">
        <w:tc>
          <w:tcPr>
            <w:tcW w:w="1005" w:type="pct"/>
            <w:vMerge/>
            <w:tcMar>
              <w:bottom w:w="28" w:type="dxa"/>
            </w:tcMar>
          </w:tcPr>
          <w:p w14:paraId="79239C60" w14:textId="77777777" w:rsidR="007510A2" w:rsidRPr="007B0473" w:rsidRDefault="007510A2" w:rsidP="008A73E7">
            <w:pPr>
              <w:pStyle w:val="TableText"/>
              <w:rPr>
                <w:rStyle w:val="Strong"/>
              </w:rPr>
            </w:pPr>
          </w:p>
        </w:tc>
        <w:tc>
          <w:tcPr>
            <w:tcW w:w="1004" w:type="pct"/>
            <w:tcMar>
              <w:left w:w="108" w:type="dxa"/>
              <w:bottom w:w="28" w:type="dxa"/>
              <w:right w:w="108" w:type="dxa"/>
            </w:tcMar>
          </w:tcPr>
          <w:p w14:paraId="6633131F" w14:textId="214C2872" w:rsidR="007510A2" w:rsidRDefault="007510A2" w:rsidP="008A73E7">
            <w:pPr>
              <w:pStyle w:val="TableText"/>
              <w:tabs>
                <w:tab w:val="left" w:pos="464"/>
              </w:tabs>
            </w:pPr>
            <w:r>
              <w:t xml:space="preserve">2.2.6 Developing rapid, accurate and filed deployable diagnostics (Phase 2 CRISPR-CAS) for deployment </w:t>
            </w:r>
          </w:p>
        </w:tc>
        <w:tc>
          <w:tcPr>
            <w:tcW w:w="1087" w:type="pct"/>
            <w:shd w:val="clear" w:color="auto" w:fill="F2DBDB"/>
            <w:tcMar>
              <w:left w:w="108" w:type="dxa"/>
              <w:bottom w:w="28" w:type="dxa"/>
              <w:right w:w="108" w:type="dxa"/>
            </w:tcMar>
          </w:tcPr>
          <w:p w14:paraId="3CA99423" w14:textId="77777777" w:rsidR="007510A2" w:rsidRDefault="007510A2" w:rsidP="008A3C3B">
            <w:pPr>
              <w:pStyle w:val="TableText"/>
              <w:rPr>
                <w:rFonts w:cstheme="minorHAnsi"/>
                <w:szCs w:val="18"/>
              </w:rPr>
            </w:pPr>
            <w:r>
              <w:rPr>
                <w:rFonts w:cstheme="minorHAnsi"/>
                <w:szCs w:val="18"/>
              </w:rPr>
              <w:t xml:space="preserve">Pending – project to commence when funding available </w:t>
            </w:r>
          </w:p>
          <w:p w14:paraId="50717D07" w14:textId="2B8523FD" w:rsidR="007510A2" w:rsidRDefault="007510A2" w:rsidP="008A3C3B">
            <w:pPr>
              <w:pStyle w:val="TableText"/>
              <w:rPr>
                <w:rFonts w:cstheme="minorHAnsi"/>
                <w:szCs w:val="18"/>
              </w:rPr>
            </w:pPr>
            <w:r w:rsidRPr="000E25A5">
              <w:t>Proof of concept has been demonstrated, but considerably more work is needed to develop a finished product for deployment. Ongoing work currently has no resources and is not progressing.</w:t>
            </w:r>
          </w:p>
        </w:tc>
        <w:tc>
          <w:tcPr>
            <w:tcW w:w="501" w:type="pct"/>
            <w:shd w:val="clear" w:color="auto" w:fill="auto"/>
            <w:tcMar>
              <w:left w:w="108" w:type="dxa"/>
              <w:bottom w:w="28" w:type="dxa"/>
              <w:right w:w="108" w:type="dxa"/>
            </w:tcMar>
          </w:tcPr>
          <w:p w14:paraId="2CD65D8C" w14:textId="418C489F" w:rsidR="007510A2" w:rsidRDefault="007510A2" w:rsidP="008A73E7">
            <w:pPr>
              <w:pStyle w:val="TableText"/>
            </w:pPr>
            <w:r>
              <w:t xml:space="preserve">To be determined </w:t>
            </w:r>
          </w:p>
        </w:tc>
        <w:tc>
          <w:tcPr>
            <w:tcW w:w="702" w:type="pct"/>
            <w:tcMar>
              <w:left w:w="108" w:type="dxa"/>
              <w:bottom w:w="28" w:type="dxa"/>
              <w:right w:w="108" w:type="dxa"/>
            </w:tcMar>
          </w:tcPr>
          <w:p w14:paraId="36CF7BD5" w14:textId="5322886B" w:rsidR="007510A2" w:rsidRDefault="007510A2" w:rsidP="008A73E7">
            <w:pPr>
              <w:pStyle w:val="TableText"/>
            </w:pPr>
            <w:r>
              <w:t>To be determined</w:t>
            </w:r>
          </w:p>
        </w:tc>
        <w:tc>
          <w:tcPr>
            <w:tcW w:w="701" w:type="pct"/>
            <w:tcMar>
              <w:left w:w="108" w:type="dxa"/>
              <w:bottom w:w="28" w:type="dxa"/>
              <w:right w:w="108" w:type="dxa"/>
            </w:tcMar>
          </w:tcPr>
          <w:p w14:paraId="50CE6827" w14:textId="76F64BDA" w:rsidR="007510A2" w:rsidRDefault="007510A2" w:rsidP="008A73E7">
            <w:pPr>
              <w:pStyle w:val="TableText"/>
            </w:pPr>
            <w:r>
              <w:t>Supports the National Action Plan for pests of Horticultural crops (in development)</w:t>
            </w:r>
          </w:p>
        </w:tc>
      </w:tr>
      <w:tr w:rsidR="008A73E7" w:rsidRPr="00013AE2" w14:paraId="2BC5A848" w14:textId="77777777" w:rsidTr="00C85977">
        <w:tc>
          <w:tcPr>
            <w:tcW w:w="1005" w:type="pct"/>
            <w:vMerge w:val="restart"/>
            <w:tcMar>
              <w:bottom w:w="28" w:type="dxa"/>
            </w:tcMar>
          </w:tcPr>
          <w:p w14:paraId="2762A6A4" w14:textId="00F68085" w:rsidR="008A73E7" w:rsidRPr="00DF0292" w:rsidRDefault="008A73E7" w:rsidP="008A73E7">
            <w:pPr>
              <w:pStyle w:val="TableText"/>
              <w:rPr>
                <w:rStyle w:val="Strong"/>
                <w:b w:val="0"/>
                <w:bCs w:val="0"/>
              </w:rPr>
            </w:pPr>
            <w:r>
              <w:rPr>
                <w:rStyle w:val="Strong"/>
              </w:rPr>
              <w:lastRenderedPageBreak/>
              <w:t xml:space="preserve">Action 2.3: </w:t>
            </w:r>
            <w:r>
              <w:rPr>
                <w:rStyle w:val="Strong"/>
                <w:b w:val="0"/>
                <w:bCs w:val="0"/>
              </w:rPr>
              <w:t>Develop and validate cost-effective field-based diagnostic tools and procedures to support surveillance.</w:t>
            </w:r>
          </w:p>
          <w:p w14:paraId="1121F1B6" w14:textId="77777777" w:rsidR="008A73E7" w:rsidRDefault="008A73E7" w:rsidP="008A73E7">
            <w:pPr>
              <w:pStyle w:val="TableText"/>
              <w:rPr>
                <w:rStyle w:val="Strong"/>
              </w:rPr>
            </w:pPr>
            <w:r>
              <w:rPr>
                <w:rStyle w:val="Strong"/>
              </w:rPr>
              <w:t>Expected benefit and outcome:</w:t>
            </w:r>
          </w:p>
          <w:p w14:paraId="1BB1149F" w14:textId="27794E0E" w:rsidR="008A73E7" w:rsidRDefault="008A73E7" w:rsidP="008A73E7">
            <w:pPr>
              <w:pStyle w:val="TableText"/>
              <w:rPr>
                <w:rStyle w:val="Strong"/>
                <w:b w:val="0"/>
                <w:bCs w:val="0"/>
              </w:rPr>
            </w:pPr>
            <w:r>
              <w:rPr>
                <w:rStyle w:val="Strong"/>
                <w:b w:val="0"/>
                <w:bCs w:val="0"/>
              </w:rPr>
              <w:t xml:space="preserve">To improve </w:t>
            </w:r>
            <w:r w:rsidRPr="00DF0292">
              <w:rPr>
                <w:rStyle w:val="Strong"/>
                <w:b w:val="0"/>
                <w:bCs w:val="0"/>
              </w:rPr>
              <w:t xml:space="preserve">detection capability in relation to </w:t>
            </w:r>
            <w:r w:rsidRPr="00DF0292">
              <w:rPr>
                <w:rStyle w:val="Strong"/>
                <w:b w:val="0"/>
                <w:bCs w:val="0"/>
                <w:i/>
                <w:iCs/>
              </w:rPr>
              <w:t>Xylella fastidiosa</w:t>
            </w:r>
            <w:r w:rsidRPr="00DF0292">
              <w:rPr>
                <w:rStyle w:val="Strong"/>
                <w:b w:val="0"/>
                <w:bCs w:val="0"/>
              </w:rPr>
              <w:t xml:space="preserve"> through cost-effective field-based diagnostic tools and procedures as part of surveillance activities.</w:t>
            </w:r>
          </w:p>
          <w:p w14:paraId="2ABD1D65" w14:textId="52B86F4F" w:rsidR="008A73E7" w:rsidRDefault="008A73E7" w:rsidP="008A73E7">
            <w:pPr>
              <w:pStyle w:val="TableText"/>
              <w:rPr>
                <w:rStyle w:val="Strong"/>
              </w:rPr>
            </w:pPr>
            <w:r>
              <w:rPr>
                <w:rStyle w:val="Strong"/>
              </w:rPr>
              <w:t xml:space="preserve">Priority: </w:t>
            </w:r>
            <w:r w:rsidRPr="005E6550">
              <w:rPr>
                <w:rStyle w:val="Strong"/>
                <w:b w:val="0"/>
                <w:bCs w:val="0"/>
              </w:rPr>
              <w:t>high</w:t>
            </w:r>
          </w:p>
          <w:p w14:paraId="02042CFD" w14:textId="2775671D" w:rsidR="008A73E7" w:rsidRPr="007B0473" w:rsidRDefault="008A73E7" w:rsidP="008A73E7">
            <w:pPr>
              <w:pStyle w:val="TableText"/>
              <w:rPr>
                <w:rStyle w:val="Strong"/>
              </w:rPr>
            </w:pPr>
            <w:r>
              <w:rPr>
                <w:rStyle w:val="Strong"/>
              </w:rPr>
              <w:t xml:space="preserve">Time frame: </w:t>
            </w:r>
            <w:r w:rsidRPr="005E6550">
              <w:rPr>
                <w:rStyle w:val="Strong"/>
                <w:b w:val="0"/>
                <w:bCs w:val="0"/>
              </w:rPr>
              <w:t>short term</w:t>
            </w:r>
          </w:p>
        </w:tc>
        <w:tc>
          <w:tcPr>
            <w:tcW w:w="1004" w:type="pct"/>
            <w:tcMar>
              <w:left w:w="108" w:type="dxa"/>
              <w:bottom w:w="28" w:type="dxa"/>
              <w:right w:w="108" w:type="dxa"/>
            </w:tcMar>
          </w:tcPr>
          <w:p w14:paraId="753E8693" w14:textId="4BD11240" w:rsidR="008A73E7" w:rsidRDefault="008A73E7" w:rsidP="008A73E7">
            <w:pPr>
              <w:pStyle w:val="TableText"/>
              <w:tabs>
                <w:tab w:val="left" w:pos="464"/>
              </w:tabs>
            </w:pPr>
            <w:r>
              <w:t xml:space="preserve">2.3.1 </w:t>
            </w:r>
            <w:r w:rsidR="00C3758D">
              <w:t>H</w:t>
            </w:r>
            <w:r w:rsidR="00C3758D" w:rsidRPr="00DF0292">
              <w:t xml:space="preserve">yperspectral image analysis to detect (pre-visual) </w:t>
            </w:r>
            <w:r w:rsidR="00C3758D" w:rsidRPr="00011B18">
              <w:rPr>
                <w:i/>
                <w:iCs/>
              </w:rPr>
              <w:t>Xylella fastidiosa</w:t>
            </w:r>
            <w:r w:rsidR="00C3758D" w:rsidRPr="00DF0292">
              <w:t xml:space="preserve"> symptoms</w:t>
            </w:r>
          </w:p>
        </w:tc>
        <w:tc>
          <w:tcPr>
            <w:tcW w:w="1087" w:type="pct"/>
            <w:shd w:val="clear" w:color="auto" w:fill="DEF0C2"/>
            <w:tcMar>
              <w:left w:w="108" w:type="dxa"/>
              <w:bottom w:w="28" w:type="dxa"/>
              <w:right w:w="108" w:type="dxa"/>
            </w:tcMar>
          </w:tcPr>
          <w:p w14:paraId="7F925191" w14:textId="45F6660D" w:rsidR="004F43E6" w:rsidRPr="00A01FFD" w:rsidRDefault="004F43E6" w:rsidP="004F43E6">
            <w:pPr>
              <w:pStyle w:val="TableText"/>
              <w:rPr>
                <w:rFonts w:cstheme="minorHAnsi"/>
                <w:szCs w:val="18"/>
              </w:rPr>
            </w:pPr>
            <w:r>
              <w:rPr>
                <w:rFonts w:cstheme="minorHAnsi"/>
                <w:szCs w:val="18"/>
              </w:rPr>
              <w:t>Completed</w:t>
            </w:r>
            <w:r w:rsidRPr="00A01FFD">
              <w:rPr>
                <w:rFonts w:cstheme="minorHAnsi"/>
                <w:szCs w:val="18"/>
              </w:rPr>
              <w:t xml:space="preserve"> – project </w:t>
            </w:r>
            <w:r>
              <w:rPr>
                <w:rFonts w:cstheme="minorHAnsi"/>
                <w:szCs w:val="18"/>
              </w:rPr>
              <w:t>finished</w:t>
            </w:r>
            <w:r w:rsidR="00864B0B">
              <w:rPr>
                <w:rFonts w:cstheme="minorHAnsi"/>
                <w:szCs w:val="18"/>
              </w:rPr>
              <w:t xml:space="preserve"> (2022)</w:t>
            </w:r>
          </w:p>
          <w:p w14:paraId="7ABDBD19" w14:textId="6A12DE1B" w:rsidR="008A73E7" w:rsidRPr="00A01FFD" w:rsidRDefault="008A73E7" w:rsidP="008A73E7">
            <w:pPr>
              <w:pStyle w:val="TableText"/>
              <w:rPr>
                <w:rFonts w:cstheme="minorHAnsi"/>
                <w:szCs w:val="18"/>
              </w:rPr>
            </w:pPr>
            <w:r w:rsidRPr="00A01FFD">
              <w:rPr>
                <w:rFonts w:cstheme="minorHAnsi"/>
                <w:szCs w:val="18"/>
              </w:rPr>
              <w:t xml:space="preserve">The University of Melbourne is leading a project to assess baseline data to use hyperspectral image analysis to detect (pre-visual) </w:t>
            </w:r>
            <w:r w:rsidRPr="003A1099">
              <w:rPr>
                <w:rFonts w:cstheme="minorHAnsi"/>
                <w:i/>
                <w:iCs/>
                <w:szCs w:val="18"/>
              </w:rPr>
              <w:t>Xylella fastidiosa</w:t>
            </w:r>
            <w:r w:rsidRPr="00A01FFD">
              <w:rPr>
                <w:rFonts w:cstheme="minorHAnsi"/>
                <w:szCs w:val="18"/>
              </w:rPr>
              <w:t xml:space="preserve"> symptoms. Case study focused on the Mallee region. The project </w:t>
            </w:r>
            <w:r w:rsidR="00AA36BA">
              <w:rPr>
                <w:rFonts w:cstheme="minorHAnsi"/>
                <w:szCs w:val="18"/>
              </w:rPr>
              <w:t xml:space="preserve">ended </w:t>
            </w:r>
            <w:r w:rsidR="00C3758D">
              <w:rPr>
                <w:rFonts w:cstheme="minorHAnsi"/>
                <w:szCs w:val="18"/>
              </w:rPr>
              <w:t>31 May 2022.</w:t>
            </w:r>
          </w:p>
        </w:tc>
        <w:tc>
          <w:tcPr>
            <w:tcW w:w="501" w:type="pct"/>
            <w:shd w:val="clear" w:color="auto" w:fill="auto"/>
            <w:tcMar>
              <w:left w:w="108" w:type="dxa"/>
              <w:bottom w:w="28" w:type="dxa"/>
              <w:right w:w="108" w:type="dxa"/>
            </w:tcMar>
          </w:tcPr>
          <w:p w14:paraId="5C0C570D" w14:textId="73A93D38" w:rsidR="008A73E7" w:rsidRPr="00DE7573" w:rsidRDefault="008A73E7" w:rsidP="008A73E7">
            <w:pPr>
              <w:pStyle w:val="TableText"/>
            </w:pPr>
            <w:r>
              <w:t>University of Melbourne</w:t>
            </w:r>
          </w:p>
        </w:tc>
        <w:tc>
          <w:tcPr>
            <w:tcW w:w="702" w:type="pct"/>
            <w:tcMar>
              <w:left w:w="108" w:type="dxa"/>
              <w:bottom w:w="28" w:type="dxa"/>
              <w:right w:w="108" w:type="dxa"/>
            </w:tcMar>
          </w:tcPr>
          <w:p w14:paraId="60746802" w14:textId="730603B2" w:rsidR="008A73E7" w:rsidRPr="00BC13C5" w:rsidRDefault="008A73E7" w:rsidP="008A73E7">
            <w:pPr>
              <w:pStyle w:val="TableText"/>
              <w:rPr>
                <w:shd w:val="clear" w:color="auto" w:fill="EEECE1" w:themeFill="background2"/>
              </w:rPr>
            </w:pPr>
            <w:r w:rsidRPr="008B6725">
              <w:t>Commonwealth</w:t>
            </w:r>
            <w:r>
              <w:t xml:space="preserve"> </w:t>
            </w:r>
            <w:r w:rsidRPr="004C1F57">
              <w:t>(</w:t>
            </w:r>
            <w:r>
              <w:t>PPEBD</w:t>
            </w:r>
            <w:r w:rsidRPr="004C1F57">
              <w:t>)</w:t>
            </w:r>
          </w:p>
        </w:tc>
        <w:tc>
          <w:tcPr>
            <w:tcW w:w="701" w:type="pct"/>
            <w:tcMar>
              <w:left w:w="108" w:type="dxa"/>
              <w:bottom w:w="28" w:type="dxa"/>
              <w:right w:w="108" w:type="dxa"/>
            </w:tcMar>
          </w:tcPr>
          <w:p w14:paraId="74041AA9" w14:textId="70DFA366" w:rsidR="008A73E7" w:rsidRDefault="008A73E7" w:rsidP="008A73E7">
            <w:pPr>
              <w:pStyle w:val="TableText"/>
            </w:pPr>
            <w:r>
              <w:t>Dependent on action 2.1, 2.2</w:t>
            </w:r>
          </w:p>
          <w:p w14:paraId="6CC71035" w14:textId="26F8D5FE" w:rsidR="008A73E7" w:rsidRPr="00E765F1" w:rsidRDefault="008A73E7" w:rsidP="00690F33">
            <w:pPr>
              <w:pStyle w:val="TableText"/>
            </w:pPr>
            <w:r>
              <w:t>Supports action 2.4, 2.5</w:t>
            </w:r>
          </w:p>
        </w:tc>
      </w:tr>
      <w:tr w:rsidR="008A73E7" w:rsidRPr="00013AE2" w14:paraId="331D02FB" w14:textId="77777777" w:rsidTr="00C85977">
        <w:tc>
          <w:tcPr>
            <w:tcW w:w="1005" w:type="pct"/>
            <w:vMerge/>
            <w:tcMar>
              <w:bottom w:w="28" w:type="dxa"/>
            </w:tcMar>
          </w:tcPr>
          <w:p w14:paraId="11963181" w14:textId="77777777" w:rsidR="008A73E7" w:rsidRDefault="008A73E7" w:rsidP="008A73E7">
            <w:pPr>
              <w:pStyle w:val="TableText"/>
              <w:rPr>
                <w:rStyle w:val="Strong"/>
              </w:rPr>
            </w:pPr>
          </w:p>
        </w:tc>
        <w:tc>
          <w:tcPr>
            <w:tcW w:w="1004" w:type="pct"/>
            <w:tcMar>
              <w:left w:w="108" w:type="dxa"/>
              <w:bottom w:w="28" w:type="dxa"/>
              <w:right w:w="108" w:type="dxa"/>
            </w:tcMar>
          </w:tcPr>
          <w:p w14:paraId="49F5DC28" w14:textId="6D5525C8" w:rsidR="008A73E7" w:rsidRDefault="008A73E7" w:rsidP="008A73E7">
            <w:pPr>
              <w:pStyle w:val="TableText"/>
              <w:tabs>
                <w:tab w:val="left" w:pos="464"/>
              </w:tabs>
            </w:pPr>
            <w:r>
              <w:t xml:space="preserve">2.3.2 </w:t>
            </w:r>
            <w:r w:rsidRPr="00FC61BF">
              <w:t xml:space="preserve">Expand identification assays to support broad scale surveillance programs to identify </w:t>
            </w:r>
            <w:r w:rsidR="00437EFD" w:rsidRPr="00FC61BF">
              <w:t>xylella</w:t>
            </w:r>
          </w:p>
        </w:tc>
        <w:tc>
          <w:tcPr>
            <w:tcW w:w="1087" w:type="pct"/>
            <w:shd w:val="clear" w:color="auto" w:fill="F2DBDB"/>
            <w:tcMar>
              <w:left w:w="108" w:type="dxa"/>
              <w:bottom w:w="28" w:type="dxa"/>
              <w:right w:w="108" w:type="dxa"/>
            </w:tcMar>
          </w:tcPr>
          <w:p w14:paraId="1EFAF4A3" w14:textId="7276ABCD" w:rsidR="008A73E7" w:rsidRPr="00FC61BF" w:rsidRDefault="008A73E7" w:rsidP="008A73E7">
            <w:pPr>
              <w:pStyle w:val="TableText"/>
              <w:rPr>
                <w:rFonts w:cstheme="minorHAnsi"/>
                <w:szCs w:val="18"/>
              </w:rPr>
            </w:pPr>
            <w:r w:rsidRPr="00FC61BF">
              <w:rPr>
                <w:rFonts w:cstheme="minorHAnsi"/>
                <w:szCs w:val="18"/>
              </w:rPr>
              <w:t xml:space="preserve">Pending – </w:t>
            </w:r>
            <w:r>
              <w:rPr>
                <w:rFonts w:cstheme="minorHAnsi"/>
                <w:szCs w:val="18"/>
              </w:rPr>
              <w:t>p</w:t>
            </w:r>
            <w:r w:rsidRPr="00FC61BF">
              <w:rPr>
                <w:rFonts w:cstheme="minorHAnsi"/>
                <w:szCs w:val="18"/>
              </w:rPr>
              <w:t>roject to commence</w:t>
            </w:r>
            <w:r w:rsidR="00125E88">
              <w:rPr>
                <w:rFonts w:cstheme="minorHAnsi"/>
                <w:szCs w:val="18"/>
              </w:rPr>
              <w:t xml:space="preserve"> when funding available</w:t>
            </w:r>
          </w:p>
          <w:p w14:paraId="780BD081" w14:textId="00924BF3" w:rsidR="008A73E7" w:rsidRPr="00FC61BF" w:rsidRDefault="008A73E7" w:rsidP="008A73E7">
            <w:pPr>
              <w:pStyle w:val="TableText"/>
              <w:rPr>
                <w:rFonts w:cstheme="minorHAnsi"/>
                <w:szCs w:val="18"/>
              </w:rPr>
            </w:pPr>
            <w:r w:rsidRPr="00FC61BF">
              <w:rPr>
                <w:rFonts w:cstheme="minorHAnsi"/>
                <w:szCs w:val="18"/>
              </w:rPr>
              <w:t>Project proposed at 6 May 2021 forum</w:t>
            </w:r>
          </w:p>
        </w:tc>
        <w:tc>
          <w:tcPr>
            <w:tcW w:w="501" w:type="pct"/>
            <w:shd w:val="clear" w:color="auto" w:fill="auto"/>
            <w:tcMar>
              <w:left w:w="108" w:type="dxa"/>
              <w:bottom w:w="28" w:type="dxa"/>
              <w:right w:w="108" w:type="dxa"/>
            </w:tcMar>
          </w:tcPr>
          <w:p w14:paraId="784AED3B" w14:textId="21D645A0" w:rsidR="008A73E7" w:rsidRPr="004C1F57" w:rsidRDefault="008A73E7" w:rsidP="008A73E7">
            <w:pPr>
              <w:pStyle w:val="TableText"/>
            </w:pPr>
            <w:r w:rsidRPr="00FC61BF">
              <w:t>T</w:t>
            </w:r>
            <w:r>
              <w:t>o be determined</w:t>
            </w:r>
          </w:p>
        </w:tc>
        <w:tc>
          <w:tcPr>
            <w:tcW w:w="702" w:type="pct"/>
            <w:tcMar>
              <w:left w:w="108" w:type="dxa"/>
              <w:bottom w:w="28" w:type="dxa"/>
              <w:right w:w="108" w:type="dxa"/>
            </w:tcMar>
          </w:tcPr>
          <w:p w14:paraId="6D7BE0C0" w14:textId="1A4B21BD" w:rsidR="008A73E7" w:rsidRPr="0056113C" w:rsidRDefault="008A73E7" w:rsidP="008A73E7">
            <w:pPr>
              <w:pStyle w:val="TableText"/>
            </w:pPr>
            <w:r w:rsidRPr="00FC61BF">
              <w:t>T</w:t>
            </w:r>
            <w:r>
              <w:t xml:space="preserve">o be determined </w:t>
            </w:r>
          </w:p>
        </w:tc>
        <w:tc>
          <w:tcPr>
            <w:tcW w:w="701" w:type="pct"/>
            <w:tcMar>
              <w:left w:w="108" w:type="dxa"/>
              <w:bottom w:w="28" w:type="dxa"/>
              <w:right w:w="108" w:type="dxa"/>
            </w:tcMar>
          </w:tcPr>
          <w:p w14:paraId="446A0A61" w14:textId="619B9A3F" w:rsidR="008A73E7" w:rsidRPr="00E765F1" w:rsidRDefault="008A73E7" w:rsidP="008A73E7">
            <w:pPr>
              <w:pStyle w:val="TableBullet1"/>
              <w:numPr>
                <w:ilvl w:val="0"/>
                <w:numId w:val="0"/>
              </w:numPr>
              <w:ind w:left="284" w:hanging="284"/>
            </w:pPr>
            <w:r>
              <w:t>Not applicable</w:t>
            </w:r>
          </w:p>
        </w:tc>
      </w:tr>
      <w:tr w:rsidR="008A73E7" w:rsidRPr="00013AE2" w14:paraId="5C924DBA" w14:textId="77777777" w:rsidTr="00C85977">
        <w:tc>
          <w:tcPr>
            <w:tcW w:w="1005" w:type="pct"/>
            <w:vMerge/>
            <w:tcMar>
              <w:bottom w:w="28" w:type="dxa"/>
            </w:tcMar>
          </w:tcPr>
          <w:p w14:paraId="1EEDDFAD" w14:textId="77777777" w:rsidR="008A73E7" w:rsidRDefault="008A73E7" w:rsidP="008A73E7">
            <w:pPr>
              <w:pStyle w:val="TableText"/>
              <w:rPr>
                <w:rStyle w:val="Strong"/>
              </w:rPr>
            </w:pPr>
          </w:p>
        </w:tc>
        <w:tc>
          <w:tcPr>
            <w:tcW w:w="1004" w:type="pct"/>
            <w:tcMar>
              <w:left w:w="108" w:type="dxa"/>
              <w:bottom w:w="28" w:type="dxa"/>
              <w:right w:w="108" w:type="dxa"/>
            </w:tcMar>
          </w:tcPr>
          <w:p w14:paraId="26AAB36F" w14:textId="41A50EF8" w:rsidR="008A73E7" w:rsidRDefault="008A73E7" w:rsidP="008A73E7">
            <w:pPr>
              <w:pStyle w:val="TableText"/>
              <w:tabs>
                <w:tab w:val="left" w:pos="464"/>
              </w:tabs>
            </w:pPr>
            <w:r>
              <w:t xml:space="preserve">2.3.3 </w:t>
            </w:r>
            <w:r w:rsidRPr="00FC61BF">
              <w:t>Improve accuracy of sampling, including on ornamental species, key hosts, and on what tissue to sample on a plant, in relation to sampling at the border</w:t>
            </w:r>
          </w:p>
        </w:tc>
        <w:tc>
          <w:tcPr>
            <w:tcW w:w="1087" w:type="pct"/>
            <w:shd w:val="clear" w:color="auto" w:fill="F2DBDB"/>
            <w:tcMar>
              <w:left w:w="108" w:type="dxa"/>
              <w:bottom w:w="28" w:type="dxa"/>
              <w:right w:w="108" w:type="dxa"/>
            </w:tcMar>
          </w:tcPr>
          <w:p w14:paraId="6AC82D09" w14:textId="4077442B" w:rsidR="008A73E7" w:rsidRPr="00FC61BF" w:rsidRDefault="008A73E7" w:rsidP="008A73E7">
            <w:pPr>
              <w:pStyle w:val="TableText"/>
              <w:rPr>
                <w:rFonts w:cstheme="minorHAnsi"/>
                <w:szCs w:val="18"/>
              </w:rPr>
            </w:pPr>
            <w:r w:rsidRPr="00FC61BF">
              <w:rPr>
                <w:rFonts w:cstheme="minorHAnsi"/>
                <w:szCs w:val="18"/>
              </w:rPr>
              <w:t xml:space="preserve">Pending – </w:t>
            </w:r>
            <w:r>
              <w:rPr>
                <w:rFonts w:cstheme="minorHAnsi"/>
                <w:szCs w:val="18"/>
              </w:rPr>
              <w:t>p</w:t>
            </w:r>
            <w:r w:rsidRPr="00FC61BF">
              <w:rPr>
                <w:rFonts w:cstheme="minorHAnsi"/>
                <w:szCs w:val="18"/>
              </w:rPr>
              <w:t>roject to commence</w:t>
            </w:r>
            <w:r w:rsidR="00125E88">
              <w:rPr>
                <w:rFonts w:cstheme="minorHAnsi"/>
                <w:szCs w:val="18"/>
              </w:rPr>
              <w:t xml:space="preserve"> when funding available</w:t>
            </w:r>
          </w:p>
          <w:p w14:paraId="7DB27D04" w14:textId="0778478E" w:rsidR="008A73E7" w:rsidRPr="00FC61BF" w:rsidRDefault="008A73E7" w:rsidP="008A73E7">
            <w:pPr>
              <w:pStyle w:val="TableText"/>
              <w:rPr>
                <w:rFonts w:cstheme="minorHAnsi"/>
                <w:szCs w:val="18"/>
              </w:rPr>
            </w:pPr>
            <w:r w:rsidRPr="00FC61BF">
              <w:rPr>
                <w:rFonts w:cstheme="minorHAnsi"/>
                <w:szCs w:val="18"/>
              </w:rPr>
              <w:t xml:space="preserve">Project proposed at 6 May 2021 forum </w:t>
            </w:r>
          </w:p>
        </w:tc>
        <w:tc>
          <w:tcPr>
            <w:tcW w:w="501" w:type="pct"/>
            <w:shd w:val="clear" w:color="auto" w:fill="auto"/>
            <w:tcMar>
              <w:left w:w="108" w:type="dxa"/>
              <w:bottom w:w="28" w:type="dxa"/>
              <w:right w:w="108" w:type="dxa"/>
            </w:tcMar>
          </w:tcPr>
          <w:p w14:paraId="4372FE89" w14:textId="5A622579" w:rsidR="008A73E7" w:rsidRPr="004C1F57" w:rsidRDefault="008A73E7" w:rsidP="008A73E7">
            <w:pPr>
              <w:pStyle w:val="TableText"/>
            </w:pPr>
            <w:r w:rsidRPr="00FC61BF">
              <w:t>T</w:t>
            </w:r>
            <w:r>
              <w:t>o be determined</w:t>
            </w:r>
          </w:p>
        </w:tc>
        <w:tc>
          <w:tcPr>
            <w:tcW w:w="702" w:type="pct"/>
            <w:tcMar>
              <w:left w:w="108" w:type="dxa"/>
              <w:bottom w:w="28" w:type="dxa"/>
              <w:right w:w="108" w:type="dxa"/>
            </w:tcMar>
          </w:tcPr>
          <w:p w14:paraId="2D9B9FD1" w14:textId="4F59FDD1" w:rsidR="008A73E7" w:rsidRPr="0056113C" w:rsidRDefault="008A73E7" w:rsidP="008A73E7">
            <w:pPr>
              <w:pStyle w:val="TableText"/>
            </w:pPr>
            <w:r w:rsidRPr="00FC61BF">
              <w:t>T</w:t>
            </w:r>
            <w:r>
              <w:t xml:space="preserve">o be determined </w:t>
            </w:r>
          </w:p>
        </w:tc>
        <w:tc>
          <w:tcPr>
            <w:tcW w:w="701" w:type="pct"/>
            <w:tcMar>
              <w:left w:w="108" w:type="dxa"/>
              <w:bottom w:w="28" w:type="dxa"/>
              <w:right w:w="108" w:type="dxa"/>
            </w:tcMar>
          </w:tcPr>
          <w:p w14:paraId="464EEACB" w14:textId="7803F6FF" w:rsidR="008A73E7" w:rsidRPr="00E765F1" w:rsidRDefault="008A73E7" w:rsidP="008A73E7">
            <w:pPr>
              <w:pStyle w:val="TableBullet1"/>
              <w:numPr>
                <w:ilvl w:val="0"/>
                <w:numId w:val="0"/>
              </w:numPr>
              <w:ind w:left="284" w:hanging="284"/>
            </w:pPr>
            <w:r>
              <w:t xml:space="preserve">Not applicable </w:t>
            </w:r>
          </w:p>
        </w:tc>
      </w:tr>
      <w:tr w:rsidR="008A73E7" w:rsidRPr="00013AE2" w14:paraId="271FA19E" w14:textId="77777777" w:rsidTr="00C85977">
        <w:tc>
          <w:tcPr>
            <w:tcW w:w="1005" w:type="pct"/>
            <w:vMerge/>
            <w:tcMar>
              <w:bottom w:w="28" w:type="dxa"/>
            </w:tcMar>
          </w:tcPr>
          <w:p w14:paraId="437759EC" w14:textId="77777777" w:rsidR="008A73E7" w:rsidRDefault="008A73E7" w:rsidP="008A73E7">
            <w:pPr>
              <w:pStyle w:val="TableText"/>
              <w:rPr>
                <w:rStyle w:val="Strong"/>
              </w:rPr>
            </w:pPr>
          </w:p>
        </w:tc>
        <w:tc>
          <w:tcPr>
            <w:tcW w:w="1004" w:type="pct"/>
            <w:tcMar>
              <w:left w:w="108" w:type="dxa"/>
              <w:bottom w:w="28" w:type="dxa"/>
              <w:right w:w="108" w:type="dxa"/>
            </w:tcMar>
          </w:tcPr>
          <w:p w14:paraId="54C18827" w14:textId="21A2631F" w:rsidR="008A73E7" w:rsidRDefault="008A73E7" w:rsidP="008A73E7">
            <w:pPr>
              <w:pStyle w:val="TableText"/>
              <w:tabs>
                <w:tab w:val="left" w:pos="464"/>
              </w:tabs>
            </w:pPr>
            <w:r>
              <w:t xml:space="preserve">2.3.4 </w:t>
            </w:r>
            <w:r w:rsidRPr="00FC61BF">
              <w:rPr>
                <w:rFonts w:cstheme="minorHAnsi"/>
                <w:szCs w:val="18"/>
              </w:rPr>
              <w:t xml:space="preserve">Consider if research is needed to identify </w:t>
            </w:r>
            <w:r w:rsidR="00437EFD" w:rsidRPr="00FC61BF">
              <w:rPr>
                <w:rFonts w:cstheme="minorHAnsi"/>
                <w:szCs w:val="18"/>
              </w:rPr>
              <w:t xml:space="preserve">xylella </w:t>
            </w:r>
            <w:r w:rsidRPr="00FC61BF">
              <w:rPr>
                <w:rFonts w:cstheme="minorHAnsi"/>
                <w:szCs w:val="18"/>
              </w:rPr>
              <w:t>within vectors, as a means of detection</w:t>
            </w:r>
          </w:p>
        </w:tc>
        <w:tc>
          <w:tcPr>
            <w:tcW w:w="1087" w:type="pct"/>
            <w:shd w:val="clear" w:color="auto" w:fill="F2DBDB"/>
            <w:tcMar>
              <w:left w:w="108" w:type="dxa"/>
              <w:bottom w:w="28" w:type="dxa"/>
              <w:right w:w="108" w:type="dxa"/>
            </w:tcMar>
          </w:tcPr>
          <w:p w14:paraId="1D3F5EE0" w14:textId="6614B113" w:rsidR="008A73E7" w:rsidRPr="00FC61BF" w:rsidRDefault="008A73E7" w:rsidP="008A73E7">
            <w:pPr>
              <w:pStyle w:val="TableText"/>
              <w:rPr>
                <w:rFonts w:cstheme="minorHAnsi"/>
                <w:szCs w:val="18"/>
              </w:rPr>
            </w:pPr>
            <w:r w:rsidRPr="00FC61BF">
              <w:rPr>
                <w:rFonts w:cstheme="minorHAnsi"/>
                <w:szCs w:val="18"/>
              </w:rPr>
              <w:t xml:space="preserve">Pending – </w:t>
            </w:r>
            <w:r>
              <w:rPr>
                <w:rFonts w:cstheme="minorHAnsi"/>
                <w:szCs w:val="18"/>
              </w:rPr>
              <w:t>p</w:t>
            </w:r>
            <w:r w:rsidRPr="00FC61BF">
              <w:rPr>
                <w:rFonts w:cstheme="minorHAnsi"/>
                <w:szCs w:val="18"/>
              </w:rPr>
              <w:t>roject to commence</w:t>
            </w:r>
            <w:r w:rsidR="00125E88">
              <w:rPr>
                <w:rFonts w:cstheme="minorHAnsi"/>
                <w:szCs w:val="18"/>
              </w:rPr>
              <w:t xml:space="preserve"> when funding available</w:t>
            </w:r>
            <w:r w:rsidRPr="00FC61BF">
              <w:rPr>
                <w:rFonts w:cstheme="minorHAnsi"/>
                <w:szCs w:val="18"/>
              </w:rPr>
              <w:t xml:space="preserve"> </w:t>
            </w:r>
          </w:p>
          <w:p w14:paraId="2F6657FF" w14:textId="2E27FFCC" w:rsidR="008A73E7" w:rsidRDefault="008A73E7" w:rsidP="008A73E7">
            <w:pPr>
              <w:pStyle w:val="TableText"/>
              <w:rPr>
                <w:rFonts w:cstheme="minorHAnsi"/>
                <w:szCs w:val="18"/>
              </w:rPr>
            </w:pPr>
            <w:r w:rsidRPr="00FC61BF">
              <w:rPr>
                <w:rFonts w:cstheme="minorHAnsi"/>
                <w:szCs w:val="18"/>
              </w:rPr>
              <w:t xml:space="preserve">Project proposed at 6 May 2021 forum and built upon </w:t>
            </w:r>
            <w:r w:rsidRPr="00A01FFD">
              <w:rPr>
                <w:rFonts w:cstheme="minorHAnsi"/>
                <w:szCs w:val="18"/>
              </w:rPr>
              <w:t>at the 6</w:t>
            </w:r>
            <w:r>
              <w:rPr>
                <w:rFonts w:cstheme="minorHAnsi"/>
                <w:szCs w:val="18"/>
              </w:rPr>
              <w:t> </w:t>
            </w:r>
            <w:r w:rsidRPr="00A01FFD">
              <w:rPr>
                <w:rFonts w:cstheme="minorHAnsi"/>
                <w:szCs w:val="18"/>
              </w:rPr>
              <w:t>December 2022 forum</w:t>
            </w:r>
            <w:r>
              <w:rPr>
                <w:rFonts w:cstheme="minorHAnsi"/>
                <w:szCs w:val="18"/>
              </w:rPr>
              <w:t xml:space="preserve"> to include detection of </w:t>
            </w:r>
            <w:r w:rsidR="000D4C52">
              <w:rPr>
                <w:rFonts w:cstheme="minorHAnsi"/>
                <w:szCs w:val="18"/>
              </w:rPr>
              <w:t>gram-negative</w:t>
            </w:r>
            <w:r>
              <w:rPr>
                <w:rFonts w:cstheme="minorHAnsi"/>
                <w:szCs w:val="18"/>
              </w:rPr>
              <w:t xml:space="preserve"> bacteria using insect</w:t>
            </w:r>
            <w:r w:rsidR="000D4C52">
              <w:rPr>
                <w:rFonts w:cstheme="minorHAnsi"/>
                <w:szCs w:val="18"/>
              </w:rPr>
              <w:t>-</w:t>
            </w:r>
            <w:r>
              <w:rPr>
                <w:rFonts w:cstheme="minorHAnsi"/>
                <w:szCs w:val="18"/>
              </w:rPr>
              <w:t>derived DNA</w:t>
            </w:r>
          </w:p>
          <w:p w14:paraId="1F911CB5" w14:textId="4F8CF95E" w:rsidR="00A66E67" w:rsidRPr="00AA36BA" w:rsidRDefault="00A66E67" w:rsidP="008A73E7">
            <w:pPr>
              <w:pStyle w:val="TableText"/>
              <w:rPr>
                <w:rFonts w:cstheme="minorHAnsi"/>
                <w:szCs w:val="18"/>
              </w:rPr>
            </w:pPr>
            <w:r w:rsidRPr="00690F33">
              <w:rPr>
                <w:rStyle w:val="cf01"/>
                <w:rFonts w:asciiTheme="minorHAnsi" w:hAnsiTheme="minorHAnsi" w:cstheme="minorHAnsi"/>
              </w:rPr>
              <w:t xml:space="preserve">Research is needed for Australian insects to ensure false positives are not an issue and </w:t>
            </w:r>
            <w:r w:rsidR="00AA36BA">
              <w:rPr>
                <w:rStyle w:val="cf01"/>
                <w:rFonts w:asciiTheme="minorHAnsi" w:hAnsiTheme="minorHAnsi" w:cstheme="minorHAnsi"/>
              </w:rPr>
              <w:t>laboratories</w:t>
            </w:r>
            <w:r w:rsidRPr="00690F33">
              <w:rPr>
                <w:rStyle w:val="cf01"/>
                <w:rFonts w:asciiTheme="minorHAnsi" w:hAnsiTheme="minorHAnsi" w:cstheme="minorHAnsi"/>
              </w:rPr>
              <w:t xml:space="preserve"> are using appropriate DNA extraction methods for the different insects</w:t>
            </w:r>
          </w:p>
        </w:tc>
        <w:tc>
          <w:tcPr>
            <w:tcW w:w="501" w:type="pct"/>
            <w:shd w:val="clear" w:color="auto" w:fill="auto"/>
            <w:tcMar>
              <w:left w:w="108" w:type="dxa"/>
              <w:bottom w:w="28" w:type="dxa"/>
              <w:right w:w="108" w:type="dxa"/>
            </w:tcMar>
          </w:tcPr>
          <w:p w14:paraId="1D070BBF" w14:textId="4A2DEA5D" w:rsidR="008A73E7" w:rsidRPr="004C1F57" w:rsidRDefault="008A73E7" w:rsidP="008A73E7">
            <w:pPr>
              <w:pStyle w:val="TableText"/>
            </w:pPr>
            <w:r w:rsidRPr="00FC61BF">
              <w:t>T</w:t>
            </w:r>
            <w:r>
              <w:t>o be determined</w:t>
            </w:r>
          </w:p>
        </w:tc>
        <w:tc>
          <w:tcPr>
            <w:tcW w:w="702" w:type="pct"/>
            <w:tcMar>
              <w:left w:w="108" w:type="dxa"/>
              <w:bottom w:w="28" w:type="dxa"/>
              <w:right w:w="108" w:type="dxa"/>
            </w:tcMar>
          </w:tcPr>
          <w:p w14:paraId="325A5682" w14:textId="7E7146BC" w:rsidR="008A73E7" w:rsidRPr="0056113C" w:rsidRDefault="008A73E7" w:rsidP="008A73E7">
            <w:pPr>
              <w:pStyle w:val="TableText"/>
            </w:pPr>
            <w:r w:rsidRPr="00FC61BF">
              <w:t>T</w:t>
            </w:r>
            <w:r>
              <w:t xml:space="preserve">o be determined </w:t>
            </w:r>
          </w:p>
        </w:tc>
        <w:tc>
          <w:tcPr>
            <w:tcW w:w="701" w:type="pct"/>
            <w:tcMar>
              <w:left w:w="108" w:type="dxa"/>
              <w:bottom w:w="28" w:type="dxa"/>
              <w:right w:w="108" w:type="dxa"/>
            </w:tcMar>
          </w:tcPr>
          <w:p w14:paraId="4EB594F0" w14:textId="3F1D8991" w:rsidR="008A73E7" w:rsidRPr="00E765F1" w:rsidRDefault="008A73E7" w:rsidP="00C85977">
            <w:pPr>
              <w:pStyle w:val="TableText"/>
            </w:pPr>
            <w:r>
              <w:t xml:space="preserve">Not applicable </w:t>
            </w:r>
          </w:p>
        </w:tc>
      </w:tr>
      <w:tr w:rsidR="008A73E7" w:rsidRPr="00013AE2" w14:paraId="5F54EA71" w14:textId="77777777" w:rsidTr="00C85977">
        <w:tc>
          <w:tcPr>
            <w:tcW w:w="1005" w:type="pct"/>
            <w:vMerge/>
            <w:tcMar>
              <w:bottom w:w="28" w:type="dxa"/>
            </w:tcMar>
          </w:tcPr>
          <w:p w14:paraId="48AD5623" w14:textId="77777777" w:rsidR="008A73E7" w:rsidRDefault="008A73E7" w:rsidP="008A73E7">
            <w:pPr>
              <w:pStyle w:val="TableText"/>
              <w:rPr>
                <w:rStyle w:val="Strong"/>
              </w:rPr>
            </w:pPr>
          </w:p>
        </w:tc>
        <w:tc>
          <w:tcPr>
            <w:tcW w:w="1004" w:type="pct"/>
            <w:tcMar>
              <w:left w:w="108" w:type="dxa"/>
              <w:bottom w:w="28" w:type="dxa"/>
              <w:right w:w="108" w:type="dxa"/>
            </w:tcMar>
          </w:tcPr>
          <w:p w14:paraId="3CCE4CF7" w14:textId="61468A1A" w:rsidR="008A73E7" w:rsidRDefault="008A73E7" w:rsidP="008A73E7">
            <w:pPr>
              <w:pStyle w:val="TableText"/>
              <w:tabs>
                <w:tab w:val="left" w:pos="464"/>
              </w:tabs>
            </w:pPr>
            <w:r>
              <w:t>2.3.5 BeXyl-remote sensing Xylella</w:t>
            </w:r>
          </w:p>
        </w:tc>
        <w:tc>
          <w:tcPr>
            <w:tcW w:w="1087" w:type="pct"/>
            <w:shd w:val="clear" w:color="auto" w:fill="F2DBDB"/>
            <w:tcMar>
              <w:left w:w="108" w:type="dxa"/>
              <w:bottom w:w="28" w:type="dxa"/>
              <w:right w:w="108" w:type="dxa"/>
            </w:tcMar>
          </w:tcPr>
          <w:p w14:paraId="516B67D0" w14:textId="7A5DACF0" w:rsidR="008A73E7" w:rsidRPr="00FC61BF" w:rsidRDefault="008A73E7" w:rsidP="008A73E7">
            <w:pPr>
              <w:pStyle w:val="TableText"/>
              <w:rPr>
                <w:rFonts w:cstheme="minorHAnsi"/>
                <w:szCs w:val="18"/>
              </w:rPr>
            </w:pPr>
            <w:r>
              <w:rPr>
                <w:rFonts w:cstheme="minorHAnsi"/>
                <w:szCs w:val="18"/>
              </w:rPr>
              <w:t>Pending – project to commence</w:t>
            </w:r>
            <w:r w:rsidR="00125E88">
              <w:rPr>
                <w:rFonts w:cstheme="minorHAnsi"/>
                <w:szCs w:val="18"/>
              </w:rPr>
              <w:t xml:space="preserve"> when funding available</w:t>
            </w:r>
            <w:r>
              <w:rPr>
                <w:rFonts w:cstheme="minorHAnsi"/>
                <w:szCs w:val="18"/>
              </w:rPr>
              <w:t xml:space="preserve">. </w:t>
            </w:r>
          </w:p>
        </w:tc>
        <w:tc>
          <w:tcPr>
            <w:tcW w:w="501" w:type="pct"/>
            <w:shd w:val="clear" w:color="auto" w:fill="auto"/>
            <w:tcMar>
              <w:left w:w="108" w:type="dxa"/>
              <w:bottom w:w="28" w:type="dxa"/>
              <w:right w:w="108" w:type="dxa"/>
            </w:tcMar>
          </w:tcPr>
          <w:p w14:paraId="207A665D" w14:textId="22CE4EAB" w:rsidR="008A73E7" w:rsidRPr="00FC61BF" w:rsidRDefault="008A73E7" w:rsidP="008A73E7">
            <w:pPr>
              <w:pStyle w:val="TableText"/>
            </w:pPr>
            <w:r>
              <w:t>Wine Australia</w:t>
            </w:r>
          </w:p>
        </w:tc>
        <w:tc>
          <w:tcPr>
            <w:tcW w:w="702" w:type="pct"/>
            <w:tcMar>
              <w:left w:w="108" w:type="dxa"/>
              <w:bottom w:w="28" w:type="dxa"/>
              <w:right w:w="108" w:type="dxa"/>
            </w:tcMar>
          </w:tcPr>
          <w:p w14:paraId="12B5C26C" w14:textId="40712CAA" w:rsidR="008A73E7" w:rsidRPr="00FC61BF" w:rsidRDefault="008A73E7" w:rsidP="008A73E7">
            <w:pPr>
              <w:pStyle w:val="TableText"/>
            </w:pPr>
            <w:r>
              <w:t xml:space="preserve">Hort Innovation </w:t>
            </w:r>
          </w:p>
        </w:tc>
        <w:tc>
          <w:tcPr>
            <w:tcW w:w="701" w:type="pct"/>
            <w:tcMar>
              <w:left w:w="108" w:type="dxa"/>
              <w:bottom w:w="28" w:type="dxa"/>
              <w:right w:w="108" w:type="dxa"/>
            </w:tcMar>
          </w:tcPr>
          <w:p w14:paraId="61F06B65" w14:textId="1F64656C" w:rsidR="008A73E7" w:rsidRDefault="008A73E7" w:rsidP="008A73E7">
            <w:pPr>
              <w:pStyle w:val="TableBullet1"/>
              <w:numPr>
                <w:ilvl w:val="0"/>
                <w:numId w:val="0"/>
              </w:numPr>
              <w:ind w:left="284" w:hanging="284"/>
            </w:pPr>
          </w:p>
        </w:tc>
      </w:tr>
      <w:tr w:rsidR="008A73E7" w:rsidRPr="00013AE2" w14:paraId="0E10182D" w14:textId="77777777" w:rsidTr="003A1099">
        <w:trPr>
          <w:trHeight w:val="915"/>
        </w:trPr>
        <w:tc>
          <w:tcPr>
            <w:tcW w:w="1005" w:type="pct"/>
            <w:vMerge w:val="restart"/>
            <w:tcMar>
              <w:bottom w:w="28" w:type="dxa"/>
            </w:tcMar>
          </w:tcPr>
          <w:p w14:paraId="44C822D3" w14:textId="7A8AEBFC" w:rsidR="008A73E7" w:rsidRPr="009D6998" w:rsidRDefault="008A73E7" w:rsidP="008A73E7">
            <w:pPr>
              <w:pStyle w:val="TableText"/>
            </w:pPr>
            <w:r w:rsidRPr="009D6998">
              <w:rPr>
                <w:rStyle w:val="Strong"/>
              </w:rPr>
              <w:t xml:space="preserve">Action </w:t>
            </w:r>
            <w:r>
              <w:rPr>
                <w:rStyle w:val="Strong"/>
              </w:rPr>
              <w:t>2</w:t>
            </w:r>
            <w:r w:rsidRPr="009D6998">
              <w:rPr>
                <w:rStyle w:val="Strong"/>
              </w:rPr>
              <w:t>.</w:t>
            </w:r>
            <w:r>
              <w:rPr>
                <w:rStyle w:val="Strong"/>
              </w:rPr>
              <w:t xml:space="preserve">4: </w:t>
            </w:r>
            <w:r w:rsidRPr="007436AD">
              <w:rPr>
                <w:rStyle w:val="Strong"/>
                <w:b w:val="0"/>
                <w:bCs w:val="0"/>
              </w:rPr>
              <w:t>Target</w:t>
            </w:r>
            <w:r>
              <w:rPr>
                <w:rStyle w:val="Strong"/>
                <w:b w:val="0"/>
                <w:bCs w:val="0"/>
              </w:rPr>
              <w:t xml:space="preserve"> and test potential vectors in current and future surveillance programs.</w:t>
            </w:r>
          </w:p>
          <w:p w14:paraId="4CECC035" w14:textId="3B67A804" w:rsidR="008A73E7" w:rsidRPr="007436AD" w:rsidRDefault="008A73E7" w:rsidP="008A73E7">
            <w:pPr>
              <w:pStyle w:val="TableText"/>
              <w:rPr>
                <w:rFonts w:cstheme="minorHAnsi"/>
                <w:szCs w:val="18"/>
              </w:rPr>
            </w:pPr>
            <w:r w:rsidRPr="009D6998">
              <w:rPr>
                <w:rStyle w:val="Strong"/>
              </w:rPr>
              <w:lastRenderedPageBreak/>
              <w:t>Expected benefit and outcome</w:t>
            </w:r>
            <w:r>
              <w:rPr>
                <w:rStyle w:val="Strong"/>
              </w:rPr>
              <w:t xml:space="preserve">: </w:t>
            </w:r>
            <w:r w:rsidRPr="007436AD">
              <w:rPr>
                <w:rStyle w:val="Strong"/>
                <w:b w:val="0"/>
                <w:bCs w:val="0"/>
              </w:rPr>
              <w:t>To</w:t>
            </w:r>
            <w:r>
              <w:rPr>
                <w:rStyle w:val="Strong"/>
                <w:b w:val="0"/>
                <w:bCs w:val="0"/>
              </w:rPr>
              <w:t xml:space="preserve"> improve detection capability in relation to </w:t>
            </w:r>
            <w:r w:rsidRPr="007436AD">
              <w:rPr>
                <w:rStyle w:val="Strong"/>
                <w:b w:val="0"/>
                <w:bCs w:val="0"/>
                <w:i/>
                <w:iCs/>
              </w:rPr>
              <w:t>Xylella</w:t>
            </w:r>
            <w:r>
              <w:rPr>
                <w:rStyle w:val="Strong"/>
                <w:b w:val="0"/>
                <w:bCs w:val="0"/>
              </w:rPr>
              <w:t xml:space="preserve"> </w:t>
            </w:r>
            <w:r w:rsidRPr="007436AD">
              <w:rPr>
                <w:rFonts w:cstheme="minorHAnsi"/>
                <w:i/>
                <w:iCs/>
                <w:szCs w:val="18"/>
                <w:lang w:eastAsia="ja-JP"/>
              </w:rPr>
              <w:t>fastidiosa</w:t>
            </w:r>
            <w:r w:rsidRPr="007436AD">
              <w:rPr>
                <w:rFonts w:cstheme="minorHAnsi"/>
                <w:szCs w:val="18"/>
                <w:lang w:eastAsia="ja-JP"/>
              </w:rPr>
              <w:t xml:space="preserve"> through enhanced targeting of potential vectors as part of current surveillance programs.</w:t>
            </w:r>
          </w:p>
          <w:p w14:paraId="31969D01" w14:textId="6569965E" w:rsidR="008A73E7" w:rsidRPr="009D6998" w:rsidRDefault="008A73E7" w:rsidP="008A73E7">
            <w:pPr>
              <w:pStyle w:val="TableText"/>
            </w:pPr>
            <w:r w:rsidRPr="009D6998">
              <w:rPr>
                <w:rStyle w:val="Strong"/>
              </w:rPr>
              <w:t>Priority</w:t>
            </w:r>
            <w:r>
              <w:rPr>
                <w:rStyle w:val="Strong"/>
              </w:rPr>
              <w:t xml:space="preserve">: </w:t>
            </w:r>
            <w:r w:rsidRPr="005E6550">
              <w:rPr>
                <w:rStyle w:val="Strong"/>
                <w:b w:val="0"/>
                <w:bCs w:val="0"/>
              </w:rPr>
              <w:t>high</w:t>
            </w:r>
          </w:p>
          <w:p w14:paraId="10E025ED" w14:textId="2EE32FB3" w:rsidR="008A73E7" w:rsidRPr="007B0473" w:rsidRDefault="008A73E7" w:rsidP="008A73E7">
            <w:pPr>
              <w:pStyle w:val="TableText"/>
              <w:rPr>
                <w:rStyle w:val="Strong"/>
              </w:rPr>
            </w:pPr>
            <w:r w:rsidRPr="009D6998">
              <w:rPr>
                <w:rStyle w:val="Strong"/>
              </w:rPr>
              <w:t>Time frame</w:t>
            </w:r>
            <w:r>
              <w:rPr>
                <w:rStyle w:val="Strong"/>
              </w:rPr>
              <w:t xml:space="preserve">: </w:t>
            </w:r>
            <w:r w:rsidRPr="005E6550">
              <w:rPr>
                <w:rStyle w:val="Strong"/>
                <w:b w:val="0"/>
                <w:bCs w:val="0"/>
              </w:rPr>
              <w:t>short term</w:t>
            </w:r>
          </w:p>
        </w:tc>
        <w:tc>
          <w:tcPr>
            <w:tcW w:w="1004" w:type="pct"/>
            <w:tcMar>
              <w:left w:w="108" w:type="dxa"/>
              <w:bottom w:w="28" w:type="dxa"/>
              <w:right w:w="108" w:type="dxa"/>
            </w:tcMar>
          </w:tcPr>
          <w:p w14:paraId="021BB012" w14:textId="1FCD43B9" w:rsidR="008A73E7" w:rsidRDefault="008A73E7" w:rsidP="008A73E7">
            <w:pPr>
              <w:pStyle w:val="TableText"/>
              <w:tabs>
                <w:tab w:val="left" w:pos="464"/>
              </w:tabs>
            </w:pPr>
            <w:r>
              <w:lastRenderedPageBreak/>
              <w:t>2.4.1 Jurisdictions</w:t>
            </w:r>
            <w:r w:rsidRPr="007436AD">
              <w:t xml:space="preserve"> and industry to target and test potential vectors in current surveillance programs</w:t>
            </w:r>
          </w:p>
        </w:tc>
        <w:tc>
          <w:tcPr>
            <w:tcW w:w="1087" w:type="pct"/>
            <w:shd w:val="clear" w:color="auto" w:fill="C6D9F1" w:themeFill="text2" w:themeFillTint="33"/>
            <w:tcMar>
              <w:left w:w="108" w:type="dxa"/>
              <w:bottom w:w="28" w:type="dxa"/>
              <w:right w:w="108" w:type="dxa"/>
            </w:tcMar>
          </w:tcPr>
          <w:p w14:paraId="7B3E5423" w14:textId="5864AADB" w:rsidR="008A73E7" w:rsidRPr="00011B18" w:rsidRDefault="008A73E7" w:rsidP="008A73E7">
            <w:pPr>
              <w:pStyle w:val="TableText"/>
              <w:rPr>
                <w:rFonts w:cstheme="minorHAnsi"/>
                <w:szCs w:val="18"/>
              </w:rPr>
            </w:pPr>
            <w:r w:rsidRPr="00A01FFD">
              <w:rPr>
                <w:rFonts w:cstheme="minorHAnsi"/>
                <w:szCs w:val="18"/>
              </w:rPr>
              <w:t>Ongoing – business as usual</w:t>
            </w:r>
          </w:p>
        </w:tc>
        <w:tc>
          <w:tcPr>
            <w:tcW w:w="501" w:type="pct"/>
            <w:tcMar>
              <w:left w:w="108" w:type="dxa"/>
              <w:bottom w:w="28" w:type="dxa"/>
              <w:right w:w="108" w:type="dxa"/>
            </w:tcMar>
          </w:tcPr>
          <w:p w14:paraId="2E72CD5F" w14:textId="77777777" w:rsidR="008A73E7" w:rsidRDefault="008A73E7" w:rsidP="008A73E7">
            <w:pPr>
              <w:pStyle w:val="TableText"/>
            </w:pPr>
            <w:r>
              <w:t>Jurisdiction</w:t>
            </w:r>
          </w:p>
          <w:p w14:paraId="212ECC5D" w14:textId="5E23FB93" w:rsidR="008A73E7" w:rsidRPr="009B5684" w:rsidRDefault="008A73E7" w:rsidP="008A73E7">
            <w:pPr>
              <w:pStyle w:val="TableText"/>
            </w:pPr>
            <w:r>
              <w:t xml:space="preserve">Industry </w:t>
            </w:r>
          </w:p>
        </w:tc>
        <w:tc>
          <w:tcPr>
            <w:tcW w:w="702" w:type="pct"/>
            <w:tcMar>
              <w:left w:w="108" w:type="dxa"/>
              <w:bottom w:w="28" w:type="dxa"/>
              <w:right w:w="108" w:type="dxa"/>
            </w:tcMar>
          </w:tcPr>
          <w:p w14:paraId="2FC3773E" w14:textId="77777777" w:rsidR="008A73E7" w:rsidRPr="00BC222E" w:rsidRDefault="008A73E7" w:rsidP="008A73E7">
            <w:pPr>
              <w:pStyle w:val="TableText"/>
            </w:pPr>
            <w:r w:rsidRPr="00BC222E">
              <w:t xml:space="preserve">Jurisdiction </w:t>
            </w:r>
          </w:p>
          <w:p w14:paraId="1B62C9C1" w14:textId="38FD4D27" w:rsidR="008A73E7" w:rsidRPr="00BC13C5" w:rsidRDefault="008A73E7" w:rsidP="008A73E7">
            <w:pPr>
              <w:pStyle w:val="TableText"/>
              <w:rPr>
                <w:shd w:val="clear" w:color="auto" w:fill="EEECE1" w:themeFill="background2"/>
              </w:rPr>
            </w:pPr>
            <w:r w:rsidRPr="00BC222E">
              <w:t>Commonwealth</w:t>
            </w:r>
            <w:r>
              <w:rPr>
                <w:shd w:val="clear" w:color="auto" w:fill="EEECE1" w:themeFill="background2"/>
              </w:rPr>
              <w:t xml:space="preserve"> </w:t>
            </w:r>
          </w:p>
        </w:tc>
        <w:tc>
          <w:tcPr>
            <w:tcW w:w="701" w:type="pct"/>
            <w:tcMar>
              <w:left w:w="108" w:type="dxa"/>
              <w:bottom w:w="28" w:type="dxa"/>
              <w:right w:w="108" w:type="dxa"/>
            </w:tcMar>
          </w:tcPr>
          <w:p w14:paraId="7A4130C3" w14:textId="20ABE4F4" w:rsidR="008A73E7" w:rsidRPr="00BC222E" w:rsidRDefault="008A73E7" w:rsidP="008A73E7">
            <w:pPr>
              <w:pStyle w:val="TableText"/>
            </w:pPr>
            <w:r w:rsidRPr="00BC222E">
              <w:t>Dependent on action 2.1, 2.2, 2.3</w:t>
            </w:r>
          </w:p>
          <w:p w14:paraId="37E2ACE8" w14:textId="7D7B28D2" w:rsidR="008A73E7" w:rsidRPr="00BC13C5" w:rsidRDefault="008A73E7" w:rsidP="008A73E7">
            <w:pPr>
              <w:pStyle w:val="TableText"/>
              <w:rPr>
                <w:shd w:val="clear" w:color="auto" w:fill="EEECE1" w:themeFill="background2"/>
              </w:rPr>
            </w:pPr>
            <w:r w:rsidRPr="00BC222E">
              <w:lastRenderedPageBreak/>
              <w:t>Informed by action 1.1, 1.2, 1.3, 1.4, 4.5</w:t>
            </w:r>
          </w:p>
        </w:tc>
      </w:tr>
      <w:tr w:rsidR="008A73E7" w:rsidRPr="00013AE2" w14:paraId="4C164D63" w14:textId="77777777" w:rsidTr="003A1099">
        <w:tc>
          <w:tcPr>
            <w:tcW w:w="1005" w:type="pct"/>
            <w:vMerge/>
            <w:tcMar>
              <w:bottom w:w="28" w:type="dxa"/>
            </w:tcMar>
          </w:tcPr>
          <w:p w14:paraId="0875838C" w14:textId="77777777" w:rsidR="008A73E7" w:rsidRPr="009D6998" w:rsidRDefault="008A73E7" w:rsidP="008A73E7">
            <w:pPr>
              <w:pStyle w:val="TableText"/>
              <w:rPr>
                <w:rStyle w:val="Strong"/>
              </w:rPr>
            </w:pPr>
          </w:p>
        </w:tc>
        <w:tc>
          <w:tcPr>
            <w:tcW w:w="1004" w:type="pct"/>
            <w:tcMar>
              <w:left w:w="108" w:type="dxa"/>
              <w:bottom w:w="28" w:type="dxa"/>
              <w:right w:w="108" w:type="dxa"/>
            </w:tcMar>
          </w:tcPr>
          <w:p w14:paraId="1F444BEE" w14:textId="78DA0BBA" w:rsidR="008A73E7" w:rsidRPr="005D26F3" w:rsidRDefault="008A73E7" w:rsidP="008A73E7">
            <w:pPr>
              <w:pStyle w:val="TableText"/>
              <w:tabs>
                <w:tab w:val="left" w:pos="464"/>
              </w:tabs>
              <w:rPr>
                <w:b/>
                <w:bCs/>
              </w:rPr>
            </w:pPr>
            <w:r>
              <w:t>2.4.2</w:t>
            </w:r>
            <w:r w:rsidR="004F43E6">
              <w:t xml:space="preserve"> M</w:t>
            </w:r>
            <w:r w:rsidR="004F43E6" w:rsidRPr="007436AD">
              <w:t>onitor</w:t>
            </w:r>
            <w:r w:rsidR="004F43E6">
              <w:t xml:space="preserve"> </w:t>
            </w:r>
            <w:r w:rsidR="004F43E6" w:rsidRPr="007436AD">
              <w:t xml:space="preserve">public enquires and online reporting for plants that exhibit symptoms of infection with </w:t>
            </w:r>
            <w:r w:rsidR="004F43E6" w:rsidRPr="00011B18">
              <w:rPr>
                <w:i/>
                <w:iCs/>
              </w:rPr>
              <w:t>Xylella fastidiosa</w:t>
            </w:r>
            <w:r w:rsidR="004F43E6" w:rsidRPr="007436AD">
              <w:t xml:space="preserve"> and other pathogens</w:t>
            </w:r>
          </w:p>
        </w:tc>
        <w:tc>
          <w:tcPr>
            <w:tcW w:w="1087" w:type="pct"/>
            <w:shd w:val="clear" w:color="auto" w:fill="C6D9F1" w:themeFill="text2" w:themeFillTint="33"/>
            <w:tcMar>
              <w:left w:w="108" w:type="dxa"/>
              <w:bottom w:w="28" w:type="dxa"/>
              <w:right w:w="108" w:type="dxa"/>
            </w:tcMar>
          </w:tcPr>
          <w:p w14:paraId="42CF8DCE" w14:textId="6C963F3A" w:rsidR="001A4C27" w:rsidRPr="00A01FFD" w:rsidRDefault="008A73E7" w:rsidP="008A73E7">
            <w:pPr>
              <w:pStyle w:val="TableText"/>
              <w:rPr>
                <w:rFonts w:cstheme="minorHAnsi"/>
                <w:szCs w:val="18"/>
              </w:rPr>
            </w:pPr>
            <w:r w:rsidRPr="00A01FFD">
              <w:rPr>
                <w:rFonts w:cstheme="minorHAnsi"/>
                <w:szCs w:val="18"/>
              </w:rPr>
              <w:t>Ongoing – business as usual</w:t>
            </w:r>
          </w:p>
          <w:p w14:paraId="1A21BA89" w14:textId="715264CD" w:rsidR="00B23FD3" w:rsidRPr="00011B18" w:rsidRDefault="001A4C27" w:rsidP="001A4C27">
            <w:pPr>
              <w:pStyle w:val="TableText"/>
              <w:rPr>
                <w:rFonts w:cstheme="minorHAnsi"/>
                <w:szCs w:val="18"/>
              </w:rPr>
            </w:pPr>
            <w:r>
              <w:rPr>
                <w:rFonts w:cstheme="minorHAnsi"/>
                <w:szCs w:val="18"/>
              </w:rPr>
              <w:t>States and territories monitor public enquires through the exotic plant pest hotline and online reporting. If symptoms raise concerns</w:t>
            </w:r>
            <w:r w:rsidR="00437EFD">
              <w:rPr>
                <w:rFonts w:cstheme="minorHAnsi"/>
                <w:szCs w:val="18"/>
              </w:rPr>
              <w:t>,</w:t>
            </w:r>
            <w:r>
              <w:rPr>
                <w:rFonts w:cstheme="minorHAnsi"/>
                <w:szCs w:val="18"/>
              </w:rPr>
              <w:t xml:space="preserve"> the jurisdiction will organise a collection of samples to be tested</w:t>
            </w:r>
            <w:r w:rsidR="00437EFD">
              <w:rPr>
                <w:rFonts w:cstheme="minorHAnsi"/>
                <w:szCs w:val="18"/>
              </w:rPr>
              <w:t>.</w:t>
            </w:r>
          </w:p>
        </w:tc>
        <w:tc>
          <w:tcPr>
            <w:tcW w:w="501" w:type="pct"/>
            <w:tcMar>
              <w:left w:w="108" w:type="dxa"/>
              <w:bottom w:w="28" w:type="dxa"/>
              <w:right w:w="108" w:type="dxa"/>
            </w:tcMar>
          </w:tcPr>
          <w:p w14:paraId="1AFDE1C7" w14:textId="5AB389DD" w:rsidR="008A73E7" w:rsidRPr="0056113C" w:rsidRDefault="008A73E7" w:rsidP="008A73E7">
            <w:pPr>
              <w:pStyle w:val="TableText"/>
            </w:pPr>
            <w:r w:rsidRPr="009620B7">
              <w:t>Jurisdiction</w:t>
            </w:r>
          </w:p>
        </w:tc>
        <w:tc>
          <w:tcPr>
            <w:tcW w:w="702" w:type="pct"/>
            <w:tcMar>
              <w:left w:w="108" w:type="dxa"/>
              <w:bottom w:w="28" w:type="dxa"/>
              <w:right w:w="108" w:type="dxa"/>
            </w:tcMar>
          </w:tcPr>
          <w:p w14:paraId="18CB5820" w14:textId="4B25F0D4" w:rsidR="008A73E7" w:rsidRPr="00011B18" w:rsidRDefault="008A73E7" w:rsidP="008A73E7">
            <w:pPr>
              <w:pStyle w:val="TableText"/>
            </w:pPr>
            <w:r w:rsidRPr="00011B18">
              <w:t xml:space="preserve">Not applicable </w:t>
            </w:r>
          </w:p>
        </w:tc>
        <w:tc>
          <w:tcPr>
            <w:tcW w:w="701" w:type="pct"/>
            <w:tcMar>
              <w:left w:w="108" w:type="dxa"/>
              <w:bottom w:w="28" w:type="dxa"/>
              <w:right w:w="108" w:type="dxa"/>
            </w:tcMar>
          </w:tcPr>
          <w:p w14:paraId="4C008C61" w14:textId="3DE0E762" w:rsidR="008A73E7" w:rsidRPr="00011B18" w:rsidRDefault="008A73E7" w:rsidP="008A73E7">
            <w:pPr>
              <w:pStyle w:val="TableText"/>
            </w:pPr>
            <w:r w:rsidRPr="00011B18">
              <w:t xml:space="preserve">Not applicable </w:t>
            </w:r>
          </w:p>
        </w:tc>
      </w:tr>
      <w:tr w:rsidR="008A73E7" w:rsidRPr="00013AE2" w14:paraId="6B31E8BA" w14:textId="77777777" w:rsidTr="003A1099">
        <w:tc>
          <w:tcPr>
            <w:tcW w:w="1005" w:type="pct"/>
            <w:vMerge/>
            <w:tcMar>
              <w:bottom w:w="28" w:type="dxa"/>
            </w:tcMar>
          </w:tcPr>
          <w:p w14:paraId="33EF6A3B" w14:textId="77777777" w:rsidR="008A73E7" w:rsidRPr="009D6998" w:rsidRDefault="008A73E7" w:rsidP="008A73E7">
            <w:pPr>
              <w:pStyle w:val="TableText"/>
              <w:rPr>
                <w:rStyle w:val="Strong"/>
              </w:rPr>
            </w:pPr>
          </w:p>
        </w:tc>
        <w:tc>
          <w:tcPr>
            <w:tcW w:w="1004" w:type="pct"/>
            <w:tcMar>
              <w:left w:w="108" w:type="dxa"/>
              <w:bottom w:w="28" w:type="dxa"/>
              <w:right w:w="108" w:type="dxa"/>
            </w:tcMar>
          </w:tcPr>
          <w:p w14:paraId="02CB2D48" w14:textId="73125301" w:rsidR="008A73E7" w:rsidRPr="007436AD" w:rsidRDefault="008A73E7" w:rsidP="008A73E7">
            <w:pPr>
              <w:pStyle w:val="TableText"/>
              <w:tabs>
                <w:tab w:val="left" w:pos="464"/>
              </w:tabs>
              <w:rPr>
                <w:rFonts w:cstheme="minorHAnsi"/>
                <w:szCs w:val="18"/>
              </w:rPr>
            </w:pPr>
            <w:r w:rsidRPr="007436AD">
              <w:rPr>
                <w:rFonts w:cstheme="minorHAnsi"/>
                <w:szCs w:val="18"/>
              </w:rPr>
              <w:t xml:space="preserve">2.4.3 </w:t>
            </w:r>
            <w:r w:rsidR="004F43E6">
              <w:rPr>
                <w:rFonts w:cstheme="minorHAnsi"/>
                <w:szCs w:val="18"/>
              </w:rPr>
              <w:t>U</w:t>
            </w:r>
            <w:r w:rsidR="004F43E6" w:rsidRPr="007436AD">
              <w:rPr>
                <w:rFonts w:cstheme="minorHAnsi"/>
                <w:szCs w:val="18"/>
              </w:rPr>
              <w:t>pdate awareness material</w:t>
            </w:r>
          </w:p>
        </w:tc>
        <w:tc>
          <w:tcPr>
            <w:tcW w:w="1087" w:type="pct"/>
            <w:shd w:val="clear" w:color="auto" w:fill="C6D9F1" w:themeFill="text2" w:themeFillTint="33"/>
            <w:tcMar>
              <w:left w:w="108" w:type="dxa"/>
              <w:bottom w:w="28" w:type="dxa"/>
              <w:right w:w="108" w:type="dxa"/>
            </w:tcMar>
          </w:tcPr>
          <w:p w14:paraId="1D105F1C" w14:textId="78EF9DF5" w:rsidR="008A73E7" w:rsidRPr="00A01FFD" w:rsidRDefault="008A73E7" w:rsidP="008A73E7">
            <w:pPr>
              <w:pStyle w:val="TableText"/>
              <w:rPr>
                <w:rFonts w:cstheme="minorHAnsi"/>
                <w:szCs w:val="18"/>
              </w:rPr>
            </w:pPr>
            <w:r w:rsidRPr="00A01FFD">
              <w:rPr>
                <w:rFonts w:cstheme="minorHAnsi"/>
                <w:szCs w:val="18"/>
              </w:rPr>
              <w:t>Ongoing – business as usual</w:t>
            </w:r>
          </w:p>
          <w:p w14:paraId="4794E073" w14:textId="18F79CBF" w:rsidR="008A73E7" w:rsidRPr="00011B18" w:rsidRDefault="008A73E7" w:rsidP="008A73E7">
            <w:pPr>
              <w:pStyle w:val="TableText"/>
              <w:rPr>
                <w:rFonts w:cstheme="minorHAnsi"/>
                <w:szCs w:val="18"/>
              </w:rPr>
            </w:pPr>
            <w:r w:rsidRPr="007436AD">
              <w:rPr>
                <w:rFonts w:cstheme="minorHAnsi"/>
                <w:szCs w:val="18"/>
              </w:rPr>
              <w:t>Queensland has updated awareness material and focuses on citrus.</w:t>
            </w:r>
          </w:p>
        </w:tc>
        <w:tc>
          <w:tcPr>
            <w:tcW w:w="501" w:type="pct"/>
            <w:tcMar>
              <w:left w:w="108" w:type="dxa"/>
              <w:bottom w:w="28" w:type="dxa"/>
              <w:right w:w="108" w:type="dxa"/>
            </w:tcMar>
          </w:tcPr>
          <w:p w14:paraId="35736596" w14:textId="55FC1CFA" w:rsidR="008A73E7" w:rsidRPr="00BC13C5" w:rsidRDefault="008A73E7" w:rsidP="008A73E7">
            <w:pPr>
              <w:pStyle w:val="TableText"/>
              <w:rPr>
                <w:shd w:val="clear" w:color="auto" w:fill="EEECE1" w:themeFill="background2"/>
              </w:rPr>
            </w:pPr>
            <w:r w:rsidRPr="00244981">
              <w:t>Jurisdiction</w:t>
            </w:r>
            <w:r>
              <w:t xml:space="preserve"> </w:t>
            </w:r>
          </w:p>
        </w:tc>
        <w:tc>
          <w:tcPr>
            <w:tcW w:w="702" w:type="pct"/>
            <w:tcMar>
              <w:left w:w="108" w:type="dxa"/>
              <w:bottom w:w="28" w:type="dxa"/>
              <w:right w:w="108" w:type="dxa"/>
            </w:tcMar>
          </w:tcPr>
          <w:p w14:paraId="270CF2C0" w14:textId="581E6A02" w:rsidR="008A73E7" w:rsidRPr="00011B18" w:rsidRDefault="008A73E7" w:rsidP="008A73E7">
            <w:pPr>
              <w:pStyle w:val="TableText"/>
            </w:pPr>
            <w:r w:rsidRPr="00011B18">
              <w:t xml:space="preserve">Not applicable </w:t>
            </w:r>
          </w:p>
        </w:tc>
        <w:tc>
          <w:tcPr>
            <w:tcW w:w="701" w:type="pct"/>
            <w:tcMar>
              <w:left w:w="108" w:type="dxa"/>
              <w:bottom w:w="28" w:type="dxa"/>
              <w:right w:w="108" w:type="dxa"/>
            </w:tcMar>
          </w:tcPr>
          <w:p w14:paraId="36C97FA0" w14:textId="44863D44" w:rsidR="008A73E7" w:rsidRPr="00011B18" w:rsidRDefault="008A73E7" w:rsidP="008A73E7">
            <w:pPr>
              <w:pStyle w:val="TableText"/>
            </w:pPr>
            <w:r w:rsidRPr="00011B18">
              <w:t xml:space="preserve">Not applicable </w:t>
            </w:r>
          </w:p>
        </w:tc>
      </w:tr>
      <w:tr w:rsidR="008A73E7" w:rsidRPr="00013AE2" w14:paraId="2477D402" w14:textId="77777777" w:rsidTr="003A1099">
        <w:tc>
          <w:tcPr>
            <w:tcW w:w="1005" w:type="pct"/>
            <w:vMerge/>
            <w:tcMar>
              <w:bottom w:w="28" w:type="dxa"/>
            </w:tcMar>
          </w:tcPr>
          <w:p w14:paraId="6BBE28A5" w14:textId="77777777" w:rsidR="008A73E7" w:rsidRPr="009D6998" w:rsidRDefault="008A73E7" w:rsidP="008A73E7">
            <w:pPr>
              <w:pStyle w:val="TableText"/>
              <w:rPr>
                <w:rStyle w:val="Strong"/>
              </w:rPr>
            </w:pPr>
          </w:p>
        </w:tc>
        <w:tc>
          <w:tcPr>
            <w:tcW w:w="1004" w:type="pct"/>
            <w:tcMar>
              <w:left w:w="108" w:type="dxa"/>
              <w:bottom w:w="28" w:type="dxa"/>
              <w:right w:w="108" w:type="dxa"/>
            </w:tcMar>
          </w:tcPr>
          <w:p w14:paraId="792A3314" w14:textId="21074D31" w:rsidR="004F43E6" w:rsidRPr="004F43E6" w:rsidRDefault="008A73E7" w:rsidP="008A73E7">
            <w:pPr>
              <w:pStyle w:val="TableText"/>
              <w:tabs>
                <w:tab w:val="left" w:pos="464"/>
              </w:tabs>
              <w:rPr>
                <w:rFonts w:cstheme="minorHAnsi"/>
                <w:szCs w:val="18"/>
              </w:rPr>
            </w:pPr>
            <w:r w:rsidRPr="007436AD">
              <w:rPr>
                <w:rFonts w:cstheme="minorHAnsi"/>
                <w:szCs w:val="18"/>
              </w:rPr>
              <w:t>2.4.4</w:t>
            </w:r>
            <w:r w:rsidR="004F43E6">
              <w:rPr>
                <w:rFonts w:cstheme="minorHAnsi"/>
                <w:szCs w:val="18"/>
              </w:rPr>
              <w:t xml:space="preserve"> S</w:t>
            </w:r>
            <w:r w:rsidR="004F43E6" w:rsidRPr="007436AD">
              <w:rPr>
                <w:rFonts w:cstheme="minorHAnsi"/>
                <w:szCs w:val="18"/>
              </w:rPr>
              <w:t>urveillance bycatch is screened for exotic species</w:t>
            </w:r>
          </w:p>
        </w:tc>
        <w:tc>
          <w:tcPr>
            <w:tcW w:w="1087" w:type="pct"/>
            <w:shd w:val="clear" w:color="auto" w:fill="C6D9F1" w:themeFill="text2" w:themeFillTint="33"/>
            <w:tcMar>
              <w:left w:w="108" w:type="dxa"/>
              <w:bottom w:w="28" w:type="dxa"/>
              <w:right w:w="108" w:type="dxa"/>
            </w:tcMar>
          </w:tcPr>
          <w:p w14:paraId="0BF9BE09" w14:textId="12946104" w:rsidR="008A73E7" w:rsidRDefault="008A73E7" w:rsidP="008A73E7">
            <w:pPr>
              <w:pStyle w:val="TableText"/>
              <w:rPr>
                <w:rFonts w:cstheme="minorHAnsi"/>
                <w:szCs w:val="18"/>
              </w:rPr>
            </w:pPr>
            <w:r w:rsidRPr="00A01FFD">
              <w:rPr>
                <w:rFonts w:cstheme="minorHAnsi"/>
                <w:szCs w:val="18"/>
              </w:rPr>
              <w:t>Ongoing – business as usual</w:t>
            </w:r>
            <w:r w:rsidRPr="007436AD">
              <w:rPr>
                <w:rFonts w:cstheme="minorHAnsi"/>
                <w:szCs w:val="18"/>
              </w:rPr>
              <w:t xml:space="preserve"> </w:t>
            </w:r>
          </w:p>
          <w:p w14:paraId="224D5B56" w14:textId="30292625" w:rsidR="008A73E7" w:rsidRDefault="008A73E7" w:rsidP="008A73E7">
            <w:pPr>
              <w:pStyle w:val="TableText"/>
              <w:rPr>
                <w:rFonts w:cstheme="minorHAnsi"/>
                <w:szCs w:val="18"/>
              </w:rPr>
            </w:pPr>
            <w:r w:rsidRPr="007436AD">
              <w:rPr>
                <w:rFonts w:cstheme="minorHAnsi"/>
                <w:szCs w:val="18"/>
              </w:rPr>
              <w:t xml:space="preserve">In </w:t>
            </w:r>
            <w:r w:rsidR="000D4C52" w:rsidRPr="007436AD">
              <w:rPr>
                <w:rFonts w:cstheme="minorHAnsi"/>
                <w:szCs w:val="18"/>
              </w:rPr>
              <w:t>SA,</w:t>
            </w:r>
            <w:r w:rsidRPr="007436AD">
              <w:rPr>
                <w:rFonts w:cstheme="minorHAnsi"/>
                <w:szCs w:val="18"/>
              </w:rPr>
              <w:t xml:space="preserve"> all surveillance bycatch is screened for exotic species including glassy-winged sharpshooter</w:t>
            </w:r>
            <w:r w:rsidR="00F25E88">
              <w:rPr>
                <w:rFonts w:cstheme="minorHAnsi"/>
                <w:szCs w:val="18"/>
              </w:rPr>
              <w:t>.</w:t>
            </w:r>
          </w:p>
          <w:p w14:paraId="62F69141" w14:textId="37678C5F" w:rsidR="00F25E88" w:rsidRPr="00011B18" w:rsidRDefault="00F25E88" w:rsidP="008A73E7">
            <w:pPr>
              <w:pStyle w:val="TableText"/>
              <w:rPr>
                <w:rFonts w:cstheme="minorHAnsi"/>
                <w:szCs w:val="18"/>
              </w:rPr>
            </w:pPr>
            <w:r>
              <w:t>Victoria – all surveillance diagnostic samples in Victoria are screened for potential EPPs.</w:t>
            </w:r>
          </w:p>
        </w:tc>
        <w:tc>
          <w:tcPr>
            <w:tcW w:w="501" w:type="pct"/>
            <w:tcMar>
              <w:left w:w="108" w:type="dxa"/>
              <w:bottom w:w="28" w:type="dxa"/>
              <w:right w:w="108" w:type="dxa"/>
            </w:tcMar>
          </w:tcPr>
          <w:p w14:paraId="282F68B8" w14:textId="4A5C6784" w:rsidR="008A73E7" w:rsidRPr="00244981" w:rsidRDefault="008A73E7" w:rsidP="008A73E7">
            <w:pPr>
              <w:pStyle w:val="TableText"/>
            </w:pPr>
            <w:r w:rsidRPr="00244981">
              <w:t>Jurisdiction</w:t>
            </w:r>
            <w:r>
              <w:t xml:space="preserve"> </w:t>
            </w:r>
          </w:p>
        </w:tc>
        <w:tc>
          <w:tcPr>
            <w:tcW w:w="702" w:type="pct"/>
            <w:tcMar>
              <w:left w:w="108" w:type="dxa"/>
              <w:bottom w:w="28" w:type="dxa"/>
              <w:right w:w="108" w:type="dxa"/>
            </w:tcMar>
          </w:tcPr>
          <w:p w14:paraId="3DD12938" w14:textId="6AE79055" w:rsidR="008A73E7" w:rsidRPr="00011B18" w:rsidRDefault="008A73E7" w:rsidP="008A73E7">
            <w:pPr>
              <w:pStyle w:val="TableText"/>
            </w:pPr>
            <w:r w:rsidRPr="00011B18">
              <w:t xml:space="preserve">Not applicable </w:t>
            </w:r>
          </w:p>
        </w:tc>
        <w:tc>
          <w:tcPr>
            <w:tcW w:w="701" w:type="pct"/>
            <w:tcMar>
              <w:left w:w="108" w:type="dxa"/>
              <w:bottom w:w="28" w:type="dxa"/>
              <w:right w:w="108" w:type="dxa"/>
            </w:tcMar>
          </w:tcPr>
          <w:p w14:paraId="1C272309" w14:textId="1FF95E6C" w:rsidR="008A73E7" w:rsidRPr="00011B18" w:rsidRDefault="008A73E7" w:rsidP="008A73E7">
            <w:pPr>
              <w:pStyle w:val="TableText"/>
            </w:pPr>
            <w:r w:rsidRPr="00011B18">
              <w:t>Not applicable</w:t>
            </w:r>
          </w:p>
        </w:tc>
      </w:tr>
      <w:tr w:rsidR="008A73E7" w:rsidRPr="00013AE2" w14:paraId="23EF41B7" w14:textId="77777777" w:rsidTr="00C85977">
        <w:tc>
          <w:tcPr>
            <w:tcW w:w="1005" w:type="pct"/>
            <w:vMerge/>
            <w:tcMar>
              <w:bottom w:w="28" w:type="dxa"/>
            </w:tcMar>
          </w:tcPr>
          <w:p w14:paraId="63F7A155" w14:textId="77777777" w:rsidR="008A73E7" w:rsidRPr="009D6998" w:rsidRDefault="008A73E7" w:rsidP="008A73E7">
            <w:pPr>
              <w:pStyle w:val="TableText"/>
              <w:rPr>
                <w:rStyle w:val="Strong"/>
              </w:rPr>
            </w:pPr>
          </w:p>
        </w:tc>
        <w:tc>
          <w:tcPr>
            <w:tcW w:w="1004" w:type="pct"/>
            <w:tcMar>
              <w:left w:w="108" w:type="dxa"/>
              <w:bottom w:w="28" w:type="dxa"/>
              <w:right w:w="108" w:type="dxa"/>
            </w:tcMar>
          </w:tcPr>
          <w:p w14:paraId="2DF51B70" w14:textId="56493085" w:rsidR="008A73E7" w:rsidRPr="007436AD" w:rsidRDefault="008A73E7" w:rsidP="008A73E7">
            <w:pPr>
              <w:pStyle w:val="TableText"/>
              <w:tabs>
                <w:tab w:val="left" w:pos="464"/>
              </w:tabs>
              <w:rPr>
                <w:rFonts w:cstheme="minorHAnsi"/>
                <w:szCs w:val="18"/>
              </w:rPr>
            </w:pPr>
            <w:r w:rsidRPr="007436AD">
              <w:rPr>
                <w:rFonts w:cstheme="minorHAnsi"/>
                <w:szCs w:val="18"/>
              </w:rPr>
              <w:t xml:space="preserve">2.4.5 </w:t>
            </w:r>
            <w:r w:rsidR="004F43E6">
              <w:rPr>
                <w:rFonts w:cstheme="minorHAnsi"/>
                <w:szCs w:val="18"/>
              </w:rPr>
              <w:t>S</w:t>
            </w:r>
            <w:r w:rsidR="004F43E6" w:rsidRPr="007436AD">
              <w:rPr>
                <w:rFonts w:cstheme="minorHAnsi"/>
                <w:szCs w:val="18"/>
              </w:rPr>
              <w:t>urvey for TPP, Asian citrus psyllid and other targeted exotics including, glassy-winged sharpshooter</w:t>
            </w:r>
          </w:p>
        </w:tc>
        <w:tc>
          <w:tcPr>
            <w:tcW w:w="1087" w:type="pct"/>
            <w:shd w:val="clear" w:color="auto" w:fill="DEF0C2"/>
            <w:tcMar>
              <w:left w:w="108" w:type="dxa"/>
              <w:bottom w:w="28" w:type="dxa"/>
              <w:right w:w="108" w:type="dxa"/>
            </w:tcMar>
          </w:tcPr>
          <w:p w14:paraId="356A0E7E" w14:textId="76F57E09" w:rsidR="008A73E7" w:rsidRPr="00011B18" w:rsidRDefault="008A73E7" w:rsidP="008A73E7">
            <w:pPr>
              <w:pStyle w:val="TableText"/>
              <w:rPr>
                <w:rFonts w:cstheme="minorHAnsi"/>
                <w:szCs w:val="18"/>
              </w:rPr>
            </w:pPr>
            <w:r w:rsidRPr="00A01FFD">
              <w:rPr>
                <w:rFonts w:cstheme="minorHAnsi"/>
                <w:szCs w:val="18"/>
              </w:rPr>
              <w:t>Completed – project finished</w:t>
            </w:r>
          </w:p>
          <w:p w14:paraId="2F2A5E32" w14:textId="53609D6A" w:rsidR="008A73E7" w:rsidRPr="00011B18" w:rsidRDefault="008A73E7" w:rsidP="008A73E7">
            <w:pPr>
              <w:pStyle w:val="TableText"/>
              <w:rPr>
                <w:rFonts w:cstheme="minorHAnsi"/>
                <w:szCs w:val="18"/>
              </w:rPr>
            </w:pPr>
            <w:r w:rsidRPr="007436AD">
              <w:rPr>
                <w:rFonts w:cstheme="minorHAnsi"/>
                <w:szCs w:val="18"/>
              </w:rPr>
              <w:t xml:space="preserve">WA is managing a three-year nation-wide project to </w:t>
            </w:r>
            <w:r>
              <w:rPr>
                <w:rFonts w:cstheme="minorHAnsi"/>
                <w:szCs w:val="18"/>
              </w:rPr>
              <w:t>s</w:t>
            </w:r>
            <w:r w:rsidRPr="007436AD">
              <w:rPr>
                <w:rFonts w:cstheme="minorHAnsi"/>
                <w:szCs w:val="18"/>
              </w:rPr>
              <w:t>urvey for TPP, Asian citrus psyllid and other targeted exotics including, glassy-winged sharpshooter.</w:t>
            </w:r>
          </w:p>
        </w:tc>
        <w:tc>
          <w:tcPr>
            <w:tcW w:w="501" w:type="pct"/>
            <w:tcMar>
              <w:left w:w="108" w:type="dxa"/>
              <w:bottom w:w="28" w:type="dxa"/>
              <w:right w:w="108" w:type="dxa"/>
            </w:tcMar>
          </w:tcPr>
          <w:p w14:paraId="076C7B16" w14:textId="595AD8E1" w:rsidR="008A73E7" w:rsidRPr="00244981" w:rsidRDefault="008A73E7" w:rsidP="008A73E7">
            <w:pPr>
              <w:pStyle w:val="TableText"/>
            </w:pPr>
            <w:r w:rsidRPr="00244981">
              <w:t xml:space="preserve">Jurisdiction </w:t>
            </w:r>
          </w:p>
        </w:tc>
        <w:tc>
          <w:tcPr>
            <w:tcW w:w="702" w:type="pct"/>
            <w:tcMar>
              <w:left w:w="108" w:type="dxa"/>
              <w:bottom w:w="28" w:type="dxa"/>
              <w:right w:w="108" w:type="dxa"/>
            </w:tcMar>
          </w:tcPr>
          <w:p w14:paraId="67BAA314" w14:textId="686528D8" w:rsidR="008A73E7" w:rsidRPr="00011B18" w:rsidRDefault="008A73E7" w:rsidP="008A73E7">
            <w:pPr>
              <w:pStyle w:val="TableText"/>
            </w:pPr>
            <w:r w:rsidRPr="00011B18">
              <w:t xml:space="preserve">Not applicable </w:t>
            </w:r>
          </w:p>
        </w:tc>
        <w:tc>
          <w:tcPr>
            <w:tcW w:w="701" w:type="pct"/>
            <w:tcMar>
              <w:left w:w="108" w:type="dxa"/>
              <w:bottom w:w="28" w:type="dxa"/>
              <w:right w:w="108" w:type="dxa"/>
            </w:tcMar>
          </w:tcPr>
          <w:p w14:paraId="7E0F16EB" w14:textId="11CB90F5" w:rsidR="008A73E7" w:rsidRPr="00011B18" w:rsidRDefault="008A73E7" w:rsidP="008A73E7">
            <w:pPr>
              <w:pStyle w:val="TableText"/>
            </w:pPr>
            <w:r w:rsidRPr="00011B18">
              <w:t xml:space="preserve">Not applicable </w:t>
            </w:r>
          </w:p>
        </w:tc>
      </w:tr>
      <w:tr w:rsidR="008A73E7" w:rsidRPr="00013AE2" w14:paraId="523C64C7" w14:textId="77777777" w:rsidTr="003A1099">
        <w:tc>
          <w:tcPr>
            <w:tcW w:w="1005" w:type="pct"/>
            <w:vMerge/>
            <w:tcMar>
              <w:bottom w:w="28" w:type="dxa"/>
            </w:tcMar>
          </w:tcPr>
          <w:p w14:paraId="4A24F0F1" w14:textId="77777777" w:rsidR="008A73E7" w:rsidRPr="009D6998" w:rsidRDefault="008A73E7" w:rsidP="008A73E7">
            <w:pPr>
              <w:pStyle w:val="TableText"/>
              <w:rPr>
                <w:rStyle w:val="Strong"/>
              </w:rPr>
            </w:pPr>
          </w:p>
        </w:tc>
        <w:tc>
          <w:tcPr>
            <w:tcW w:w="1004" w:type="pct"/>
            <w:tcMar>
              <w:left w:w="108" w:type="dxa"/>
              <w:bottom w:w="28" w:type="dxa"/>
              <w:right w:w="108" w:type="dxa"/>
            </w:tcMar>
          </w:tcPr>
          <w:p w14:paraId="063C3674" w14:textId="5EB9D3C9" w:rsidR="008A73E7" w:rsidRDefault="008C64DA" w:rsidP="008A73E7">
            <w:pPr>
              <w:pStyle w:val="TableText"/>
              <w:tabs>
                <w:tab w:val="left" w:pos="464"/>
              </w:tabs>
            </w:pPr>
            <w:r>
              <w:t>2.4.6</w:t>
            </w:r>
            <w:r w:rsidRPr="007436AD">
              <w:t xml:space="preserve"> MyPestGuide</w:t>
            </w:r>
            <w:r w:rsidR="00CA548B">
              <w:t xml:space="preserve"> </w:t>
            </w:r>
            <w:r w:rsidR="00CA548B" w:rsidRPr="007436AD">
              <w:t>reporting</w:t>
            </w:r>
          </w:p>
        </w:tc>
        <w:tc>
          <w:tcPr>
            <w:tcW w:w="1087" w:type="pct"/>
            <w:shd w:val="clear" w:color="auto" w:fill="C6D9F1" w:themeFill="text2" w:themeFillTint="33"/>
            <w:tcMar>
              <w:left w:w="108" w:type="dxa"/>
              <w:bottom w:w="28" w:type="dxa"/>
              <w:right w:w="108" w:type="dxa"/>
            </w:tcMar>
          </w:tcPr>
          <w:p w14:paraId="2C5C3BFE" w14:textId="64CB6C33" w:rsidR="008A73E7" w:rsidRPr="00A01FFD" w:rsidRDefault="008A73E7" w:rsidP="008A73E7">
            <w:pPr>
              <w:pStyle w:val="TableText"/>
              <w:rPr>
                <w:rFonts w:cstheme="minorHAnsi"/>
                <w:szCs w:val="18"/>
              </w:rPr>
            </w:pPr>
            <w:r w:rsidRPr="00A01FFD">
              <w:rPr>
                <w:rFonts w:cstheme="minorHAnsi"/>
                <w:szCs w:val="18"/>
              </w:rPr>
              <w:t>Ongoing – business as usual</w:t>
            </w:r>
          </w:p>
          <w:p w14:paraId="4F01BF01" w14:textId="47285440" w:rsidR="008A73E7" w:rsidRPr="00011B18" w:rsidRDefault="00CA548B" w:rsidP="008A73E7">
            <w:pPr>
              <w:pStyle w:val="TableText"/>
              <w:rPr>
                <w:rFonts w:cstheme="minorHAnsi"/>
                <w:szCs w:val="18"/>
              </w:rPr>
            </w:pPr>
            <w:r w:rsidRPr="00A01FFD">
              <w:rPr>
                <w:rFonts w:cstheme="minorHAnsi"/>
                <w:szCs w:val="18"/>
              </w:rPr>
              <w:t xml:space="preserve">The </w:t>
            </w:r>
            <w:hyperlink r:id="rId27" w:history="1">
              <w:r w:rsidRPr="00D168DA">
                <w:rPr>
                  <w:rFonts w:cstheme="minorHAnsi"/>
                  <w:color w:val="4F81BD" w:themeColor="accent1"/>
                  <w:szCs w:val="18"/>
                  <w:u w:val="single"/>
                </w:rPr>
                <w:t>MyPestGuide Reporter | Agriculture and Food</w:t>
              </w:r>
            </w:hyperlink>
            <w:r w:rsidRPr="00D168DA">
              <w:rPr>
                <w:rFonts w:cstheme="minorHAnsi"/>
                <w:color w:val="4F81BD" w:themeColor="accent1"/>
                <w:szCs w:val="18"/>
              </w:rPr>
              <w:t xml:space="preserve"> </w:t>
            </w:r>
            <w:r w:rsidRPr="00A01FFD">
              <w:rPr>
                <w:rFonts w:cstheme="minorHAnsi"/>
                <w:szCs w:val="18"/>
              </w:rPr>
              <w:t xml:space="preserve">reporting platform has been developed by WA. This platform is supported by the WA Pest and Disease Information Service </w:t>
            </w:r>
            <w:r w:rsidRPr="00A01FFD">
              <w:rPr>
                <w:rFonts w:cstheme="minorHAnsi"/>
                <w:szCs w:val="18"/>
              </w:rPr>
              <w:lastRenderedPageBreak/>
              <w:t>and specialist staff diagnosing pests and diseases.</w:t>
            </w:r>
          </w:p>
        </w:tc>
        <w:tc>
          <w:tcPr>
            <w:tcW w:w="501" w:type="pct"/>
            <w:tcMar>
              <w:left w:w="108" w:type="dxa"/>
              <w:bottom w:w="28" w:type="dxa"/>
              <w:right w:w="108" w:type="dxa"/>
            </w:tcMar>
          </w:tcPr>
          <w:p w14:paraId="1109726A" w14:textId="66883BFD" w:rsidR="008A73E7" w:rsidRPr="00BC13C5" w:rsidRDefault="008A73E7" w:rsidP="008A73E7">
            <w:pPr>
              <w:pStyle w:val="TableText"/>
              <w:rPr>
                <w:shd w:val="clear" w:color="auto" w:fill="EEECE1" w:themeFill="background2"/>
              </w:rPr>
            </w:pPr>
            <w:r w:rsidRPr="00C34177">
              <w:lastRenderedPageBreak/>
              <w:t xml:space="preserve">Jurisdiction </w:t>
            </w:r>
          </w:p>
        </w:tc>
        <w:tc>
          <w:tcPr>
            <w:tcW w:w="702" w:type="pct"/>
            <w:tcMar>
              <w:left w:w="108" w:type="dxa"/>
              <w:bottom w:w="28" w:type="dxa"/>
              <w:right w:w="108" w:type="dxa"/>
            </w:tcMar>
          </w:tcPr>
          <w:p w14:paraId="3277194F" w14:textId="3D7D35F9" w:rsidR="008A73E7" w:rsidRPr="00011B18" w:rsidRDefault="008A73E7" w:rsidP="008A73E7">
            <w:pPr>
              <w:pStyle w:val="TableText"/>
            </w:pPr>
            <w:r w:rsidRPr="00011B18">
              <w:t xml:space="preserve">Not applicable </w:t>
            </w:r>
          </w:p>
        </w:tc>
        <w:tc>
          <w:tcPr>
            <w:tcW w:w="701" w:type="pct"/>
            <w:tcMar>
              <w:left w:w="108" w:type="dxa"/>
              <w:bottom w:w="28" w:type="dxa"/>
              <w:right w:w="108" w:type="dxa"/>
            </w:tcMar>
          </w:tcPr>
          <w:p w14:paraId="1E12CC82" w14:textId="03B3C904" w:rsidR="008A73E7" w:rsidRPr="00011B18" w:rsidRDefault="008A73E7" w:rsidP="008A73E7">
            <w:pPr>
              <w:pStyle w:val="TableText"/>
            </w:pPr>
            <w:r w:rsidRPr="00011B18">
              <w:t xml:space="preserve">Not applicable </w:t>
            </w:r>
          </w:p>
        </w:tc>
      </w:tr>
      <w:tr w:rsidR="008A73E7" w:rsidRPr="00013AE2" w14:paraId="2647EDF7" w14:textId="77777777" w:rsidTr="00C85977">
        <w:tc>
          <w:tcPr>
            <w:tcW w:w="1005" w:type="pct"/>
            <w:vMerge/>
            <w:tcMar>
              <w:bottom w:w="28" w:type="dxa"/>
            </w:tcMar>
          </w:tcPr>
          <w:p w14:paraId="0F68A098" w14:textId="77777777" w:rsidR="008A73E7" w:rsidRPr="009D6998" w:rsidRDefault="008A73E7" w:rsidP="008A73E7">
            <w:pPr>
              <w:pStyle w:val="TableText"/>
              <w:rPr>
                <w:rStyle w:val="Strong"/>
              </w:rPr>
            </w:pPr>
          </w:p>
        </w:tc>
        <w:tc>
          <w:tcPr>
            <w:tcW w:w="1004" w:type="pct"/>
            <w:tcMar>
              <w:left w:w="108" w:type="dxa"/>
              <w:bottom w:w="28" w:type="dxa"/>
              <w:right w:w="108" w:type="dxa"/>
            </w:tcMar>
          </w:tcPr>
          <w:p w14:paraId="3BE58F28" w14:textId="19FEC1E1" w:rsidR="008A73E7" w:rsidRDefault="008A73E7" w:rsidP="008A73E7">
            <w:pPr>
              <w:pStyle w:val="TableText"/>
              <w:tabs>
                <w:tab w:val="left" w:pos="464"/>
              </w:tabs>
            </w:pPr>
            <w:r>
              <w:t xml:space="preserve">2.4.7 </w:t>
            </w:r>
            <w:r w:rsidRPr="007436AD">
              <w:t>Undertaking multi crop and operational NPHSP surveillance</w:t>
            </w:r>
          </w:p>
        </w:tc>
        <w:tc>
          <w:tcPr>
            <w:tcW w:w="1087" w:type="pct"/>
            <w:shd w:val="clear" w:color="auto" w:fill="FDF4C7"/>
            <w:tcMar>
              <w:left w:w="108" w:type="dxa"/>
              <w:bottom w:w="28" w:type="dxa"/>
              <w:right w:w="108" w:type="dxa"/>
            </w:tcMar>
          </w:tcPr>
          <w:p w14:paraId="707E7A75" w14:textId="24171600" w:rsidR="008A73E7" w:rsidRPr="00A01FFD" w:rsidRDefault="008A73E7" w:rsidP="008A73E7">
            <w:pPr>
              <w:pStyle w:val="TableText"/>
              <w:rPr>
                <w:rFonts w:cstheme="minorHAnsi"/>
                <w:szCs w:val="18"/>
              </w:rPr>
            </w:pPr>
            <w:r w:rsidRPr="00A01FFD">
              <w:rPr>
                <w:rFonts w:cstheme="minorHAnsi"/>
                <w:szCs w:val="18"/>
              </w:rPr>
              <w:t>On track – project commenced</w:t>
            </w:r>
          </w:p>
          <w:p w14:paraId="70B1C440" w14:textId="5CC946F8" w:rsidR="00F25E88" w:rsidRPr="00011B18" w:rsidRDefault="008A73E7" w:rsidP="008A73E7">
            <w:pPr>
              <w:pStyle w:val="TableText"/>
              <w:rPr>
                <w:rFonts w:cstheme="minorHAnsi"/>
                <w:szCs w:val="18"/>
              </w:rPr>
            </w:pPr>
            <w:r w:rsidRPr="00A01FFD">
              <w:rPr>
                <w:rFonts w:cstheme="minorHAnsi"/>
                <w:szCs w:val="18"/>
              </w:rPr>
              <w:t xml:space="preserve">NT completed surveillance for glassy winged </w:t>
            </w:r>
            <w:r w:rsidR="000D4C52" w:rsidRPr="00A01FFD">
              <w:rPr>
                <w:rFonts w:cstheme="minorHAnsi"/>
                <w:szCs w:val="18"/>
              </w:rPr>
              <w:t>sharpshooter</w:t>
            </w:r>
            <w:r w:rsidRPr="00A01FFD">
              <w:rPr>
                <w:rFonts w:cstheme="minorHAnsi"/>
                <w:szCs w:val="18"/>
              </w:rPr>
              <w:t xml:space="preserve"> (GWSS) at 30 high</w:t>
            </w:r>
            <w:r w:rsidR="000D4C52">
              <w:rPr>
                <w:rFonts w:cstheme="minorHAnsi"/>
                <w:szCs w:val="18"/>
              </w:rPr>
              <w:t>-</w:t>
            </w:r>
            <w:r w:rsidRPr="00A01FFD">
              <w:rPr>
                <w:rFonts w:cstheme="minorHAnsi"/>
                <w:szCs w:val="18"/>
              </w:rPr>
              <w:t>risk survey sites across peri-urban and regional areas of the NT, including at nurseries, community gardens, farms, and community and tourist facilities. Over 450 sticky traps were placed in proximity to preferred hosts of GWSS between January to June 2022 as part of the NPHSP and the Citrus Watch project. There were no suspect samples or detections of GWSS during this period. Surveillance will continue in 2022-2023.</w:t>
            </w:r>
          </w:p>
        </w:tc>
        <w:tc>
          <w:tcPr>
            <w:tcW w:w="501" w:type="pct"/>
            <w:tcMar>
              <w:left w:w="108" w:type="dxa"/>
              <w:bottom w:w="28" w:type="dxa"/>
              <w:right w:w="108" w:type="dxa"/>
            </w:tcMar>
          </w:tcPr>
          <w:p w14:paraId="349DB7A0" w14:textId="77777777" w:rsidR="008A73E7" w:rsidRPr="00C34177" w:rsidRDefault="008A73E7" w:rsidP="008A73E7">
            <w:pPr>
              <w:pStyle w:val="TableText"/>
            </w:pPr>
            <w:r w:rsidRPr="00C34177">
              <w:t>Jurisdiction</w:t>
            </w:r>
          </w:p>
          <w:p w14:paraId="6EC2B978" w14:textId="5F4502AD" w:rsidR="008A73E7" w:rsidRPr="00BC13C5" w:rsidRDefault="008A73E7" w:rsidP="008A73E7">
            <w:pPr>
              <w:pStyle w:val="TableText"/>
              <w:rPr>
                <w:shd w:val="clear" w:color="auto" w:fill="EEECE1" w:themeFill="background2"/>
              </w:rPr>
            </w:pPr>
            <w:r w:rsidRPr="00C34177">
              <w:t>Citrus Australia</w:t>
            </w:r>
          </w:p>
        </w:tc>
        <w:tc>
          <w:tcPr>
            <w:tcW w:w="702" w:type="pct"/>
            <w:tcMar>
              <w:left w:w="108" w:type="dxa"/>
              <w:bottom w:w="28" w:type="dxa"/>
              <w:right w:w="108" w:type="dxa"/>
            </w:tcMar>
          </w:tcPr>
          <w:p w14:paraId="3F5211ED" w14:textId="55C99F95" w:rsidR="008A73E7" w:rsidRPr="00011B18" w:rsidRDefault="008A73E7" w:rsidP="008A73E7">
            <w:pPr>
              <w:pStyle w:val="TableText"/>
            </w:pPr>
            <w:r w:rsidRPr="00011B18">
              <w:t xml:space="preserve">Not applicable </w:t>
            </w:r>
          </w:p>
        </w:tc>
        <w:tc>
          <w:tcPr>
            <w:tcW w:w="701" w:type="pct"/>
            <w:tcMar>
              <w:left w:w="108" w:type="dxa"/>
              <w:bottom w:w="28" w:type="dxa"/>
              <w:right w:w="108" w:type="dxa"/>
            </w:tcMar>
          </w:tcPr>
          <w:p w14:paraId="4A868923" w14:textId="0D67D4FB" w:rsidR="008A73E7" w:rsidRPr="00011B18" w:rsidRDefault="008A73E7" w:rsidP="008A73E7">
            <w:pPr>
              <w:pStyle w:val="TableText"/>
            </w:pPr>
            <w:r w:rsidRPr="00011B18">
              <w:t xml:space="preserve">Not applicable </w:t>
            </w:r>
          </w:p>
        </w:tc>
      </w:tr>
      <w:tr w:rsidR="008A73E7" w:rsidRPr="00013AE2" w14:paraId="5B9C81C6" w14:textId="77777777" w:rsidTr="00C85977">
        <w:tc>
          <w:tcPr>
            <w:tcW w:w="1005" w:type="pct"/>
            <w:vMerge/>
            <w:tcMar>
              <w:bottom w:w="28" w:type="dxa"/>
            </w:tcMar>
          </w:tcPr>
          <w:p w14:paraId="1A622805" w14:textId="77777777" w:rsidR="008A73E7" w:rsidRPr="009D6998" w:rsidRDefault="008A73E7" w:rsidP="008A73E7">
            <w:pPr>
              <w:pStyle w:val="TableText"/>
              <w:rPr>
                <w:rStyle w:val="Strong"/>
              </w:rPr>
            </w:pPr>
          </w:p>
        </w:tc>
        <w:tc>
          <w:tcPr>
            <w:tcW w:w="1004" w:type="pct"/>
            <w:tcMar>
              <w:left w:w="108" w:type="dxa"/>
              <w:bottom w:w="28" w:type="dxa"/>
              <w:right w:w="108" w:type="dxa"/>
            </w:tcMar>
          </w:tcPr>
          <w:p w14:paraId="42A61943" w14:textId="30B476F4" w:rsidR="008A73E7" w:rsidRDefault="008A73E7" w:rsidP="008A73E7">
            <w:pPr>
              <w:pStyle w:val="TableText"/>
              <w:tabs>
                <w:tab w:val="left" w:pos="464"/>
              </w:tabs>
            </w:pPr>
            <w:r>
              <w:t xml:space="preserve">2.4.8 </w:t>
            </w:r>
            <w:r w:rsidRPr="007436AD">
              <w:rPr>
                <w:i/>
                <w:iCs/>
              </w:rPr>
              <w:t>Xylella fastidiosa</w:t>
            </w:r>
            <w:r w:rsidRPr="007436AD">
              <w:t xml:space="preserve"> is a target pest for the National Plant Health Surveillance program (NPHSP)</w:t>
            </w:r>
          </w:p>
        </w:tc>
        <w:tc>
          <w:tcPr>
            <w:tcW w:w="1087" w:type="pct"/>
            <w:shd w:val="clear" w:color="auto" w:fill="FDF4C7"/>
            <w:tcMar>
              <w:left w:w="108" w:type="dxa"/>
              <w:bottom w:w="28" w:type="dxa"/>
              <w:right w:w="108" w:type="dxa"/>
            </w:tcMar>
          </w:tcPr>
          <w:p w14:paraId="0689B66E" w14:textId="7DAFA785" w:rsidR="008A73E7" w:rsidRPr="0090281E" w:rsidRDefault="008A73E7" w:rsidP="008A73E7">
            <w:pPr>
              <w:pStyle w:val="TableText"/>
              <w:rPr>
                <w:rFonts w:cstheme="minorHAnsi"/>
                <w:szCs w:val="18"/>
              </w:rPr>
            </w:pPr>
            <w:r w:rsidRPr="00A01FFD">
              <w:rPr>
                <w:rFonts w:cstheme="minorHAnsi"/>
                <w:szCs w:val="18"/>
              </w:rPr>
              <w:t xml:space="preserve">On track – project </w:t>
            </w:r>
            <w:r w:rsidRPr="0090281E">
              <w:rPr>
                <w:rFonts w:cstheme="minorHAnsi"/>
                <w:szCs w:val="18"/>
              </w:rPr>
              <w:t>commenced</w:t>
            </w:r>
          </w:p>
          <w:p w14:paraId="79240A2F" w14:textId="1879F901" w:rsidR="008A73E7" w:rsidRPr="000C18FF" w:rsidRDefault="008A73E7" w:rsidP="008A73E7">
            <w:pPr>
              <w:pStyle w:val="TableText"/>
              <w:rPr>
                <w:rFonts w:cstheme="minorHAnsi"/>
                <w:szCs w:val="18"/>
              </w:rPr>
            </w:pPr>
            <w:r w:rsidRPr="0090281E">
              <w:rPr>
                <w:rFonts w:cstheme="minorHAnsi"/>
                <w:szCs w:val="18"/>
              </w:rPr>
              <w:t>Program expires in 2025.</w:t>
            </w:r>
            <w:r w:rsidR="00315B0F">
              <w:rPr>
                <w:rFonts w:cstheme="minorHAnsi"/>
                <w:szCs w:val="18"/>
              </w:rPr>
              <w:t xml:space="preserve"> </w:t>
            </w:r>
            <w:r w:rsidR="00315B0F" w:rsidRPr="00437EFD">
              <w:rPr>
                <w:rFonts w:cstheme="minorHAnsi"/>
                <w:szCs w:val="18"/>
              </w:rPr>
              <w:t>Xylella</w:t>
            </w:r>
            <w:r w:rsidR="00315B0F">
              <w:rPr>
                <w:rFonts w:cstheme="minorHAnsi"/>
                <w:szCs w:val="18"/>
              </w:rPr>
              <w:t xml:space="preserve"> and </w:t>
            </w:r>
            <w:r w:rsidR="00437EFD" w:rsidRPr="00437EFD">
              <w:rPr>
                <w:rFonts w:cstheme="minorHAnsi"/>
                <w:szCs w:val="18"/>
              </w:rPr>
              <w:t>xylella</w:t>
            </w:r>
            <w:r w:rsidR="00437EFD" w:rsidRPr="003A1099">
              <w:rPr>
                <w:rFonts w:cstheme="minorHAnsi"/>
                <w:i/>
                <w:iCs/>
                <w:szCs w:val="18"/>
              </w:rPr>
              <w:t xml:space="preserve"> </w:t>
            </w:r>
            <w:r w:rsidR="00315B0F">
              <w:rPr>
                <w:rFonts w:cstheme="minorHAnsi"/>
                <w:szCs w:val="18"/>
              </w:rPr>
              <w:t>vectors are mandatory targets under the NPHSP being carried out by jurisdictions.</w:t>
            </w:r>
          </w:p>
        </w:tc>
        <w:tc>
          <w:tcPr>
            <w:tcW w:w="501" w:type="pct"/>
            <w:tcMar>
              <w:left w:w="108" w:type="dxa"/>
              <w:bottom w:w="28" w:type="dxa"/>
              <w:right w:w="108" w:type="dxa"/>
            </w:tcMar>
          </w:tcPr>
          <w:p w14:paraId="2ADCD930" w14:textId="338EEC34" w:rsidR="008A73E7" w:rsidRPr="00C34177" w:rsidRDefault="008A73E7" w:rsidP="008A73E7">
            <w:pPr>
              <w:pStyle w:val="TableText"/>
            </w:pPr>
            <w:r w:rsidRPr="00C34177">
              <w:t>Commonwealth</w:t>
            </w:r>
            <w:r>
              <w:t xml:space="preserve"> </w:t>
            </w:r>
            <w:r w:rsidRPr="00C34177">
              <w:t>(PPEBD)</w:t>
            </w:r>
          </w:p>
          <w:p w14:paraId="76A7AE06" w14:textId="6E72EBC6" w:rsidR="008A73E7" w:rsidRPr="00BC13C5" w:rsidRDefault="008A73E7" w:rsidP="008A73E7">
            <w:pPr>
              <w:pStyle w:val="TableText"/>
              <w:rPr>
                <w:shd w:val="clear" w:color="auto" w:fill="EEECE1" w:themeFill="background2"/>
              </w:rPr>
            </w:pPr>
            <w:r w:rsidRPr="00C34177">
              <w:t>Jurisdiction</w:t>
            </w:r>
            <w:r>
              <w:rPr>
                <w:shd w:val="clear" w:color="auto" w:fill="EEECE1" w:themeFill="background2"/>
              </w:rPr>
              <w:t xml:space="preserve"> </w:t>
            </w:r>
          </w:p>
        </w:tc>
        <w:tc>
          <w:tcPr>
            <w:tcW w:w="702" w:type="pct"/>
            <w:tcMar>
              <w:left w:w="108" w:type="dxa"/>
              <w:bottom w:w="28" w:type="dxa"/>
              <w:right w:w="108" w:type="dxa"/>
            </w:tcMar>
          </w:tcPr>
          <w:p w14:paraId="19CC0D40" w14:textId="3079A85C" w:rsidR="008A73E7" w:rsidRPr="00011B18" w:rsidRDefault="008A73E7" w:rsidP="008A73E7">
            <w:pPr>
              <w:pStyle w:val="TableText"/>
            </w:pPr>
            <w:r w:rsidRPr="00011B18">
              <w:t xml:space="preserve">Not applicable </w:t>
            </w:r>
          </w:p>
        </w:tc>
        <w:tc>
          <w:tcPr>
            <w:tcW w:w="701" w:type="pct"/>
            <w:tcMar>
              <w:left w:w="108" w:type="dxa"/>
              <w:bottom w:w="28" w:type="dxa"/>
              <w:right w:w="108" w:type="dxa"/>
            </w:tcMar>
          </w:tcPr>
          <w:p w14:paraId="44250779" w14:textId="377C5DC1" w:rsidR="008A73E7" w:rsidRPr="00011B18" w:rsidRDefault="008A73E7" w:rsidP="008A73E7">
            <w:pPr>
              <w:pStyle w:val="TableText"/>
            </w:pPr>
            <w:r w:rsidRPr="00011B18">
              <w:t xml:space="preserve">Not applicable </w:t>
            </w:r>
          </w:p>
        </w:tc>
      </w:tr>
      <w:tr w:rsidR="008A73E7" w:rsidRPr="00013AE2" w14:paraId="27236761" w14:textId="77777777" w:rsidTr="00C85977">
        <w:tc>
          <w:tcPr>
            <w:tcW w:w="1005" w:type="pct"/>
            <w:vMerge/>
            <w:tcMar>
              <w:bottom w:w="28" w:type="dxa"/>
            </w:tcMar>
          </w:tcPr>
          <w:p w14:paraId="2A61C915" w14:textId="77777777" w:rsidR="008A73E7" w:rsidRPr="009D6998" w:rsidRDefault="008A73E7" w:rsidP="008A73E7">
            <w:pPr>
              <w:pStyle w:val="TableText"/>
              <w:rPr>
                <w:rStyle w:val="Strong"/>
              </w:rPr>
            </w:pPr>
          </w:p>
        </w:tc>
        <w:tc>
          <w:tcPr>
            <w:tcW w:w="1004" w:type="pct"/>
            <w:tcMar>
              <w:left w:w="108" w:type="dxa"/>
              <w:bottom w:w="28" w:type="dxa"/>
              <w:right w:w="108" w:type="dxa"/>
            </w:tcMar>
          </w:tcPr>
          <w:p w14:paraId="046BF1E4" w14:textId="3E46BE26" w:rsidR="008A73E7" w:rsidRDefault="008A73E7" w:rsidP="008A73E7">
            <w:pPr>
              <w:pStyle w:val="TableText"/>
              <w:tabs>
                <w:tab w:val="left" w:pos="464"/>
              </w:tabs>
            </w:pPr>
            <w:r>
              <w:t xml:space="preserve">2.4.9 </w:t>
            </w:r>
            <w:r w:rsidRPr="007436AD">
              <w:t>Investigate potential to undertake an urban/peri-urban surveillance program</w:t>
            </w:r>
          </w:p>
        </w:tc>
        <w:tc>
          <w:tcPr>
            <w:tcW w:w="1087" w:type="pct"/>
            <w:shd w:val="clear" w:color="auto" w:fill="F2DBDB"/>
            <w:tcMar>
              <w:left w:w="108" w:type="dxa"/>
              <w:bottom w:w="28" w:type="dxa"/>
              <w:right w:w="108" w:type="dxa"/>
            </w:tcMar>
          </w:tcPr>
          <w:p w14:paraId="6DFB5234" w14:textId="3A4302BC" w:rsidR="008A73E7" w:rsidRPr="00A01FFD" w:rsidRDefault="008A73E7" w:rsidP="008A73E7">
            <w:pPr>
              <w:pStyle w:val="TableText"/>
              <w:rPr>
                <w:rFonts w:cstheme="minorHAnsi"/>
                <w:szCs w:val="18"/>
              </w:rPr>
            </w:pPr>
            <w:r w:rsidRPr="00A01FFD">
              <w:rPr>
                <w:rFonts w:cstheme="minorHAnsi"/>
                <w:szCs w:val="18"/>
              </w:rPr>
              <w:t>Pending – project to commence</w:t>
            </w:r>
            <w:r w:rsidR="00125E88">
              <w:rPr>
                <w:rFonts w:cstheme="minorHAnsi"/>
                <w:szCs w:val="18"/>
              </w:rPr>
              <w:t xml:space="preserve"> when funding available</w:t>
            </w:r>
          </w:p>
          <w:p w14:paraId="3C2B6157" w14:textId="1A5269F7" w:rsidR="008A73E7" w:rsidRPr="00011B18" w:rsidRDefault="008A73E7" w:rsidP="008A73E7">
            <w:pPr>
              <w:pStyle w:val="TableText"/>
              <w:rPr>
                <w:rFonts w:cstheme="minorHAnsi"/>
                <w:szCs w:val="18"/>
              </w:rPr>
            </w:pPr>
            <w:r w:rsidRPr="00A01FFD">
              <w:rPr>
                <w:rFonts w:cstheme="minorHAnsi"/>
                <w:szCs w:val="18"/>
              </w:rPr>
              <w:t>Project proposed at 6 May 2021 forum</w:t>
            </w:r>
          </w:p>
        </w:tc>
        <w:tc>
          <w:tcPr>
            <w:tcW w:w="501" w:type="pct"/>
            <w:tcMar>
              <w:left w:w="108" w:type="dxa"/>
              <w:bottom w:w="28" w:type="dxa"/>
              <w:right w:w="108" w:type="dxa"/>
            </w:tcMar>
          </w:tcPr>
          <w:p w14:paraId="67421235" w14:textId="7F1B25B9" w:rsidR="008A73E7" w:rsidRPr="00C34177" w:rsidRDefault="008A73E7" w:rsidP="008A73E7">
            <w:pPr>
              <w:pStyle w:val="TableText"/>
            </w:pPr>
            <w:r w:rsidRPr="00C34177">
              <w:t xml:space="preserve">To be determined </w:t>
            </w:r>
          </w:p>
        </w:tc>
        <w:tc>
          <w:tcPr>
            <w:tcW w:w="702" w:type="pct"/>
            <w:tcMar>
              <w:left w:w="108" w:type="dxa"/>
              <w:bottom w:w="28" w:type="dxa"/>
              <w:right w:w="108" w:type="dxa"/>
            </w:tcMar>
          </w:tcPr>
          <w:p w14:paraId="6CC15FA8" w14:textId="7EAAC041" w:rsidR="008A73E7" w:rsidRPr="00C34177" w:rsidRDefault="008A73E7" w:rsidP="008A73E7">
            <w:pPr>
              <w:pStyle w:val="TableText"/>
            </w:pPr>
            <w:r w:rsidRPr="00C34177">
              <w:t xml:space="preserve">To be determined </w:t>
            </w:r>
          </w:p>
        </w:tc>
        <w:tc>
          <w:tcPr>
            <w:tcW w:w="701" w:type="pct"/>
            <w:tcMar>
              <w:left w:w="108" w:type="dxa"/>
              <w:bottom w:w="28" w:type="dxa"/>
              <w:right w:w="108" w:type="dxa"/>
            </w:tcMar>
          </w:tcPr>
          <w:p w14:paraId="517F9928" w14:textId="3C912E34" w:rsidR="008A73E7" w:rsidRPr="00BC13C5" w:rsidRDefault="008A73E7" w:rsidP="008A73E7">
            <w:pPr>
              <w:pStyle w:val="TableText"/>
              <w:rPr>
                <w:shd w:val="clear" w:color="auto" w:fill="EEECE1" w:themeFill="background2"/>
              </w:rPr>
            </w:pPr>
            <w:r w:rsidRPr="00011B18">
              <w:t>Not applicable</w:t>
            </w:r>
            <w:r>
              <w:rPr>
                <w:shd w:val="clear" w:color="auto" w:fill="EEECE1" w:themeFill="background2"/>
              </w:rPr>
              <w:t xml:space="preserve"> </w:t>
            </w:r>
          </w:p>
        </w:tc>
      </w:tr>
      <w:tr w:rsidR="008A73E7" w:rsidRPr="00013AE2" w14:paraId="13FFBD2C" w14:textId="77777777" w:rsidTr="003A1099">
        <w:tc>
          <w:tcPr>
            <w:tcW w:w="1005" w:type="pct"/>
            <w:vMerge/>
            <w:tcMar>
              <w:bottom w:w="28" w:type="dxa"/>
            </w:tcMar>
          </w:tcPr>
          <w:p w14:paraId="06FA9504" w14:textId="77777777" w:rsidR="008A73E7" w:rsidRPr="009D6998" w:rsidRDefault="008A73E7" w:rsidP="008A73E7">
            <w:pPr>
              <w:pStyle w:val="TableText"/>
              <w:rPr>
                <w:rStyle w:val="Strong"/>
              </w:rPr>
            </w:pPr>
          </w:p>
        </w:tc>
        <w:tc>
          <w:tcPr>
            <w:tcW w:w="1004" w:type="pct"/>
            <w:tcMar>
              <w:left w:w="108" w:type="dxa"/>
              <w:bottom w:w="28" w:type="dxa"/>
              <w:right w:w="108" w:type="dxa"/>
            </w:tcMar>
          </w:tcPr>
          <w:p w14:paraId="56335BA5" w14:textId="3B31722E" w:rsidR="00E70EE1" w:rsidRDefault="00E03721" w:rsidP="008A73E7">
            <w:pPr>
              <w:pStyle w:val="TableText"/>
              <w:tabs>
                <w:tab w:val="left" w:pos="464"/>
              </w:tabs>
            </w:pPr>
            <w:r>
              <w:t xml:space="preserve">2.4.10 </w:t>
            </w:r>
            <w:bookmarkStart w:id="6" w:name="_Hlk154052299"/>
            <w:r>
              <w:rPr>
                <w:rFonts w:cstheme="minorHAnsi"/>
                <w:color w:val="000000" w:themeColor="text1"/>
                <w:szCs w:val="18"/>
              </w:rPr>
              <w:t>Investigate</w:t>
            </w:r>
            <w:r w:rsidR="00CA548B" w:rsidRPr="007436AD">
              <w:t xml:space="preserve"> overseas </w:t>
            </w:r>
            <w:r w:rsidR="00437EFD" w:rsidRPr="007436AD">
              <w:t xml:space="preserve">xylella </w:t>
            </w:r>
            <w:r w:rsidR="00CA548B" w:rsidRPr="007436AD">
              <w:t>diagnostic tests with endemic Australian bacteria to verify result accuracy</w:t>
            </w:r>
            <w:bookmarkEnd w:id="6"/>
          </w:p>
        </w:tc>
        <w:tc>
          <w:tcPr>
            <w:tcW w:w="1087" w:type="pct"/>
            <w:shd w:val="clear" w:color="auto" w:fill="FABF8F" w:themeFill="accent6" w:themeFillTint="99"/>
            <w:tcMar>
              <w:left w:w="108" w:type="dxa"/>
              <w:bottom w:w="28" w:type="dxa"/>
              <w:right w:w="108" w:type="dxa"/>
            </w:tcMar>
          </w:tcPr>
          <w:p w14:paraId="34541495" w14:textId="56F4D98A" w:rsidR="008A73E7" w:rsidRDefault="00B876AF" w:rsidP="008A73E7">
            <w:pPr>
              <w:pStyle w:val="TableText"/>
              <w:rPr>
                <w:rFonts w:cstheme="minorHAnsi"/>
                <w:szCs w:val="18"/>
              </w:rPr>
            </w:pPr>
            <w:r>
              <w:rPr>
                <w:rFonts w:cstheme="minorHAnsi"/>
                <w:szCs w:val="18"/>
              </w:rPr>
              <w:t>Deleted</w:t>
            </w:r>
          </w:p>
          <w:p w14:paraId="7EC22DE9" w14:textId="3FEF09C9" w:rsidR="00B876AF" w:rsidRPr="0090281E" w:rsidRDefault="00B876AF" w:rsidP="008A73E7">
            <w:pPr>
              <w:pStyle w:val="TableText"/>
              <w:rPr>
                <w:rFonts w:cstheme="minorHAnsi"/>
                <w:szCs w:val="18"/>
              </w:rPr>
            </w:pPr>
            <w:r>
              <w:rPr>
                <w:rFonts w:cstheme="minorHAnsi"/>
                <w:szCs w:val="18"/>
              </w:rPr>
              <w:t>In 2023, t</w:t>
            </w:r>
            <w:r>
              <w:t>his project was incorporated into project 2.1.1.</w:t>
            </w:r>
          </w:p>
          <w:p w14:paraId="0B4FB4B1" w14:textId="0A4A7600" w:rsidR="00860F27" w:rsidRPr="00011B18" w:rsidRDefault="008A73E7" w:rsidP="00B876AF">
            <w:pPr>
              <w:pStyle w:val="TableText"/>
              <w:rPr>
                <w:rFonts w:cstheme="minorHAnsi"/>
                <w:szCs w:val="18"/>
              </w:rPr>
            </w:pPr>
            <w:r w:rsidRPr="0090281E">
              <w:rPr>
                <w:rFonts w:cstheme="minorHAnsi"/>
                <w:szCs w:val="18"/>
              </w:rPr>
              <w:t xml:space="preserve">The 6 May 2021 forum proposed </w:t>
            </w:r>
            <w:r>
              <w:rPr>
                <w:rFonts w:cstheme="minorHAnsi"/>
                <w:szCs w:val="18"/>
              </w:rPr>
              <w:t>this</w:t>
            </w:r>
            <w:r w:rsidRPr="0090281E">
              <w:rPr>
                <w:rFonts w:cstheme="minorHAnsi"/>
                <w:szCs w:val="18"/>
              </w:rPr>
              <w:t xml:space="preserve"> project</w:t>
            </w:r>
            <w:r w:rsidR="00B876AF">
              <w:rPr>
                <w:rFonts w:cstheme="minorHAnsi"/>
                <w:szCs w:val="18"/>
              </w:rPr>
              <w:t>,</w:t>
            </w:r>
            <w:r w:rsidRPr="0090281E">
              <w:rPr>
                <w:rFonts w:cstheme="minorHAnsi"/>
                <w:szCs w:val="18"/>
              </w:rPr>
              <w:t xml:space="preserve"> </w:t>
            </w:r>
            <w:r>
              <w:rPr>
                <w:rFonts w:cstheme="minorHAnsi"/>
                <w:szCs w:val="18"/>
              </w:rPr>
              <w:t xml:space="preserve">which </w:t>
            </w:r>
            <w:r w:rsidRPr="0090281E">
              <w:rPr>
                <w:rFonts w:cstheme="minorHAnsi"/>
                <w:szCs w:val="18"/>
              </w:rPr>
              <w:t>is already being undertaken as part of the National Diagnostic Protocol work.</w:t>
            </w:r>
          </w:p>
        </w:tc>
        <w:tc>
          <w:tcPr>
            <w:tcW w:w="501" w:type="pct"/>
            <w:tcMar>
              <w:left w:w="108" w:type="dxa"/>
              <w:bottom w:w="28" w:type="dxa"/>
              <w:right w:w="108" w:type="dxa"/>
            </w:tcMar>
          </w:tcPr>
          <w:p w14:paraId="0BD3A56C" w14:textId="458E7BD5" w:rsidR="008A73E7" w:rsidRPr="00BC13C5" w:rsidRDefault="008A73E7" w:rsidP="008A73E7">
            <w:pPr>
              <w:pStyle w:val="TableText"/>
              <w:rPr>
                <w:shd w:val="clear" w:color="auto" w:fill="EEECE1" w:themeFill="background2"/>
              </w:rPr>
            </w:pPr>
            <w:r w:rsidRPr="0090281E">
              <w:rPr>
                <w:rFonts w:cstheme="minorHAnsi"/>
                <w:szCs w:val="18"/>
              </w:rPr>
              <w:t>National Diagnostic Protocol work</w:t>
            </w:r>
          </w:p>
        </w:tc>
        <w:tc>
          <w:tcPr>
            <w:tcW w:w="702" w:type="pct"/>
            <w:tcMar>
              <w:left w:w="108" w:type="dxa"/>
              <w:bottom w:w="28" w:type="dxa"/>
              <w:right w:w="108" w:type="dxa"/>
            </w:tcMar>
          </w:tcPr>
          <w:p w14:paraId="517DDFC6" w14:textId="06317DAA" w:rsidR="008A73E7" w:rsidRPr="00011B18" w:rsidRDefault="008A73E7" w:rsidP="008A73E7">
            <w:pPr>
              <w:pStyle w:val="TableText"/>
            </w:pPr>
            <w:r w:rsidRPr="00011B18">
              <w:t xml:space="preserve">Not applicable </w:t>
            </w:r>
          </w:p>
        </w:tc>
        <w:tc>
          <w:tcPr>
            <w:tcW w:w="701" w:type="pct"/>
            <w:tcMar>
              <w:left w:w="108" w:type="dxa"/>
              <w:bottom w:w="28" w:type="dxa"/>
              <w:right w:w="108" w:type="dxa"/>
            </w:tcMar>
          </w:tcPr>
          <w:p w14:paraId="64FE89F7" w14:textId="33AE89B9" w:rsidR="008A73E7" w:rsidRPr="00011B18" w:rsidRDefault="00F9109F" w:rsidP="008A73E7">
            <w:pPr>
              <w:pStyle w:val="TableText"/>
            </w:pPr>
            <w:r>
              <w:t>Not applicable</w:t>
            </w:r>
          </w:p>
        </w:tc>
      </w:tr>
      <w:tr w:rsidR="008A73E7" w:rsidRPr="00013AE2" w14:paraId="1170EF8D" w14:textId="77777777" w:rsidTr="00C85977">
        <w:tc>
          <w:tcPr>
            <w:tcW w:w="1005" w:type="pct"/>
            <w:vMerge w:val="restart"/>
            <w:tcMar>
              <w:bottom w:w="28" w:type="dxa"/>
            </w:tcMar>
          </w:tcPr>
          <w:p w14:paraId="315F46AF" w14:textId="0001D7D5" w:rsidR="008A73E7" w:rsidRPr="009D6998" w:rsidRDefault="008A73E7" w:rsidP="008A73E7">
            <w:pPr>
              <w:pStyle w:val="TableText"/>
            </w:pPr>
            <w:r w:rsidRPr="009D6998">
              <w:rPr>
                <w:rStyle w:val="Strong"/>
              </w:rPr>
              <w:lastRenderedPageBreak/>
              <w:t xml:space="preserve">Action </w:t>
            </w:r>
            <w:r>
              <w:rPr>
                <w:rStyle w:val="Strong"/>
              </w:rPr>
              <w:t>2</w:t>
            </w:r>
            <w:r w:rsidRPr="009D6998">
              <w:rPr>
                <w:rStyle w:val="Strong"/>
              </w:rPr>
              <w:t>.</w:t>
            </w:r>
            <w:r>
              <w:rPr>
                <w:rStyle w:val="Strong"/>
              </w:rPr>
              <w:t xml:space="preserve">5: </w:t>
            </w:r>
            <w:r w:rsidRPr="00C34177">
              <w:rPr>
                <w:rStyle w:val="Strong"/>
                <w:b w:val="0"/>
                <w:bCs w:val="0"/>
              </w:rPr>
              <w:t>Develop</w:t>
            </w:r>
            <w:r>
              <w:rPr>
                <w:rStyle w:val="Strong"/>
                <w:b w:val="0"/>
                <w:bCs w:val="0"/>
              </w:rPr>
              <w:t xml:space="preserve"> and implement national surveillance utilising best practice tools and methods for </w:t>
            </w:r>
            <w:r w:rsidR="00C13AEE">
              <w:rPr>
                <w:rStyle w:val="Strong"/>
                <w:b w:val="0"/>
                <w:bCs w:val="0"/>
              </w:rPr>
              <w:t xml:space="preserve">xylella </w:t>
            </w:r>
            <w:r>
              <w:rPr>
                <w:rStyle w:val="Strong"/>
                <w:b w:val="0"/>
                <w:bCs w:val="0"/>
              </w:rPr>
              <w:t>and exotic vectors.</w:t>
            </w:r>
          </w:p>
          <w:p w14:paraId="73193207" w14:textId="77777777" w:rsidR="008A73E7" w:rsidRPr="00C34177" w:rsidRDefault="008A73E7" w:rsidP="008A73E7">
            <w:pPr>
              <w:pStyle w:val="TableText"/>
              <w:rPr>
                <w:rStyle w:val="Strong"/>
                <w:rFonts w:cstheme="minorHAnsi"/>
                <w:b w:val="0"/>
                <w:bCs w:val="0"/>
                <w:szCs w:val="18"/>
              </w:rPr>
            </w:pPr>
            <w:r w:rsidRPr="009D6998">
              <w:rPr>
                <w:rStyle w:val="Strong"/>
              </w:rPr>
              <w:t>Expected benefit and outcome</w:t>
            </w:r>
            <w:r>
              <w:rPr>
                <w:rStyle w:val="Strong"/>
              </w:rPr>
              <w:t>:</w:t>
            </w:r>
            <w:r>
              <w:t xml:space="preserve"> </w:t>
            </w:r>
            <w:r w:rsidRPr="00C34177">
              <w:rPr>
                <w:rStyle w:val="Strong"/>
                <w:rFonts w:cstheme="minorHAnsi"/>
                <w:b w:val="0"/>
                <w:bCs w:val="0"/>
                <w:szCs w:val="18"/>
              </w:rPr>
              <w:t xml:space="preserve">To promote consistency in surveillance for </w:t>
            </w:r>
            <w:r w:rsidRPr="00C13AEE">
              <w:rPr>
                <w:rStyle w:val="Strong"/>
                <w:rFonts w:cstheme="minorHAnsi"/>
                <w:b w:val="0"/>
                <w:bCs w:val="0"/>
                <w:i/>
                <w:iCs/>
                <w:szCs w:val="18"/>
              </w:rPr>
              <w:t>Xylella</w:t>
            </w:r>
            <w:r w:rsidRPr="00C34177">
              <w:rPr>
                <w:rStyle w:val="Strong"/>
                <w:rFonts w:cstheme="minorHAnsi"/>
                <w:b w:val="0"/>
                <w:bCs w:val="0"/>
                <w:szCs w:val="18"/>
              </w:rPr>
              <w:t xml:space="preserve"> spp. and exotic vectors through a nationally endorsed surveillance protocol/ strategy.</w:t>
            </w:r>
          </w:p>
          <w:p w14:paraId="2F278277" w14:textId="63F85977" w:rsidR="008A73E7" w:rsidRPr="00C34177" w:rsidRDefault="008A73E7" w:rsidP="008A73E7">
            <w:pPr>
              <w:pStyle w:val="TableText"/>
              <w:rPr>
                <w:rStyle w:val="Strong"/>
                <w:rFonts w:cstheme="minorHAnsi"/>
                <w:b w:val="0"/>
                <w:bCs w:val="0"/>
                <w:szCs w:val="18"/>
              </w:rPr>
            </w:pPr>
            <w:r w:rsidRPr="00C34177">
              <w:rPr>
                <w:rStyle w:val="Strong"/>
                <w:rFonts w:cstheme="minorHAnsi"/>
                <w:b w:val="0"/>
                <w:bCs w:val="0"/>
                <w:szCs w:val="18"/>
              </w:rPr>
              <w:t>Initiate project(s) to review current approaches to surveillance against international best practice and outcomes of CEBRA project and develop national surveillance strategy.</w:t>
            </w:r>
          </w:p>
          <w:p w14:paraId="50D4100D" w14:textId="26AC5B7E" w:rsidR="008A73E7" w:rsidRPr="00C34177" w:rsidRDefault="008A73E7" w:rsidP="008A73E7">
            <w:pPr>
              <w:pStyle w:val="TableText"/>
              <w:rPr>
                <w:rFonts w:cstheme="minorHAnsi"/>
                <w:szCs w:val="18"/>
              </w:rPr>
            </w:pPr>
            <w:r w:rsidRPr="00C34177">
              <w:rPr>
                <w:rFonts w:cstheme="minorHAnsi"/>
                <w:szCs w:val="18"/>
              </w:rPr>
              <w:t xml:space="preserve">Implement national surveillance strategy for </w:t>
            </w:r>
            <w:r w:rsidRPr="00C34177">
              <w:rPr>
                <w:rFonts w:cstheme="minorHAnsi"/>
                <w:i/>
                <w:iCs/>
                <w:szCs w:val="18"/>
              </w:rPr>
              <w:t>Xylella</w:t>
            </w:r>
            <w:r w:rsidRPr="00C34177">
              <w:rPr>
                <w:rFonts w:cstheme="minorHAnsi"/>
                <w:szCs w:val="18"/>
              </w:rPr>
              <w:t xml:space="preserve"> spp. and exotic vectors.</w:t>
            </w:r>
          </w:p>
          <w:p w14:paraId="19C4CF5F" w14:textId="6392FEE7" w:rsidR="008A73E7" w:rsidRPr="009D6998" w:rsidRDefault="008A73E7" w:rsidP="008A73E7">
            <w:pPr>
              <w:pStyle w:val="TableText"/>
            </w:pPr>
            <w:r w:rsidRPr="009D6998">
              <w:rPr>
                <w:rStyle w:val="Strong"/>
              </w:rPr>
              <w:t>Priority</w:t>
            </w:r>
            <w:r>
              <w:rPr>
                <w:rStyle w:val="Strong"/>
              </w:rPr>
              <w:t xml:space="preserve">: </w:t>
            </w:r>
            <w:r w:rsidRPr="005E6550">
              <w:rPr>
                <w:rStyle w:val="Strong"/>
                <w:b w:val="0"/>
                <w:bCs w:val="0"/>
              </w:rPr>
              <w:t>medium</w:t>
            </w:r>
          </w:p>
          <w:p w14:paraId="4452917E" w14:textId="020EE284" w:rsidR="008A73E7" w:rsidRPr="009D6998" w:rsidRDefault="008A73E7" w:rsidP="008A73E7">
            <w:pPr>
              <w:pStyle w:val="TableText"/>
              <w:rPr>
                <w:rStyle w:val="Strong"/>
              </w:rPr>
            </w:pPr>
            <w:r w:rsidRPr="009D6998">
              <w:rPr>
                <w:rStyle w:val="Strong"/>
              </w:rPr>
              <w:t>Time frame</w:t>
            </w:r>
            <w:r>
              <w:rPr>
                <w:rStyle w:val="Strong"/>
              </w:rPr>
              <w:t xml:space="preserve">: </w:t>
            </w:r>
            <w:r w:rsidRPr="005E6550">
              <w:rPr>
                <w:rStyle w:val="Strong"/>
                <w:b w:val="0"/>
                <w:bCs w:val="0"/>
              </w:rPr>
              <w:t>short term</w:t>
            </w:r>
          </w:p>
        </w:tc>
        <w:tc>
          <w:tcPr>
            <w:tcW w:w="1004" w:type="pct"/>
            <w:tcMar>
              <w:left w:w="108" w:type="dxa"/>
              <w:bottom w:w="28" w:type="dxa"/>
              <w:right w:w="108" w:type="dxa"/>
            </w:tcMar>
          </w:tcPr>
          <w:p w14:paraId="2EA4555B" w14:textId="659DA2EF" w:rsidR="008A73E7" w:rsidRPr="00C34177" w:rsidRDefault="008A73E7" w:rsidP="008A73E7">
            <w:pPr>
              <w:pStyle w:val="TableText"/>
              <w:tabs>
                <w:tab w:val="left" w:pos="464"/>
              </w:tabs>
              <w:rPr>
                <w:rFonts w:cstheme="minorHAnsi"/>
                <w:szCs w:val="18"/>
              </w:rPr>
            </w:pPr>
            <w:r w:rsidRPr="00C34177">
              <w:rPr>
                <w:rFonts w:cstheme="minorHAnsi"/>
                <w:szCs w:val="18"/>
              </w:rPr>
              <w:t xml:space="preserve">2.5.1 The national surveillance protocol for </w:t>
            </w:r>
            <w:r w:rsidRPr="00C34177">
              <w:rPr>
                <w:rFonts w:cstheme="minorHAnsi"/>
                <w:i/>
                <w:iCs/>
                <w:szCs w:val="18"/>
              </w:rPr>
              <w:t>Xylella fastidiosa</w:t>
            </w:r>
            <w:r w:rsidRPr="00C34177">
              <w:rPr>
                <w:rFonts w:cstheme="minorHAnsi"/>
                <w:szCs w:val="18"/>
              </w:rPr>
              <w:t xml:space="preserve"> </w:t>
            </w:r>
          </w:p>
        </w:tc>
        <w:tc>
          <w:tcPr>
            <w:tcW w:w="1087" w:type="pct"/>
            <w:shd w:val="clear" w:color="auto" w:fill="FDF4C7"/>
            <w:tcMar>
              <w:left w:w="108" w:type="dxa"/>
              <w:bottom w:w="28" w:type="dxa"/>
              <w:right w:w="108" w:type="dxa"/>
            </w:tcMar>
          </w:tcPr>
          <w:p w14:paraId="1E56D843" w14:textId="05E5A199" w:rsidR="008A73E7" w:rsidRDefault="008A73E7" w:rsidP="008A73E7">
            <w:pPr>
              <w:pStyle w:val="TableText"/>
              <w:rPr>
                <w:rFonts w:cstheme="minorHAnsi"/>
                <w:szCs w:val="18"/>
              </w:rPr>
            </w:pPr>
            <w:r>
              <w:rPr>
                <w:rFonts w:cstheme="minorHAnsi"/>
                <w:szCs w:val="18"/>
              </w:rPr>
              <w:t>On track – project commenced</w:t>
            </w:r>
          </w:p>
          <w:p w14:paraId="3D9AD279" w14:textId="77777777" w:rsidR="008A73E7" w:rsidRDefault="008A73E7" w:rsidP="008A73E7">
            <w:pPr>
              <w:pStyle w:val="TableText"/>
              <w:rPr>
                <w:rFonts w:cstheme="minorHAnsi"/>
                <w:szCs w:val="18"/>
              </w:rPr>
            </w:pPr>
            <w:r w:rsidRPr="00C34177">
              <w:rPr>
                <w:rFonts w:cstheme="minorHAnsi"/>
                <w:szCs w:val="18"/>
              </w:rPr>
              <w:t xml:space="preserve">The </w:t>
            </w:r>
            <w:r w:rsidRPr="00053D49">
              <w:rPr>
                <w:rFonts w:cstheme="minorHAnsi"/>
                <w:i/>
                <w:iCs/>
                <w:szCs w:val="18"/>
              </w:rPr>
              <w:t>Xylella fastidiosa</w:t>
            </w:r>
            <w:r w:rsidRPr="00011B18">
              <w:rPr>
                <w:rFonts w:cstheme="minorHAnsi"/>
                <w:szCs w:val="18"/>
              </w:rPr>
              <w:t xml:space="preserve"> </w:t>
            </w:r>
            <w:r w:rsidRPr="00C34177">
              <w:rPr>
                <w:rFonts w:cstheme="minorHAnsi"/>
                <w:szCs w:val="18"/>
              </w:rPr>
              <w:t>national surveillance protocol has been internally reviewed and is currently undergoing external review prior to SNPHS endorsement, due early 2023.</w:t>
            </w:r>
          </w:p>
          <w:p w14:paraId="716B61F1" w14:textId="6B8088DB" w:rsidR="0065358E" w:rsidRPr="00141698" w:rsidRDefault="0065358E" w:rsidP="00141698">
            <w:pPr>
              <w:pStyle w:val="pf0"/>
              <w:rPr>
                <w:rFonts w:asciiTheme="minorHAnsi" w:hAnsiTheme="minorHAnsi" w:cstheme="minorHAnsi"/>
                <w:szCs w:val="18"/>
              </w:rPr>
            </w:pPr>
            <w:r w:rsidRPr="00141698">
              <w:rPr>
                <w:rStyle w:val="cf01"/>
                <w:rFonts w:asciiTheme="minorHAnsi" w:hAnsiTheme="minorHAnsi" w:cstheme="minorHAnsi"/>
              </w:rPr>
              <w:t>Based on recent findings in Europe</w:t>
            </w:r>
            <w:r w:rsidR="00B876AF">
              <w:rPr>
                <w:rStyle w:val="cf01"/>
                <w:rFonts w:asciiTheme="minorHAnsi" w:hAnsiTheme="minorHAnsi" w:cstheme="minorHAnsi"/>
              </w:rPr>
              <w:t>,</w:t>
            </w:r>
            <w:r w:rsidRPr="00141698">
              <w:rPr>
                <w:rStyle w:val="cf01"/>
                <w:rFonts w:asciiTheme="minorHAnsi" w:hAnsiTheme="minorHAnsi" w:cstheme="minorHAnsi"/>
              </w:rPr>
              <w:t xml:space="preserve"> collection of stem material is better for </w:t>
            </w:r>
            <w:r w:rsidR="00B876AF">
              <w:rPr>
                <w:rStyle w:val="cf01"/>
                <w:rFonts w:asciiTheme="minorHAnsi" w:hAnsiTheme="minorHAnsi" w:cstheme="minorHAnsi"/>
              </w:rPr>
              <w:t>x</w:t>
            </w:r>
            <w:r w:rsidRPr="00141698">
              <w:rPr>
                <w:rStyle w:val="cf01"/>
                <w:rFonts w:asciiTheme="minorHAnsi" w:hAnsiTheme="minorHAnsi" w:cstheme="minorHAnsi"/>
              </w:rPr>
              <w:t>ylella detection.</w:t>
            </w:r>
          </w:p>
        </w:tc>
        <w:tc>
          <w:tcPr>
            <w:tcW w:w="501" w:type="pct"/>
            <w:tcMar>
              <w:left w:w="108" w:type="dxa"/>
              <w:bottom w:w="28" w:type="dxa"/>
              <w:right w:w="108" w:type="dxa"/>
            </w:tcMar>
          </w:tcPr>
          <w:p w14:paraId="3F994B3E" w14:textId="1B246907" w:rsidR="008A73E7" w:rsidRPr="00C34177" w:rsidRDefault="008A73E7" w:rsidP="008A73E7">
            <w:pPr>
              <w:pStyle w:val="TableText"/>
            </w:pPr>
            <w:r>
              <w:t>SNPHS</w:t>
            </w:r>
          </w:p>
        </w:tc>
        <w:tc>
          <w:tcPr>
            <w:tcW w:w="702" w:type="pct"/>
            <w:tcMar>
              <w:left w:w="108" w:type="dxa"/>
              <w:bottom w:w="28" w:type="dxa"/>
              <w:right w:w="108" w:type="dxa"/>
            </w:tcMar>
          </w:tcPr>
          <w:p w14:paraId="76E86A8D" w14:textId="38AE2A64" w:rsidR="008A73E7" w:rsidRPr="0056113C" w:rsidRDefault="008A73E7" w:rsidP="008A73E7">
            <w:pPr>
              <w:pStyle w:val="TableText"/>
            </w:pPr>
            <w:r>
              <w:t>Not applicable</w:t>
            </w:r>
          </w:p>
        </w:tc>
        <w:tc>
          <w:tcPr>
            <w:tcW w:w="701" w:type="pct"/>
            <w:tcMar>
              <w:left w:w="108" w:type="dxa"/>
              <w:bottom w:w="28" w:type="dxa"/>
              <w:right w:w="108" w:type="dxa"/>
            </w:tcMar>
          </w:tcPr>
          <w:p w14:paraId="45802477" w14:textId="3D0F3830" w:rsidR="008A73E7" w:rsidRPr="00BC222E" w:rsidRDefault="008A73E7" w:rsidP="008A73E7">
            <w:pPr>
              <w:pStyle w:val="TableText"/>
            </w:pPr>
            <w:r w:rsidRPr="00BC222E">
              <w:t>Dependent on action 2.1, 2.2, 2.3, 2.4</w:t>
            </w:r>
          </w:p>
          <w:p w14:paraId="4D4CAC0B" w14:textId="0BEB6262" w:rsidR="008A73E7" w:rsidRPr="00BC13C5" w:rsidRDefault="008A73E7" w:rsidP="008A73E7">
            <w:pPr>
              <w:pStyle w:val="TableText"/>
              <w:rPr>
                <w:shd w:val="clear" w:color="auto" w:fill="EEECE1" w:themeFill="background2"/>
              </w:rPr>
            </w:pPr>
            <w:r w:rsidRPr="00BC222E">
              <w:t>Informed by action 1.1, 1.2, 1.3, 1.4, 4.5</w:t>
            </w:r>
          </w:p>
        </w:tc>
      </w:tr>
      <w:tr w:rsidR="00BC3C67" w:rsidRPr="00A51BDA" w14:paraId="53B1A1AF" w14:textId="77777777" w:rsidTr="006E5D7F">
        <w:tc>
          <w:tcPr>
            <w:tcW w:w="1005" w:type="pct"/>
            <w:vMerge/>
            <w:tcMar>
              <w:bottom w:w="28" w:type="dxa"/>
            </w:tcMar>
          </w:tcPr>
          <w:p w14:paraId="2061B20E" w14:textId="77777777" w:rsidR="008A73E7" w:rsidRPr="009D6998" w:rsidRDefault="008A73E7" w:rsidP="008A73E7">
            <w:pPr>
              <w:pStyle w:val="TableText"/>
              <w:rPr>
                <w:rStyle w:val="Strong"/>
              </w:rPr>
            </w:pPr>
          </w:p>
        </w:tc>
        <w:tc>
          <w:tcPr>
            <w:tcW w:w="1004" w:type="pct"/>
            <w:tcMar>
              <w:left w:w="108" w:type="dxa"/>
              <w:bottom w:w="28" w:type="dxa"/>
              <w:right w:w="108" w:type="dxa"/>
            </w:tcMar>
          </w:tcPr>
          <w:p w14:paraId="5EF88565" w14:textId="6029EE04" w:rsidR="008A73E7" w:rsidRPr="00C34177" w:rsidRDefault="008A73E7" w:rsidP="008A73E7">
            <w:pPr>
              <w:pStyle w:val="TableText"/>
              <w:tabs>
                <w:tab w:val="left" w:pos="464"/>
              </w:tabs>
              <w:rPr>
                <w:rFonts w:cstheme="minorHAnsi"/>
                <w:szCs w:val="18"/>
              </w:rPr>
            </w:pPr>
            <w:r w:rsidRPr="00C34177">
              <w:rPr>
                <w:rFonts w:cstheme="minorHAnsi"/>
                <w:szCs w:val="18"/>
              </w:rPr>
              <w:t>2.5.2 Targeting of glassy-winged sharpshooter in operational surveillance and through ‘VG16086 Area Wide Management of vegetable diseases: viruses and bacteria’ project’</w:t>
            </w:r>
          </w:p>
        </w:tc>
        <w:tc>
          <w:tcPr>
            <w:tcW w:w="1087" w:type="pct"/>
            <w:shd w:val="clear" w:color="auto" w:fill="DEF0C2"/>
            <w:tcMar>
              <w:left w:w="108" w:type="dxa"/>
              <w:bottom w:w="28" w:type="dxa"/>
              <w:right w:w="108" w:type="dxa"/>
            </w:tcMar>
          </w:tcPr>
          <w:p w14:paraId="656A1ABD" w14:textId="7746E18D" w:rsidR="00864B0B" w:rsidRDefault="00566479" w:rsidP="008A73E7">
            <w:pPr>
              <w:pStyle w:val="TableText"/>
              <w:rPr>
                <w:rFonts w:cstheme="minorHAnsi"/>
                <w:szCs w:val="18"/>
              </w:rPr>
            </w:pPr>
            <w:r>
              <w:rPr>
                <w:rFonts w:cstheme="minorHAnsi"/>
                <w:szCs w:val="18"/>
              </w:rPr>
              <w:t xml:space="preserve">Completed – project finished </w:t>
            </w:r>
            <w:r w:rsidR="00864B0B">
              <w:rPr>
                <w:rFonts w:cstheme="minorHAnsi"/>
                <w:szCs w:val="18"/>
              </w:rPr>
              <w:t xml:space="preserve">(2023) </w:t>
            </w:r>
          </w:p>
          <w:p w14:paraId="0A9D6BF1" w14:textId="6C932E74" w:rsidR="00E178E1" w:rsidRPr="00AB13A7" w:rsidRDefault="00AB13A7" w:rsidP="008A73E7">
            <w:pPr>
              <w:pStyle w:val="TableText"/>
              <w:rPr>
                <w:rFonts w:cstheme="minorHAnsi"/>
                <w:szCs w:val="18"/>
              </w:rPr>
            </w:pPr>
            <w:r w:rsidRPr="005A620F">
              <w:rPr>
                <w:rStyle w:val="cf01"/>
                <w:rFonts w:asciiTheme="minorHAnsi" w:hAnsiTheme="minorHAnsi" w:cstheme="minorHAnsi"/>
              </w:rPr>
              <w:t>Glassy-winged sharpshooter surveillance is occurring under NPHSP.</w:t>
            </w:r>
          </w:p>
          <w:p w14:paraId="7F226A60" w14:textId="37E0AA97" w:rsidR="008A73E7" w:rsidRPr="00C34177" w:rsidRDefault="00000000" w:rsidP="008A73E7">
            <w:pPr>
              <w:pStyle w:val="TableText"/>
              <w:rPr>
                <w:rFonts w:cstheme="minorHAnsi"/>
                <w:szCs w:val="18"/>
              </w:rPr>
            </w:pPr>
            <w:hyperlink r:id="rId28" w:history="1">
              <w:r w:rsidR="00566479">
                <w:rPr>
                  <w:rStyle w:val="Hyperlink"/>
                </w:rPr>
                <w:t>Hort Innovation | Area wide management of vegetable diseases: viruses and bacteria (VG16086) (horticulture.com.au)</w:t>
              </w:r>
            </w:hyperlink>
          </w:p>
        </w:tc>
        <w:tc>
          <w:tcPr>
            <w:tcW w:w="501" w:type="pct"/>
            <w:tcMar>
              <w:left w:w="108" w:type="dxa"/>
              <w:bottom w:w="28" w:type="dxa"/>
              <w:right w:w="108" w:type="dxa"/>
            </w:tcMar>
          </w:tcPr>
          <w:p w14:paraId="56FF4368" w14:textId="5FA5DEEE" w:rsidR="008A73E7" w:rsidRDefault="00CB328E" w:rsidP="008A73E7">
            <w:pPr>
              <w:pStyle w:val="TableText"/>
            </w:pPr>
            <w:r>
              <w:t>Jurisdiction</w:t>
            </w:r>
          </w:p>
          <w:p w14:paraId="6657DA49" w14:textId="6A41F775" w:rsidR="0068348F" w:rsidRPr="00C34177" w:rsidRDefault="0068348F" w:rsidP="008A73E7">
            <w:pPr>
              <w:pStyle w:val="TableText"/>
            </w:pPr>
            <w:r>
              <w:t>NPHSP</w:t>
            </w:r>
          </w:p>
        </w:tc>
        <w:tc>
          <w:tcPr>
            <w:tcW w:w="702" w:type="pct"/>
            <w:tcMar>
              <w:left w:w="108" w:type="dxa"/>
              <w:bottom w:w="28" w:type="dxa"/>
              <w:right w:w="108" w:type="dxa"/>
            </w:tcMar>
          </w:tcPr>
          <w:p w14:paraId="535E14A2" w14:textId="63EF69EA" w:rsidR="008A73E7" w:rsidRPr="00011B18" w:rsidRDefault="00CB328E" w:rsidP="008A73E7">
            <w:pPr>
              <w:pStyle w:val="TableText"/>
            </w:pPr>
            <w:r>
              <w:t>Hort Innovation</w:t>
            </w:r>
          </w:p>
        </w:tc>
        <w:tc>
          <w:tcPr>
            <w:tcW w:w="701" w:type="pct"/>
            <w:tcMar>
              <w:left w:w="108" w:type="dxa"/>
              <w:bottom w:w="28" w:type="dxa"/>
              <w:right w:w="108" w:type="dxa"/>
            </w:tcMar>
          </w:tcPr>
          <w:p w14:paraId="5B4A7D31" w14:textId="72AC180D" w:rsidR="008A73E7" w:rsidRPr="00011B18" w:rsidRDefault="008A73E7" w:rsidP="008A73E7">
            <w:pPr>
              <w:pStyle w:val="TableText"/>
            </w:pPr>
            <w:r w:rsidRPr="00011B18">
              <w:t xml:space="preserve">Not applicable </w:t>
            </w:r>
          </w:p>
        </w:tc>
      </w:tr>
      <w:tr w:rsidR="008A73E7" w:rsidRPr="00013AE2" w14:paraId="02B0A041" w14:textId="77777777" w:rsidTr="00C85977">
        <w:trPr>
          <w:trHeight w:val="1229"/>
        </w:trPr>
        <w:tc>
          <w:tcPr>
            <w:tcW w:w="1005" w:type="pct"/>
            <w:vMerge/>
            <w:tcMar>
              <w:bottom w:w="28" w:type="dxa"/>
            </w:tcMar>
          </w:tcPr>
          <w:p w14:paraId="2BFBF7A2" w14:textId="77777777" w:rsidR="008A73E7" w:rsidRPr="009D6998" w:rsidRDefault="008A73E7" w:rsidP="008A73E7">
            <w:pPr>
              <w:pStyle w:val="TableText"/>
              <w:rPr>
                <w:rStyle w:val="Strong"/>
              </w:rPr>
            </w:pPr>
          </w:p>
        </w:tc>
        <w:tc>
          <w:tcPr>
            <w:tcW w:w="1004" w:type="pct"/>
            <w:tcMar>
              <w:left w:w="108" w:type="dxa"/>
              <w:bottom w:w="28" w:type="dxa"/>
              <w:right w:w="108" w:type="dxa"/>
            </w:tcMar>
          </w:tcPr>
          <w:p w14:paraId="7C57C68F" w14:textId="72BF10BE" w:rsidR="008A73E7" w:rsidRPr="00C34177" w:rsidRDefault="008A73E7" w:rsidP="008A73E7">
            <w:pPr>
              <w:pStyle w:val="TableText"/>
              <w:tabs>
                <w:tab w:val="left" w:pos="464"/>
              </w:tabs>
              <w:rPr>
                <w:rFonts w:cstheme="minorHAnsi"/>
                <w:szCs w:val="18"/>
              </w:rPr>
            </w:pPr>
            <w:r w:rsidRPr="00C34177">
              <w:rPr>
                <w:rFonts w:cstheme="minorHAnsi"/>
                <w:szCs w:val="18"/>
              </w:rPr>
              <w:t xml:space="preserve">2.5.3 Jurisdictions (including local government) and industry to implement national surveillance strategy for </w:t>
            </w:r>
            <w:r w:rsidRPr="00C34177">
              <w:rPr>
                <w:rFonts w:cstheme="minorHAnsi"/>
                <w:i/>
                <w:iCs/>
                <w:szCs w:val="18"/>
              </w:rPr>
              <w:t>Xylella</w:t>
            </w:r>
            <w:r w:rsidRPr="00C34177">
              <w:rPr>
                <w:rFonts w:cstheme="minorHAnsi"/>
                <w:szCs w:val="18"/>
              </w:rPr>
              <w:t xml:space="preserve"> spp. and exotic vectors</w:t>
            </w:r>
          </w:p>
        </w:tc>
        <w:tc>
          <w:tcPr>
            <w:tcW w:w="1087" w:type="pct"/>
            <w:shd w:val="clear" w:color="auto" w:fill="FDF4C7"/>
            <w:tcMar>
              <w:left w:w="108" w:type="dxa"/>
              <w:bottom w:w="28" w:type="dxa"/>
              <w:right w:w="108" w:type="dxa"/>
            </w:tcMar>
          </w:tcPr>
          <w:p w14:paraId="4E694B71" w14:textId="215FFC00" w:rsidR="008A73E7" w:rsidRPr="0090281E" w:rsidRDefault="008A73E7" w:rsidP="008A73E7">
            <w:pPr>
              <w:pStyle w:val="TableText"/>
              <w:rPr>
                <w:rFonts w:cstheme="minorHAnsi"/>
                <w:szCs w:val="18"/>
              </w:rPr>
            </w:pPr>
            <w:r>
              <w:rPr>
                <w:rFonts w:cstheme="minorHAnsi"/>
                <w:szCs w:val="18"/>
              </w:rPr>
              <w:t>On track – project commenced</w:t>
            </w:r>
          </w:p>
        </w:tc>
        <w:tc>
          <w:tcPr>
            <w:tcW w:w="501" w:type="pct"/>
            <w:tcMar>
              <w:left w:w="108" w:type="dxa"/>
              <w:bottom w:w="28" w:type="dxa"/>
              <w:right w:w="108" w:type="dxa"/>
            </w:tcMar>
          </w:tcPr>
          <w:p w14:paraId="31D3938C" w14:textId="01AEF8F5" w:rsidR="008A73E7" w:rsidRDefault="008A73E7" w:rsidP="008A73E7">
            <w:pPr>
              <w:pStyle w:val="TableText"/>
            </w:pPr>
            <w:r>
              <w:t>Jurisdiction</w:t>
            </w:r>
          </w:p>
          <w:p w14:paraId="388012AE" w14:textId="0FC3B4EC" w:rsidR="008A73E7" w:rsidRPr="00C34177" w:rsidRDefault="008A73E7" w:rsidP="008A73E7">
            <w:pPr>
              <w:pStyle w:val="TableText"/>
            </w:pPr>
            <w:r>
              <w:t>Industry</w:t>
            </w:r>
          </w:p>
        </w:tc>
        <w:tc>
          <w:tcPr>
            <w:tcW w:w="702" w:type="pct"/>
            <w:tcMar>
              <w:left w:w="108" w:type="dxa"/>
              <w:bottom w:w="28" w:type="dxa"/>
              <w:right w:w="108" w:type="dxa"/>
            </w:tcMar>
          </w:tcPr>
          <w:p w14:paraId="245974E1" w14:textId="6F646038" w:rsidR="008A73E7" w:rsidRPr="00011B18" w:rsidRDefault="008A73E7" w:rsidP="008A73E7">
            <w:pPr>
              <w:pStyle w:val="TableText"/>
            </w:pPr>
            <w:r w:rsidRPr="00011B18">
              <w:t xml:space="preserve">Not applicable </w:t>
            </w:r>
          </w:p>
        </w:tc>
        <w:tc>
          <w:tcPr>
            <w:tcW w:w="701" w:type="pct"/>
            <w:tcMar>
              <w:left w:w="108" w:type="dxa"/>
              <w:bottom w:w="28" w:type="dxa"/>
              <w:right w:w="108" w:type="dxa"/>
            </w:tcMar>
          </w:tcPr>
          <w:p w14:paraId="16E5A326" w14:textId="1A605281" w:rsidR="008A73E7" w:rsidRPr="00011B18" w:rsidRDefault="008A73E7" w:rsidP="008A73E7">
            <w:pPr>
              <w:pStyle w:val="TableText"/>
            </w:pPr>
            <w:r w:rsidRPr="00011B18">
              <w:t xml:space="preserve">Not applicable </w:t>
            </w:r>
          </w:p>
        </w:tc>
      </w:tr>
      <w:tr w:rsidR="008A73E7" w:rsidRPr="00013AE2" w14:paraId="4035EA87" w14:textId="77777777" w:rsidTr="00C85977">
        <w:trPr>
          <w:trHeight w:val="504"/>
        </w:trPr>
        <w:tc>
          <w:tcPr>
            <w:tcW w:w="1005" w:type="pct"/>
            <w:vMerge/>
            <w:tcMar>
              <w:bottom w:w="28" w:type="dxa"/>
            </w:tcMar>
          </w:tcPr>
          <w:p w14:paraId="0EAF5BCA" w14:textId="77777777" w:rsidR="008A73E7" w:rsidRPr="009D6998" w:rsidRDefault="008A73E7" w:rsidP="008A73E7">
            <w:pPr>
              <w:pStyle w:val="TableText"/>
              <w:rPr>
                <w:rStyle w:val="Strong"/>
              </w:rPr>
            </w:pPr>
          </w:p>
        </w:tc>
        <w:tc>
          <w:tcPr>
            <w:tcW w:w="1004" w:type="pct"/>
            <w:tcMar>
              <w:left w:w="108" w:type="dxa"/>
              <w:bottom w:w="28" w:type="dxa"/>
              <w:right w:w="108" w:type="dxa"/>
            </w:tcMar>
          </w:tcPr>
          <w:p w14:paraId="786104EF" w14:textId="1BDF8645" w:rsidR="008A73E7" w:rsidRPr="00C34177" w:rsidRDefault="008A73E7" w:rsidP="008A73E7">
            <w:pPr>
              <w:pStyle w:val="TableText"/>
              <w:tabs>
                <w:tab w:val="left" w:pos="464"/>
              </w:tabs>
              <w:rPr>
                <w:rFonts w:cstheme="minorHAnsi"/>
                <w:szCs w:val="18"/>
              </w:rPr>
            </w:pPr>
            <w:r>
              <w:rPr>
                <w:rFonts w:cstheme="minorHAnsi"/>
                <w:szCs w:val="18"/>
              </w:rPr>
              <w:t>2.5.4 Citrus Industry biosecurity preparedness strategy (CT20006)</w:t>
            </w:r>
          </w:p>
        </w:tc>
        <w:tc>
          <w:tcPr>
            <w:tcW w:w="1087" w:type="pct"/>
            <w:shd w:val="clear" w:color="auto" w:fill="FDF4C7"/>
            <w:tcMar>
              <w:left w:w="108" w:type="dxa"/>
              <w:bottom w:w="28" w:type="dxa"/>
              <w:right w:w="108" w:type="dxa"/>
            </w:tcMar>
          </w:tcPr>
          <w:p w14:paraId="3D0739A3" w14:textId="31C2C02F" w:rsidR="008A73E7" w:rsidRPr="00FA6227" w:rsidRDefault="003A6BFB" w:rsidP="008A73E7">
            <w:pPr>
              <w:pStyle w:val="TableText"/>
              <w:rPr>
                <w:rFonts w:cstheme="minorHAnsi"/>
                <w:szCs w:val="18"/>
              </w:rPr>
            </w:pPr>
            <w:r>
              <w:rPr>
                <w:rFonts w:cstheme="minorHAnsi"/>
                <w:szCs w:val="18"/>
              </w:rPr>
              <w:t>This project will</w:t>
            </w:r>
            <w:r w:rsidR="0028649E">
              <w:rPr>
                <w:rFonts w:cstheme="minorHAnsi"/>
                <w:szCs w:val="18"/>
              </w:rPr>
              <w:t xml:space="preserve"> conduct trapping and visual surveys targeting various pests including </w:t>
            </w:r>
            <w:r w:rsidR="00B876AF">
              <w:rPr>
                <w:rFonts w:cstheme="minorHAnsi"/>
                <w:szCs w:val="18"/>
              </w:rPr>
              <w:t>g</w:t>
            </w:r>
            <w:r w:rsidR="0028649E">
              <w:rPr>
                <w:rFonts w:cstheme="minorHAnsi"/>
                <w:szCs w:val="18"/>
              </w:rPr>
              <w:t>lassy</w:t>
            </w:r>
            <w:r w:rsidR="00B876AF">
              <w:rPr>
                <w:rFonts w:cstheme="minorHAnsi"/>
                <w:szCs w:val="18"/>
              </w:rPr>
              <w:t>-</w:t>
            </w:r>
            <w:r w:rsidR="0028649E">
              <w:rPr>
                <w:rFonts w:cstheme="minorHAnsi"/>
                <w:szCs w:val="18"/>
              </w:rPr>
              <w:t xml:space="preserve">winged </w:t>
            </w:r>
            <w:r w:rsidR="00630864">
              <w:rPr>
                <w:rFonts w:cstheme="minorHAnsi"/>
                <w:szCs w:val="18"/>
              </w:rPr>
              <w:t>sharpshooter</w:t>
            </w:r>
            <w:r w:rsidR="0028649E">
              <w:rPr>
                <w:rFonts w:cstheme="minorHAnsi"/>
                <w:szCs w:val="18"/>
              </w:rPr>
              <w:t xml:space="preserve"> (a major vector of </w:t>
            </w:r>
            <w:r w:rsidR="00B876AF">
              <w:rPr>
                <w:rFonts w:cstheme="minorHAnsi"/>
                <w:szCs w:val="18"/>
              </w:rPr>
              <w:t>x</w:t>
            </w:r>
            <w:r w:rsidR="0028649E">
              <w:rPr>
                <w:rFonts w:cstheme="minorHAnsi"/>
                <w:szCs w:val="18"/>
              </w:rPr>
              <w:t xml:space="preserve">ylella). The program collects budstick samples to support surveillance for graft transmittible pathogens including </w:t>
            </w:r>
            <w:r w:rsidR="00B876AF">
              <w:rPr>
                <w:rFonts w:cstheme="minorHAnsi"/>
                <w:szCs w:val="18"/>
              </w:rPr>
              <w:t>x</w:t>
            </w:r>
            <w:r w:rsidR="0028649E">
              <w:rPr>
                <w:rFonts w:cstheme="minorHAnsi"/>
                <w:szCs w:val="18"/>
              </w:rPr>
              <w:t xml:space="preserve">ylella. </w:t>
            </w:r>
          </w:p>
        </w:tc>
        <w:tc>
          <w:tcPr>
            <w:tcW w:w="501" w:type="pct"/>
            <w:tcMar>
              <w:left w:w="108" w:type="dxa"/>
              <w:bottom w:w="28" w:type="dxa"/>
              <w:right w:w="108" w:type="dxa"/>
            </w:tcMar>
          </w:tcPr>
          <w:p w14:paraId="2B579C7B" w14:textId="77777777" w:rsidR="008A73E7" w:rsidRDefault="00187F18" w:rsidP="008A73E7">
            <w:pPr>
              <w:pStyle w:val="TableText"/>
            </w:pPr>
            <w:r>
              <w:t>Citrus Australia</w:t>
            </w:r>
          </w:p>
          <w:p w14:paraId="55DEDF4B" w14:textId="77777777" w:rsidR="00CE699A" w:rsidRDefault="00CE699A" w:rsidP="008A73E7">
            <w:pPr>
              <w:pStyle w:val="TableText"/>
            </w:pPr>
            <w:r>
              <w:t>PHA</w:t>
            </w:r>
          </w:p>
          <w:p w14:paraId="593B02F2" w14:textId="5369D855" w:rsidR="00CE699A" w:rsidRDefault="00CE699A" w:rsidP="008A73E7">
            <w:pPr>
              <w:pStyle w:val="TableText"/>
            </w:pPr>
            <w:r>
              <w:t>Jurisdiction</w:t>
            </w:r>
          </w:p>
        </w:tc>
        <w:tc>
          <w:tcPr>
            <w:tcW w:w="702" w:type="pct"/>
            <w:tcMar>
              <w:left w:w="108" w:type="dxa"/>
              <w:bottom w:w="28" w:type="dxa"/>
              <w:right w:w="108" w:type="dxa"/>
            </w:tcMar>
          </w:tcPr>
          <w:p w14:paraId="47ECEADC" w14:textId="2F2D1190" w:rsidR="008A73E7" w:rsidRPr="00011B18" w:rsidRDefault="008A73E7" w:rsidP="008A73E7">
            <w:pPr>
              <w:pStyle w:val="TableText"/>
            </w:pPr>
            <w:r>
              <w:t xml:space="preserve">Hort Innovation </w:t>
            </w:r>
            <w:r w:rsidR="003A6BFB">
              <w:t>(delivered under the Citrus Watch banner)</w:t>
            </w:r>
          </w:p>
        </w:tc>
        <w:tc>
          <w:tcPr>
            <w:tcW w:w="701" w:type="pct"/>
            <w:tcMar>
              <w:left w:w="108" w:type="dxa"/>
              <w:bottom w:w="28" w:type="dxa"/>
              <w:right w:w="108" w:type="dxa"/>
            </w:tcMar>
          </w:tcPr>
          <w:p w14:paraId="66FAD7CE" w14:textId="53D789E6" w:rsidR="008A73E7" w:rsidRPr="00011B18" w:rsidRDefault="00F9109F" w:rsidP="008A73E7">
            <w:pPr>
              <w:pStyle w:val="TableText"/>
            </w:pPr>
            <w:r>
              <w:t>Not applicable</w:t>
            </w:r>
          </w:p>
        </w:tc>
      </w:tr>
    </w:tbl>
    <w:p w14:paraId="6B86B9BF" w14:textId="77777777" w:rsidR="00424757" w:rsidRDefault="00424757" w:rsidP="00E765F1">
      <w:pPr>
        <w:pStyle w:val="Caption"/>
        <w:spacing w:before="240"/>
        <w:sectPr w:rsidR="00424757" w:rsidSect="00180FF6">
          <w:pgSz w:w="16838" w:h="11906" w:orient="landscape"/>
          <w:pgMar w:top="1418" w:right="1418" w:bottom="851" w:left="1418" w:header="567" w:footer="283" w:gutter="0"/>
          <w:cols w:space="708"/>
          <w:docGrid w:linePitch="360"/>
        </w:sectPr>
      </w:pPr>
      <w:bookmarkStart w:id="7" w:name="_Ref132111933"/>
      <w:bookmarkStart w:id="8" w:name="Table_3_Action_area_3_Response"/>
      <w:bookmarkStart w:id="9" w:name="_Hlk131578784"/>
    </w:p>
    <w:p w14:paraId="1A3FE1AC" w14:textId="41B6CCBE" w:rsidR="00101293" w:rsidRPr="00DE7573" w:rsidRDefault="00106C85" w:rsidP="00E765F1">
      <w:pPr>
        <w:pStyle w:val="Caption"/>
        <w:spacing w:before="240"/>
      </w:pPr>
      <w:r>
        <w:lastRenderedPageBreak/>
        <w:t xml:space="preserve">Table </w:t>
      </w:r>
      <w:r w:rsidR="00753AB9">
        <w:fldChar w:fldCharType="begin"/>
      </w:r>
      <w:r w:rsidR="00753AB9">
        <w:instrText xml:space="preserve"> SEQ Table \* ARABIC </w:instrText>
      </w:r>
      <w:r w:rsidR="00753AB9">
        <w:fldChar w:fldCharType="separate"/>
      </w:r>
      <w:r w:rsidR="00EA64DA">
        <w:rPr>
          <w:noProof/>
        </w:rPr>
        <w:t>3</w:t>
      </w:r>
      <w:r w:rsidR="00753AB9">
        <w:rPr>
          <w:noProof/>
        </w:rPr>
        <w:fldChar w:fldCharType="end"/>
      </w:r>
      <w:bookmarkEnd w:id="7"/>
      <w:r>
        <w:t xml:space="preserve"> </w:t>
      </w:r>
      <w:r w:rsidR="00101293" w:rsidRPr="00DE7573">
        <w:t xml:space="preserve">Implementation of activities for </w:t>
      </w:r>
      <w:r w:rsidR="00004733">
        <w:t>A</w:t>
      </w:r>
      <w:r w:rsidR="00101293" w:rsidRPr="00DE7573">
        <w:t>rea 3: Response</w:t>
      </w:r>
    </w:p>
    <w:tbl>
      <w:tblPr>
        <w:tblW w:w="4950" w:type="pct"/>
        <w:tblBorders>
          <w:top w:val="single" w:sz="4" w:space="0" w:color="auto"/>
          <w:bottom w:val="single" w:sz="4" w:space="0" w:color="auto"/>
          <w:insideH w:val="single" w:sz="4" w:space="0" w:color="auto"/>
        </w:tblBorders>
        <w:tblCellMar>
          <w:bottom w:w="57" w:type="dxa"/>
        </w:tblCellMar>
        <w:tblLook w:val="0000" w:firstRow="0" w:lastRow="0" w:firstColumn="0" w:lastColumn="0" w:noHBand="0" w:noVBand="0"/>
      </w:tblPr>
      <w:tblGrid>
        <w:gridCol w:w="2401"/>
        <w:gridCol w:w="2456"/>
        <w:gridCol w:w="3784"/>
        <w:gridCol w:w="1492"/>
        <w:gridCol w:w="2132"/>
        <w:gridCol w:w="1597"/>
      </w:tblGrid>
      <w:tr w:rsidR="002365BD" w:rsidRPr="00F81ECF" w14:paraId="1D372F86" w14:textId="77777777" w:rsidTr="000724BC">
        <w:trPr>
          <w:tblHeader/>
        </w:trPr>
        <w:tc>
          <w:tcPr>
            <w:tcW w:w="866" w:type="pct"/>
            <w:tcMar>
              <w:bottom w:w="28" w:type="dxa"/>
            </w:tcMar>
          </w:tcPr>
          <w:bookmarkEnd w:id="8"/>
          <w:p w14:paraId="3BA6740D" w14:textId="77777777" w:rsidR="00101293" w:rsidRPr="00A8715D" w:rsidRDefault="00101293" w:rsidP="00280FAA">
            <w:pPr>
              <w:pStyle w:val="TableHeading"/>
            </w:pPr>
            <w:r>
              <w:t>Action</w:t>
            </w:r>
          </w:p>
        </w:tc>
        <w:tc>
          <w:tcPr>
            <w:tcW w:w="886" w:type="pct"/>
            <w:tcMar>
              <w:left w:w="108" w:type="dxa"/>
              <w:bottom w:w="28" w:type="dxa"/>
              <w:right w:w="108" w:type="dxa"/>
            </w:tcMar>
          </w:tcPr>
          <w:p w14:paraId="7BBEFA99" w14:textId="77777777" w:rsidR="00101293" w:rsidRPr="00261848" w:rsidRDefault="00101293" w:rsidP="00280FAA">
            <w:pPr>
              <w:pStyle w:val="TableHeading"/>
            </w:pPr>
            <w:r w:rsidRPr="00261848">
              <w:t>Project or business</w:t>
            </w:r>
            <w:r>
              <w:t>-</w:t>
            </w:r>
            <w:r w:rsidRPr="00261848">
              <w:t>as</w:t>
            </w:r>
            <w:r>
              <w:t>-</w:t>
            </w:r>
            <w:r w:rsidRPr="00261848">
              <w:t>usual activity</w:t>
            </w:r>
          </w:p>
        </w:tc>
        <w:tc>
          <w:tcPr>
            <w:tcW w:w="1365" w:type="pct"/>
            <w:tcMar>
              <w:left w:w="108" w:type="dxa"/>
              <w:bottom w:w="28" w:type="dxa"/>
              <w:right w:w="108" w:type="dxa"/>
            </w:tcMar>
          </w:tcPr>
          <w:p w14:paraId="68A0C4A7" w14:textId="23DE40A2" w:rsidR="00101293" w:rsidRPr="00261848" w:rsidRDefault="00101293" w:rsidP="00280FAA">
            <w:pPr>
              <w:pStyle w:val="TableHeading"/>
            </w:pPr>
            <w:r w:rsidRPr="00261848">
              <w:t xml:space="preserve">Status </w:t>
            </w:r>
          </w:p>
        </w:tc>
        <w:tc>
          <w:tcPr>
            <w:tcW w:w="538" w:type="pct"/>
            <w:tcMar>
              <w:left w:w="108" w:type="dxa"/>
              <w:bottom w:w="28" w:type="dxa"/>
              <w:right w:w="108" w:type="dxa"/>
            </w:tcMar>
          </w:tcPr>
          <w:p w14:paraId="7AA52B48" w14:textId="77777777" w:rsidR="00101293" w:rsidRPr="00261848" w:rsidRDefault="00101293" w:rsidP="00280FAA">
            <w:pPr>
              <w:pStyle w:val="TableHeading"/>
            </w:pPr>
            <w:r w:rsidRPr="00261848">
              <w:t>Lead organisation</w:t>
            </w:r>
          </w:p>
        </w:tc>
        <w:tc>
          <w:tcPr>
            <w:tcW w:w="769" w:type="pct"/>
            <w:tcMar>
              <w:left w:w="108" w:type="dxa"/>
              <w:bottom w:w="28" w:type="dxa"/>
              <w:right w:w="108" w:type="dxa"/>
            </w:tcMar>
          </w:tcPr>
          <w:p w14:paraId="2D7A6996" w14:textId="77777777" w:rsidR="00101293" w:rsidRPr="00261848" w:rsidRDefault="00101293" w:rsidP="00280FAA">
            <w:pPr>
              <w:pStyle w:val="TableHeading"/>
            </w:pPr>
            <w:r w:rsidRPr="00261848">
              <w:t>Contributors (financial and in-kind)</w:t>
            </w:r>
          </w:p>
        </w:tc>
        <w:tc>
          <w:tcPr>
            <w:tcW w:w="577" w:type="pct"/>
            <w:tcMar>
              <w:left w:w="108" w:type="dxa"/>
              <w:bottom w:w="28" w:type="dxa"/>
              <w:right w:w="108" w:type="dxa"/>
            </w:tcMar>
          </w:tcPr>
          <w:p w14:paraId="4C315FDB" w14:textId="77777777" w:rsidR="00101293" w:rsidRPr="00261848" w:rsidRDefault="00101293" w:rsidP="00280FAA">
            <w:pPr>
              <w:pStyle w:val="TableHeading"/>
            </w:pPr>
            <w:r w:rsidRPr="00261848">
              <w:t>Dependencies</w:t>
            </w:r>
          </w:p>
        </w:tc>
      </w:tr>
      <w:tr w:rsidR="002365BD" w:rsidRPr="00013AE2" w14:paraId="6A28C5A7" w14:textId="77777777" w:rsidTr="003A1099">
        <w:trPr>
          <w:trHeight w:val="1995"/>
        </w:trPr>
        <w:tc>
          <w:tcPr>
            <w:tcW w:w="866" w:type="pct"/>
            <w:vMerge w:val="restart"/>
            <w:tcMar>
              <w:bottom w:w="28" w:type="dxa"/>
            </w:tcMar>
          </w:tcPr>
          <w:p w14:paraId="0087D417" w14:textId="3352C652" w:rsidR="003B5961" w:rsidRDefault="003B5961" w:rsidP="00280FAA">
            <w:pPr>
              <w:pStyle w:val="TableText"/>
              <w:rPr>
                <w:rStyle w:val="Strong"/>
                <w:b w:val="0"/>
                <w:bCs w:val="0"/>
              </w:rPr>
            </w:pPr>
            <w:r w:rsidRPr="007B0473">
              <w:rPr>
                <w:rStyle w:val="Strong"/>
              </w:rPr>
              <w:t xml:space="preserve">Action </w:t>
            </w:r>
            <w:r>
              <w:rPr>
                <w:rStyle w:val="Strong"/>
              </w:rPr>
              <w:t>3</w:t>
            </w:r>
            <w:r w:rsidRPr="007B0473">
              <w:rPr>
                <w:rStyle w:val="Strong"/>
              </w:rPr>
              <w:t>.1</w:t>
            </w:r>
            <w:r>
              <w:rPr>
                <w:rStyle w:val="Strong"/>
              </w:rPr>
              <w:t xml:space="preserve">: </w:t>
            </w:r>
            <w:r w:rsidRPr="006E760B">
              <w:rPr>
                <w:rStyle w:val="Strong"/>
                <w:b w:val="0"/>
                <w:bCs w:val="0"/>
              </w:rPr>
              <w:t>Develop comprehensive national contingency plans and supporting operational procedures, and test through a national simulation exercise</w:t>
            </w:r>
            <w:r>
              <w:rPr>
                <w:rStyle w:val="Strong"/>
                <w:b w:val="0"/>
                <w:bCs w:val="0"/>
              </w:rPr>
              <w:t>.</w:t>
            </w:r>
          </w:p>
          <w:p w14:paraId="15A37D53" w14:textId="3718E450" w:rsidR="003B5961" w:rsidRDefault="003B5961" w:rsidP="00280FAA">
            <w:pPr>
              <w:pStyle w:val="TableText"/>
              <w:rPr>
                <w:rStyle w:val="Strong"/>
                <w:b w:val="0"/>
                <w:bCs w:val="0"/>
              </w:rPr>
            </w:pPr>
            <w:r w:rsidRPr="00E72202">
              <w:rPr>
                <w:rStyle w:val="Strong"/>
              </w:rPr>
              <w:t>Expected benefit and outcome:</w:t>
            </w:r>
            <w:r>
              <w:rPr>
                <w:rStyle w:val="Strong"/>
              </w:rPr>
              <w:t xml:space="preserve"> </w:t>
            </w:r>
            <w:r w:rsidRPr="006E760B">
              <w:rPr>
                <w:rStyle w:val="Strong"/>
                <w:b w:val="0"/>
                <w:bCs w:val="0"/>
              </w:rPr>
              <w:t xml:space="preserve">To increase Australia’s response capability in relation to an incursion by </w:t>
            </w:r>
            <w:r w:rsidRPr="00011B18">
              <w:rPr>
                <w:rStyle w:val="Strong"/>
                <w:b w:val="0"/>
                <w:bCs w:val="0"/>
                <w:i/>
                <w:iCs/>
              </w:rPr>
              <w:t>Xylella fastidiosa</w:t>
            </w:r>
            <w:r w:rsidRPr="006E760B">
              <w:rPr>
                <w:rStyle w:val="Strong"/>
                <w:b w:val="0"/>
                <w:bCs w:val="0"/>
              </w:rPr>
              <w:t xml:space="preserve"> through our capacity to rapidly implement a national contingency plan and operational procedures</w:t>
            </w:r>
            <w:r>
              <w:rPr>
                <w:rStyle w:val="Strong"/>
                <w:b w:val="0"/>
                <w:bCs w:val="0"/>
              </w:rPr>
              <w:t>.</w:t>
            </w:r>
          </w:p>
          <w:p w14:paraId="50FB9565" w14:textId="4BDAEDA2" w:rsidR="003B5961" w:rsidRDefault="003B5961" w:rsidP="00280FAA">
            <w:pPr>
              <w:pStyle w:val="TableText"/>
            </w:pPr>
            <w:r w:rsidRPr="006E760B">
              <w:t>Initiate project(s) to develop a comprehensive national contingency plan for eradication covering all industries and the environment and supporting operational procedures.</w:t>
            </w:r>
          </w:p>
          <w:p w14:paraId="3C0B86A2" w14:textId="3E00C294" w:rsidR="003B5961" w:rsidRPr="00AA2A13" w:rsidRDefault="003B5961" w:rsidP="00280FAA">
            <w:pPr>
              <w:pStyle w:val="TableText"/>
              <w:rPr>
                <w:szCs w:val="18"/>
              </w:rPr>
            </w:pPr>
            <w:r w:rsidRPr="00E72202">
              <w:rPr>
                <w:rStyle w:val="Strong"/>
              </w:rPr>
              <w:t>Priority:</w:t>
            </w:r>
            <w:r>
              <w:rPr>
                <w:szCs w:val="18"/>
              </w:rPr>
              <w:t xml:space="preserve"> high</w:t>
            </w:r>
          </w:p>
          <w:p w14:paraId="2138D882" w14:textId="17E73695" w:rsidR="003B5961" w:rsidRPr="00EA74C1" w:rsidRDefault="003B5961" w:rsidP="00280FAA">
            <w:pPr>
              <w:pStyle w:val="TableText"/>
            </w:pPr>
            <w:r w:rsidRPr="00E72202">
              <w:rPr>
                <w:rStyle w:val="Strong"/>
              </w:rPr>
              <w:t>Time frame:</w:t>
            </w:r>
            <w:r>
              <w:rPr>
                <w:szCs w:val="18"/>
              </w:rPr>
              <w:t xml:space="preserve"> short</w:t>
            </w:r>
            <w:r w:rsidRPr="00AA2A13">
              <w:rPr>
                <w:szCs w:val="18"/>
              </w:rPr>
              <w:t xml:space="preserve"> term</w:t>
            </w:r>
          </w:p>
        </w:tc>
        <w:tc>
          <w:tcPr>
            <w:tcW w:w="886" w:type="pct"/>
            <w:tcMar>
              <w:left w:w="108" w:type="dxa"/>
              <w:bottom w:w="28" w:type="dxa"/>
              <w:right w:w="108" w:type="dxa"/>
            </w:tcMar>
          </w:tcPr>
          <w:p w14:paraId="1CD6BD09" w14:textId="17539508" w:rsidR="003B5961" w:rsidRPr="00B76CB9" w:rsidRDefault="003B5961" w:rsidP="00280FAA">
            <w:pPr>
              <w:pStyle w:val="TableText"/>
              <w:tabs>
                <w:tab w:val="left" w:pos="464"/>
              </w:tabs>
              <w:rPr>
                <w:rFonts w:cstheme="minorHAnsi"/>
                <w:szCs w:val="18"/>
              </w:rPr>
            </w:pPr>
            <w:r w:rsidRPr="00B76CB9">
              <w:rPr>
                <w:rFonts w:cstheme="minorHAnsi"/>
                <w:szCs w:val="18"/>
              </w:rPr>
              <w:t>3.1.1</w:t>
            </w:r>
            <w:r w:rsidR="00D6108A">
              <w:rPr>
                <w:rFonts w:cstheme="minorHAnsi"/>
                <w:szCs w:val="18"/>
              </w:rPr>
              <w:t xml:space="preserve"> C</w:t>
            </w:r>
            <w:r w:rsidR="00D6108A" w:rsidRPr="00B76CB9">
              <w:rPr>
                <w:rFonts w:cstheme="minorHAnsi"/>
                <w:szCs w:val="18"/>
              </w:rPr>
              <w:t>onduct a gap analysis of the National Priority Plant Pests</w:t>
            </w:r>
          </w:p>
        </w:tc>
        <w:tc>
          <w:tcPr>
            <w:tcW w:w="1365" w:type="pct"/>
            <w:shd w:val="clear" w:color="auto" w:fill="C6D9F1" w:themeFill="text2" w:themeFillTint="33"/>
            <w:tcMar>
              <w:left w:w="108" w:type="dxa"/>
              <w:bottom w:w="28" w:type="dxa"/>
              <w:right w:w="108" w:type="dxa"/>
            </w:tcMar>
          </w:tcPr>
          <w:p w14:paraId="0863BE06" w14:textId="7C891218" w:rsidR="003B5961" w:rsidRPr="00B76CB9" w:rsidRDefault="003B5961" w:rsidP="00280FAA">
            <w:pPr>
              <w:pStyle w:val="TableText"/>
              <w:rPr>
                <w:rFonts w:cstheme="minorHAnsi"/>
                <w:szCs w:val="18"/>
              </w:rPr>
            </w:pPr>
            <w:r w:rsidRPr="00B76CB9">
              <w:rPr>
                <w:rFonts w:cstheme="minorHAnsi"/>
                <w:szCs w:val="18"/>
              </w:rPr>
              <w:t>On</w:t>
            </w:r>
            <w:r w:rsidR="00340160">
              <w:rPr>
                <w:rFonts w:cstheme="minorHAnsi"/>
                <w:szCs w:val="18"/>
              </w:rPr>
              <w:t>going</w:t>
            </w:r>
            <w:r w:rsidRPr="00B76CB9">
              <w:rPr>
                <w:rFonts w:cstheme="minorHAnsi"/>
                <w:szCs w:val="18"/>
              </w:rPr>
              <w:t xml:space="preserve"> – business as usual</w:t>
            </w:r>
          </w:p>
          <w:p w14:paraId="43E984EB" w14:textId="028EFCF9" w:rsidR="00F10B93" w:rsidRDefault="00F10B93" w:rsidP="00011B18">
            <w:pPr>
              <w:pStyle w:val="TableText"/>
              <w:tabs>
                <w:tab w:val="left" w:pos="464"/>
              </w:tabs>
              <w:rPr>
                <w:rFonts w:cstheme="minorHAnsi"/>
                <w:szCs w:val="18"/>
              </w:rPr>
            </w:pPr>
            <w:r w:rsidRPr="00B76CB9">
              <w:rPr>
                <w:rFonts w:cstheme="minorHAnsi"/>
                <w:szCs w:val="18"/>
              </w:rPr>
              <w:t>Plant Health Committee’s Plant Biosecurity Preparedness Working Group conducted a gap analysis of the National Priority Plant Pests and identified gaps in preparedness for future work.</w:t>
            </w:r>
          </w:p>
          <w:p w14:paraId="751EB285" w14:textId="4D51D942" w:rsidR="003B5961" w:rsidRPr="00B76CB9" w:rsidRDefault="003B5961" w:rsidP="00280FAA">
            <w:pPr>
              <w:pStyle w:val="TableText"/>
              <w:rPr>
                <w:rFonts w:cstheme="minorHAnsi"/>
                <w:szCs w:val="18"/>
              </w:rPr>
            </w:pPr>
            <w:r w:rsidRPr="00B76CB9">
              <w:rPr>
                <w:rFonts w:cstheme="minorHAnsi"/>
                <w:szCs w:val="18"/>
                <w:lang w:eastAsia="ja-JP"/>
              </w:rPr>
              <w:t>Limited activities during 2022 while a decision on the ongoing working group was made. It was agreed the working group would continue in late 2022 and therefore activities are expected to re-commence in 2023</w:t>
            </w:r>
            <w:r w:rsidR="000D4C52" w:rsidRPr="00B76CB9">
              <w:rPr>
                <w:rFonts w:cstheme="minorHAnsi"/>
                <w:szCs w:val="18"/>
                <w:lang w:eastAsia="ja-JP"/>
              </w:rPr>
              <w:t xml:space="preserve">. </w:t>
            </w:r>
          </w:p>
        </w:tc>
        <w:tc>
          <w:tcPr>
            <w:tcW w:w="538" w:type="pct"/>
            <w:tcMar>
              <w:left w:w="108" w:type="dxa"/>
              <w:bottom w:w="28" w:type="dxa"/>
              <w:right w:w="108" w:type="dxa"/>
            </w:tcMar>
          </w:tcPr>
          <w:p w14:paraId="35B3979F" w14:textId="5BA3D38B" w:rsidR="003B5961" w:rsidRPr="00D218F7" w:rsidRDefault="003B5961" w:rsidP="00280FAA">
            <w:pPr>
              <w:pStyle w:val="TableText"/>
            </w:pPr>
            <w:r>
              <w:t>PBPWG</w:t>
            </w:r>
          </w:p>
        </w:tc>
        <w:tc>
          <w:tcPr>
            <w:tcW w:w="769" w:type="pct"/>
            <w:tcMar>
              <w:left w:w="108" w:type="dxa"/>
              <w:bottom w:w="28" w:type="dxa"/>
              <w:right w:w="108" w:type="dxa"/>
            </w:tcMar>
          </w:tcPr>
          <w:p w14:paraId="45CC799D" w14:textId="77330E83" w:rsidR="003B5961" w:rsidRPr="000407B5" w:rsidRDefault="00B9177B" w:rsidP="00280FAA">
            <w:pPr>
              <w:pStyle w:val="TableText"/>
            </w:pPr>
            <w:r>
              <w:t xml:space="preserve">Not applicable </w:t>
            </w:r>
          </w:p>
        </w:tc>
        <w:tc>
          <w:tcPr>
            <w:tcW w:w="577" w:type="pct"/>
            <w:tcMar>
              <w:left w:w="108" w:type="dxa"/>
              <w:bottom w:w="28" w:type="dxa"/>
              <w:right w:w="108" w:type="dxa"/>
            </w:tcMar>
          </w:tcPr>
          <w:p w14:paraId="2CB91559" w14:textId="58089D61" w:rsidR="003B5961" w:rsidRDefault="00BC222E" w:rsidP="00BC222E">
            <w:pPr>
              <w:pStyle w:val="TableText"/>
            </w:pPr>
            <w:r>
              <w:t>Informed by many other action areas</w:t>
            </w:r>
          </w:p>
          <w:p w14:paraId="5062677B" w14:textId="5D8A7B5C" w:rsidR="003B140F" w:rsidRPr="00C22748" w:rsidRDefault="003B140F" w:rsidP="00BC222E">
            <w:pPr>
              <w:pStyle w:val="TableText"/>
            </w:pPr>
            <w:r>
              <w:t>Relates to action 3.2</w:t>
            </w:r>
          </w:p>
        </w:tc>
      </w:tr>
      <w:tr w:rsidR="002365BD" w:rsidRPr="00013AE2" w14:paraId="12A63EDB" w14:textId="77777777" w:rsidTr="000724BC">
        <w:trPr>
          <w:trHeight w:val="1215"/>
        </w:trPr>
        <w:tc>
          <w:tcPr>
            <w:tcW w:w="866" w:type="pct"/>
            <w:vMerge/>
            <w:tcMar>
              <w:bottom w:w="28" w:type="dxa"/>
            </w:tcMar>
          </w:tcPr>
          <w:p w14:paraId="3C084F6A" w14:textId="77777777" w:rsidR="003B5961" w:rsidRPr="007B0473" w:rsidRDefault="003B5961" w:rsidP="00EF0CFA">
            <w:pPr>
              <w:pStyle w:val="TableText"/>
              <w:rPr>
                <w:rStyle w:val="Strong"/>
              </w:rPr>
            </w:pPr>
          </w:p>
        </w:tc>
        <w:tc>
          <w:tcPr>
            <w:tcW w:w="886" w:type="pct"/>
            <w:tcMar>
              <w:left w:w="108" w:type="dxa"/>
              <w:bottom w:w="28" w:type="dxa"/>
              <w:right w:w="108" w:type="dxa"/>
            </w:tcMar>
          </w:tcPr>
          <w:p w14:paraId="25DB6EE6" w14:textId="11EC8C19" w:rsidR="003B5961" w:rsidRPr="00B76CB9" w:rsidRDefault="003B5961" w:rsidP="00EF0CFA">
            <w:pPr>
              <w:pStyle w:val="TableText"/>
              <w:tabs>
                <w:tab w:val="left" w:pos="464"/>
              </w:tabs>
              <w:rPr>
                <w:rFonts w:cstheme="minorHAnsi"/>
                <w:szCs w:val="18"/>
              </w:rPr>
            </w:pPr>
            <w:r w:rsidRPr="00B76CB9">
              <w:rPr>
                <w:rFonts w:cstheme="minorHAnsi"/>
                <w:szCs w:val="18"/>
              </w:rPr>
              <w:t xml:space="preserve">3.1.2 </w:t>
            </w:r>
            <w:r w:rsidR="00D6108A" w:rsidRPr="00B76CB9">
              <w:rPr>
                <w:rFonts w:cstheme="minorHAnsi"/>
                <w:szCs w:val="18"/>
              </w:rPr>
              <w:t xml:space="preserve">Hold a national </w:t>
            </w:r>
            <w:r w:rsidR="00437EFD">
              <w:rPr>
                <w:rFonts w:cstheme="minorHAnsi"/>
                <w:szCs w:val="18"/>
              </w:rPr>
              <w:t xml:space="preserve">xylella </w:t>
            </w:r>
            <w:r w:rsidR="000112BD">
              <w:rPr>
                <w:rFonts w:cstheme="minorHAnsi"/>
                <w:szCs w:val="18"/>
              </w:rPr>
              <w:t>simulation</w:t>
            </w:r>
            <w:r w:rsidR="00D6108A">
              <w:rPr>
                <w:rFonts w:cstheme="minorHAnsi"/>
                <w:szCs w:val="18"/>
              </w:rPr>
              <w:t xml:space="preserve"> </w:t>
            </w:r>
            <w:r w:rsidR="00D6108A" w:rsidRPr="00B76CB9">
              <w:rPr>
                <w:rFonts w:cstheme="minorHAnsi"/>
                <w:szCs w:val="18"/>
              </w:rPr>
              <w:t>workshop</w:t>
            </w:r>
          </w:p>
        </w:tc>
        <w:tc>
          <w:tcPr>
            <w:tcW w:w="1365" w:type="pct"/>
            <w:shd w:val="clear" w:color="auto" w:fill="F2DBDB"/>
            <w:tcMar>
              <w:left w:w="108" w:type="dxa"/>
              <w:bottom w:w="28" w:type="dxa"/>
              <w:right w:w="108" w:type="dxa"/>
            </w:tcMar>
          </w:tcPr>
          <w:p w14:paraId="6AF28670" w14:textId="723AD168" w:rsidR="003B5961" w:rsidRDefault="00E93DF0" w:rsidP="00EF0CFA">
            <w:pPr>
              <w:pStyle w:val="TableText"/>
            </w:pPr>
            <w:r w:rsidRPr="00E93DF0">
              <w:t>Pending – project to commence</w:t>
            </w:r>
            <w:r w:rsidR="00125E88">
              <w:t xml:space="preserve"> when funding available</w:t>
            </w:r>
          </w:p>
          <w:p w14:paraId="552240AE" w14:textId="77777777" w:rsidR="00D6108A" w:rsidRDefault="00D6108A" w:rsidP="00D6108A">
            <w:pPr>
              <w:pStyle w:val="TableText"/>
              <w:rPr>
                <w:rFonts w:cstheme="minorHAnsi"/>
                <w:szCs w:val="18"/>
              </w:rPr>
            </w:pPr>
            <w:r>
              <w:rPr>
                <w:rFonts w:cstheme="minorHAnsi"/>
                <w:szCs w:val="18"/>
              </w:rPr>
              <w:t>This workshop will</w:t>
            </w:r>
            <w:r w:rsidRPr="00B76CB9">
              <w:rPr>
                <w:rFonts w:cstheme="minorHAnsi"/>
                <w:szCs w:val="18"/>
              </w:rPr>
              <w:t xml:space="preserve"> develop a range of scenarios and reach agreement on key eradication and management decisions, such as buffer zones for containment, host free periods, destruction zones and strengthen the biosecurity capability of primary producers including in relation to Xylella.</w:t>
            </w:r>
          </w:p>
          <w:p w14:paraId="6E3A3BC7" w14:textId="0B8D7AAC" w:rsidR="003B5961" w:rsidRPr="00B76CB9" w:rsidRDefault="003B5961" w:rsidP="00EF0CFA">
            <w:pPr>
              <w:pStyle w:val="TableText"/>
              <w:rPr>
                <w:rFonts w:cstheme="minorHAnsi"/>
                <w:szCs w:val="18"/>
              </w:rPr>
            </w:pPr>
            <w:r w:rsidRPr="00B76CB9">
              <w:rPr>
                <w:rFonts w:cstheme="minorHAnsi"/>
                <w:szCs w:val="18"/>
              </w:rPr>
              <w:t>A project proposal has been created and a suitable supplier is being sought to deliver a national simulation workshop, with representation from government, industry and environmental stakeholders.</w:t>
            </w:r>
          </w:p>
        </w:tc>
        <w:tc>
          <w:tcPr>
            <w:tcW w:w="538" w:type="pct"/>
            <w:tcMar>
              <w:left w:w="108" w:type="dxa"/>
              <w:bottom w:w="28" w:type="dxa"/>
              <w:right w:w="108" w:type="dxa"/>
            </w:tcMar>
          </w:tcPr>
          <w:p w14:paraId="4B143369" w14:textId="60568E45" w:rsidR="003B5961" w:rsidRDefault="00B75F02" w:rsidP="00EF0CFA">
            <w:pPr>
              <w:pStyle w:val="TableText"/>
            </w:pPr>
            <w:r w:rsidRPr="005935DE">
              <w:t xml:space="preserve"> To be determined</w:t>
            </w:r>
          </w:p>
        </w:tc>
        <w:tc>
          <w:tcPr>
            <w:tcW w:w="769" w:type="pct"/>
            <w:tcMar>
              <w:left w:w="108" w:type="dxa"/>
              <w:bottom w:w="28" w:type="dxa"/>
              <w:right w:w="108" w:type="dxa"/>
            </w:tcMar>
          </w:tcPr>
          <w:p w14:paraId="61050F32" w14:textId="1EA1EB7A" w:rsidR="003B5961" w:rsidRPr="00F44C27" w:rsidRDefault="00B9177B" w:rsidP="00EF0CFA">
            <w:pPr>
              <w:pStyle w:val="TableText"/>
            </w:pPr>
            <w:r>
              <w:t xml:space="preserve">Not applicable </w:t>
            </w:r>
          </w:p>
        </w:tc>
        <w:tc>
          <w:tcPr>
            <w:tcW w:w="577" w:type="pct"/>
            <w:tcMar>
              <w:left w:w="108" w:type="dxa"/>
              <w:bottom w:w="28" w:type="dxa"/>
              <w:right w:w="108" w:type="dxa"/>
            </w:tcMar>
          </w:tcPr>
          <w:p w14:paraId="1A24D904" w14:textId="2F4C2A8E" w:rsidR="003B5961" w:rsidRPr="004D04AB" w:rsidRDefault="00B9177B" w:rsidP="00011B18">
            <w:pPr>
              <w:pStyle w:val="TableBullet1"/>
              <w:numPr>
                <w:ilvl w:val="0"/>
                <w:numId w:val="0"/>
              </w:numPr>
              <w:ind w:left="284" w:hanging="284"/>
            </w:pPr>
            <w:r>
              <w:t xml:space="preserve">Not applicable </w:t>
            </w:r>
          </w:p>
        </w:tc>
      </w:tr>
      <w:tr w:rsidR="00BC3C67" w:rsidRPr="00013AE2" w14:paraId="683FD623" w14:textId="77777777" w:rsidTr="006E5D7F">
        <w:trPr>
          <w:trHeight w:val="957"/>
        </w:trPr>
        <w:tc>
          <w:tcPr>
            <w:tcW w:w="866" w:type="pct"/>
            <w:vMerge/>
            <w:tcMar>
              <w:bottom w:w="28" w:type="dxa"/>
            </w:tcMar>
          </w:tcPr>
          <w:p w14:paraId="1265C843" w14:textId="77777777" w:rsidR="003B5961" w:rsidRPr="007B0473" w:rsidRDefault="003B5961" w:rsidP="00EF0CFA">
            <w:pPr>
              <w:pStyle w:val="TableText"/>
              <w:rPr>
                <w:rStyle w:val="Strong"/>
              </w:rPr>
            </w:pPr>
          </w:p>
        </w:tc>
        <w:tc>
          <w:tcPr>
            <w:tcW w:w="886" w:type="pct"/>
            <w:tcMar>
              <w:left w:w="108" w:type="dxa"/>
              <w:bottom w:w="28" w:type="dxa"/>
              <w:right w:w="108" w:type="dxa"/>
            </w:tcMar>
          </w:tcPr>
          <w:p w14:paraId="65C06D4E" w14:textId="739CE15A" w:rsidR="003B5961" w:rsidRPr="00B76CB9" w:rsidRDefault="003B5961" w:rsidP="00EF0CFA">
            <w:pPr>
              <w:pStyle w:val="TableText"/>
              <w:tabs>
                <w:tab w:val="left" w:pos="464"/>
              </w:tabs>
              <w:rPr>
                <w:rFonts w:cstheme="minorHAnsi"/>
                <w:szCs w:val="18"/>
              </w:rPr>
            </w:pPr>
            <w:r w:rsidRPr="00B76CB9">
              <w:rPr>
                <w:rFonts w:cstheme="minorHAnsi"/>
                <w:szCs w:val="18"/>
              </w:rPr>
              <w:t>3.1.3</w:t>
            </w:r>
            <w:r w:rsidR="00BA2C02">
              <w:rPr>
                <w:rFonts w:cstheme="minorHAnsi"/>
                <w:szCs w:val="18"/>
              </w:rPr>
              <w:t xml:space="preserve"> Develop an Emergency Coordination Plan for the Australian wine sector</w:t>
            </w:r>
          </w:p>
        </w:tc>
        <w:tc>
          <w:tcPr>
            <w:tcW w:w="1365" w:type="pct"/>
            <w:shd w:val="clear" w:color="auto" w:fill="DEF0C2"/>
            <w:tcMar>
              <w:left w:w="108" w:type="dxa"/>
              <w:bottom w:w="28" w:type="dxa"/>
              <w:right w:w="108" w:type="dxa"/>
            </w:tcMar>
          </w:tcPr>
          <w:p w14:paraId="6A8E9F1A" w14:textId="6EBA02B9" w:rsidR="00F10B93" w:rsidRDefault="003B5961" w:rsidP="00EF0CFA">
            <w:pPr>
              <w:pStyle w:val="TableText"/>
            </w:pPr>
            <w:r>
              <w:t>Completed – project finished</w:t>
            </w:r>
          </w:p>
          <w:p w14:paraId="36B1DFC8" w14:textId="77777777" w:rsidR="003B5961" w:rsidRDefault="00F10B93" w:rsidP="00EF0CFA">
            <w:pPr>
              <w:pStyle w:val="TableText"/>
              <w:rPr>
                <w:rFonts w:cstheme="minorHAnsi"/>
                <w:szCs w:val="18"/>
              </w:rPr>
            </w:pPr>
            <w:r w:rsidRPr="00B76CB9">
              <w:rPr>
                <w:rFonts w:cstheme="minorHAnsi"/>
                <w:szCs w:val="18"/>
              </w:rPr>
              <w:t xml:space="preserve">An Emergency Coordination Plan for the Australian </w:t>
            </w:r>
            <w:r>
              <w:rPr>
                <w:rFonts w:cstheme="minorHAnsi"/>
                <w:szCs w:val="18"/>
              </w:rPr>
              <w:t>w</w:t>
            </w:r>
            <w:r w:rsidRPr="00B76CB9">
              <w:rPr>
                <w:rFonts w:cstheme="minorHAnsi"/>
                <w:szCs w:val="18"/>
              </w:rPr>
              <w:t xml:space="preserve">ine </w:t>
            </w:r>
            <w:r>
              <w:rPr>
                <w:rFonts w:cstheme="minorHAnsi"/>
                <w:szCs w:val="18"/>
              </w:rPr>
              <w:t>s</w:t>
            </w:r>
            <w:r w:rsidRPr="00B76CB9">
              <w:rPr>
                <w:rFonts w:cstheme="minorHAnsi"/>
                <w:szCs w:val="18"/>
              </w:rPr>
              <w:t xml:space="preserve">ector has been developed to engage the various national, state and regional wine industry organisations to meet and enhance EPPRD responsibilities and engagement with Control Centres. Further work to identify and train Industry Liaison Officers has been completed to support this and is supplemented </w:t>
            </w:r>
            <w:r w:rsidRPr="00B76CB9">
              <w:rPr>
                <w:rFonts w:cstheme="minorHAnsi"/>
                <w:szCs w:val="18"/>
              </w:rPr>
              <w:lastRenderedPageBreak/>
              <w:t>by a reference guide for Industry Liaison Officers.</w:t>
            </w:r>
          </w:p>
          <w:p w14:paraId="222E47AB" w14:textId="6322822C" w:rsidR="00E03721" w:rsidRPr="00627794" w:rsidRDefault="00437EFD" w:rsidP="00EF0CFA">
            <w:pPr>
              <w:pStyle w:val="TableText"/>
            </w:pPr>
            <w:r>
              <w:t xml:space="preserve">The </w:t>
            </w:r>
            <w:r w:rsidR="00DB561E">
              <w:t xml:space="preserve">National Xylella Coordinator position </w:t>
            </w:r>
            <w:r w:rsidR="00864B0B">
              <w:t>ha</w:t>
            </w:r>
            <w:r w:rsidR="00DB561E">
              <w:t>s finished</w:t>
            </w:r>
            <w:r>
              <w:t>.</w:t>
            </w:r>
          </w:p>
        </w:tc>
        <w:tc>
          <w:tcPr>
            <w:tcW w:w="538" w:type="pct"/>
            <w:tcMar>
              <w:left w:w="108" w:type="dxa"/>
              <w:bottom w:w="28" w:type="dxa"/>
              <w:right w:w="108" w:type="dxa"/>
            </w:tcMar>
          </w:tcPr>
          <w:p w14:paraId="64802809" w14:textId="329A7659" w:rsidR="003B5961" w:rsidRPr="00627794" w:rsidRDefault="003B5961" w:rsidP="00EF0CFA">
            <w:pPr>
              <w:pStyle w:val="TableText"/>
            </w:pPr>
            <w:r>
              <w:lastRenderedPageBreak/>
              <w:t>Commonwealth (PPEBD)</w:t>
            </w:r>
          </w:p>
        </w:tc>
        <w:tc>
          <w:tcPr>
            <w:tcW w:w="769" w:type="pct"/>
            <w:tcMar>
              <w:left w:w="108" w:type="dxa"/>
              <w:bottom w:w="28" w:type="dxa"/>
              <w:right w:w="108" w:type="dxa"/>
            </w:tcMar>
          </w:tcPr>
          <w:p w14:paraId="238CD4F6" w14:textId="43ACD495" w:rsidR="003B5961" w:rsidRPr="00627794" w:rsidRDefault="009143AB" w:rsidP="00EF0CFA">
            <w:pPr>
              <w:pStyle w:val="TableText"/>
            </w:pPr>
            <w:r>
              <w:t>Not applicable</w:t>
            </w:r>
          </w:p>
        </w:tc>
        <w:tc>
          <w:tcPr>
            <w:tcW w:w="577" w:type="pct"/>
            <w:tcMar>
              <w:left w:w="108" w:type="dxa"/>
              <w:bottom w:w="28" w:type="dxa"/>
              <w:right w:w="108" w:type="dxa"/>
            </w:tcMar>
          </w:tcPr>
          <w:p w14:paraId="6CD2A639" w14:textId="46A46CFF" w:rsidR="003B5961" w:rsidRPr="004D04AB" w:rsidRDefault="009143AB" w:rsidP="00EF0CFA">
            <w:pPr>
              <w:pStyle w:val="TableText"/>
            </w:pPr>
            <w:r>
              <w:t>Not applicable</w:t>
            </w:r>
          </w:p>
        </w:tc>
      </w:tr>
      <w:tr w:rsidR="002365BD" w:rsidRPr="00013AE2" w14:paraId="2765F4B7" w14:textId="77777777" w:rsidTr="000724BC">
        <w:trPr>
          <w:trHeight w:val="1215"/>
        </w:trPr>
        <w:tc>
          <w:tcPr>
            <w:tcW w:w="866" w:type="pct"/>
            <w:vMerge/>
            <w:tcMar>
              <w:bottom w:w="28" w:type="dxa"/>
            </w:tcMar>
          </w:tcPr>
          <w:p w14:paraId="23FF91BF" w14:textId="77777777" w:rsidR="003B5961" w:rsidRPr="007B0473" w:rsidRDefault="003B5961" w:rsidP="00EF0CFA">
            <w:pPr>
              <w:pStyle w:val="TableText"/>
              <w:rPr>
                <w:rStyle w:val="Strong"/>
              </w:rPr>
            </w:pPr>
          </w:p>
        </w:tc>
        <w:tc>
          <w:tcPr>
            <w:tcW w:w="886" w:type="pct"/>
            <w:tcMar>
              <w:left w:w="108" w:type="dxa"/>
              <w:bottom w:w="28" w:type="dxa"/>
              <w:right w:w="108" w:type="dxa"/>
            </w:tcMar>
          </w:tcPr>
          <w:p w14:paraId="1E8706FC" w14:textId="3AC5B3AE" w:rsidR="007D59FB" w:rsidRPr="007D59FB" w:rsidRDefault="003B5961" w:rsidP="00EF0CFA">
            <w:pPr>
              <w:pStyle w:val="TableText"/>
              <w:tabs>
                <w:tab w:val="left" w:pos="464"/>
              </w:tabs>
              <w:rPr>
                <w:rFonts w:cstheme="minorHAnsi"/>
                <w:szCs w:val="18"/>
              </w:rPr>
            </w:pPr>
            <w:r w:rsidRPr="00B76CB9">
              <w:rPr>
                <w:rFonts w:cstheme="minorHAnsi"/>
                <w:szCs w:val="18"/>
              </w:rPr>
              <w:t xml:space="preserve">3.1.4 </w:t>
            </w:r>
            <w:r w:rsidR="007D59FB" w:rsidRPr="00B76CB9">
              <w:rPr>
                <w:rFonts w:cstheme="minorHAnsi"/>
                <w:szCs w:val="18"/>
              </w:rPr>
              <w:t xml:space="preserve">Streamlining </w:t>
            </w:r>
            <w:r w:rsidR="00437EFD" w:rsidRPr="00B76CB9">
              <w:rPr>
                <w:rFonts w:cstheme="minorHAnsi"/>
                <w:szCs w:val="18"/>
              </w:rPr>
              <w:t>plant pest contingency plans</w:t>
            </w:r>
          </w:p>
        </w:tc>
        <w:tc>
          <w:tcPr>
            <w:tcW w:w="1365" w:type="pct"/>
            <w:shd w:val="clear" w:color="auto" w:fill="FDF4C7"/>
            <w:tcMar>
              <w:left w:w="108" w:type="dxa"/>
              <w:bottom w:w="28" w:type="dxa"/>
              <w:right w:w="108" w:type="dxa"/>
            </w:tcMar>
          </w:tcPr>
          <w:p w14:paraId="2A615494" w14:textId="4D8E1D86" w:rsidR="00F10B93" w:rsidRDefault="003B5961" w:rsidP="00EF0CFA">
            <w:pPr>
              <w:pStyle w:val="TableText"/>
            </w:pPr>
            <w:r>
              <w:t>On track – project commenced</w:t>
            </w:r>
          </w:p>
          <w:p w14:paraId="3D23A6AC" w14:textId="3B7D050F" w:rsidR="003B5961" w:rsidRPr="00627794" w:rsidRDefault="007D59FB" w:rsidP="00EF0CFA">
            <w:pPr>
              <w:pStyle w:val="TableText"/>
            </w:pPr>
            <w:r>
              <w:rPr>
                <w:rFonts w:cstheme="minorHAnsi"/>
                <w:szCs w:val="18"/>
              </w:rPr>
              <w:t>This</w:t>
            </w:r>
            <w:r w:rsidRPr="00B76CB9">
              <w:rPr>
                <w:rFonts w:cstheme="minorHAnsi"/>
                <w:szCs w:val="18"/>
              </w:rPr>
              <w:t xml:space="preserve"> project will deliver a nationally agreed approach to the contingency planning framework that will allow EPPRD members to select the modules from a full contingency plan template that is relevant to a response to a particular plant pest. </w:t>
            </w:r>
            <w:r w:rsidRPr="00B76CB9">
              <w:rPr>
                <w:rFonts w:cstheme="minorHAnsi"/>
                <w:i/>
                <w:iCs/>
                <w:szCs w:val="18"/>
              </w:rPr>
              <w:t xml:space="preserve">Xylella fastidiosa </w:t>
            </w:r>
            <w:r w:rsidRPr="00B76CB9">
              <w:rPr>
                <w:rFonts w:cstheme="minorHAnsi"/>
                <w:szCs w:val="18"/>
              </w:rPr>
              <w:t>is being used in a pilot case study for the project and to update the existing</w:t>
            </w:r>
            <w:r w:rsidRPr="00B76CB9">
              <w:rPr>
                <w:rFonts w:cstheme="minorHAnsi"/>
                <w:i/>
                <w:iCs/>
                <w:szCs w:val="18"/>
              </w:rPr>
              <w:t xml:space="preserve"> </w:t>
            </w:r>
            <w:r w:rsidR="00437EFD" w:rsidRPr="009F70A1">
              <w:rPr>
                <w:rFonts w:cstheme="minorHAnsi"/>
                <w:szCs w:val="18"/>
              </w:rPr>
              <w:t>xylella</w:t>
            </w:r>
            <w:r w:rsidR="00437EFD" w:rsidRPr="00B76CB9">
              <w:rPr>
                <w:rFonts w:cstheme="minorHAnsi"/>
                <w:szCs w:val="18"/>
              </w:rPr>
              <w:t xml:space="preserve"> contingency plan</w:t>
            </w:r>
            <w:r w:rsidRPr="00B76CB9">
              <w:rPr>
                <w:rFonts w:cstheme="minorHAnsi"/>
                <w:szCs w:val="18"/>
              </w:rPr>
              <w:t>.</w:t>
            </w:r>
            <w:r>
              <w:rPr>
                <w:rFonts w:cstheme="minorHAnsi"/>
                <w:szCs w:val="18"/>
              </w:rPr>
              <w:t xml:space="preserve"> </w:t>
            </w:r>
            <w:r w:rsidR="003B5961" w:rsidRPr="00B76CB9">
              <w:t xml:space="preserve">Approval process for revisions to be confirmed by PHC. At the 6 December 2022 forum it was suggested that a transition to management component may need to be considered for inclusion in the </w:t>
            </w:r>
            <w:r w:rsidR="00437EFD" w:rsidRPr="00B76CB9">
              <w:t>xylella contingency plan.</w:t>
            </w:r>
            <w:r w:rsidR="00437EFD">
              <w:rPr>
                <w:rFonts w:cstheme="minorHAnsi"/>
                <w:szCs w:val="18"/>
              </w:rPr>
              <w:t xml:space="preserve"> </w:t>
            </w:r>
          </w:p>
        </w:tc>
        <w:tc>
          <w:tcPr>
            <w:tcW w:w="538" w:type="pct"/>
            <w:tcMar>
              <w:left w:w="108" w:type="dxa"/>
              <w:bottom w:w="28" w:type="dxa"/>
              <w:right w:w="108" w:type="dxa"/>
            </w:tcMar>
          </w:tcPr>
          <w:p w14:paraId="1BBDE602" w14:textId="669AF235" w:rsidR="003B5961" w:rsidRPr="00627794" w:rsidRDefault="003B5961" w:rsidP="00EF0CFA">
            <w:pPr>
              <w:pStyle w:val="TableText"/>
            </w:pPr>
            <w:r>
              <w:t>Jurisdiction</w:t>
            </w:r>
          </w:p>
        </w:tc>
        <w:tc>
          <w:tcPr>
            <w:tcW w:w="769" w:type="pct"/>
            <w:tcMar>
              <w:left w:w="108" w:type="dxa"/>
              <w:bottom w:w="28" w:type="dxa"/>
              <w:right w:w="108" w:type="dxa"/>
            </w:tcMar>
          </w:tcPr>
          <w:p w14:paraId="5F2DA62E" w14:textId="429EB3F1" w:rsidR="003B5961" w:rsidRPr="00627794" w:rsidRDefault="009143AB" w:rsidP="00EF0CFA">
            <w:pPr>
              <w:pStyle w:val="TableText"/>
            </w:pPr>
            <w:r>
              <w:t>Not applicable</w:t>
            </w:r>
          </w:p>
        </w:tc>
        <w:tc>
          <w:tcPr>
            <w:tcW w:w="577" w:type="pct"/>
            <w:tcMar>
              <w:left w:w="108" w:type="dxa"/>
              <w:bottom w:w="28" w:type="dxa"/>
              <w:right w:w="108" w:type="dxa"/>
            </w:tcMar>
          </w:tcPr>
          <w:p w14:paraId="754D092D" w14:textId="72B595BC" w:rsidR="003B5961" w:rsidRPr="004D04AB" w:rsidRDefault="009143AB" w:rsidP="00EF0CFA">
            <w:pPr>
              <w:pStyle w:val="TableText"/>
            </w:pPr>
            <w:r>
              <w:t xml:space="preserve">Not applicable </w:t>
            </w:r>
          </w:p>
        </w:tc>
      </w:tr>
      <w:tr w:rsidR="002365BD" w:rsidRPr="00013AE2" w14:paraId="576506B2" w14:textId="77777777" w:rsidTr="000724BC">
        <w:trPr>
          <w:trHeight w:val="1215"/>
        </w:trPr>
        <w:tc>
          <w:tcPr>
            <w:tcW w:w="866" w:type="pct"/>
            <w:vMerge/>
            <w:tcMar>
              <w:bottom w:w="28" w:type="dxa"/>
            </w:tcMar>
          </w:tcPr>
          <w:p w14:paraId="58DBFC5A" w14:textId="77777777" w:rsidR="003B5961" w:rsidRPr="007B0473" w:rsidRDefault="003B5961" w:rsidP="00EF0CFA">
            <w:pPr>
              <w:pStyle w:val="TableText"/>
              <w:rPr>
                <w:rStyle w:val="Strong"/>
              </w:rPr>
            </w:pPr>
          </w:p>
        </w:tc>
        <w:tc>
          <w:tcPr>
            <w:tcW w:w="886" w:type="pct"/>
            <w:tcMar>
              <w:left w:w="108" w:type="dxa"/>
              <w:bottom w:w="28" w:type="dxa"/>
              <w:right w:w="108" w:type="dxa"/>
            </w:tcMar>
          </w:tcPr>
          <w:p w14:paraId="0A6CE90F" w14:textId="51C4BD00" w:rsidR="003B5961" w:rsidRPr="00B76CB9" w:rsidRDefault="003B5961" w:rsidP="00EF0CFA">
            <w:pPr>
              <w:pStyle w:val="TableText"/>
              <w:tabs>
                <w:tab w:val="left" w:pos="464"/>
              </w:tabs>
              <w:rPr>
                <w:rFonts w:cstheme="minorHAnsi"/>
                <w:szCs w:val="18"/>
              </w:rPr>
            </w:pPr>
            <w:r w:rsidRPr="00B76CB9">
              <w:rPr>
                <w:rFonts w:cstheme="minorHAnsi"/>
                <w:szCs w:val="18"/>
              </w:rPr>
              <w:t xml:space="preserve">3.1.5 Evaluate information gathering and communication processes for an industry association as per their EPPRD responsibilities (under a </w:t>
            </w:r>
            <w:r w:rsidR="00437EFD" w:rsidRPr="00B76CB9">
              <w:rPr>
                <w:rFonts w:cstheme="minorHAnsi"/>
                <w:szCs w:val="18"/>
              </w:rPr>
              <w:t xml:space="preserve">xylella </w:t>
            </w:r>
            <w:r w:rsidRPr="00B76CB9">
              <w:rPr>
                <w:rFonts w:cstheme="minorHAnsi"/>
                <w:szCs w:val="18"/>
              </w:rPr>
              <w:t>scenario)</w:t>
            </w:r>
          </w:p>
        </w:tc>
        <w:tc>
          <w:tcPr>
            <w:tcW w:w="1365" w:type="pct"/>
            <w:shd w:val="clear" w:color="auto" w:fill="DEF0C2"/>
            <w:tcMar>
              <w:left w:w="108" w:type="dxa"/>
              <w:bottom w:w="28" w:type="dxa"/>
              <w:right w:w="108" w:type="dxa"/>
            </w:tcMar>
          </w:tcPr>
          <w:p w14:paraId="4D273968" w14:textId="79910C09" w:rsidR="003B5961" w:rsidRDefault="003B5961" w:rsidP="00EF0CFA">
            <w:pPr>
              <w:pStyle w:val="TableText"/>
            </w:pPr>
            <w:r>
              <w:t xml:space="preserve">Completed – project </w:t>
            </w:r>
            <w:r w:rsidR="00340160">
              <w:t>finished</w:t>
            </w:r>
            <w:r w:rsidR="00864B0B">
              <w:t xml:space="preserve"> </w:t>
            </w:r>
          </w:p>
          <w:p w14:paraId="23E0E1CB" w14:textId="4C87A2AA" w:rsidR="003B5961" w:rsidRDefault="003B5961" w:rsidP="00EF0CFA">
            <w:pPr>
              <w:pStyle w:val="TableText"/>
            </w:pPr>
            <w:r w:rsidRPr="00B76CB9">
              <w:t>Two</w:t>
            </w:r>
            <w:r w:rsidR="00864B0B">
              <w:t>-</w:t>
            </w:r>
            <w:r w:rsidRPr="00B76CB9">
              <w:t>day exercise conducted with Australian Olive Association in 2022 reviewing organisational preparedness and considering key issues re capability and capacity to provide industry liaison officers and input into response planning and communications.</w:t>
            </w:r>
          </w:p>
          <w:p w14:paraId="0F358831" w14:textId="44601D52" w:rsidR="002670A6" w:rsidRPr="00627794" w:rsidRDefault="00437EFD" w:rsidP="00EF0CFA">
            <w:pPr>
              <w:pStyle w:val="TableText"/>
            </w:pPr>
            <w:r>
              <w:t xml:space="preserve">The </w:t>
            </w:r>
            <w:r w:rsidR="002670A6">
              <w:t xml:space="preserve">National Xylella Coordinator position </w:t>
            </w:r>
            <w:r w:rsidR="00864B0B">
              <w:t>ha</w:t>
            </w:r>
            <w:r w:rsidR="002670A6">
              <w:t>s finished.</w:t>
            </w:r>
          </w:p>
        </w:tc>
        <w:tc>
          <w:tcPr>
            <w:tcW w:w="538" w:type="pct"/>
            <w:tcMar>
              <w:left w:w="108" w:type="dxa"/>
              <w:bottom w:w="28" w:type="dxa"/>
              <w:right w:w="108" w:type="dxa"/>
            </w:tcMar>
          </w:tcPr>
          <w:p w14:paraId="13B68BEE" w14:textId="5D82AC11" w:rsidR="003B5961" w:rsidRPr="00627794" w:rsidRDefault="003B5961" w:rsidP="00EF0CFA">
            <w:pPr>
              <w:pStyle w:val="TableText"/>
            </w:pPr>
          </w:p>
        </w:tc>
        <w:tc>
          <w:tcPr>
            <w:tcW w:w="769" w:type="pct"/>
            <w:tcMar>
              <w:left w:w="108" w:type="dxa"/>
              <w:bottom w:w="28" w:type="dxa"/>
              <w:right w:w="108" w:type="dxa"/>
            </w:tcMar>
          </w:tcPr>
          <w:p w14:paraId="5D22F1EA" w14:textId="2EA9DDB0" w:rsidR="003B5961" w:rsidRPr="00627794" w:rsidRDefault="009143AB" w:rsidP="00EF0CFA">
            <w:pPr>
              <w:pStyle w:val="TableText"/>
            </w:pPr>
            <w:r>
              <w:t>Not applicable</w:t>
            </w:r>
          </w:p>
        </w:tc>
        <w:tc>
          <w:tcPr>
            <w:tcW w:w="577" w:type="pct"/>
            <w:tcMar>
              <w:left w:w="108" w:type="dxa"/>
              <w:bottom w:w="28" w:type="dxa"/>
              <w:right w:w="108" w:type="dxa"/>
            </w:tcMar>
          </w:tcPr>
          <w:p w14:paraId="20A790A6" w14:textId="5E71DFD6" w:rsidR="003B5961" w:rsidRPr="004D04AB" w:rsidRDefault="009143AB" w:rsidP="00EF0CFA">
            <w:pPr>
              <w:pStyle w:val="TableText"/>
            </w:pPr>
            <w:r>
              <w:t>Not applicable</w:t>
            </w:r>
          </w:p>
        </w:tc>
      </w:tr>
      <w:tr w:rsidR="002365BD" w:rsidRPr="00013AE2" w14:paraId="3A52B7AC" w14:textId="77777777" w:rsidTr="00474CEC">
        <w:trPr>
          <w:trHeight w:val="1215"/>
        </w:trPr>
        <w:tc>
          <w:tcPr>
            <w:tcW w:w="866" w:type="pct"/>
            <w:vMerge/>
            <w:tcMar>
              <w:bottom w:w="28" w:type="dxa"/>
            </w:tcMar>
          </w:tcPr>
          <w:p w14:paraId="0AC4106A" w14:textId="77777777" w:rsidR="003B5961" w:rsidRPr="007B0473" w:rsidRDefault="003B5961" w:rsidP="00EF0CFA">
            <w:pPr>
              <w:pStyle w:val="TableText"/>
              <w:rPr>
                <w:rStyle w:val="Strong"/>
              </w:rPr>
            </w:pPr>
          </w:p>
        </w:tc>
        <w:tc>
          <w:tcPr>
            <w:tcW w:w="886" w:type="pct"/>
            <w:tcMar>
              <w:left w:w="108" w:type="dxa"/>
              <w:bottom w:w="28" w:type="dxa"/>
              <w:right w:w="108" w:type="dxa"/>
            </w:tcMar>
          </w:tcPr>
          <w:p w14:paraId="1EB6701A" w14:textId="0D4DCC10" w:rsidR="003B5961" w:rsidRPr="00B76CB9" w:rsidRDefault="003B5961" w:rsidP="00EF0CFA">
            <w:pPr>
              <w:pStyle w:val="TableText"/>
              <w:tabs>
                <w:tab w:val="left" w:pos="464"/>
              </w:tabs>
              <w:rPr>
                <w:rFonts w:cstheme="minorHAnsi"/>
                <w:szCs w:val="18"/>
              </w:rPr>
            </w:pPr>
            <w:r w:rsidRPr="00B76CB9">
              <w:rPr>
                <w:rFonts w:cstheme="minorHAnsi"/>
                <w:szCs w:val="18"/>
              </w:rPr>
              <w:t xml:space="preserve">3.1.6 Exercise to test arrangements to induct and deploy personnel without a plant/horticulture background into surveillance roles under a </w:t>
            </w:r>
            <w:r w:rsidR="00437EFD" w:rsidRPr="00B76CB9">
              <w:rPr>
                <w:rFonts w:cstheme="minorHAnsi"/>
                <w:szCs w:val="18"/>
              </w:rPr>
              <w:t xml:space="preserve">xylella </w:t>
            </w:r>
            <w:r w:rsidRPr="00B76CB9">
              <w:rPr>
                <w:rFonts w:cstheme="minorHAnsi"/>
                <w:szCs w:val="18"/>
              </w:rPr>
              <w:t>scenario</w:t>
            </w:r>
          </w:p>
        </w:tc>
        <w:tc>
          <w:tcPr>
            <w:tcW w:w="1365" w:type="pct"/>
            <w:shd w:val="clear" w:color="auto" w:fill="F2DBDB" w:themeFill="accent2" w:themeFillTint="33"/>
            <w:tcMar>
              <w:left w:w="108" w:type="dxa"/>
              <w:bottom w:w="28" w:type="dxa"/>
              <w:right w:w="108" w:type="dxa"/>
            </w:tcMar>
          </w:tcPr>
          <w:p w14:paraId="5EDF497D" w14:textId="753E3881" w:rsidR="003B5961" w:rsidRPr="00B76CB9" w:rsidRDefault="00474CEC" w:rsidP="00EF0CFA">
            <w:pPr>
              <w:pStyle w:val="TableText"/>
              <w:rPr>
                <w:rFonts w:cstheme="minorHAnsi"/>
                <w:szCs w:val="18"/>
              </w:rPr>
            </w:pPr>
            <w:r>
              <w:rPr>
                <w:rFonts w:cstheme="minorHAnsi"/>
                <w:szCs w:val="18"/>
              </w:rPr>
              <w:t>Pending</w:t>
            </w:r>
          </w:p>
          <w:p w14:paraId="57F754C2" w14:textId="3651A8F5" w:rsidR="003B5961" w:rsidRPr="00B76CB9" w:rsidRDefault="003B5961" w:rsidP="00EF0CFA">
            <w:pPr>
              <w:pStyle w:val="TableText"/>
              <w:rPr>
                <w:rFonts w:cstheme="minorHAnsi"/>
                <w:szCs w:val="18"/>
              </w:rPr>
            </w:pPr>
            <w:r w:rsidRPr="00B76CB9">
              <w:rPr>
                <w:rFonts w:cstheme="minorHAnsi"/>
                <w:szCs w:val="18"/>
              </w:rPr>
              <w:t>Was planned with Agriculture Victoria</w:t>
            </w:r>
            <w:r w:rsidR="00864B0B">
              <w:rPr>
                <w:rFonts w:cstheme="minorHAnsi"/>
                <w:szCs w:val="18"/>
              </w:rPr>
              <w:t>;</w:t>
            </w:r>
            <w:r w:rsidRPr="00B76CB9">
              <w:rPr>
                <w:rFonts w:cstheme="minorHAnsi"/>
                <w:szCs w:val="18"/>
              </w:rPr>
              <w:t xml:space="preserve"> however</w:t>
            </w:r>
            <w:r w:rsidR="00864B0B">
              <w:rPr>
                <w:rFonts w:cstheme="minorHAnsi"/>
                <w:szCs w:val="18"/>
              </w:rPr>
              <w:t>,</w:t>
            </w:r>
            <w:r w:rsidRPr="00B76CB9">
              <w:rPr>
                <w:rFonts w:cstheme="minorHAnsi"/>
                <w:szCs w:val="18"/>
              </w:rPr>
              <w:t xml:space="preserve"> the pandemic and repeated biosecurity responses limited the ability of </w:t>
            </w:r>
            <w:r w:rsidR="009F26B1" w:rsidRPr="00AA1E1E">
              <w:rPr>
                <w:rFonts w:cstheme="minorHAnsi"/>
                <w:szCs w:val="18"/>
              </w:rPr>
              <w:t>Agriculture Victoria</w:t>
            </w:r>
            <w:r w:rsidRPr="00B76CB9">
              <w:rPr>
                <w:rFonts w:cstheme="minorHAnsi"/>
                <w:szCs w:val="18"/>
              </w:rPr>
              <w:t xml:space="preserve"> to contribute or commit and the project was not continued (as per 4.2.1).</w:t>
            </w:r>
          </w:p>
        </w:tc>
        <w:tc>
          <w:tcPr>
            <w:tcW w:w="538" w:type="pct"/>
            <w:tcMar>
              <w:left w:w="108" w:type="dxa"/>
              <w:bottom w:w="28" w:type="dxa"/>
              <w:right w:w="108" w:type="dxa"/>
            </w:tcMar>
          </w:tcPr>
          <w:p w14:paraId="467B82F9" w14:textId="631CBE9E" w:rsidR="003B5961" w:rsidRPr="00627794" w:rsidRDefault="003B5961" w:rsidP="00EF0CFA">
            <w:pPr>
              <w:pStyle w:val="TableText"/>
            </w:pPr>
            <w:r>
              <w:t>National Xylella Coordinator</w:t>
            </w:r>
          </w:p>
        </w:tc>
        <w:tc>
          <w:tcPr>
            <w:tcW w:w="769" w:type="pct"/>
            <w:tcMar>
              <w:left w:w="108" w:type="dxa"/>
              <w:bottom w:w="28" w:type="dxa"/>
              <w:right w:w="108" w:type="dxa"/>
            </w:tcMar>
          </w:tcPr>
          <w:p w14:paraId="0B5C64E6" w14:textId="664D94B2" w:rsidR="003B5961" w:rsidRPr="00627794" w:rsidRDefault="009143AB" w:rsidP="00EF0CFA">
            <w:pPr>
              <w:pStyle w:val="TableText"/>
            </w:pPr>
            <w:r>
              <w:t>Not applicable</w:t>
            </w:r>
          </w:p>
        </w:tc>
        <w:tc>
          <w:tcPr>
            <w:tcW w:w="577" w:type="pct"/>
            <w:tcMar>
              <w:left w:w="108" w:type="dxa"/>
              <w:bottom w:w="28" w:type="dxa"/>
              <w:right w:w="108" w:type="dxa"/>
            </w:tcMar>
          </w:tcPr>
          <w:p w14:paraId="7297883E" w14:textId="3EEBDD57" w:rsidR="003B5961" w:rsidRPr="004D04AB" w:rsidRDefault="009143AB" w:rsidP="00EF0CFA">
            <w:pPr>
              <w:pStyle w:val="TableText"/>
            </w:pPr>
            <w:r>
              <w:t>Not applicable</w:t>
            </w:r>
          </w:p>
        </w:tc>
      </w:tr>
      <w:tr w:rsidR="002365BD" w:rsidRPr="00013AE2" w14:paraId="64EC9885" w14:textId="77777777" w:rsidTr="000724BC">
        <w:trPr>
          <w:trHeight w:val="1215"/>
        </w:trPr>
        <w:tc>
          <w:tcPr>
            <w:tcW w:w="866" w:type="pct"/>
            <w:vMerge/>
            <w:tcMar>
              <w:bottom w:w="28" w:type="dxa"/>
            </w:tcMar>
          </w:tcPr>
          <w:p w14:paraId="7C7BE58E" w14:textId="77777777" w:rsidR="003B5961" w:rsidRPr="007B0473" w:rsidRDefault="003B5961" w:rsidP="00EF0CFA">
            <w:pPr>
              <w:pStyle w:val="TableText"/>
              <w:rPr>
                <w:rStyle w:val="Strong"/>
              </w:rPr>
            </w:pPr>
          </w:p>
        </w:tc>
        <w:tc>
          <w:tcPr>
            <w:tcW w:w="886" w:type="pct"/>
            <w:tcMar>
              <w:left w:w="108" w:type="dxa"/>
              <w:bottom w:w="28" w:type="dxa"/>
              <w:right w:w="108" w:type="dxa"/>
            </w:tcMar>
          </w:tcPr>
          <w:p w14:paraId="382265AF" w14:textId="6F0AAA5E" w:rsidR="003B5961" w:rsidRPr="00B76CB9" w:rsidRDefault="003B5961" w:rsidP="00EF0CFA">
            <w:pPr>
              <w:pStyle w:val="TableText"/>
              <w:tabs>
                <w:tab w:val="left" w:pos="464"/>
              </w:tabs>
              <w:rPr>
                <w:rFonts w:cstheme="minorHAnsi"/>
                <w:szCs w:val="18"/>
              </w:rPr>
            </w:pPr>
            <w:r w:rsidRPr="00B76CB9">
              <w:rPr>
                <w:rFonts w:cstheme="minorHAnsi"/>
                <w:szCs w:val="18"/>
              </w:rPr>
              <w:t>3.1.7 Workshop to examine the lessons learnt from overseas vector control and containment efforts</w:t>
            </w:r>
          </w:p>
        </w:tc>
        <w:tc>
          <w:tcPr>
            <w:tcW w:w="1365" w:type="pct"/>
            <w:shd w:val="clear" w:color="auto" w:fill="FDF4C7"/>
            <w:tcMar>
              <w:left w:w="108" w:type="dxa"/>
              <w:bottom w:w="28" w:type="dxa"/>
              <w:right w:w="108" w:type="dxa"/>
            </w:tcMar>
          </w:tcPr>
          <w:p w14:paraId="50B8B8AD" w14:textId="308A5810" w:rsidR="003B5961" w:rsidRDefault="003B5961" w:rsidP="00EF0CFA">
            <w:pPr>
              <w:pStyle w:val="TableText"/>
            </w:pPr>
            <w:r>
              <w:t>On trac</w:t>
            </w:r>
            <w:r w:rsidR="00003455">
              <w:t>k</w:t>
            </w:r>
            <w:r>
              <w:t xml:space="preserve"> – project commenced</w:t>
            </w:r>
          </w:p>
          <w:p w14:paraId="27A7198A" w14:textId="77777777" w:rsidR="003B5961" w:rsidRDefault="003B5961" w:rsidP="00EF0CFA">
            <w:pPr>
              <w:pStyle w:val="TableText"/>
              <w:rPr>
                <w:rFonts w:cstheme="minorHAnsi"/>
                <w:szCs w:val="18"/>
              </w:rPr>
            </w:pPr>
            <w:r w:rsidRPr="00B76CB9">
              <w:rPr>
                <w:rFonts w:cstheme="minorHAnsi"/>
                <w:szCs w:val="18"/>
              </w:rPr>
              <w:t>Planned to be held in conjunction with the Hem</w:t>
            </w:r>
            <w:r w:rsidR="00734C34">
              <w:rPr>
                <w:rFonts w:cstheme="minorHAnsi"/>
                <w:szCs w:val="18"/>
              </w:rPr>
              <w:t>i</w:t>
            </w:r>
            <w:r w:rsidRPr="00B76CB9">
              <w:rPr>
                <w:rFonts w:cstheme="minorHAnsi"/>
                <w:szCs w:val="18"/>
              </w:rPr>
              <w:t>pteran Plant Interactions Symposium in December 2022.</w:t>
            </w:r>
          </w:p>
          <w:p w14:paraId="1AA3C71D" w14:textId="5A413195" w:rsidR="002670A6" w:rsidRPr="00B76CB9" w:rsidRDefault="00437EFD" w:rsidP="00EF0CFA">
            <w:pPr>
              <w:pStyle w:val="TableText"/>
              <w:rPr>
                <w:rFonts w:cstheme="minorHAnsi"/>
                <w:szCs w:val="18"/>
              </w:rPr>
            </w:pPr>
            <w:r>
              <w:rPr>
                <w:rFonts w:cstheme="minorHAnsi"/>
                <w:szCs w:val="18"/>
              </w:rPr>
              <w:t xml:space="preserve">The </w:t>
            </w:r>
            <w:r w:rsidR="002670A6">
              <w:rPr>
                <w:rFonts w:cstheme="minorHAnsi"/>
                <w:szCs w:val="18"/>
              </w:rPr>
              <w:t xml:space="preserve">National Xylella Coordinator position </w:t>
            </w:r>
            <w:r w:rsidR="00864B0B">
              <w:rPr>
                <w:rFonts w:cstheme="minorHAnsi"/>
                <w:szCs w:val="18"/>
              </w:rPr>
              <w:t>ha</w:t>
            </w:r>
            <w:r w:rsidR="002670A6">
              <w:rPr>
                <w:rFonts w:cstheme="minorHAnsi"/>
                <w:szCs w:val="18"/>
              </w:rPr>
              <w:t xml:space="preserve">s finished. </w:t>
            </w:r>
          </w:p>
        </w:tc>
        <w:tc>
          <w:tcPr>
            <w:tcW w:w="538" w:type="pct"/>
            <w:tcMar>
              <w:left w:w="108" w:type="dxa"/>
              <w:bottom w:w="28" w:type="dxa"/>
              <w:right w:w="108" w:type="dxa"/>
            </w:tcMar>
          </w:tcPr>
          <w:p w14:paraId="181A6387" w14:textId="7C0ACFA4" w:rsidR="003B5961" w:rsidRPr="00627794" w:rsidRDefault="003B5961" w:rsidP="00EF0CFA">
            <w:pPr>
              <w:pStyle w:val="TableText"/>
            </w:pPr>
            <w:r>
              <w:t xml:space="preserve">Wine Australia </w:t>
            </w:r>
          </w:p>
        </w:tc>
        <w:tc>
          <w:tcPr>
            <w:tcW w:w="769" w:type="pct"/>
            <w:tcMar>
              <w:left w:w="108" w:type="dxa"/>
              <w:bottom w:w="28" w:type="dxa"/>
              <w:right w:w="108" w:type="dxa"/>
            </w:tcMar>
          </w:tcPr>
          <w:p w14:paraId="4768EA2A" w14:textId="2D9BDF72" w:rsidR="003B5961" w:rsidRPr="00627794" w:rsidRDefault="009143AB" w:rsidP="00EF0CFA">
            <w:pPr>
              <w:pStyle w:val="TableText"/>
            </w:pPr>
            <w:r>
              <w:t>Not applicable</w:t>
            </w:r>
          </w:p>
        </w:tc>
        <w:tc>
          <w:tcPr>
            <w:tcW w:w="577" w:type="pct"/>
            <w:tcMar>
              <w:left w:w="108" w:type="dxa"/>
              <w:bottom w:w="28" w:type="dxa"/>
              <w:right w:w="108" w:type="dxa"/>
            </w:tcMar>
          </w:tcPr>
          <w:p w14:paraId="1EEC28F9" w14:textId="49FE1FD2" w:rsidR="003B5961" w:rsidRPr="004D04AB" w:rsidRDefault="009143AB" w:rsidP="00EF0CFA">
            <w:pPr>
              <w:pStyle w:val="TableText"/>
            </w:pPr>
            <w:r>
              <w:t>Not applicable</w:t>
            </w:r>
          </w:p>
        </w:tc>
      </w:tr>
      <w:tr w:rsidR="002365BD" w:rsidRPr="00013AE2" w14:paraId="1070A8DE" w14:textId="77777777" w:rsidTr="000724BC">
        <w:trPr>
          <w:trHeight w:val="1215"/>
        </w:trPr>
        <w:tc>
          <w:tcPr>
            <w:tcW w:w="866" w:type="pct"/>
            <w:vMerge/>
            <w:tcMar>
              <w:bottom w:w="28" w:type="dxa"/>
            </w:tcMar>
          </w:tcPr>
          <w:p w14:paraId="214FE418" w14:textId="77777777" w:rsidR="003B5961" w:rsidRPr="007B0473" w:rsidRDefault="003B5961" w:rsidP="00EF0CFA">
            <w:pPr>
              <w:pStyle w:val="TableText"/>
              <w:rPr>
                <w:rStyle w:val="Strong"/>
              </w:rPr>
            </w:pPr>
          </w:p>
        </w:tc>
        <w:tc>
          <w:tcPr>
            <w:tcW w:w="886" w:type="pct"/>
            <w:tcMar>
              <w:left w:w="108" w:type="dxa"/>
              <w:bottom w:w="28" w:type="dxa"/>
              <w:right w:w="108" w:type="dxa"/>
            </w:tcMar>
          </w:tcPr>
          <w:p w14:paraId="10EE3BC5" w14:textId="5941E163" w:rsidR="003B5961" w:rsidRPr="00B76CB9" w:rsidRDefault="000112BD" w:rsidP="00EF0CFA">
            <w:pPr>
              <w:pStyle w:val="TableText"/>
              <w:tabs>
                <w:tab w:val="left" w:pos="464"/>
              </w:tabs>
              <w:rPr>
                <w:rFonts w:cstheme="minorHAnsi"/>
                <w:szCs w:val="18"/>
              </w:rPr>
            </w:pPr>
            <w:r w:rsidRPr="00B76CB9">
              <w:rPr>
                <w:rFonts w:cstheme="minorHAnsi"/>
                <w:szCs w:val="18"/>
              </w:rPr>
              <w:t xml:space="preserve">3.1.8 </w:t>
            </w:r>
            <w:r>
              <w:rPr>
                <w:rFonts w:cstheme="minorHAnsi"/>
                <w:szCs w:val="18"/>
              </w:rPr>
              <w:t>Hold</w:t>
            </w:r>
            <w:r w:rsidR="00F2409C">
              <w:rPr>
                <w:rFonts w:cstheme="minorHAnsi"/>
                <w:szCs w:val="18"/>
              </w:rPr>
              <w:t xml:space="preserve"> n</w:t>
            </w:r>
            <w:r w:rsidR="00F2409C" w:rsidRPr="00B76CB9">
              <w:rPr>
                <w:rFonts w:cstheme="minorHAnsi"/>
                <w:szCs w:val="18"/>
              </w:rPr>
              <w:t>ational exercise for the wine sector</w:t>
            </w:r>
          </w:p>
        </w:tc>
        <w:tc>
          <w:tcPr>
            <w:tcW w:w="1365" w:type="pct"/>
            <w:shd w:val="clear" w:color="auto" w:fill="DEF0C2"/>
            <w:tcMar>
              <w:left w:w="108" w:type="dxa"/>
              <w:bottom w:w="28" w:type="dxa"/>
              <w:right w:w="108" w:type="dxa"/>
            </w:tcMar>
          </w:tcPr>
          <w:p w14:paraId="01F60135" w14:textId="6EAB5E5C" w:rsidR="003B5961" w:rsidRDefault="003B5961" w:rsidP="00EF0CFA">
            <w:pPr>
              <w:pStyle w:val="TableText"/>
              <w:rPr>
                <w:rFonts w:cstheme="minorHAnsi"/>
                <w:szCs w:val="18"/>
              </w:rPr>
            </w:pPr>
            <w:r w:rsidRPr="00B76CB9">
              <w:rPr>
                <w:rFonts w:cstheme="minorHAnsi"/>
                <w:szCs w:val="18"/>
              </w:rPr>
              <w:t>Completed – project finished</w:t>
            </w:r>
          </w:p>
          <w:p w14:paraId="621E61DC" w14:textId="485E636D" w:rsidR="00F2409C" w:rsidRPr="00B76CB9" w:rsidRDefault="00F2409C" w:rsidP="00EF0CFA">
            <w:pPr>
              <w:pStyle w:val="TableText"/>
              <w:rPr>
                <w:rFonts w:cstheme="minorHAnsi"/>
                <w:szCs w:val="18"/>
              </w:rPr>
            </w:pPr>
            <w:r>
              <w:rPr>
                <w:rFonts w:cstheme="minorHAnsi"/>
                <w:szCs w:val="18"/>
              </w:rPr>
              <w:t>N</w:t>
            </w:r>
            <w:r w:rsidRPr="00B76CB9">
              <w:rPr>
                <w:rFonts w:cstheme="minorHAnsi"/>
                <w:szCs w:val="18"/>
              </w:rPr>
              <w:t xml:space="preserve">ational exercise </w:t>
            </w:r>
            <w:r>
              <w:rPr>
                <w:rFonts w:cstheme="minorHAnsi"/>
                <w:szCs w:val="18"/>
              </w:rPr>
              <w:t xml:space="preserve">held </w:t>
            </w:r>
            <w:r w:rsidRPr="00B76CB9">
              <w:rPr>
                <w:rFonts w:cstheme="minorHAnsi"/>
                <w:szCs w:val="18"/>
              </w:rPr>
              <w:t>in 2021 for the wine sector</w:t>
            </w:r>
            <w:r>
              <w:rPr>
                <w:rFonts w:cstheme="minorHAnsi"/>
                <w:szCs w:val="18"/>
              </w:rPr>
              <w:t xml:space="preserve"> held over three days</w:t>
            </w:r>
            <w:r w:rsidRPr="00B76CB9">
              <w:rPr>
                <w:rFonts w:cstheme="minorHAnsi"/>
                <w:szCs w:val="18"/>
              </w:rPr>
              <w:t>.</w:t>
            </w:r>
          </w:p>
          <w:p w14:paraId="23544957" w14:textId="545BB8DE" w:rsidR="003B5961" w:rsidRDefault="00F2409C" w:rsidP="00EF0CFA">
            <w:pPr>
              <w:pStyle w:val="TableText"/>
              <w:rPr>
                <w:rFonts w:cstheme="minorHAnsi"/>
                <w:szCs w:val="18"/>
              </w:rPr>
            </w:pPr>
            <w:r>
              <w:rPr>
                <w:rFonts w:cstheme="minorHAnsi"/>
                <w:szCs w:val="18"/>
              </w:rPr>
              <w:t xml:space="preserve">Held </w:t>
            </w:r>
            <w:r w:rsidR="003B5961" w:rsidRPr="00B76CB9">
              <w:rPr>
                <w:rFonts w:cstheme="minorHAnsi"/>
                <w:szCs w:val="18"/>
              </w:rPr>
              <w:t xml:space="preserve">a series of smaller </w:t>
            </w:r>
            <w:r w:rsidR="003C764D">
              <w:rPr>
                <w:rFonts w:cstheme="minorHAnsi"/>
                <w:szCs w:val="18"/>
              </w:rPr>
              <w:t>e</w:t>
            </w:r>
            <w:r w:rsidR="003B5961" w:rsidRPr="00B76CB9">
              <w:rPr>
                <w:rFonts w:cstheme="minorHAnsi"/>
                <w:szCs w:val="18"/>
              </w:rPr>
              <w:t>xercises as a component of the development of a Wine Industry Liaison Officer network. This will continue as a part of ongoing industry preparedness activities.</w:t>
            </w:r>
          </w:p>
          <w:p w14:paraId="1E77C03F" w14:textId="3BD8B75A" w:rsidR="002670A6" w:rsidRPr="00B76CB9" w:rsidRDefault="00437EFD" w:rsidP="00EF0CFA">
            <w:pPr>
              <w:pStyle w:val="TableText"/>
              <w:rPr>
                <w:rFonts w:cstheme="minorHAnsi"/>
                <w:szCs w:val="18"/>
              </w:rPr>
            </w:pPr>
            <w:r>
              <w:rPr>
                <w:rFonts w:cstheme="minorHAnsi"/>
                <w:szCs w:val="18"/>
              </w:rPr>
              <w:t xml:space="preserve">The </w:t>
            </w:r>
            <w:r w:rsidR="002670A6">
              <w:rPr>
                <w:rFonts w:cstheme="minorHAnsi"/>
                <w:szCs w:val="18"/>
              </w:rPr>
              <w:t xml:space="preserve">National Xylella Coordinator position </w:t>
            </w:r>
            <w:r w:rsidR="00864B0B">
              <w:rPr>
                <w:rFonts w:cstheme="minorHAnsi"/>
                <w:szCs w:val="18"/>
              </w:rPr>
              <w:t>ha</w:t>
            </w:r>
            <w:r w:rsidR="002670A6">
              <w:rPr>
                <w:rFonts w:cstheme="minorHAnsi"/>
                <w:szCs w:val="18"/>
              </w:rPr>
              <w:t xml:space="preserve">s finished. </w:t>
            </w:r>
          </w:p>
        </w:tc>
        <w:tc>
          <w:tcPr>
            <w:tcW w:w="538" w:type="pct"/>
            <w:tcMar>
              <w:left w:w="108" w:type="dxa"/>
              <w:bottom w:w="28" w:type="dxa"/>
              <w:right w:w="108" w:type="dxa"/>
            </w:tcMar>
          </w:tcPr>
          <w:p w14:paraId="7316F5E5" w14:textId="37FF50A1" w:rsidR="003B5961" w:rsidRPr="00627794" w:rsidRDefault="003B5961" w:rsidP="00EF0CFA">
            <w:pPr>
              <w:pStyle w:val="TableText"/>
            </w:pPr>
          </w:p>
        </w:tc>
        <w:tc>
          <w:tcPr>
            <w:tcW w:w="769" w:type="pct"/>
            <w:tcMar>
              <w:left w:w="108" w:type="dxa"/>
              <w:bottom w:w="28" w:type="dxa"/>
              <w:right w:w="108" w:type="dxa"/>
            </w:tcMar>
          </w:tcPr>
          <w:p w14:paraId="52E43732" w14:textId="7F49C23A" w:rsidR="003B5961" w:rsidRPr="00627794" w:rsidRDefault="009143AB" w:rsidP="00EF0CFA">
            <w:pPr>
              <w:pStyle w:val="TableText"/>
            </w:pPr>
            <w:r>
              <w:t xml:space="preserve">Not applicable </w:t>
            </w:r>
          </w:p>
        </w:tc>
        <w:tc>
          <w:tcPr>
            <w:tcW w:w="577" w:type="pct"/>
            <w:tcMar>
              <w:left w:w="108" w:type="dxa"/>
              <w:bottom w:w="28" w:type="dxa"/>
              <w:right w:w="108" w:type="dxa"/>
            </w:tcMar>
          </w:tcPr>
          <w:p w14:paraId="18264D50" w14:textId="70649584" w:rsidR="003B5961" w:rsidRPr="004D04AB" w:rsidRDefault="009143AB" w:rsidP="00EF0CFA">
            <w:pPr>
              <w:pStyle w:val="TableText"/>
            </w:pPr>
            <w:r>
              <w:t xml:space="preserve">Not applicable </w:t>
            </w:r>
          </w:p>
        </w:tc>
      </w:tr>
      <w:tr w:rsidR="002365BD" w:rsidRPr="00013AE2" w14:paraId="7A5EBE29" w14:textId="77777777" w:rsidTr="002E6321">
        <w:trPr>
          <w:trHeight w:val="1213"/>
        </w:trPr>
        <w:tc>
          <w:tcPr>
            <w:tcW w:w="866" w:type="pct"/>
            <w:vMerge w:val="restart"/>
            <w:tcMar>
              <w:bottom w:w="28" w:type="dxa"/>
            </w:tcMar>
          </w:tcPr>
          <w:p w14:paraId="39338E0E" w14:textId="540B27FA" w:rsidR="00100DAB" w:rsidRDefault="00FD0C7D" w:rsidP="00280FAA">
            <w:pPr>
              <w:pStyle w:val="TableText"/>
              <w:rPr>
                <w:rStyle w:val="Strong"/>
                <w:b w:val="0"/>
                <w:bCs w:val="0"/>
              </w:rPr>
            </w:pPr>
            <w:r>
              <w:rPr>
                <w:rStyle w:val="Strong"/>
              </w:rPr>
              <w:t>A</w:t>
            </w:r>
            <w:r w:rsidR="00100DAB">
              <w:rPr>
                <w:rStyle w:val="Strong"/>
              </w:rPr>
              <w:t xml:space="preserve">ction 3.2: </w:t>
            </w:r>
            <w:r w:rsidR="00100DAB" w:rsidRPr="00100DAB">
              <w:rPr>
                <w:rStyle w:val="Strong"/>
                <w:b w:val="0"/>
                <w:bCs w:val="0"/>
              </w:rPr>
              <w:t>Develop tools and systems to capture, store and analyse real-time surveillance, spatial and diagnostic data to support a response in the Australian context</w:t>
            </w:r>
          </w:p>
          <w:p w14:paraId="09DD88A1" w14:textId="34B4EDE6" w:rsidR="00100DAB" w:rsidRDefault="00100DAB" w:rsidP="00280FAA">
            <w:pPr>
              <w:pStyle w:val="TableText"/>
              <w:rPr>
                <w:rStyle w:val="Strong"/>
                <w:b w:val="0"/>
                <w:bCs w:val="0"/>
              </w:rPr>
            </w:pPr>
            <w:r w:rsidRPr="004D04AB">
              <w:rPr>
                <w:rStyle w:val="Strong"/>
              </w:rPr>
              <w:t>E</w:t>
            </w:r>
            <w:r>
              <w:rPr>
                <w:rStyle w:val="Strong"/>
              </w:rPr>
              <w:t xml:space="preserve">xpected benefit and outcome: </w:t>
            </w:r>
            <w:r w:rsidRPr="00100DAB">
              <w:rPr>
                <w:rStyle w:val="Strong"/>
                <w:b w:val="0"/>
                <w:bCs w:val="0"/>
              </w:rPr>
              <w:t xml:space="preserve">To increase Australia’s detection and response capability in relation to </w:t>
            </w:r>
            <w:r w:rsidRPr="00011B18">
              <w:rPr>
                <w:rStyle w:val="Strong"/>
                <w:b w:val="0"/>
                <w:bCs w:val="0"/>
                <w:i/>
                <w:iCs/>
              </w:rPr>
              <w:t>Xylella fastidiosa</w:t>
            </w:r>
            <w:r w:rsidRPr="00100DAB">
              <w:rPr>
                <w:rStyle w:val="Strong"/>
                <w:b w:val="0"/>
                <w:bCs w:val="0"/>
              </w:rPr>
              <w:t xml:space="preserve"> through the use of real-time surveillance tools and data best suited to Australian conditions.</w:t>
            </w:r>
          </w:p>
          <w:p w14:paraId="12CF3E4A" w14:textId="25EBEBF7" w:rsidR="00100DAB" w:rsidRDefault="00100DAB" w:rsidP="00280FAA">
            <w:pPr>
              <w:pStyle w:val="TableText"/>
              <w:rPr>
                <w:rStyle w:val="Strong"/>
              </w:rPr>
            </w:pPr>
            <w:r>
              <w:rPr>
                <w:rStyle w:val="Strong"/>
              </w:rPr>
              <w:t xml:space="preserve">Priority: </w:t>
            </w:r>
            <w:r w:rsidR="004F25EF" w:rsidRPr="004F25EF">
              <w:rPr>
                <w:rStyle w:val="Strong"/>
                <w:b w:val="0"/>
                <w:bCs w:val="0"/>
              </w:rPr>
              <w:t>medium</w:t>
            </w:r>
          </w:p>
          <w:p w14:paraId="33956065" w14:textId="6167B989" w:rsidR="00100DAB" w:rsidRPr="00C2627F" w:rsidRDefault="00100DAB" w:rsidP="00280FAA">
            <w:pPr>
              <w:pStyle w:val="TableText"/>
              <w:rPr>
                <w:rStyle w:val="Strong"/>
              </w:rPr>
            </w:pPr>
            <w:r>
              <w:rPr>
                <w:rStyle w:val="Strong"/>
              </w:rPr>
              <w:t xml:space="preserve">Time frame: </w:t>
            </w:r>
            <w:r w:rsidR="004F25EF" w:rsidRPr="004F25EF">
              <w:rPr>
                <w:rStyle w:val="Strong"/>
                <w:b w:val="0"/>
                <w:bCs w:val="0"/>
              </w:rPr>
              <w:t xml:space="preserve">medium </w:t>
            </w:r>
            <w:r w:rsidRPr="004D04AB">
              <w:rPr>
                <w:rStyle w:val="Strong"/>
                <w:b w:val="0"/>
                <w:bCs w:val="0"/>
              </w:rPr>
              <w:t>term</w:t>
            </w:r>
          </w:p>
        </w:tc>
        <w:tc>
          <w:tcPr>
            <w:tcW w:w="886" w:type="pct"/>
            <w:tcMar>
              <w:left w:w="108" w:type="dxa"/>
              <w:bottom w:w="28" w:type="dxa"/>
              <w:right w:w="108" w:type="dxa"/>
            </w:tcMar>
          </w:tcPr>
          <w:p w14:paraId="049FCF6C" w14:textId="58C51078" w:rsidR="00100DAB" w:rsidRDefault="00100DAB" w:rsidP="00280FAA">
            <w:pPr>
              <w:pStyle w:val="TableText"/>
              <w:tabs>
                <w:tab w:val="left" w:pos="464"/>
              </w:tabs>
            </w:pPr>
            <w:r>
              <w:t>3.2.1</w:t>
            </w:r>
            <w:r w:rsidR="00B03E7C">
              <w:t xml:space="preserve"> Standardise response system data</w:t>
            </w:r>
          </w:p>
        </w:tc>
        <w:tc>
          <w:tcPr>
            <w:tcW w:w="1365" w:type="pct"/>
            <w:shd w:val="clear" w:color="auto" w:fill="DEF0C2"/>
            <w:tcMar>
              <w:left w:w="108" w:type="dxa"/>
              <w:bottom w:w="28" w:type="dxa"/>
              <w:right w:w="108" w:type="dxa"/>
            </w:tcMar>
          </w:tcPr>
          <w:p w14:paraId="20AB6E46" w14:textId="1F7AE82E" w:rsidR="00100DAB" w:rsidRDefault="006B093D" w:rsidP="00280FAA">
            <w:pPr>
              <w:pStyle w:val="TableText"/>
            </w:pPr>
            <w:r>
              <w:t>Completed – project finished</w:t>
            </w:r>
          </w:p>
          <w:p w14:paraId="01E515B7" w14:textId="0CFFB864" w:rsidR="00466138" w:rsidRPr="00BC13C5" w:rsidRDefault="00466138" w:rsidP="00280FAA">
            <w:pPr>
              <w:pStyle w:val="TableText"/>
              <w:rPr>
                <w:shd w:val="clear" w:color="auto" w:fill="EEECE1" w:themeFill="background2"/>
              </w:rPr>
            </w:pPr>
            <w:r w:rsidRPr="00100DAB">
              <w:t>Jurisdictions have a variety of response systems used for biosecurity response, minimum data standards have been agreed and no further action is planned.</w:t>
            </w:r>
          </w:p>
        </w:tc>
        <w:tc>
          <w:tcPr>
            <w:tcW w:w="538" w:type="pct"/>
            <w:tcMar>
              <w:left w:w="108" w:type="dxa"/>
              <w:bottom w:w="28" w:type="dxa"/>
              <w:right w:w="108" w:type="dxa"/>
            </w:tcMar>
          </w:tcPr>
          <w:p w14:paraId="4C7EB8CA" w14:textId="645B54BA" w:rsidR="00100DAB" w:rsidRPr="00BC13C5" w:rsidRDefault="006B093D" w:rsidP="00280FAA">
            <w:pPr>
              <w:pStyle w:val="TableText"/>
              <w:rPr>
                <w:shd w:val="clear" w:color="auto" w:fill="EEECE1" w:themeFill="background2"/>
              </w:rPr>
            </w:pPr>
            <w:r>
              <w:t>Jurisdiction</w:t>
            </w:r>
            <w:r w:rsidR="0056113C">
              <w:t xml:space="preserve"> </w:t>
            </w:r>
          </w:p>
        </w:tc>
        <w:tc>
          <w:tcPr>
            <w:tcW w:w="769" w:type="pct"/>
            <w:tcMar>
              <w:left w:w="108" w:type="dxa"/>
              <w:bottom w:w="28" w:type="dxa"/>
              <w:right w:w="108" w:type="dxa"/>
            </w:tcMar>
          </w:tcPr>
          <w:p w14:paraId="3483F6C7" w14:textId="047A6F28" w:rsidR="00100DAB" w:rsidRPr="00011B18" w:rsidRDefault="009143AB" w:rsidP="009143AB">
            <w:pPr>
              <w:pStyle w:val="TableText"/>
            </w:pPr>
            <w:r w:rsidRPr="00011B18">
              <w:t xml:space="preserve">Not applicable </w:t>
            </w:r>
          </w:p>
        </w:tc>
        <w:tc>
          <w:tcPr>
            <w:tcW w:w="577" w:type="pct"/>
            <w:tcMar>
              <w:left w:w="108" w:type="dxa"/>
              <w:bottom w:w="28" w:type="dxa"/>
              <w:right w:w="108" w:type="dxa"/>
            </w:tcMar>
          </w:tcPr>
          <w:p w14:paraId="409DA20E" w14:textId="1B15BF96" w:rsidR="00100DAB" w:rsidRPr="00BC13C5" w:rsidRDefault="00BC222E" w:rsidP="000B57BC">
            <w:pPr>
              <w:pStyle w:val="TableText"/>
              <w:rPr>
                <w:shd w:val="clear" w:color="auto" w:fill="EEECE1" w:themeFill="background2"/>
              </w:rPr>
            </w:pPr>
            <w:r w:rsidRPr="00BC222E">
              <w:t>Informed by many other action areas</w:t>
            </w:r>
            <w:r>
              <w:rPr>
                <w:shd w:val="clear" w:color="auto" w:fill="EEECE1" w:themeFill="background2"/>
              </w:rPr>
              <w:t xml:space="preserve"> </w:t>
            </w:r>
          </w:p>
        </w:tc>
      </w:tr>
      <w:tr w:rsidR="002365BD" w:rsidRPr="00013AE2" w14:paraId="15938364" w14:textId="77777777" w:rsidTr="000724BC">
        <w:trPr>
          <w:trHeight w:val="810"/>
        </w:trPr>
        <w:tc>
          <w:tcPr>
            <w:tcW w:w="866" w:type="pct"/>
            <w:vMerge/>
            <w:tcMar>
              <w:bottom w:w="28" w:type="dxa"/>
            </w:tcMar>
          </w:tcPr>
          <w:p w14:paraId="2FC1A14A" w14:textId="77777777" w:rsidR="00100DAB" w:rsidRDefault="00100DAB" w:rsidP="00280FAA">
            <w:pPr>
              <w:pStyle w:val="TableText"/>
              <w:rPr>
                <w:rStyle w:val="Strong"/>
              </w:rPr>
            </w:pPr>
          </w:p>
        </w:tc>
        <w:tc>
          <w:tcPr>
            <w:tcW w:w="886" w:type="pct"/>
            <w:tcMar>
              <w:left w:w="108" w:type="dxa"/>
              <w:bottom w:w="28" w:type="dxa"/>
              <w:right w:w="108" w:type="dxa"/>
            </w:tcMar>
          </w:tcPr>
          <w:p w14:paraId="325550CD" w14:textId="093B3547" w:rsidR="003B1DE6" w:rsidRPr="00C85977" w:rsidRDefault="006B093D" w:rsidP="00280FAA">
            <w:pPr>
              <w:pStyle w:val="TableText"/>
              <w:tabs>
                <w:tab w:val="left" w:pos="464"/>
              </w:tabs>
              <w:rPr>
                <w:rFonts w:cstheme="minorHAnsi"/>
                <w:szCs w:val="18"/>
              </w:rPr>
            </w:pPr>
            <w:r>
              <w:t xml:space="preserve">3.2.2 </w:t>
            </w:r>
            <w:bookmarkStart w:id="10" w:name="_Hlk154052656"/>
            <w:r w:rsidRPr="006B093D">
              <w:rPr>
                <w:rFonts w:cstheme="minorHAnsi"/>
                <w:szCs w:val="18"/>
              </w:rPr>
              <w:t xml:space="preserve">RNAi control for </w:t>
            </w:r>
            <w:r w:rsidRPr="006B093D">
              <w:rPr>
                <w:rFonts w:cstheme="minorHAnsi"/>
                <w:i/>
                <w:iCs/>
                <w:szCs w:val="18"/>
              </w:rPr>
              <w:t>Xylella fas</w:t>
            </w:r>
            <w:r w:rsidR="00630864">
              <w:rPr>
                <w:rFonts w:cstheme="minorHAnsi"/>
                <w:i/>
                <w:iCs/>
                <w:szCs w:val="18"/>
              </w:rPr>
              <w:t>t</w:t>
            </w:r>
            <w:r w:rsidRPr="006B093D">
              <w:rPr>
                <w:rFonts w:cstheme="minorHAnsi"/>
                <w:i/>
                <w:iCs/>
                <w:szCs w:val="18"/>
              </w:rPr>
              <w:t>idiosa</w:t>
            </w:r>
            <w:r w:rsidR="003B1DE6" w:rsidRPr="00451900">
              <w:t xml:space="preserve"> </w:t>
            </w:r>
            <w:r w:rsidR="003B1DE6">
              <w:rPr>
                <w:rFonts w:cstheme="minorHAnsi"/>
                <w:szCs w:val="18"/>
              </w:rPr>
              <w:t>(Eradicating HLB and Xylella using novel genetic technologies)</w:t>
            </w:r>
            <w:bookmarkEnd w:id="10"/>
          </w:p>
        </w:tc>
        <w:tc>
          <w:tcPr>
            <w:tcW w:w="1365" w:type="pct"/>
            <w:shd w:val="clear" w:color="auto" w:fill="FDF4C7"/>
            <w:tcMar>
              <w:left w:w="108" w:type="dxa"/>
              <w:bottom w:w="28" w:type="dxa"/>
              <w:right w:w="108" w:type="dxa"/>
            </w:tcMar>
          </w:tcPr>
          <w:p w14:paraId="66D46652" w14:textId="17E62D16" w:rsidR="00100DAB" w:rsidRPr="001D2F65" w:rsidRDefault="004C2071" w:rsidP="00280FAA">
            <w:pPr>
              <w:pStyle w:val="TableText"/>
              <w:rPr>
                <w:rFonts w:cstheme="minorHAnsi"/>
                <w:szCs w:val="18"/>
              </w:rPr>
            </w:pPr>
            <w:r>
              <w:rPr>
                <w:rFonts w:cstheme="minorHAnsi"/>
                <w:szCs w:val="18"/>
              </w:rPr>
              <w:t>On track – project commenced</w:t>
            </w:r>
          </w:p>
          <w:p w14:paraId="2C64398A" w14:textId="77777777" w:rsidR="00466138" w:rsidRDefault="001D2F65" w:rsidP="000A6C9E">
            <w:pPr>
              <w:pStyle w:val="TableText"/>
              <w:rPr>
                <w:rFonts w:cstheme="minorHAnsi"/>
                <w:szCs w:val="18"/>
              </w:rPr>
            </w:pPr>
            <w:r w:rsidRPr="001D2F65">
              <w:rPr>
                <w:rFonts w:cstheme="minorHAnsi"/>
                <w:szCs w:val="18"/>
              </w:rPr>
              <w:t xml:space="preserve">Project included at 6 December 2022 forum. </w:t>
            </w:r>
          </w:p>
          <w:p w14:paraId="0E0995CD" w14:textId="6CB23030" w:rsidR="004C2071" w:rsidRPr="001D2F65" w:rsidRDefault="004A66C6" w:rsidP="000A6C9E">
            <w:pPr>
              <w:pStyle w:val="TableText"/>
              <w:rPr>
                <w:rFonts w:cstheme="minorHAnsi"/>
                <w:szCs w:val="18"/>
              </w:rPr>
            </w:pPr>
            <w:r>
              <w:rPr>
                <w:rFonts w:cstheme="minorHAnsi"/>
                <w:szCs w:val="18"/>
              </w:rPr>
              <w:t xml:space="preserve">Hort Innovation </w:t>
            </w:r>
            <w:r w:rsidR="001D2F65" w:rsidRPr="001D2F65">
              <w:rPr>
                <w:rFonts w:cstheme="minorHAnsi"/>
                <w:szCs w:val="18"/>
              </w:rPr>
              <w:t xml:space="preserve">contracted </w:t>
            </w:r>
            <w:r>
              <w:rPr>
                <w:rFonts w:cstheme="minorHAnsi"/>
                <w:szCs w:val="18"/>
              </w:rPr>
              <w:t>the following project</w:t>
            </w:r>
            <w:r w:rsidR="00AD2BAF">
              <w:rPr>
                <w:rFonts w:cstheme="minorHAnsi"/>
                <w:szCs w:val="18"/>
              </w:rPr>
              <w:t xml:space="preserve"> </w:t>
            </w:r>
            <w:r w:rsidR="00AD2BAF" w:rsidRPr="001D2F65">
              <w:rPr>
                <w:rFonts w:cstheme="minorHAnsi"/>
                <w:szCs w:val="18"/>
              </w:rPr>
              <w:t>in Feb</w:t>
            </w:r>
            <w:r w:rsidR="00AD2BAF">
              <w:rPr>
                <w:rFonts w:cstheme="minorHAnsi"/>
                <w:szCs w:val="18"/>
              </w:rPr>
              <w:t>ruary</w:t>
            </w:r>
            <w:r w:rsidR="00AD2BAF" w:rsidRPr="001D2F65">
              <w:rPr>
                <w:rFonts w:cstheme="minorHAnsi"/>
                <w:szCs w:val="18"/>
              </w:rPr>
              <w:t xml:space="preserve"> 2022</w:t>
            </w:r>
            <w:r w:rsidR="000A6C9E">
              <w:rPr>
                <w:rFonts w:cstheme="minorHAnsi"/>
                <w:szCs w:val="18"/>
              </w:rPr>
              <w:t xml:space="preserve">: </w:t>
            </w:r>
            <w:hyperlink r:id="rId29" w:history="1">
              <w:r w:rsidR="00952C0B">
                <w:rPr>
                  <w:rStyle w:val="Hyperlink"/>
                </w:rPr>
                <w:t>A gene technology platform for disease resistance in horticultural tree crops (huanglongbing and Xylella) (AS21005)</w:t>
              </w:r>
            </w:hyperlink>
          </w:p>
        </w:tc>
        <w:tc>
          <w:tcPr>
            <w:tcW w:w="538" w:type="pct"/>
            <w:tcMar>
              <w:left w:w="108" w:type="dxa"/>
              <w:bottom w:w="28" w:type="dxa"/>
              <w:right w:w="108" w:type="dxa"/>
            </w:tcMar>
          </w:tcPr>
          <w:p w14:paraId="20C49E56" w14:textId="7BBD14A0" w:rsidR="001D2F65" w:rsidRPr="00F33F7A" w:rsidRDefault="00575D80" w:rsidP="00280FAA">
            <w:pPr>
              <w:pStyle w:val="TableText"/>
            </w:pPr>
            <w:r w:rsidRPr="00451900">
              <w:t>Silvec Biologics</w:t>
            </w:r>
            <w:r w:rsidR="0056113C" w:rsidRPr="00451900">
              <w:t xml:space="preserve"> </w:t>
            </w:r>
          </w:p>
        </w:tc>
        <w:tc>
          <w:tcPr>
            <w:tcW w:w="769" w:type="pct"/>
            <w:tcMar>
              <w:left w:w="108" w:type="dxa"/>
              <w:bottom w:w="28" w:type="dxa"/>
              <w:right w:w="108" w:type="dxa"/>
            </w:tcMar>
          </w:tcPr>
          <w:p w14:paraId="31FAF9F2" w14:textId="52582562" w:rsidR="00100DAB" w:rsidRPr="00F33F7A" w:rsidRDefault="00087CF7" w:rsidP="00280FAA">
            <w:pPr>
              <w:pStyle w:val="TableText"/>
            </w:pPr>
            <w:r>
              <w:t xml:space="preserve">Hort Innovation </w:t>
            </w:r>
          </w:p>
        </w:tc>
        <w:tc>
          <w:tcPr>
            <w:tcW w:w="577" w:type="pct"/>
            <w:tcMar>
              <w:left w:w="108" w:type="dxa"/>
              <w:bottom w:w="28" w:type="dxa"/>
              <w:right w:w="108" w:type="dxa"/>
            </w:tcMar>
          </w:tcPr>
          <w:p w14:paraId="0453954E" w14:textId="6095FE9A" w:rsidR="00100DAB" w:rsidRPr="00F33F7A" w:rsidRDefault="00FB5706" w:rsidP="000B57BC">
            <w:pPr>
              <w:pStyle w:val="TableText"/>
            </w:pPr>
            <w:r>
              <w:t>Not applicable</w:t>
            </w:r>
          </w:p>
        </w:tc>
      </w:tr>
      <w:tr w:rsidR="000724BC" w:rsidRPr="00013AE2" w14:paraId="1BA3B0CD" w14:textId="77777777" w:rsidTr="000724BC">
        <w:tc>
          <w:tcPr>
            <w:tcW w:w="866" w:type="pct"/>
            <w:vMerge w:val="restart"/>
            <w:tcMar>
              <w:bottom w:w="28" w:type="dxa"/>
            </w:tcMar>
          </w:tcPr>
          <w:p w14:paraId="7C450FFA" w14:textId="1263FF5A" w:rsidR="000724BC" w:rsidRDefault="000724BC" w:rsidP="00087CF7">
            <w:pPr>
              <w:pStyle w:val="TableText"/>
              <w:rPr>
                <w:rStyle w:val="Strong"/>
              </w:rPr>
            </w:pPr>
            <w:r>
              <w:rPr>
                <w:rStyle w:val="Strong"/>
              </w:rPr>
              <w:lastRenderedPageBreak/>
              <w:t xml:space="preserve">Action 3.3: </w:t>
            </w:r>
            <w:r w:rsidRPr="001D2F65">
              <w:rPr>
                <w:rStyle w:val="Strong"/>
                <w:b w:val="0"/>
                <w:bCs w:val="0"/>
              </w:rPr>
              <w:t xml:space="preserve">Engage with the nursery and garden industry to enable the safe movement of nursery stock plants within Australia to prevent the spread of the pathogen, should </w:t>
            </w:r>
            <w:r w:rsidR="00C13AEE" w:rsidRPr="001D2F65">
              <w:rPr>
                <w:rStyle w:val="Strong"/>
                <w:b w:val="0"/>
                <w:bCs w:val="0"/>
              </w:rPr>
              <w:t xml:space="preserve">xylella </w:t>
            </w:r>
            <w:r w:rsidRPr="001D2F65">
              <w:rPr>
                <w:rStyle w:val="Strong"/>
                <w:b w:val="0"/>
                <w:bCs w:val="0"/>
              </w:rPr>
              <w:t>be detected</w:t>
            </w:r>
            <w:r>
              <w:rPr>
                <w:rStyle w:val="Strong"/>
                <w:b w:val="0"/>
                <w:bCs w:val="0"/>
              </w:rPr>
              <w:t>.</w:t>
            </w:r>
          </w:p>
          <w:p w14:paraId="0082E9BA" w14:textId="77777777" w:rsidR="000724BC" w:rsidRDefault="000724BC" w:rsidP="00087CF7">
            <w:pPr>
              <w:pStyle w:val="TableText"/>
              <w:rPr>
                <w:rStyle w:val="Strong"/>
              </w:rPr>
            </w:pPr>
            <w:r>
              <w:rPr>
                <w:rStyle w:val="Strong"/>
              </w:rPr>
              <w:t>Expected benefit and outcome:</w:t>
            </w:r>
          </w:p>
          <w:p w14:paraId="16BBE517" w14:textId="77777777" w:rsidR="000724BC" w:rsidRDefault="000724BC" w:rsidP="00087CF7">
            <w:pPr>
              <w:pStyle w:val="TableText"/>
              <w:rPr>
                <w:rStyle w:val="Strong"/>
                <w:b w:val="0"/>
                <w:bCs w:val="0"/>
              </w:rPr>
            </w:pPr>
            <w:r w:rsidRPr="001D2F65">
              <w:rPr>
                <w:rStyle w:val="Strong"/>
                <w:b w:val="0"/>
                <w:bCs w:val="0"/>
              </w:rPr>
              <w:t xml:space="preserve">To impede the spread of </w:t>
            </w:r>
            <w:r w:rsidRPr="00011B18">
              <w:rPr>
                <w:rStyle w:val="Strong"/>
                <w:b w:val="0"/>
                <w:bCs w:val="0"/>
                <w:i/>
                <w:iCs/>
              </w:rPr>
              <w:t>Xylella fastidiosa</w:t>
            </w:r>
            <w:r w:rsidRPr="001D2F65">
              <w:rPr>
                <w:rStyle w:val="Strong"/>
                <w:b w:val="0"/>
                <w:bCs w:val="0"/>
              </w:rPr>
              <w:t xml:space="preserve"> during an incursion through industry adoption of developed protocols that promote the safe movement of nursery stock. </w:t>
            </w:r>
          </w:p>
          <w:p w14:paraId="62C7F1E4" w14:textId="7E6FB298" w:rsidR="000724BC" w:rsidRDefault="000724BC" w:rsidP="00087CF7">
            <w:pPr>
              <w:pStyle w:val="TableText"/>
              <w:rPr>
                <w:rStyle w:val="Strong"/>
              </w:rPr>
            </w:pPr>
            <w:r>
              <w:rPr>
                <w:rStyle w:val="Strong"/>
              </w:rPr>
              <w:t xml:space="preserve">Priority: </w:t>
            </w:r>
            <w:r w:rsidRPr="005425D8">
              <w:rPr>
                <w:rStyle w:val="Strong"/>
                <w:b w:val="0"/>
                <w:bCs w:val="0"/>
              </w:rPr>
              <w:t>low</w:t>
            </w:r>
          </w:p>
          <w:p w14:paraId="2B97B243" w14:textId="5AE2CE11" w:rsidR="000724BC" w:rsidRPr="007B0473" w:rsidRDefault="000724BC" w:rsidP="00087CF7">
            <w:pPr>
              <w:pStyle w:val="TableText"/>
              <w:rPr>
                <w:rStyle w:val="Strong"/>
              </w:rPr>
            </w:pPr>
            <w:r>
              <w:rPr>
                <w:rStyle w:val="Strong"/>
              </w:rPr>
              <w:t xml:space="preserve">Time frame: </w:t>
            </w:r>
            <w:r w:rsidRPr="005425D8">
              <w:rPr>
                <w:rStyle w:val="Strong"/>
                <w:b w:val="0"/>
                <w:bCs w:val="0"/>
              </w:rPr>
              <w:t>medium</w:t>
            </w:r>
            <w:r>
              <w:rPr>
                <w:rStyle w:val="Strong"/>
              </w:rPr>
              <w:t xml:space="preserve"> </w:t>
            </w:r>
            <w:r w:rsidRPr="004D04AB">
              <w:rPr>
                <w:rStyle w:val="Strong"/>
                <w:b w:val="0"/>
                <w:bCs w:val="0"/>
              </w:rPr>
              <w:t>term</w:t>
            </w:r>
          </w:p>
        </w:tc>
        <w:tc>
          <w:tcPr>
            <w:tcW w:w="886" w:type="pct"/>
            <w:tcMar>
              <w:left w:w="108" w:type="dxa"/>
              <w:bottom w:w="28" w:type="dxa"/>
              <w:right w:w="108" w:type="dxa"/>
            </w:tcMar>
          </w:tcPr>
          <w:p w14:paraId="759E8689" w14:textId="194F55FE" w:rsidR="000724BC" w:rsidRDefault="000724BC" w:rsidP="00087CF7">
            <w:pPr>
              <w:pStyle w:val="TableText"/>
              <w:tabs>
                <w:tab w:val="left" w:pos="464"/>
              </w:tabs>
            </w:pPr>
            <w:r>
              <w:t>3.3.1</w:t>
            </w:r>
            <w:r w:rsidRPr="00512C0A" w:rsidDel="00466138">
              <w:rPr>
                <w:rFonts w:cstheme="minorHAnsi"/>
                <w:szCs w:val="18"/>
              </w:rPr>
              <w:t xml:space="preserve"> </w:t>
            </w:r>
            <w:r w:rsidRPr="00AF52F0">
              <w:rPr>
                <w:rFonts w:cstheme="minorHAnsi"/>
                <w:szCs w:val="18"/>
              </w:rPr>
              <w:t>Hold a simulation exercise</w:t>
            </w:r>
            <w:r>
              <w:rPr>
                <w:rFonts w:cstheme="minorHAnsi"/>
                <w:szCs w:val="18"/>
              </w:rPr>
              <w:t xml:space="preserve"> (</w:t>
            </w:r>
            <w:r w:rsidRPr="00AF52F0">
              <w:rPr>
                <w:szCs w:val="18"/>
              </w:rPr>
              <w:t>Exercise Fastidious</w:t>
            </w:r>
            <w:r>
              <w:rPr>
                <w:szCs w:val="18"/>
              </w:rPr>
              <w:t>)</w:t>
            </w:r>
          </w:p>
        </w:tc>
        <w:tc>
          <w:tcPr>
            <w:tcW w:w="1365" w:type="pct"/>
            <w:shd w:val="clear" w:color="auto" w:fill="DEF0C2"/>
            <w:tcMar>
              <w:left w:w="108" w:type="dxa"/>
              <w:bottom w:w="28" w:type="dxa"/>
              <w:right w:w="108" w:type="dxa"/>
            </w:tcMar>
          </w:tcPr>
          <w:p w14:paraId="42FAE9EB" w14:textId="1FDE4A7A" w:rsidR="000724BC" w:rsidRDefault="000724BC" w:rsidP="00087CF7">
            <w:pPr>
              <w:pStyle w:val="TableText"/>
            </w:pPr>
            <w:r>
              <w:t>Completed – project finished</w:t>
            </w:r>
          </w:p>
          <w:p w14:paraId="2160532D" w14:textId="558CD162" w:rsidR="000724BC" w:rsidRDefault="000724BC" w:rsidP="00087CF7">
            <w:pPr>
              <w:pStyle w:val="TableText"/>
            </w:pPr>
            <w:r w:rsidRPr="001D2F65">
              <w:t xml:space="preserve">Hort Innovation has funded Exercise Fastidious through its nursery fund to improve Australia’s preparedness to respond to a detection of </w:t>
            </w:r>
            <w:r w:rsidRPr="00B55741">
              <w:rPr>
                <w:i/>
                <w:iCs/>
              </w:rPr>
              <w:t>Xylella fastidiosa</w:t>
            </w:r>
            <w:r w:rsidRPr="001D2F65">
              <w:t xml:space="preserve">. The learnings and outcomes report is available on </w:t>
            </w:r>
            <w:r>
              <w:t xml:space="preserve">the </w:t>
            </w:r>
            <w:r w:rsidRPr="001D2F65">
              <w:t>Plant Health Australia website</w:t>
            </w:r>
            <w:r>
              <w:t>:</w:t>
            </w:r>
            <w:r w:rsidRPr="001D2F65">
              <w:t xml:space="preserve">  </w:t>
            </w:r>
          </w:p>
          <w:p w14:paraId="5D9C1993" w14:textId="0A02A224" w:rsidR="000724BC" w:rsidRPr="00DE7573" w:rsidRDefault="00000000" w:rsidP="00087CF7">
            <w:pPr>
              <w:pStyle w:val="TableText"/>
            </w:pPr>
            <w:hyperlink r:id="rId30" w:history="1">
              <w:r w:rsidR="000724BC">
                <w:rPr>
                  <w:rStyle w:val="Hyperlink"/>
                </w:rPr>
                <w:t>Exercise Fastidious a success</w:t>
              </w:r>
            </w:hyperlink>
          </w:p>
        </w:tc>
        <w:tc>
          <w:tcPr>
            <w:tcW w:w="538" w:type="pct"/>
            <w:shd w:val="clear" w:color="auto" w:fill="auto"/>
            <w:tcMar>
              <w:left w:w="108" w:type="dxa"/>
              <w:bottom w:w="28" w:type="dxa"/>
              <w:right w:w="108" w:type="dxa"/>
            </w:tcMar>
          </w:tcPr>
          <w:p w14:paraId="7AA5149D" w14:textId="1ECE596F" w:rsidR="000724BC" w:rsidRPr="004D04AB" w:rsidRDefault="000724BC" w:rsidP="00087CF7">
            <w:pPr>
              <w:pStyle w:val="TableText"/>
            </w:pPr>
            <w:r>
              <w:t xml:space="preserve">Hort Innovation </w:t>
            </w:r>
          </w:p>
        </w:tc>
        <w:tc>
          <w:tcPr>
            <w:tcW w:w="769" w:type="pct"/>
            <w:tcMar>
              <w:left w:w="108" w:type="dxa"/>
              <w:bottom w:w="28" w:type="dxa"/>
              <w:right w:w="108" w:type="dxa"/>
            </w:tcMar>
          </w:tcPr>
          <w:p w14:paraId="2A14B523" w14:textId="424EFC6C" w:rsidR="000724BC" w:rsidRPr="00BC13C5" w:rsidRDefault="000724BC" w:rsidP="00087CF7">
            <w:pPr>
              <w:pStyle w:val="TableText"/>
              <w:rPr>
                <w:shd w:val="clear" w:color="auto" w:fill="EEECE1" w:themeFill="background2"/>
              </w:rPr>
            </w:pPr>
            <w:r>
              <w:t xml:space="preserve">Hort Innovation </w:t>
            </w:r>
          </w:p>
        </w:tc>
        <w:tc>
          <w:tcPr>
            <w:tcW w:w="577" w:type="pct"/>
            <w:tcMar>
              <w:left w:w="108" w:type="dxa"/>
              <w:bottom w:w="28" w:type="dxa"/>
              <w:right w:w="108" w:type="dxa"/>
            </w:tcMar>
          </w:tcPr>
          <w:p w14:paraId="7FA5EDE0" w14:textId="13A2BEAD" w:rsidR="000724BC" w:rsidRPr="003E17DC" w:rsidRDefault="000724BC" w:rsidP="00087CF7">
            <w:pPr>
              <w:pStyle w:val="TableText"/>
            </w:pPr>
            <w:r>
              <w:t>Informed by action 1.1, 1.2, 1.3, 1.4, 2.5, 4.5</w:t>
            </w:r>
          </w:p>
        </w:tc>
      </w:tr>
      <w:tr w:rsidR="000724BC" w:rsidRPr="00013AE2" w14:paraId="1FA5CCD4" w14:textId="77777777" w:rsidTr="000724BC">
        <w:tc>
          <w:tcPr>
            <w:tcW w:w="866" w:type="pct"/>
            <w:vMerge/>
            <w:tcMar>
              <w:bottom w:w="28" w:type="dxa"/>
            </w:tcMar>
          </w:tcPr>
          <w:p w14:paraId="2C64EF45" w14:textId="77777777" w:rsidR="000724BC" w:rsidRDefault="000724BC" w:rsidP="00087CF7">
            <w:pPr>
              <w:pStyle w:val="TableText"/>
              <w:rPr>
                <w:rStyle w:val="Strong"/>
              </w:rPr>
            </w:pPr>
          </w:p>
        </w:tc>
        <w:tc>
          <w:tcPr>
            <w:tcW w:w="886" w:type="pct"/>
            <w:tcMar>
              <w:left w:w="108" w:type="dxa"/>
              <w:bottom w:w="28" w:type="dxa"/>
              <w:right w:w="108" w:type="dxa"/>
            </w:tcMar>
          </w:tcPr>
          <w:p w14:paraId="373C07E1" w14:textId="6579BEAC" w:rsidR="000724BC" w:rsidRDefault="000724BC" w:rsidP="00087CF7">
            <w:pPr>
              <w:pStyle w:val="TableText"/>
              <w:tabs>
                <w:tab w:val="left" w:pos="464"/>
              </w:tabs>
            </w:pPr>
            <w:r>
              <w:t>3.3.2 Promoting safe movement of nursery stock</w:t>
            </w:r>
          </w:p>
        </w:tc>
        <w:tc>
          <w:tcPr>
            <w:tcW w:w="1365" w:type="pct"/>
            <w:shd w:val="clear" w:color="auto" w:fill="DEF0C2"/>
            <w:tcMar>
              <w:left w:w="108" w:type="dxa"/>
              <w:bottom w:w="28" w:type="dxa"/>
              <w:right w:w="108" w:type="dxa"/>
            </w:tcMar>
          </w:tcPr>
          <w:p w14:paraId="68C9CC26" w14:textId="53BE629F" w:rsidR="000724BC" w:rsidRDefault="000724BC" w:rsidP="00087CF7">
            <w:pPr>
              <w:pStyle w:val="TableText"/>
            </w:pPr>
            <w:r>
              <w:t>Completed – project finished</w:t>
            </w:r>
          </w:p>
          <w:p w14:paraId="6392F573" w14:textId="0A94C5CC" w:rsidR="000724BC" w:rsidRDefault="000724BC" w:rsidP="00512C0A">
            <w:pPr>
              <w:pStyle w:val="TableText"/>
            </w:pPr>
            <w:r>
              <w:t xml:space="preserve">Greenlife Industry Australia has developed a nursery paper on the symptoms, diagnosis, management and prevention of a plant virus, using reference to the common Apple Mosaic Virus. This paper could assist industry in the event of a </w:t>
            </w:r>
            <w:r w:rsidR="00B876AF">
              <w:t>x</w:t>
            </w:r>
            <w:r>
              <w:t>ylella incursion:</w:t>
            </w:r>
          </w:p>
          <w:p w14:paraId="1507061A" w14:textId="2DEDE593" w:rsidR="000724BC" w:rsidRPr="00DE7573" w:rsidRDefault="00000000" w:rsidP="00087CF7">
            <w:pPr>
              <w:pStyle w:val="TableText"/>
            </w:pPr>
            <w:hyperlink r:id="rId31" w:history="1">
              <w:r w:rsidR="000724BC">
                <w:rPr>
                  <w:rStyle w:val="Hyperlink"/>
                </w:rPr>
                <w:t>Managing a Plant Virus in Nursery Production 2020</w:t>
              </w:r>
            </w:hyperlink>
          </w:p>
        </w:tc>
        <w:tc>
          <w:tcPr>
            <w:tcW w:w="538" w:type="pct"/>
            <w:shd w:val="clear" w:color="auto" w:fill="auto"/>
            <w:tcMar>
              <w:left w:w="108" w:type="dxa"/>
              <w:bottom w:w="28" w:type="dxa"/>
              <w:right w:w="108" w:type="dxa"/>
            </w:tcMar>
          </w:tcPr>
          <w:p w14:paraId="4981D23C" w14:textId="2BF09F7E" w:rsidR="000724BC" w:rsidRPr="004D04AB" w:rsidRDefault="000724BC" w:rsidP="00087CF7">
            <w:pPr>
              <w:pStyle w:val="TableText"/>
            </w:pPr>
            <w:r>
              <w:t xml:space="preserve">Greenlife Industry Australia  </w:t>
            </w:r>
          </w:p>
        </w:tc>
        <w:tc>
          <w:tcPr>
            <w:tcW w:w="769" w:type="pct"/>
            <w:tcMar>
              <w:left w:w="108" w:type="dxa"/>
              <w:bottom w:w="28" w:type="dxa"/>
              <w:right w:w="108" w:type="dxa"/>
            </w:tcMar>
          </w:tcPr>
          <w:p w14:paraId="146B29E2" w14:textId="6B36A28F" w:rsidR="000724BC" w:rsidRPr="00BC13C5" w:rsidRDefault="000724BC" w:rsidP="00087CF7">
            <w:pPr>
              <w:pStyle w:val="TableText"/>
              <w:rPr>
                <w:shd w:val="clear" w:color="auto" w:fill="EEECE1" w:themeFill="background2"/>
              </w:rPr>
            </w:pPr>
            <w:r>
              <w:t xml:space="preserve">Hort Innovation </w:t>
            </w:r>
          </w:p>
        </w:tc>
        <w:tc>
          <w:tcPr>
            <w:tcW w:w="577" w:type="pct"/>
            <w:tcMar>
              <w:left w:w="108" w:type="dxa"/>
              <w:bottom w:w="28" w:type="dxa"/>
              <w:right w:w="108" w:type="dxa"/>
            </w:tcMar>
          </w:tcPr>
          <w:p w14:paraId="6E326DA9" w14:textId="138BADA7" w:rsidR="000724BC" w:rsidRDefault="000724BC" w:rsidP="00087CF7">
            <w:pPr>
              <w:pStyle w:val="TableText"/>
            </w:pPr>
            <w:r>
              <w:t>Not applicable</w:t>
            </w:r>
          </w:p>
        </w:tc>
      </w:tr>
      <w:tr w:rsidR="000724BC" w:rsidRPr="00013AE2" w14:paraId="0C26AD1D" w14:textId="77777777" w:rsidTr="003A1099">
        <w:tc>
          <w:tcPr>
            <w:tcW w:w="866" w:type="pct"/>
            <w:vMerge/>
            <w:tcMar>
              <w:bottom w:w="28" w:type="dxa"/>
            </w:tcMar>
          </w:tcPr>
          <w:p w14:paraId="25D3EF78" w14:textId="77777777" w:rsidR="000724BC" w:rsidRDefault="000724BC" w:rsidP="00087CF7">
            <w:pPr>
              <w:pStyle w:val="TableText"/>
              <w:rPr>
                <w:rStyle w:val="Strong"/>
              </w:rPr>
            </w:pPr>
          </w:p>
        </w:tc>
        <w:tc>
          <w:tcPr>
            <w:tcW w:w="886" w:type="pct"/>
            <w:tcMar>
              <w:left w:w="108" w:type="dxa"/>
              <w:bottom w:w="28" w:type="dxa"/>
              <w:right w:w="108" w:type="dxa"/>
            </w:tcMar>
          </w:tcPr>
          <w:p w14:paraId="4E9689DD" w14:textId="0874D983" w:rsidR="000724BC" w:rsidRDefault="000724BC" w:rsidP="00087CF7">
            <w:pPr>
              <w:pStyle w:val="TableText"/>
              <w:tabs>
                <w:tab w:val="left" w:pos="464"/>
              </w:tabs>
            </w:pPr>
            <w:r>
              <w:t>3.3.3 D</w:t>
            </w:r>
            <w:r w:rsidRPr="003467B8">
              <w:t>evelopment of a grapevine propagation standard</w:t>
            </w:r>
          </w:p>
        </w:tc>
        <w:tc>
          <w:tcPr>
            <w:tcW w:w="1365" w:type="pct"/>
            <w:shd w:val="clear" w:color="auto" w:fill="C6D9F1" w:themeFill="text2" w:themeFillTint="33"/>
            <w:tcMar>
              <w:left w:w="108" w:type="dxa"/>
              <w:bottom w:w="28" w:type="dxa"/>
              <w:right w:w="108" w:type="dxa"/>
            </w:tcMar>
          </w:tcPr>
          <w:p w14:paraId="7675E5F0" w14:textId="1601F52D" w:rsidR="000724BC" w:rsidRDefault="000724BC" w:rsidP="00087CF7">
            <w:pPr>
              <w:pStyle w:val="TableText"/>
            </w:pPr>
            <w:r>
              <w:t>Ongoing – business as usual</w:t>
            </w:r>
          </w:p>
          <w:p w14:paraId="0033B0C4" w14:textId="73804291" w:rsidR="000724BC" w:rsidRPr="003467B8" w:rsidRDefault="000724BC" w:rsidP="00087CF7">
            <w:pPr>
              <w:pStyle w:val="TableText"/>
              <w:rPr>
                <w:rFonts w:cstheme="minorHAnsi"/>
                <w:szCs w:val="18"/>
              </w:rPr>
            </w:pPr>
            <w:r>
              <w:t>The w</w:t>
            </w:r>
            <w:r w:rsidRPr="003467B8">
              <w:t>ine sector has commenced consultation and development of a grapevine propagation standard that includes movement of plant material. Phase 1 (Desktop Review &amp; Industry Consultation) has been completed</w:t>
            </w:r>
            <w:r>
              <w:t>. This work is being completed</w:t>
            </w:r>
            <w:r>
              <w:rPr>
                <w:rFonts w:cstheme="minorHAnsi"/>
                <w:szCs w:val="18"/>
              </w:rPr>
              <w:t xml:space="preserve"> a</w:t>
            </w:r>
            <w:r w:rsidRPr="003467B8">
              <w:rPr>
                <w:rFonts w:cstheme="minorHAnsi"/>
                <w:szCs w:val="18"/>
              </w:rPr>
              <w:t>s part of a larger National Grapevine Collection project.</w:t>
            </w:r>
          </w:p>
        </w:tc>
        <w:tc>
          <w:tcPr>
            <w:tcW w:w="538" w:type="pct"/>
            <w:shd w:val="clear" w:color="auto" w:fill="auto"/>
            <w:tcMar>
              <w:left w:w="108" w:type="dxa"/>
              <w:bottom w:w="28" w:type="dxa"/>
              <w:right w:w="108" w:type="dxa"/>
            </w:tcMar>
          </w:tcPr>
          <w:p w14:paraId="5A10FBA2" w14:textId="6CE38860" w:rsidR="000724BC" w:rsidRPr="005935DE" w:rsidRDefault="000724BC" w:rsidP="00087CF7">
            <w:pPr>
              <w:pStyle w:val="TableText"/>
            </w:pPr>
            <w:r w:rsidRPr="005935DE">
              <w:t>Wine Australia</w:t>
            </w:r>
          </w:p>
        </w:tc>
        <w:tc>
          <w:tcPr>
            <w:tcW w:w="769" w:type="pct"/>
            <w:tcMar>
              <w:left w:w="108" w:type="dxa"/>
              <w:bottom w:w="28" w:type="dxa"/>
              <w:right w:w="108" w:type="dxa"/>
            </w:tcMar>
          </w:tcPr>
          <w:p w14:paraId="58926B0A" w14:textId="2886F317" w:rsidR="000724BC" w:rsidRPr="005935DE" w:rsidRDefault="000724BC" w:rsidP="00087CF7">
            <w:pPr>
              <w:pStyle w:val="TableText"/>
            </w:pPr>
            <w:r>
              <w:t xml:space="preserve">Not applicable </w:t>
            </w:r>
          </w:p>
        </w:tc>
        <w:tc>
          <w:tcPr>
            <w:tcW w:w="577" w:type="pct"/>
            <w:tcMar>
              <w:left w:w="108" w:type="dxa"/>
              <w:bottom w:w="28" w:type="dxa"/>
              <w:right w:w="108" w:type="dxa"/>
            </w:tcMar>
          </w:tcPr>
          <w:p w14:paraId="04214A29" w14:textId="19594E41" w:rsidR="000724BC" w:rsidRDefault="000724BC" w:rsidP="00087CF7">
            <w:pPr>
              <w:pStyle w:val="TableText"/>
            </w:pPr>
            <w:r>
              <w:t>Not applicable</w:t>
            </w:r>
          </w:p>
        </w:tc>
      </w:tr>
      <w:tr w:rsidR="000724BC" w:rsidRPr="00013AE2" w14:paraId="4F400026" w14:textId="77777777" w:rsidTr="000724BC">
        <w:tc>
          <w:tcPr>
            <w:tcW w:w="866" w:type="pct"/>
            <w:vMerge/>
            <w:tcMar>
              <w:bottom w:w="28" w:type="dxa"/>
            </w:tcMar>
          </w:tcPr>
          <w:p w14:paraId="2452330C" w14:textId="77777777" w:rsidR="000724BC" w:rsidRDefault="000724BC" w:rsidP="00087CF7">
            <w:pPr>
              <w:pStyle w:val="TableText"/>
              <w:rPr>
                <w:rStyle w:val="Strong"/>
              </w:rPr>
            </w:pPr>
          </w:p>
        </w:tc>
        <w:tc>
          <w:tcPr>
            <w:tcW w:w="886" w:type="pct"/>
            <w:tcMar>
              <w:left w:w="108" w:type="dxa"/>
              <w:bottom w:w="28" w:type="dxa"/>
              <w:right w:w="108" w:type="dxa"/>
            </w:tcMar>
          </w:tcPr>
          <w:p w14:paraId="007D08A3" w14:textId="10A1E863" w:rsidR="000724BC" w:rsidRDefault="000724BC" w:rsidP="00087CF7">
            <w:pPr>
              <w:pStyle w:val="TableText"/>
              <w:tabs>
                <w:tab w:val="left" w:pos="464"/>
              </w:tabs>
            </w:pPr>
            <w:r>
              <w:t xml:space="preserve">3.3.4 </w:t>
            </w:r>
            <w:r w:rsidRPr="003467B8">
              <w:t>Determine pre-agreed movement conditions between jurisdictions</w:t>
            </w:r>
          </w:p>
        </w:tc>
        <w:tc>
          <w:tcPr>
            <w:tcW w:w="1365" w:type="pct"/>
            <w:shd w:val="clear" w:color="auto" w:fill="F2DBDB"/>
            <w:tcMar>
              <w:left w:w="108" w:type="dxa"/>
              <w:bottom w:w="28" w:type="dxa"/>
              <w:right w:w="108" w:type="dxa"/>
            </w:tcMar>
          </w:tcPr>
          <w:p w14:paraId="5C213A5B" w14:textId="2E5CD470" w:rsidR="000724BC" w:rsidRPr="003467B8" w:rsidRDefault="000724BC" w:rsidP="00087CF7">
            <w:pPr>
              <w:pStyle w:val="TableText"/>
              <w:rPr>
                <w:rFonts w:cstheme="minorHAnsi"/>
                <w:szCs w:val="18"/>
              </w:rPr>
            </w:pPr>
            <w:r>
              <w:t xml:space="preserve">Pending – project to </w:t>
            </w:r>
            <w:r w:rsidRPr="003467B8">
              <w:rPr>
                <w:rFonts w:cstheme="minorHAnsi"/>
                <w:szCs w:val="18"/>
              </w:rPr>
              <w:t>commence</w:t>
            </w:r>
            <w:r>
              <w:rPr>
                <w:rFonts w:cstheme="minorHAnsi"/>
                <w:szCs w:val="18"/>
              </w:rPr>
              <w:t xml:space="preserve"> when funding available</w:t>
            </w:r>
          </w:p>
          <w:p w14:paraId="57C10E4F" w14:textId="03FEBE0F" w:rsidR="000724BC" w:rsidRPr="005935DE" w:rsidRDefault="000724BC" w:rsidP="00087CF7">
            <w:pPr>
              <w:pStyle w:val="TableText"/>
              <w:rPr>
                <w:rFonts w:cstheme="minorHAnsi"/>
                <w:szCs w:val="18"/>
              </w:rPr>
            </w:pPr>
            <w:r w:rsidRPr="003467B8">
              <w:rPr>
                <w:rFonts w:cstheme="minorHAnsi"/>
                <w:szCs w:val="18"/>
              </w:rPr>
              <w:t>Project proposed at 6 May 2021 forum</w:t>
            </w:r>
          </w:p>
        </w:tc>
        <w:tc>
          <w:tcPr>
            <w:tcW w:w="538" w:type="pct"/>
            <w:shd w:val="clear" w:color="auto" w:fill="auto"/>
            <w:tcMar>
              <w:left w:w="108" w:type="dxa"/>
              <w:bottom w:w="28" w:type="dxa"/>
              <w:right w:w="108" w:type="dxa"/>
            </w:tcMar>
          </w:tcPr>
          <w:p w14:paraId="244ED647" w14:textId="4D248642" w:rsidR="000724BC" w:rsidRPr="005935DE" w:rsidRDefault="000724BC" w:rsidP="00087CF7">
            <w:pPr>
              <w:pStyle w:val="TableText"/>
            </w:pPr>
            <w:r w:rsidRPr="005935DE">
              <w:t xml:space="preserve">To be determined </w:t>
            </w:r>
          </w:p>
        </w:tc>
        <w:tc>
          <w:tcPr>
            <w:tcW w:w="769" w:type="pct"/>
            <w:tcMar>
              <w:left w:w="108" w:type="dxa"/>
              <w:bottom w:w="28" w:type="dxa"/>
              <w:right w:w="108" w:type="dxa"/>
            </w:tcMar>
          </w:tcPr>
          <w:p w14:paraId="7F7F1E1B" w14:textId="2F5AFDF2" w:rsidR="000724BC" w:rsidRPr="005935DE" w:rsidRDefault="000724BC" w:rsidP="00087CF7">
            <w:pPr>
              <w:pStyle w:val="TableText"/>
            </w:pPr>
            <w:r w:rsidRPr="005935DE">
              <w:t xml:space="preserve">To be determined </w:t>
            </w:r>
          </w:p>
        </w:tc>
        <w:tc>
          <w:tcPr>
            <w:tcW w:w="577" w:type="pct"/>
            <w:tcMar>
              <w:left w:w="108" w:type="dxa"/>
              <w:bottom w:w="28" w:type="dxa"/>
              <w:right w:w="108" w:type="dxa"/>
            </w:tcMar>
          </w:tcPr>
          <w:p w14:paraId="4AB2FA7A" w14:textId="3A4EA88D" w:rsidR="000724BC" w:rsidRDefault="000724BC" w:rsidP="00087CF7">
            <w:pPr>
              <w:pStyle w:val="TableText"/>
            </w:pPr>
            <w:r>
              <w:t>Relates to action 3.1</w:t>
            </w:r>
          </w:p>
        </w:tc>
      </w:tr>
      <w:tr w:rsidR="002365BD" w:rsidRPr="00013AE2" w14:paraId="77811735" w14:textId="77777777" w:rsidTr="000724BC">
        <w:tc>
          <w:tcPr>
            <w:tcW w:w="866" w:type="pct"/>
            <w:vMerge w:val="restart"/>
            <w:tcMar>
              <w:bottom w:w="28" w:type="dxa"/>
            </w:tcMar>
          </w:tcPr>
          <w:p w14:paraId="5489DDCA" w14:textId="788D330C" w:rsidR="00087CF7" w:rsidRPr="009D6998" w:rsidRDefault="00087CF7" w:rsidP="00087CF7">
            <w:pPr>
              <w:pStyle w:val="TableText"/>
            </w:pPr>
            <w:r w:rsidRPr="009D6998">
              <w:rPr>
                <w:rStyle w:val="Strong"/>
              </w:rPr>
              <w:t xml:space="preserve">Action </w:t>
            </w:r>
            <w:r>
              <w:rPr>
                <w:rStyle w:val="Strong"/>
              </w:rPr>
              <w:t>3</w:t>
            </w:r>
            <w:r w:rsidRPr="009D6998">
              <w:rPr>
                <w:rStyle w:val="Strong"/>
              </w:rPr>
              <w:t>.</w:t>
            </w:r>
            <w:r>
              <w:rPr>
                <w:rStyle w:val="Strong"/>
              </w:rPr>
              <w:t xml:space="preserve">4: </w:t>
            </w:r>
            <w:r w:rsidRPr="005A47DC">
              <w:rPr>
                <w:rStyle w:val="Strong"/>
                <w:b w:val="0"/>
                <w:bCs w:val="0"/>
              </w:rPr>
              <w:t>Analyse literature and overseas experience to identify control and management options relevant to the Australian context</w:t>
            </w:r>
            <w:r>
              <w:rPr>
                <w:rStyle w:val="Strong"/>
                <w:b w:val="0"/>
                <w:bCs w:val="0"/>
              </w:rPr>
              <w:t>.</w:t>
            </w:r>
          </w:p>
          <w:p w14:paraId="480E8212" w14:textId="1B493286" w:rsidR="00087CF7" w:rsidRPr="009D6998" w:rsidRDefault="00087CF7" w:rsidP="00087CF7">
            <w:pPr>
              <w:pStyle w:val="TableText"/>
            </w:pPr>
            <w:r w:rsidRPr="009D6998">
              <w:rPr>
                <w:rStyle w:val="Strong"/>
              </w:rPr>
              <w:lastRenderedPageBreak/>
              <w:t>Expected benefit and outcome</w:t>
            </w:r>
            <w:r>
              <w:rPr>
                <w:rStyle w:val="Strong"/>
              </w:rPr>
              <w:t xml:space="preserve">: </w:t>
            </w:r>
            <w:r w:rsidRPr="005A47DC">
              <w:rPr>
                <w:rFonts w:cstheme="minorHAnsi"/>
                <w:szCs w:val="18"/>
                <w:lang w:eastAsia="ja-JP"/>
              </w:rPr>
              <w:t xml:space="preserve">To mitigate the risk from potential </w:t>
            </w:r>
            <w:r w:rsidRPr="005A47DC">
              <w:rPr>
                <w:rFonts w:cstheme="minorHAnsi"/>
                <w:i/>
                <w:iCs/>
                <w:szCs w:val="18"/>
              </w:rPr>
              <w:t xml:space="preserve">Xylella fastidiosa </w:t>
            </w:r>
            <w:r w:rsidRPr="005A47DC">
              <w:rPr>
                <w:rFonts w:cstheme="minorHAnsi"/>
                <w:szCs w:val="18"/>
              </w:rPr>
              <w:t>transmission pathways through the adoption of best practice control and management options, where these are conducive to Australian conditions.</w:t>
            </w:r>
          </w:p>
          <w:p w14:paraId="6FA0D7C2" w14:textId="25D9AF04" w:rsidR="00087CF7" w:rsidRPr="009D6998" w:rsidRDefault="00087CF7" w:rsidP="00087CF7">
            <w:pPr>
              <w:pStyle w:val="TableText"/>
            </w:pPr>
            <w:r w:rsidRPr="009D6998">
              <w:rPr>
                <w:rStyle w:val="Strong"/>
              </w:rPr>
              <w:t>Priority</w:t>
            </w:r>
            <w:r>
              <w:rPr>
                <w:rStyle w:val="Strong"/>
              </w:rPr>
              <w:t xml:space="preserve">: </w:t>
            </w:r>
            <w:r w:rsidRPr="005425D8">
              <w:rPr>
                <w:rStyle w:val="Strong"/>
                <w:b w:val="0"/>
                <w:bCs w:val="0"/>
              </w:rPr>
              <w:t>Medium</w:t>
            </w:r>
          </w:p>
          <w:p w14:paraId="71C256DA" w14:textId="2C5914DF" w:rsidR="00087CF7" w:rsidRPr="007B0473" w:rsidRDefault="00087CF7" w:rsidP="00087CF7">
            <w:pPr>
              <w:pStyle w:val="TableText"/>
              <w:rPr>
                <w:rStyle w:val="Strong"/>
              </w:rPr>
            </w:pPr>
            <w:r w:rsidRPr="009D6998">
              <w:rPr>
                <w:rStyle w:val="Strong"/>
              </w:rPr>
              <w:t>Time frame</w:t>
            </w:r>
            <w:r>
              <w:rPr>
                <w:rStyle w:val="Strong"/>
              </w:rPr>
              <w:t xml:space="preserve">: </w:t>
            </w:r>
            <w:r w:rsidRPr="005425D8">
              <w:rPr>
                <w:rStyle w:val="Strong"/>
                <w:b w:val="0"/>
                <w:bCs w:val="0"/>
              </w:rPr>
              <w:t>medium term</w:t>
            </w:r>
            <w:r>
              <w:rPr>
                <w:rStyle w:val="Strong"/>
              </w:rPr>
              <w:t xml:space="preserve"> </w:t>
            </w:r>
          </w:p>
        </w:tc>
        <w:tc>
          <w:tcPr>
            <w:tcW w:w="886" w:type="pct"/>
            <w:tcMar>
              <w:left w:w="108" w:type="dxa"/>
              <w:bottom w:w="28" w:type="dxa"/>
              <w:right w:w="108" w:type="dxa"/>
            </w:tcMar>
          </w:tcPr>
          <w:p w14:paraId="478AD3BE" w14:textId="7BF0C29A" w:rsidR="00087CF7" w:rsidRPr="005A47DC" w:rsidRDefault="00087CF7" w:rsidP="00087CF7">
            <w:pPr>
              <w:pStyle w:val="TableText"/>
              <w:tabs>
                <w:tab w:val="left" w:pos="464"/>
              </w:tabs>
              <w:rPr>
                <w:rFonts w:cstheme="minorHAnsi"/>
                <w:szCs w:val="18"/>
              </w:rPr>
            </w:pPr>
            <w:r w:rsidRPr="005A47DC">
              <w:rPr>
                <w:rFonts w:cstheme="minorHAnsi"/>
                <w:szCs w:val="18"/>
              </w:rPr>
              <w:lastRenderedPageBreak/>
              <w:t xml:space="preserve">3.4.1 Stocktake of overseas experiences and literature to identify potential control and management options for </w:t>
            </w:r>
            <w:r w:rsidR="00437EFD" w:rsidRPr="005A47DC">
              <w:rPr>
                <w:rFonts w:cstheme="minorHAnsi"/>
                <w:szCs w:val="18"/>
              </w:rPr>
              <w:t xml:space="preserve">xylella </w:t>
            </w:r>
            <w:r w:rsidRPr="005A47DC">
              <w:rPr>
                <w:rFonts w:cstheme="minorHAnsi"/>
                <w:szCs w:val="18"/>
              </w:rPr>
              <w:t>in Australia and any gaps</w:t>
            </w:r>
          </w:p>
        </w:tc>
        <w:tc>
          <w:tcPr>
            <w:tcW w:w="1365" w:type="pct"/>
            <w:shd w:val="clear" w:color="auto" w:fill="DEF0C2"/>
            <w:tcMar>
              <w:left w:w="108" w:type="dxa"/>
              <w:bottom w:w="28" w:type="dxa"/>
              <w:right w:w="108" w:type="dxa"/>
            </w:tcMar>
          </w:tcPr>
          <w:p w14:paraId="33EA0541" w14:textId="31AD22EB" w:rsidR="00087CF7" w:rsidRPr="005A47DC" w:rsidRDefault="00087CF7" w:rsidP="00087CF7">
            <w:pPr>
              <w:pStyle w:val="TableText"/>
              <w:rPr>
                <w:rFonts w:cstheme="minorHAnsi"/>
                <w:szCs w:val="18"/>
                <w:shd w:val="clear" w:color="auto" w:fill="EEECE1" w:themeFill="background2"/>
              </w:rPr>
            </w:pPr>
            <w:r w:rsidRPr="005A47DC">
              <w:rPr>
                <w:rFonts w:cstheme="minorHAnsi"/>
                <w:szCs w:val="18"/>
              </w:rPr>
              <w:t>Completed – project finished</w:t>
            </w:r>
            <w:r>
              <w:rPr>
                <w:rFonts w:cstheme="minorHAnsi"/>
                <w:szCs w:val="18"/>
                <w:shd w:val="clear" w:color="auto" w:fill="EEECE1" w:themeFill="background2"/>
              </w:rPr>
              <w:t xml:space="preserve"> </w:t>
            </w:r>
          </w:p>
        </w:tc>
        <w:tc>
          <w:tcPr>
            <w:tcW w:w="538" w:type="pct"/>
            <w:tcMar>
              <w:left w:w="108" w:type="dxa"/>
              <w:bottom w:w="28" w:type="dxa"/>
              <w:right w:w="108" w:type="dxa"/>
            </w:tcMar>
          </w:tcPr>
          <w:p w14:paraId="33D8514D" w14:textId="08B0E051" w:rsidR="00087CF7" w:rsidRPr="005A47DC" w:rsidRDefault="00087CF7" w:rsidP="00087CF7">
            <w:pPr>
              <w:pStyle w:val="TableText"/>
            </w:pPr>
            <w:r w:rsidRPr="005A47DC">
              <w:t>Commonwealth (CSIRO)</w:t>
            </w:r>
          </w:p>
        </w:tc>
        <w:tc>
          <w:tcPr>
            <w:tcW w:w="769" w:type="pct"/>
            <w:tcMar>
              <w:left w:w="108" w:type="dxa"/>
              <w:bottom w:w="28" w:type="dxa"/>
              <w:right w:w="108" w:type="dxa"/>
            </w:tcMar>
          </w:tcPr>
          <w:p w14:paraId="0CB3C3C7" w14:textId="5A2169B6" w:rsidR="00087CF7" w:rsidRPr="00011B18" w:rsidRDefault="006172F7" w:rsidP="00FB5706">
            <w:pPr>
              <w:pStyle w:val="TableText"/>
            </w:pPr>
            <w:r>
              <w:t>Commonwealth</w:t>
            </w:r>
            <w:r w:rsidR="00FB5706" w:rsidRPr="00011B18">
              <w:t xml:space="preserve"> </w:t>
            </w:r>
          </w:p>
        </w:tc>
        <w:tc>
          <w:tcPr>
            <w:tcW w:w="577" w:type="pct"/>
            <w:tcMar>
              <w:left w:w="108" w:type="dxa"/>
              <w:bottom w:w="28" w:type="dxa"/>
              <w:right w:w="108" w:type="dxa"/>
            </w:tcMar>
          </w:tcPr>
          <w:p w14:paraId="676A63BC" w14:textId="4EE14AE0" w:rsidR="00087CF7" w:rsidRPr="00087CF7" w:rsidRDefault="00087CF7" w:rsidP="00087CF7">
            <w:pPr>
              <w:pStyle w:val="TableText"/>
            </w:pPr>
            <w:r w:rsidRPr="00087CF7">
              <w:t>Supports many other action areas</w:t>
            </w:r>
          </w:p>
        </w:tc>
      </w:tr>
      <w:tr w:rsidR="002365BD" w:rsidRPr="00013AE2" w14:paraId="56B33127" w14:textId="77777777" w:rsidTr="000724BC">
        <w:tc>
          <w:tcPr>
            <w:tcW w:w="866" w:type="pct"/>
            <w:vMerge/>
            <w:tcMar>
              <w:bottom w:w="28" w:type="dxa"/>
            </w:tcMar>
          </w:tcPr>
          <w:p w14:paraId="5ECC2E22" w14:textId="77777777" w:rsidR="00087CF7" w:rsidRPr="009D6998" w:rsidRDefault="00087CF7" w:rsidP="00087CF7">
            <w:pPr>
              <w:pStyle w:val="TableText"/>
              <w:rPr>
                <w:rStyle w:val="Strong"/>
              </w:rPr>
            </w:pPr>
          </w:p>
        </w:tc>
        <w:tc>
          <w:tcPr>
            <w:tcW w:w="886" w:type="pct"/>
            <w:tcMar>
              <w:left w:w="108" w:type="dxa"/>
              <w:bottom w:w="28" w:type="dxa"/>
              <w:right w:w="108" w:type="dxa"/>
            </w:tcMar>
          </w:tcPr>
          <w:p w14:paraId="5A12BEBE" w14:textId="7FEC93ED" w:rsidR="00087CF7" w:rsidRPr="005A47DC" w:rsidRDefault="00087CF7" w:rsidP="00087CF7">
            <w:pPr>
              <w:pStyle w:val="TableText"/>
              <w:tabs>
                <w:tab w:val="left" w:pos="464"/>
              </w:tabs>
              <w:rPr>
                <w:rFonts w:cstheme="minorHAnsi"/>
                <w:szCs w:val="18"/>
              </w:rPr>
            </w:pPr>
            <w:r w:rsidRPr="005A47DC">
              <w:rPr>
                <w:rFonts w:cstheme="minorHAnsi"/>
                <w:szCs w:val="18"/>
              </w:rPr>
              <w:t xml:space="preserve">3.4.2 Further develop on-going management plans to manage/minimise the impact of </w:t>
            </w:r>
            <w:r w:rsidR="00437EFD" w:rsidRPr="005A47DC">
              <w:rPr>
                <w:rFonts w:cstheme="minorHAnsi"/>
                <w:szCs w:val="18"/>
              </w:rPr>
              <w:t xml:space="preserve">xylella </w:t>
            </w:r>
            <w:r w:rsidRPr="005A47DC">
              <w:rPr>
                <w:rFonts w:cstheme="minorHAnsi"/>
                <w:szCs w:val="18"/>
              </w:rPr>
              <w:t>in the event that eradication is not technically feasible</w:t>
            </w:r>
          </w:p>
        </w:tc>
        <w:tc>
          <w:tcPr>
            <w:tcW w:w="1365" w:type="pct"/>
            <w:shd w:val="clear" w:color="auto" w:fill="F2DBDB"/>
            <w:tcMar>
              <w:left w:w="108" w:type="dxa"/>
              <w:bottom w:w="28" w:type="dxa"/>
              <w:right w:w="108" w:type="dxa"/>
            </w:tcMar>
          </w:tcPr>
          <w:p w14:paraId="1C2C6A8C" w14:textId="20ECEB8B" w:rsidR="00087CF7" w:rsidRPr="005A47DC" w:rsidRDefault="00087CF7" w:rsidP="00087CF7">
            <w:pPr>
              <w:pStyle w:val="TableText"/>
              <w:rPr>
                <w:rFonts w:cstheme="minorHAnsi"/>
                <w:szCs w:val="18"/>
              </w:rPr>
            </w:pPr>
            <w:r>
              <w:rPr>
                <w:rFonts w:cstheme="minorHAnsi"/>
                <w:szCs w:val="18"/>
              </w:rPr>
              <w:t>Pending – project to commence</w:t>
            </w:r>
            <w:r w:rsidR="005A18ED">
              <w:rPr>
                <w:rFonts w:cstheme="minorHAnsi"/>
                <w:szCs w:val="18"/>
              </w:rPr>
              <w:t xml:space="preserve"> when funding available</w:t>
            </w:r>
          </w:p>
        </w:tc>
        <w:tc>
          <w:tcPr>
            <w:tcW w:w="538" w:type="pct"/>
            <w:tcMar>
              <w:left w:w="108" w:type="dxa"/>
              <w:bottom w:w="28" w:type="dxa"/>
              <w:right w:w="108" w:type="dxa"/>
            </w:tcMar>
          </w:tcPr>
          <w:p w14:paraId="6F00496F" w14:textId="716E1442" w:rsidR="00087CF7" w:rsidRPr="005A47DC" w:rsidRDefault="00087CF7" w:rsidP="00087CF7">
            <w:pPr>
              <w:pStyle w:val="TableText"/>
            </w:pPr>
            <w:r>
              <w:t xml:space="preserve">To be determined </w:t>
            </w:r>
          </w:p>
        </w:tc>
        <w:tc>
          <w:tcPr>
            <w:tcW w:w="769" w:type="pct"/>
            <w:tcMar>
              <w:left w:w="108" w:type="dxa"/>
              <w:bottom w:w="28" w:type="dxa"/>
              <w:right w:w="108" w:type="dxa"/>
            </w:tcMar>
          </w:tcPr>
          <w:p w14:paraId="790E1996" w14:textId="270C2136" w:rsidR="00087CF7" w:rsidRPr="0056113C" w:rsidRDefault="00087CF7" w:rsidP="00087CF7">
            <w:pPr>
              <w:pStyle w:val="TableText"/>
            </w:pPr>
            <w:r>
              <w:t xml:space="preserve">To be determined </w:t>
            </w:r>
          </w:p>
        </w:tc>
        <w:tc>
          <w:tcPr>
            <w:tcW w:w="577" w:type="pct"/>
            <w:tcMar>
              <w:left w:w="108" w:type="dxa"/>
              <w:bottom w:w="28" w:type="dxa"/>
              <w:right w:w="108" w:type="dxa"/>
            </w:tcMar>
          </w:tcPr>
          <w:p w14:paraId="2CF88FD9" w14:textId="2322F7B4" w:rsidR="00087CF7" w:rsidRPr="00011B18" w:rsidRDefault="00FB5706" w:rsidP="00FB5706">
            <w:pPr>
              <w:pStyle w:val="TableText"/>
            </w:pPr>
            <w:r w:rsidRPr="00011B18">
              <w:t>Not applicable</w:t>
            </w:r>
          </w:p>
        </w:tc>
      </w:tr>
      <w:tr w:rsidR="002365BD" w:rsidRPr="00013AE2" w14:paraId="26FBA3B7" w14:textId="77777777" w:rsidTr="000724BC">
        <w:tc>
          <w:tcPr>
            <w:tcW w:w="866" w:type="pct"/>
            <w:vMerge/>
            <w:tcMar>
              <w:bottom w:w="28" w:type="dxa"/>
            </w:tcMar>
          </w:tcPr>
          <w:p w14:paraId="6E46CBE3" w14:textId="77777777" w:rsidR="00087CF7" w:rsidRPr="009D6998" w:rsidRDefault="00087CF7" w:rsidP="00087CF7">
            <w:pPr>
              <w:pStyle w:val="TableText"/>
              <w:rPr>
                <w:rStyle w:val="Strong"/>
              </w:rPr>
            </w:pPr>
          </w:p>
        </w:tc>
        <w:tc>
          <w:tcPr>
            <w:tcW w:w="886" w:type="pct"/>
            <w:tcMar>
              <w:left w:w="108" w:type="dxa"/>
              <w:bottom w:w="28" w:type="dxa"/>
              <w:right w:w="108" w:type="dxa"/>
            </w:tcMar>
          </w:tcPr>
          <w:p w14:paraId="2D08AD57" w14:textId="77615CAD" w:rsidR="00087CF7" w:rsidRPr="005A47DC" w:rsidRDefault="00087CF7" w:rsidP="00087CF7">
            <w:pPr>
              <w:pStyle w:val="TableText"/>
              <w:tabs>
                <w:tab w:val="left" w:pos="464"/>
              </w:tabs>
              <w:rPr>
                <w:rFonts w:cstheme="minorHAnsi"/>
                <w:szCs w:val="18"/>
              </w:rPr>
            </w:pPr>
            <w:r w:rsidRPr="005A47DC">
              <w:rPr>
                <w:rFonts w:cstheme="minorHAnsi"/>
                <w:szCs w:val="18"/>
              </w:rPr>
              <w:t xml:space="preserve">3.4.3 Consider testing potential Australian vectors for bacterial flora in their mouthparts/gut for ability to outcompete </w:t>
            </w:r>
            <w:r w:rsidR="00437EFD" w:rsidRPr="005A47DC">
              <w:rPr>
                <w:rFonts w:cstheme="minorHAnsi"/>
                <w:szCs w:val="18"/>
              </w:rPr>
              <w:t>xylella</w:t>
            </w:r>
          </w:p>
        </w:tc>
        <w:tc>
          <w:tcPr>
            <w:tcW w:w="1365" w:type="pct"/>
            <w:shd w:val="clear" w:color="auto" w:fill="F2DBDB"/>
            <w:tcMar>
              <w:left w:w="108" w:type="dxa"/>
              <w:bottom w:w="28" w:type="dxa"/>
              <w:right w:w="108" w:type="dxa"/>
            </w:tcMar>
          </w:tcPr>
          <w:p w14:paraId="40EEAF68" w14:textId="45BEA3DE" w:rsidR="00087CF7" w:rsidRPr="005A47DC" w:rsidRDefault="008B579E" w:rsidP="00087CF7">
            <w:pPr>
              <w:pStyle w:val="TableText"/>
              <w:rPr>
                <w:rFonts w:cstheme="minorHAnsi"/>
                <w:szCs w:val="18"/>
              </w:rPr>
            </w:pPr>
            <w:r>
              <w:rPr>
                <w:rFonts w:cstheme="minorHAnsi"/>
                <w:szCs w:val="18"/>
              </w:rPr>
              <w:t>Pending –</w:t>
            </w:r>
            <w:r w:rsidR="00087CF7">
              <w:rPr>
                <w:rFonts w:cstheme="minorHAnsi"/>
                <w:szCs w:val="18"/>
              </w:rPr>
              <w:t xml:space="preserve"> project to commence</w:t>
            </w:r>
            <w:r w:rsidR="005A18ED">
              <w:rPr>
                <w:rFonts w:cstheme="minorHAnsi"/>
                <w:szCs w:val="18"/>
              </w:rPr>
              <w:t xml:space="preserve"> when funding available</w:t>
            </w:r>
          </w:p>
        </w:tc>
        <w:tc>
          <w:tcPr>
            <w:tcW w:w="538" w:type="pct"/>
            <w:tcMar>
              <w:left w:w="108" w:type="dxa"/>
              <w:bottom w:w="28" w:type="dxa"/>
              <w:right w:w="108" w:type="dxa"/>
            </w:tcMar>
          </w:tcPr>
          <w:p w14:paraId="1FCC0997" w14:textId="5D216342" w:rsidR="00087CF7" w:rsidRPr="005A47DC" w:rsidRDefault="00087CF7" w:rsidP="00087CF7">
            <w:pPr>
              <w:pStyle w:val="TableText"/>
            </w:pPr>
            <w:r>
              <w:t>To be determined</w:t>
            </w:r>
          </w:p>
        </w:tc>
        <w:tc>
          <w:tcPr>
            <w:tcW w:w="769" w:type="pct"/>
            <w:tcMar>
              <w:left w:w="108" w:type="dxa"/>
              <w:bottom w:w="28" w:type="dxa"/>
              <w:right w:w="108" w:type="dxa"/>
            </w:tcMar>
          </w:tcPr>
          <w:p w14:paraId="7198B367" w14:textId="59B090D2" w:rsidR="00087CF7" w:rsidRPr="00BC13C5" w:rsidRDefault="00087CF7" w:rsidP="00087CF7">
            <w:pPr>
              <w:pStyle w:val="TableText"/>
              <w:rPr>
                <w:shd w:val="clear" w:color="auto" w:fill="EEECE1" w:themeFill="background2"/>
              </w:rPr>
            </w:pPr>
            <w:r>
              <w:t>To be determined</w:t>
            </w:r>
          </w:p>
        </w:tc>
        <w:tc>
          <w:tcPr>
            <w:tcW w:w="577" w:type="pct"/>
            <w:tcMar>
              <w:left w:w="108" w:type="dxa"/>
              <w:bottom w:w="28" w:type="dxa"/>
              <w:right w:w="108" w:type="dxa"/>
            </w:tcMar>
          </w:tcPr>
          <w:p w14:paraId="0A27768D" w14:textId="2796EA5B" w:rsidR="00087CF7" w:rsidRPr="00011B18" w:rsidRDefault="00FB5706" w:rsidP="00FB5706">
            <w:pPr>
              <w:pStyle w:val="TableText"/>
            </w:pPr>
            <w:r w:rsidRPr="00011B18">
              <w:t xml:space="preserve">Not applicable </w:t>
            </w:r>
          </w:p>
        </w:tc>
      </w:tr>
      <w:tr w:rsidR="00BC3C67" w:rsidRPr="00013AE2" w14:paraId="05B4EA30" w14:textId="77777777" w:rsidTr="003A1099">
        <w:tc>
          <w:tcPr>
            <w:tcW w:w="866" w:type="pct"/>
            <w:vMerge/>
            <w:tcMar>
              <w:bottom w:w="28" w:type="dxa"/>
            </w:tcMar>
          </w:tcPr>
          <w:p w14:paraId="18FC1179" w14:textId="77777777" w:rsidR="00087CF7" w:rsidRPr="009D6998" w:rsidRDefault="00087CF7" w:rsidP="00087CF7">
            <w:pPr>
              <w:pStyle w:val="TableText"/>
              <w:rPr>
                <w:rStyle w:val="Strong"/>
              </w:rPr>
            </w:pPr>
          </w:p>
        </w:tc>
        <w:tc>
          <w:tcPr>
            <w:tcW w:w="886" w:type="pct"/>
            <w:tcMar>
              <w:left w:w="108" w:type="dxa"/>
              <w:bottom w:w="28" w:type="dxa"/>
              <w:right w:w="108" w:type="dxa"/>
            </w:tcMar>
          </w:tcPr>
          <w:p w14:paraId="19371FBC" w14:textId="074BE1CC" w:rsidR="00087CF7" w:rsidRPr="005A47DC" w:rsidRDefault="00087CF7" w:rsidP="00087CF7">
            <w:pPr>
              <w:pStyle w:val="TableText"/>
              <w:tabs>
                <w:tab w:val="left" w:pos="464"/>
              </w:tabs>
              <w:rPr>
                <w:rFonts w:cstheme="minorHAnsi"/>
                <w:szCs w:val="18"/>
              </w:rPr>
            </w:pPr>
            <w:r w:rsidRPr="005A47DC">
              <w:rPr>
                <w:rFonts w:cstheme="minorHAnsi"/>
                <w:szCs w:val="18"/>
              </w:rPr>
              <w:t>3.4.4 Investigate ‘proof of concept’ to use RNAi methods to eradicate, or minimise effect, of host infection or to interrupt vector transmission</w:t>
            </w:r>
          </w:p>
        </w:tc>
        <w:tc>
          <w:tcPr>
            <w:tcW w:w="1365" w:type="pct"/>
            <w:shd w:val="clear" w:color="auto" w:fill="FABF8F" w:themeFill="accent6" w:themeFillTint="99"/>
            <w:tcMar>
              <w:left w:w="108" w:type="dxa"/>
              <w:bottom w:w="28" w:type="dxa"/>
              <w:right w:w="108" w:type="dxa"/>
            </w:tcMar>
          </w:tcPr>
          <w:p w14:paraId="0379CC4B" w14:textId="3808CD6E" w:rsidR="008D715B" w:rsidRPr="005A47DC" w:rsidRDefault="00B876AF" w:rsidP="008D715B">
            <w:pPr>
              <w:pStyle w:val="TableText"/>
              <w:rPr>
                <w:rFonts w:cstheme="minorHAnsi"/>
                <w:szCs w:val="18"/>
              </w:rPr>
            </w:pPr>
            <w:r>
              <w:rPr>
                <w:rFonts w:cstheme="minorHAnsi"/>
                <w:szCs w:val="18"/>
              </w:rPr>
              <w:t>Deleted</w:t>
            </w:r>
          </w:p>
          <w:p w14:paraId="72C91B6D" w14:textId="74BD03B7" w:rsidR="008B05EB" w:rsidRPr="005A47DC" w:rsidRDefault="00860F27" w:rsidP="00087CF7">
            <w:pPr>
              <w:pStyle w:val="TableText"/>
              <w:rPr>
                <w:rFonts w:cstheme="minorHAnsi"/>
                <w:szCs w:val="18"/>
              </w:rPr>
            </w:pPr>
            <w:r>
              <w:rPr>
                <w:rFonts w:cstheme="minorHAnsi"/>
                <w:szCs w:val="18"/>
              </w:rPr>
              <w:t>In 2023, this project was agreed to be deleted, because it is the same as project 3.2.2.</w:t>
            </w:r>
          </w:p>
        </w:tc>
        <w:tc>
          <w:tcPr>
            <w:tcW w:w="538" w:type="pct"/>
            <w:tcMar>
              <w:left w:w="108" w:type="dxa"/>
              <w:bottom w:w="28" w:type="dxa"/>
              <w:right w:w="108" w:type="dxa"/>
            </w:tcMar>
          </w:tcPr>
          <w:p w14:paraId="282E2447" w14:textId="729F09C0" w:rsidR="00087CF7" w:rsidRPr="005A47DC" w:rsidRDefault="00087CF7" w:rsidP="00087CF7">
            <w:pPr>
              <w:pStyle w:val="TableText"/>
            </w:pPr>
            <w:r>
              <w:t xml:space="preserve">To be determined </w:t>
            </w:r>
          </w:p>
        </w:tc>
        <w:tc>
          <w:tcPr>
            <w:tcW w:w="769" w:type="pct"/>
            <w:tcMar>
              <w:left w:w="108" w:type="dxa"/>
              <w:bottom w:w="28" w:type="dxa"/>
              <w:right w:w="108" w:type="dxa"/>
            </w:tcMar>
          </w:tcPr>
          <w:p w14:paraId="0D327F0E" w14:textId="5A460001" w:rsidR="00087CF7" w:rsidRPr="00BC13C5" w:rsidRDefault="00087CF7" w:rsidP="00087CF7">
            <w:pPr>
              <w:pStyle w:val="TableText"/>
              <w:rPr>
                <w:shd w:val="clear" w:color="auto" w:fill="EEECE1" w:themeFill="background2"/>
              </w:rPr>
            </w:pPr>
            <w:r>
              <w:t xml:space="preserve">To be determined </w:t>
            </w:r>
          </w:p>
        </w:tc>
        <w:tc>
          <w:tcPr>
            <w:tcW w:w="577" w:type="pct"/>
            <w:tcMar>
              <w:left w:w="108" w:type="dxa"/>
              <w:bottom w:w="28" w:type="dxa"/>
              <w:right w:w="108" w:type="dxa"/>
            </w:tcMar>
          </w:tcPr>
          <w:p w14:paraId="6540E598" w14:textId="4A7AFB42" w:rsidR="00087CF7" w:rsidRPr="00011B18" w:rsidRDefault="007A6B0D" w:rsidP="007A6B0D">
            <w:pPr>
              <w:pStyle w:val="TableText"/>
            </w:pPr>
            <w:r w:rsidRPr="00011B18">
              <w:t xml:space="preserve">Not applicable </w:t>
            </w:r>
          </w:p>
        </w:tc>
      </w:tr>
    </w:tbl>
    <w:p w14:paraId="2A90BD70" w14:textId="77777777" w:rsidR="00424757" w:rsidRDefault="00424757" w:rsidP="00106C85">
      <w:pPr>
        <w:pStyle w:val="Caption"/>
        <w:sectPr w:rsidR="00424757" w:rsidSect="00180FF6">
          <w:pgSz w:w="16838" w:h="11906" w:orient="landscape"/>
          <w:pgMar w:top="1418" w:right="1418" w:bottom="851" w:left="1418" w:header="567" w:footer="283" w:gutter="0"/>
          <w:cols w:space="708"/>
          <w:docGrid w:linePitch="360"/>
        </w:sectPr>
      </w:pPr>
      <w:bookmarkStart w:id="11" w:name="_Ref132111949"/>
      <w:bookmarkStart w:id="12" w:name="Table_4_Action_area_4_Cross_cutting"/>
      <w:bookmarkEnd w:id="9"/>
    </w:p>
    <w:p w14:paraId="4949D0ED" w14:textId="1C5E001D" w:rsidR="00620E16" w:rsidRPr="00106C85" w:rsidRDefault="00106C85" w:rsidP="00106C85">
      <w:pPr>
        <w:pStyle w:val="Caption"/>
      </w:pPr>
      <w:r>
        <w:lastRenderedPageBreak/>
        <w:t xml:space="preserve">Table </w:t>
      </w:r>
      <w:r w:rsidR="00753AB9">
        <w:fldChar w:fldCharType="begin"/>
      </w:r>
      <w:r w:rsidR="00753AB9">
        <w:instrText xml:space="preserve"> SEQ Table \* ARABIC </w:instrText>
      </w:r>
      <w:r w:rsidR="00753AB9">
        <w:fldChar w:fldCharType="separate"/>
      </w:r>
      <w:r w:rsidR="00EA64DA">
        <w:rPr>
          <w:noProof/>
        </w:rPr>
        <w:t>4</w:t>
      </w:r>
      <w:r w:rsidR="00753AB9">
        <w:rPr>
          <w:noProof/>
        </w:rPr>
        <w:fldChar w:fldCharType="end"/>
      </w:r>
      <w:bookmarkEnd w:id="11"/>
      <w:r>
        <w:t xml:space="preserve"> </w:t>
      </w:r>
      <w:r w:rsidR="00620E16" w:rsidRPr="00106C85">
        <w:t xml:space="preserve">Implementation of activities for </w:t>
      </w:r>
      <w:r w:rsidR="00004733">
        <w:t>A</w:t>
      </w:r>
      <w:r w:rsidR="00620E16" w:rsidRPr="00106C85">
        <w:t>rea 4: Cross</w:t>
      </w:r>
      <w:r w:rsidR="00C83DBA" w:rsidRPr="00106C85">
        <w:t>–</w:t>
      </w:r>
      <w:r w:rsidR="00620E16" w:rsidRPr="00106C85">
        <w:t>cutting</w:t>
      </w:r>
    </w:p>
    <w:tbl>
      <w:tblPr>
        <w:tblW w:w="4961" w:type="pct"/>
        <w:tblBorders>
          <w:top w:val="single" w:sz="4" w:space="0" w:color="auto"/>
          <w:bottom w:val="single" w:sz="4" w:space="0" w:color="auto"/>
          <w:insideH w:val="single" w:sz="4" w:space="0" w:color="auto"/>
        </w:tblBorders>
        <w:tblLayout w:type="fixed"/>
        <w:tblCellMar>
          <w:bottom w:w="57" w:type="dxa"/>
        </w:tblCellMar>
        <w:tblLook w:val="0000" w:firstRow="0" w:lastRow="0" w:firstColumn="0" w:lastColumn="0" w:noHBand="0" w:noVBand="0"/>
      </w:tblPr>
      <w:tblGrid>
        <w:gridCol w:w="2409"/>
        <w:gridCol w:w="2412"/>
        <w:gridCol w:w="3826"/>
        <w:gridCol w:w="1392"/>
        <w:gridCol w:w="2009"/>
        <w:gridCol w:w="1845"/>
      </w:tblGrid>
      <w:tr w:rsidR="00003455" w:rsidRPr="00F81ECF" w14:paraId="2F6E5C32" w14:textId="77777777" w:rsidTr="00003455">
        <w:trPr>
          <w:tblHeader/>
        </w:trPr>
        <w:tc>
          <w:tcPr>
            <w:tcW w:w="867" w:type="pct"/>
            <w:tcMar>
              <w:bottom w:w="28" w:type="dxa"/>
            </w:tcMar>
          </w:tcPr>
          <w:bookmarkEnd w:id="12"/>
          <w:p w14:paraId="2FE0E506" w14:textId="77777777" w:rsidR="00620E16" w:rsidRPr="00A8715D" w:rsidRDefault="00620E16" w:rsidP="00280FAA">
            <w:pPr>
              <w:pStyle w:val="TableHeading"/>
            </w:pPr>
            <w:r>
              <w:t>Action</w:t>
            </w:r>
          </w:p>
        </w:tc>
        <w:tc>
          <w:tcPr>
            <w:tcW w:w="868" w:type="pct"/>
            <w:tcMar>
              <w:left w:w="108" w:type="dxa"/>
              <w:bottom w:w="28" w:type="dxa"/>
              <w:right w:w="108" w:type="dxa"/>
            </w:tcMar>
          </w:tcPr>
          <w:p w14:paraId="61BED13F" w14:textId="77777777" w:rsidR="00620E16" w:rsidRPr="00261848" w:rsidRDefault="00620E16" w:rsidP="00280FAA">
            <w:pPr>
              <w:pStyle w:val="TableHeading"/>
            </w:pPr>
            <w:r w:rsidRPr="00261848">
              <w:t>Project or business</w:t>
            </w:r>
            <w:r>
              <w:t>-</w:t>
            </w:r>
            <w:r w:rsidRPr="00261848">
              <w:t>as</w:t>
            </w:r>
            <w:r>
              <w:t>-</w:t>
            </w:r>
            <w:r w:rsidRPr="00261848">
              <w:t>usual activity</w:t>
            </w:r>
          </w:p>
        </w:tc>
        <w:tc>
          <w:tcPr>
            <w:tcW w:w="1377" w:type="pct"/>
            <w:tcMar>
              <w:left w:w="108" w:type="dxa"/>
              <w:bottom w:w="28" w:type="dxa"/>
              <w:right w:w="108" w:type="dxa"/>
            </w:tcMar>
          </w:tcPr>
          <w:p w14:paraId="706E5552" w14:textId="20625A2D" w:rsidR="00620E16" w:rsidRPr="00261848" w:rsidRDefault="00620E16" w:rsidP="00280FAA">
            <w:pPr>
              <w:pStyle w:val="TableHeading"/>
            </w:pPr>
            <w:r w:rsidRPr="00261848">
              <w:t xml:space="preserve">Status </w:t>
            </w:r>
          </w:p>
        </w:tc>
        <w:tc>
          <w:tcPr>
            <w:tcW w:w="501" w:type="pct"/>
            <w:tcMar>
              <w:left w:w="108" w:type="dxa"/>
              <w:bottom w:w="28" w:type="dxa"/>
              <w:right w:w="108" w:type="dxa"/>
            </w:tcMar>
          </w:tcPr>
          <w:p w14:paraId="53CC1928" w14:textId="77777777" w:rsidR="00620E16" w:rsidRPr="00261848" w:rsidRDefault="00620E16" w:rsidP="00280FAA">
            <w:pPr>
              <w:pStyle w:val="TableHeading"/>
            </w:pPr>
            <w:r w:rsidRPr="00261848">
              <w:t>Lead organisation</w:t>
            </w:r>
          </w:p>
        </w:tc>
        <w:tc>
          <w:tcPr>
            <w:tcW w:w="723" w:type="pct"/>
            <w:tcMar>
              <w:left w:w="108" w:type="dxa"/>
              <w:bottom w:w="28" w:type="dxa"/>
              <w:right w:w="108" w:type="dxa"/>
            </w:tcMar>
          </w:tcPr>
          <w:p w14:paraId="57EE02CC" w14:textId="77777777" w:rsidR="00620E16" w:rsidRPr="00261848" w:rsidRDefault="00620E16" w:rsidP="00280FAA">
            <w:pPr>
              <w:pStyle w:val="TableHeading"/>
            </w:pPr>
            <w:r w:rsidRPr="00261848">
              <w:t>Contributors (financial and in-kind)</w:t>
            </w:r>
          </w:p>
        </w:tc>
        <w:tc>
          <w:tcPr>
            <w:tcW w:w="664" w:type="pct"/>
            <w:tcMar>
              <w:left w:w="108" w:type="dxa"/>
              <w:bottom w:w="28" w:type="dxa"/>
              <w:right w:w="108" w:type="dxa"/>
            </w:tcMar>
          </w:tcPr>
          <w:p w14:paraId="60EE4232" w14:textId="77777777" w:rsidR="00620E16" w:rsidRPr="00261848" w:rsidRDefault="00620E16" w:rsidP="00280FAA">
            <w:pPr>
              <w:pStyle w:val="TableHeading"/>
            </w:pPr>
            <w:r w:rsidRPr="00261848">
              <w:t>Dependencies</w:t>
            </w:r>
          </w:p>
        </w:tc>
      </w:tr>
      <w:tr w:rsidR="00D56181" w:rsidRPr="00013AE2" w14:paraId="583CFFB6" w14:textId="77777777" w:rsidTr="003A1099">
        <w:trPr>
          <w:trHeight w:val="849"/>
        </w:trPr>
        <w:tc>
          <w:tcPr>
            <w:tcW w:w="867" w:type="pct"/>
            <w:vMerge w:val="restart"/>
            <w:tcMar>
              <w:bottom w:w="28" w:type="dxa"/>
            </w:tcMar>
          </w:tcPr>
          <w:p w14:paraId="4F24EDCA" w14:textId="1B0B9E94" w:rsidR="00087CF7" w:rsidRPr="00DE7573" w:rsidRDefault="00087CF7" w:rsidP="00087CF7">
            <w:pPr>
              <w:pStyle w:val="TableText"/>
            </w:pPr>
            <w:r w:rsidRPr="007B0473">
              <w:rPr>
                <w:rStyle w:val="Strong"/>
              </w:rPr>
              <w:t xml:space="preserve">Action </w:t>
            </w:r>
            <w:r>
              <w:rPr>
                <w:rStyle w:val="Strong"/>
              </w:rPr>
              <w:t>4</w:t>
            </w:r>
            <w:r w:rsidRPr="007B0473">
              <w:rPr>
                <w:rStyle w:val="Strong"/>
              </w:rPr>
              <w:t>.1</w:t>
            </w:r>
            <w:r>
              <w:rPr>
                <w:rStyle w:val="Strong"/>
              </w:rPr>
              <w:t xml:space="preserve">: </w:t>
            </w:r>
            <w:r w:rsidRPr="000B0F55">
              <w:rPr>
                <w:rStyle w:val="Strong"/>
                <w:b w:val="0"/>
                <w:bCs w:val="0"/>
              </w:rPr>
              <w:t>Develop an overarching communication and engagement strategy and deliver targeted activities relevant to the stakeholder group (industry, community, government)</w:t>
            </w:r>
          </w:p>
          <w:p w14:paraId="42F99A3B" w14:textId="77777777" w:rsidR="00087CF7" w:rsidRDefault="00087CF7" w:rsidP="00087CF7">
            <w:pPr>
              <w:pStyle w:val="TableText"/>
              <w:rPr>
                <w:rStyle w:val="Strong"/>
              </w:rPr>
            </w:pPr>
            <w:r w:rsidRPr="00E72202">
              <w:rPr>
                <w:rStyle w:val="Strong"/>
              </w:rPr>
              <w:t>Expected benefit and outcome:</w:t>
            </w:r>
          </w:p>
          <w:p w14:paraId="0A1E91B4" w14:textId="77777777" w:rsidR="00087CF7" w:rsidRDefault="00087CF7" w:rsidP="00087CF7">
            <w:pPr>
              <w:pStyle w:val="TableText"/>
              <w:rPr>
                <w:bCs/>
              </w:rPr>
            </w:pPr>
            <w:r w:rsidRPr="000B0F55">
              <w:rPr>
                <w:bCs/>
              </w:rPr>
              <w:t xml:space="preserve">To mitigate the risk of </w:t>
            </w:r>
            <w:r w:rsidRPr="00011B18">
              <w:rPr>
                <w:bCs/>
                <w:i/>
                <w:iCs/>
              </w:rPr>
              <w:t>Xylella fastidiosa</w:t>
            </w:r>
            <w:r w:rsidRPr="000B0F55">
              <w:rPr>
                <w:bCs/>
              </w:rPr>
              <w:t xml:space="preserve"> transmission through raising biosecurity awareness among stakeholder groups (industry, community, government). </w:t>
            </w:r>
          </w:p>
          <w:p w14:paraId="0CA0FF1E" w14:textId="3A49596A" w:rsidR="00087CF7" w:rsidRDefault="00087CF7" w:rsidP="00087CF7">
            <w:pPr>
              <w:pStyle w:val="TableText"/>
              <w:rPr>
                <w:bCs/>
              </w:rPr>
            </w:pPr>
            <w:r w:rsidRPr="000B0F55">
              <w:rPr>
                <w:bCs/>
              </w:rPr>
              <w:t>Initiate project(s) to develop an overarching communication and engagement strategy and deliver targeted activities relevant to the stakeholder group (industry, community, government).</w:t>
            </w:r>
          </w:p>
          <w:p w14:paraId="1A7612B3" w14:textId="6AB5821F" w:rsidR="00087CF7" w:rsidRPr="00AA2A13" w:rsidRDefault="00087CF7" w:rsidP="00087CF7">
            <w:pPr>
              <w:pStyle w:val="TableText"/>
              <w:rPr>
                <w:szCs w:val="18"/>
              </w:rPr>
            </w:pPr>
            <w:r w:rsidRPr="00E72202">
              <w:rPr>
                <w:rStyle w:val="Strong"/>
              </w:rPr>
              <w:t>Priority:</w:t>
            </w:r>
            <w:r>
              <w:rPr>
                <w:szCs w:val="18"/>
              </w:rPr>
              <w:t xml:space="preserve"> high</w:t>
            </w:r>
          </w:p>
          <w:p w14:paraId="3EB82735" w14:textId="06D2D1FB" w:rsidR="00087CF7" w:rsidRPr="00EA74C1" w:rsidRDefault="00087CF7" w:rsidP="00087CF7">
            <w:pPr>
              <w:pStyle w:val="TableText"/>
            </w:pPr>
            <w:r w:rsidRPr="00E72202">
              <w:rPr>
                <w:rStyle w:val="Strong"/>
              </w:rPr>
              <w:t>Time frame:</w:t>
            </w:r>
            <w:r>
              <w:rPr>
                <w:szCs w:val="18"/>
              </w:rPr>
              <w:t xml:space="preserve"> short</w:t>
            </w:r>
            <w:r w:rsidRPr="00AA2A13">
              <w:rPr>
                <w:szCs w:val="18"/>
              </w:rPr>
              <w:t xml:space="preserve"> term</w:t>
            </w:r>
          </w:p>
        </w:tc>
        <w:tc>
          <w:tcPr>
            <w:tcW w:w="868" w:type="pct"/>
            <w:tcMar>
              <w:left w:w="108" w:type="dxa"/>
              <w:bottom w:w="28" w:type="dxa"/>
              <w:right w:w="108" w:type="dxa"/>
            </w:tcMar>
          </w:tcPr>
          <w:p w14:paraId="39C4EF5A" w14:textId="6B7F89AE" w:rsidR="00087CF7" w:rsidRPr="00EA74C1" w:rsidRDefault="00087CF7" w:rsidP="0056113C">
            <w:pPr>
              <w:pStyle w:val="TableText"/>
              <w:tabs>
                <w:tab w:val="left" w:pos="464"/>
              </w:tabs>
            </w:pPr>
            <w:r>
              <w:t xml:space="preserve">4.1.1 </w:t>
            </w:r>
            <w:r w:rsidRPr="000B0F55">
              <w:t>Continue current engagement and communication activities to raise awareness of Xylella and plant biosecurity</w:t>
            </w:r>
          </w:p>
        </w:tc>
        <w:tc>
          <w:tcPr>
            <w:tcW w:w="1377" w:type="pct"/>
            <w:shd w:val="clear" w:color="auto" w:fill="C6D9F1" w:themeFill="text2" w:themeFillTint="33"/>
            <w:tcMar>
              <w:left w:w="108" w:type="dxa"/>
              <w:bottom w:w="28" w:type="dxa"/>
              <w:right w:w="108" w:type="dxa"/>
            </w:tcMar>
          </w:tcPr>
          <w:p w14:paraId="531F1407" w14:textId="5D438F47" w:rsidR="00087CF7" w:rsidRPr="00BF5F05" w:rsidRDefault="00087CF7" w:rsidP="00087CF7">
            <w:pPr>
              <w:pStyle w:val="TableText"/>
            </w:pPr>
            <w:r>
              <w:t>Ongoing – business as usual</w:t>
            </w:r>
          </w:p>
        </w:tc>
        <w:tc>
          <w:tcPr>
            <w:tcW w:w="501" w:type="pct"/>
            <w:tcMar>
              <w:left w:w="108" w:type="dxa"/>
              <w:bottom w:w="28" w:type="dxa"/>
              <w:right w:w="108" w:type="dxa"/>
            </w:tcMar>
          </w:tcPr>
          <w:p w14:paraId="6A50438E" w14:textId="0BFA8BAE" w:rsidR="00087CF7" w:rsidRPr="00D218F7" w:rsidRDefault="00087CF7" w:rsidP="00087CF7">
            <w:pPr>
              <w:pStyle w:val="TableText"/>
            </w:pPr>
            <w:r>
              <w:t>All stakeholders</w:t>
            </w:r>
          </w:p>
        </w:tc>
        <w:tc>
          <w:tcPr>
            <w:tcW w:w="723" w:type="pct"/>
            <w:tcMar>
              <w:left w:w="108" w:type="dxa"/>
              <w:bottom w:w="28" w:type="dxa"/>
              <w:right w:w="108" w:type="dxa"/>
            </w:tcMar>
          </w:tcPr>
          <w:p w14:paraId="243C97D2" w14:textId="71D272BF" w:rsidR="00087CF7" w:rsidRPr="000407B5" w:rsidRDefault="009303C1" w:rsidP="00087CF7">
            <w:pPr>
              <w:pStyle w:val="TableText"/>
            </w:pPr>
            <w:r>
              <w:t>All stakeholders</w:t>
            </w:r>
          </w:p>
        </w:tc>
        <w:tc>
          <w:tcPr>
            <w:tcW w:w="664" w:type="pct"/>
            <w:tcMar>
              <w:left w:w="108" w:type="dxa"/>
              <w:bottom w:w="28" w:type="dxa"/>
              <w:right w:w="108" w:type="dxa"/>
            </w:tcMar>
          </w:tcPr>
          <w:p w14:paraId="5F86FA4B" w14:textId="16D1B6D9" w:rsidR="00087CF7" w:rsidRPr="00C22748" w:rsidRDefault="00087CF7" w:rsidP="00087CF7">
            <w:pPr>
              <w:pStyle w:val="TableText"/>
            </w:pPr>
            <w:r w:rsidRPr="00087CF7">
              <w:t>Supports many other action areas</w:t>
            </w:r>
          </w:p>
        </w:tc>
      </w:tr>
      <w:tr w:rsidR="00D56181" w:rsidRPr="00013AE2" w14:paraId="6993640F" w14:textId="77777777" w:rsidTr="003A1099">
        <w:trPr>
          <w:trHeight w:val="1126"/>
        </w:trPr>
        <w:tc>
          <w:tcPr>
            <w:tcW w:w="867" w:type="pct"/>
            <w:vMerge/>
            <w:tcMar>
              <w:bottom w:w="28" w:type="dxa"/>
            </w:tcMar>
          </w:tcPr>
          <w:p w14:paraId="092E3A0F" w14:textId="77777777" w:rsidR="00914023" w:rsidRPr="007B0473" w:rsidRDefault="00914023" w:rsidP="00914023">
            <w:pPr>
              <w:pStyle w:val="TableText"/>
              <w:rPr>
                <w:rStyle w:val="Strong"/>
              </w:rPr>
            </w:pPr>
          </w:p>
        </w:tc>
        <w:tc>
          <w:tcPr>
            <w:tcW w:w="868" w:type="pct"/>
            <w:tcMar>
              <w:left w:w="108" w:type="dxa"/>
              <w:bottom w:w="28" w:type="dxa"/>
              <w:right w:w="108" w:type="dxa"/>
            </w:tcMar>
          </w:tcPr>
          <w:p w14:paraId="4D76193B" w14:textId="2F07D95D" w:rsidR="00914023" w:rsidRDefault="00914023" w:rsidP="00914023">
            <w:pPr>
              <w:pStyle w:val="TableText"/>
              <w:tabs>
                <w:tab w:val="left" w:pos="464"/>
              </w:tabs>
            </w:pPr>
            <w:r>
              <w:t>4.1.2</w:t>
            </w:r>
            <w:r w:rsidR="00A27AB9">
              <w:t xml:space="preserve"> Hold f</w:t>
            </w:r>
            <w:r w:rsidR="00A27AB9" w:rsidRPr="000B0F55">
              <w:t xml:space="preserve">ace-to-face activities </w:t>
            </w:r>
            <w:r w:rsidR="00A27AB9">
              <w:t xml:space="preserve">to raise </w:t>
            </w:r>
            <w:r w:rsidR="00A27AB9" w:rsidRPr="00011B18">
              <w:rPr>
                <w:i/>
                <w:iCs/>
              </w:rPr>
              <w:t>Xylella fastidiosa</w:t>
            </w:r>
            <w:r w:rsidR="00A27AB9">
              <w:t xml:space="preserve"> awareness</w:t>
            </w:r>
          </w:p>
        </w:tc>
        <w:tc>
          <w:tcPr>
            <w:tcW w:w="1377" w:type="pct"/>
            <w:shd w:val="clear" w:color="auto" w:fill="D6E3BC" w:themeFill="accent3" w:themeFillTint="66"/>
            <w:tcMar>
              <w:left w:w="108" w:type="dxa"/>
              <w:bottom w:w="28" w:type="dxa"/>
              <w:right w:w="108" w:type="dxa"/>
            </w:tcMar>
          </w:tcPr>
          <w:p w14:paraId="01D555EA" w14:textId="06606632" w:rsidR="00914023" w:rsidRPr="00914023" w:rsidRDefault="00474CEC" w:rsidP="00474CEC">
            <w:pPr>
              <w:pStyle w:val="TableText"/>
              <w:shd w:val="clear" w:color="auto" w:fill="D6E3BC" w:themeFill="accent3" w:themeFillTint="66"/>
              <w:rPr>
                <w:rFonts w:cstheme="minorHAnsi"/>
                <w:szCs w:val="18"/>
              </w:rPr>
            </w:pPr>
            <w:r>
              <w:rPr>
                <w:rFonts w:cstheme="minorHAnsi"/>
                <w:szCs w:val="18"/>
              </w:rPr>
              <w:t>Completed</w:t>
            </w:r>
            <w:r w:rsidRPr="0095250B">
              <w:rPr>
                <w:rFonts w:cstheme="minorHAnsi"/>
                <w:szCs w:val="18"/>
              </w:rPr>
              <w:t xml:space="preserve"> – project </w:t>
            </w:r>
            <w:r>
              <w:rPr>
                <w:rFonts w:cstheme="minorHAnsi"/>
                <w:szCs w:val="18"/>
              </w:rPr>
              <w:t>finished (2023)</w:t>
            </w:r>
          </w:p>
          <w:p w14:paraId="7B59E1E5" w14:textId="6E46E86B" w:rsidR="007805EB" w:rsidRDefault="00914023" w:rsidP="00474CEC">
            <w:pPr>
              <w:pStyle w:val="TableText"/>
              <w:shd w:val="clear" w:color="auto" w:fill="D6E3BC" w:themeFill="accent3" w:themeFillTint="66"/>
              <w:rPr>
                <w:rFonts w:cstheme="minorHAnsi"/>
                <w:szCs w:val="18"/>
              </w:rPr>
            </w:pPr>
            <w:r w:rsidRPr="00914023">
              <w:rPr>
                <w:rFonts w:cstheme="minorHAnsi"/>
                <w:szCs w:val="18"/>
              </w:rPr>
              <w:t xml:space="preserve">Online discussion and industry articles </w:t>
            </w:r>
            <w:r w:rsidR="008D715B">
              <w:rPr>
                <w:rFonts w:cstheme="minorHAnsi"/>
                <w:szCs w:val="18"/>
              </w:rPr>
              <w:t>were developed by the National Xylella Coordinator (position now finished)</w:t>
            </w:r>
            <w:r w:rsidRPr="00914023">
              <w:rPr>
                <w:rFonts w:cstheme="minorHAnsi"/>
                <w:szCs w:val="18"/>
              </w:rPr>
              <w:t xml:space="preserve">. </w:t>
            </w:r>
          </w:p>
          <w:p w14:paraId="46B2C6B9" w14:textId="4995C6DB" w:rsidR="00375007" w:rsidRPr="00DB6246" w:rsidRDefault="00DB6246" w:rsidP="00474CEC">
            <w:pPr>
              <w:pStyle w:val="TableText"/>
              <w:shd w:val="clear" w:color="auto" w:fill="D6E3BC" w:themeFill="accent3" w:themeFillTint="66"/>
              <w:rPr>
                <w:rFonts w:cstheme="minorHAnsi"/>
                <w:szCs w:val="18"/>
              </w:rPr>
            </w:pPr>
            <w:r w:rsidRPr="00141698">
              <w:rPr>
                <w:rStyle w:val="cf01"/>
                <w:rFonts w:asciiTheme="minorHAnsi" w:hAnsiTheme="minorHAnsi" w:cstheme="minorHAnsi"/>
              </w:rPr>
              <w:t xml:space="preserve">A </w:t>
            </w:r>
            <w:r w:rsidR="00B876AF">
              <w:rPr>
                <w:rStyle w:val="cf01"/>
                <w:rFonts w:asciiTheme="minorHAnsi" w:hAnsiTheme="minorHAnsi" w:cstheme="minorHAnsi"/>
              </w:rPr>
              <w:t>x</w:t>
            </w:r>
            <w:r w:rsidRPr="00141698">
              <w:rPr>
                <w:rStyle w:val="cf01"/>
                <w:rFonts w:asciiTheme="minorHAnsi" w:hAnsiTheme="minorHAnsi" w:cstheme="minorHAnsi"/>
              </w:rPr>
              <w:t xml:space="preserve">ylella workshop </w:t>
            </w:r>
            <w:r w:rsidR="002E2A77">
              <w:rPr>
                <w:rStyle w:val="cf01"/>
                <w:rFonts w:asciiTheme="minorHAnsi" w:hAnsiTheme="minorHAnsi" w:cstheme="minorHAnsi"/>
              </w:rPr>
              <w:t>was</w:t>
            </w:r>
            <w:r w:rsidRPr="00141698">
              <w:rPr>
                <w:rStyle w:val="cf01"/>
                <w:rFonts w:asciiTheme="minorHAnsi" w:hAnsiTheme="minorHAnsi" w:cstheme="minorHAnsi"/>
              </w:rPr>
              <w:t xml:space="preserve"> held at</w:t>
            </w:r>
            <w:r w:rsidR="008D715B">
              <w:rPr>
                <w:rStyle w:val="cf01"/>
                <w:rFonts w:asciiTheme="minorHAnsi" w:hAnsiTheme="minorHAnsi" w:cstheme="minorHAnsi"/>
              </w:rPr>
              <w:t xml:space="preserve"> the Australian Plant Pathology Society Conference</w:t>
            </w:r>
            <w:r w:rsidRPr="00141698">
              <w:rPr>
                <w:rStyle w:val="cf01"/>
                <w:rFonts w:asciiTheme="minorHAnsi" w:hAnsiTheme="minorHAnsi" w:cstheme="minorHAnsi"/>
              </w:rPr>
              <w:t xml:space="preserve"> 2023</w:t>
            </w:r>
            <w:r w:rsidR="008D715B">
              <w:rPr>
                <w:rStyle w:val="cf01"/>
                <w:rFonts w:asciiTheme="minorHAnsi" w:hAnsiTheme="minorHAnsi" w:cstheme="minorHAnsi"/>
              </w:rPr>
              <w:t>.</w:t>
            </w:r>
            <w:r w:rsidRPr="00141698">
              <w:rPr>
                <w:rStyle w:val="cf01"/>
                <w:rFonts w:asciiTheme="minorHAnsi" w:hAnsiTheme="minorHAnsi" w:cstheme="minorHAnsi"/>
              </w:rPr>
              <w:t xml:space="preserve"> </w:t>
            </w:r>
          </w:p>
        </w:tc>
        <w:tc>
          <w:tcPr>
            <w:tcW w:w="501" w:type="pct"/>
            <w:tcMar>
              <w:left w:w="108" w:type="dxa"/>
              <w:bottom w:w="28" w:type="dxa"/>
              <w:right w:w="108" w:type="dxa"/>
            </w:tcMar>
          </w:tcPr>
          <w:p w14:paraId="1D644C31" w14:textId="5C3887A8" w:rsidR="00914023" w:rsidRDefault="00914023" w:rsidP="00914023">
            <w:pPr>
              <w:pStyle w:val="TableText"/>
            </w:pPr>
            <w:r>
              <w:t>Jurisdiction</w:t>
            </w:r>
          </w:p>
          <w:p w14:paraId="537E7C53" w14:textId="2A67FAB7" w:rsidR="00914023" w:rsidRDefault="00914023" w:rsidP="00914023">
            <w:pPr>
              <w:pStyle w:val="TableText"/>
            </w:pPr>
            <w:r>
              <w:t xml:space="preserve">National Xylella Coordinator </w:t>
            </w:r>
          </w:p>
        </w:tc>
        <w:tc>
          <w:tcPr>
            <w:tcW w:w="723" w:type="pct"/>
            <w:tcMar>
              <w:left w:w="108" w:type="dxa"/>
              <w:bottom w:w="28" w:type="dxa"/>
              <w:right w:w="108" w:type="dxa"/>
            </w:tcMar>
          </w:tcPr>
          <w:p w14:paraId="3674632E" w14:textId="11FA9654" w:rsidR="00914023" w:rsidRPr="00F44C27" w:rsidRDefault="008D715B" w:rsidP="00914023">
            <w:pPr>
              <w:pStyle w:val="TableText"/>
            </w:pPr>
            <w:r>
              <w:t xml:space="preserve">PHA, </w:t>
            </w:r>
            <w:r w:rsidR="00F255CB">
              <w:t>Commonwealth</w:t>
            </w:r>
          </w:p>
        </w:tc>
        <w:tc>
          <w:tcPr>
            <w:tcW w:w="664" w:type="pct"/>
            <w:tcMar>
              <w:left w:w="108" w:type="dxa"/>
              <w:bottom w:w="28" w:type="dxa"/>
              <w:right w:w="108" w:type="dxa"/>
            </w:tcMar>
          </w:tcPr>
          <w:p w14:paraId="2A0DAC30" w14:textId="3AC5F0EB" w:rsidR="00914023" w:rsidRDefault="00F108D5" w:rsidP="00914023">
            <w:pPr>
              <w:pStyle w:val="TableText"/>
            </w:pPr>
            <w:r>
              <w:t xml:space="preserve">Not applicable </w:t>
            </w:r>
          </w:p>
        </w:tc>
      </w:tr>
      <w:tr w:rsidR="00003455" w:rsidRPr="00013AE2" w14:paraId="2BD38A8F" w14:textId="77777777" w:rsidTr="00474CEC">
        <w:trPr>
          <w:trHeight w:val="733"/>
        </w:trPr>
        <w:tc>
          <w:tcPr>
            <w:tcW w:w="867" w:type="pct"/>
            <w:vMerge w:val="restart"/>
            <w:tcMar>
              <w:bottom w:w="28" w:type="dxa"/>
            </w:tcMar>
          </w:tcPr>
          <w:p w14:paraId="53672A2D" w14:textId="77777777" w:rsidR="00933559" w:rsidRDefault="00933559" w:rsidP="00914023">
            <w:pPr>
              <w:pStyle w:val="TableText"/>
              <w:rPr>
                <w:rStyle w:val="Strong"/>
                <w:b w:val="0"/>
                <w:bCs w:val="0"/>
              </w:rPr>
            </w:pPr>
            <w:r>
              <w:rPr>
                <w:rStyle w:val="Strong"/>
              </w:rPr>
              <w:t xml:space="preserve">Action 4.2: </w:t>
            </w:r>
            <w:r w:rsidRPr="00914023">
              <w:rPr>
                <w:rStyle w:val="Strong"/>
                <w:b w:val="0"/>
                <w:bCs w:val="0"/>
              </w:rPr>
              <w:t>Build national surveillance and diagnostics capability and capacity through training and post graduate opportunities</w:t>
            </w:r>
            <w:r>
              <w:rPr>
                <w:rStyle w:val="Strong"/>
                <w:b w:val="0"/>
                <w:bCs w:val="0"/>
              </w:rPr>
              <w:t>.</w:t>
            </w:r>
          </w:p>
          <w:p w14:paraId="01D8008A" w14:textId="2B3FF095" w:rsidR="00933559" w:rsidRDefault="00933559" w:rsidP="00914023">
            <w:pPr>
              <w:pStyle w:val="TableText"/>
              <w:rPr>
                <w:rFonts w:cstheme="minorHAnsi"/>
                <w:szCs w:val="18"/>
              </w:rPr>
            </w:pPr>
            <w:r w:rsidRPr="004D04AB">
              <w:rPr>
                <w:rStyle w:val="Strong"/>
              </w:rPr>
              <w:t>E</w:t>
            </w:r>
            <w:r>
              <w:rPr>
                <w:rStyle w:val="Strong"/>
              </w:rPr>
              <w:t xml:space="preserve">xpected benefit and outcome: </w:t>
            </w:r>
            <w:r w:rsidRPr="00914023">
              <w:rPr>
                <w:rFonts w:cstheme="minorHAnsi"/>
                <w:szCs w:val="18"/>
              </w:rPr>
              <w:t xml:space="preserve">To increase Australia’s detection and </w:t>
            </w:r>
            <w:r w:rsidRPr="00914023">
              <w:rPr>
                <w:rFonts w:cstheme="minorHAnsi"/>
                <w:szCs w:val="18"/>
              </w:rPr>
              <w:lastRenderedPageBreak/>
              <w:t xml:space="preserve">response capability in relation to </w:t>
            </w:r>
            <w:r w:rsidRPr="00914023">
              <w:rPr>
                <w:rFonts w:cstheme="minorHAnsi"/>
                <w:i/>
                <w:iCs/>
                <w:szCs w:val="18"/>
              </w:rPr>
              <w:t xml:space="preserve">Xylella fastidiosa </w:t>
            </w:r>
            <w:r w:rsidRPr="00914023">
              <w:rPr>
                <w:rFonts w:cstheme="minorHAnsi"/>
                <w:szCs w:val="18"/>
              </w:rPr>
              <w:t>through building expertise.</w:t>
            </w:r>
          </w:p>
          <w:p w14:paraId="1D32EF85" w14:textId="40D7EDC0" w:rsidR="00933559" w:rsidRPr="00464C99" w:rsidRDefault="00933559" w:rsidP="00914023">
            <w:pPr>
              <w:pStyle w:val="TableText"/>
              <w:rPr>
                <w:rStyle w:val="Strong"/>
                <w:rFonts w:cstheme="minorHAnsi"/>
                <w:b w:val="0"/>
                <w:bCs w:val="0"/>
                <w:szCs w:val="18"/>
              </w:rPr>
            </w:pPr>
            <w:r w:rsidRPr="00464C99">
              <w:rPr>
                <w:rFonts w:cstheme="minorHAnsi"/>
                <w:szCs w:val="18"/>
              </w:rPr>
              <w:t xml:space="preserve">Commonwealth to consider use of funding to develop laboratory capability for </w:t>
            </w:r>
            <w:r w:rsidRPr="00464C99">
              <w:rPr>
                <w:rFonts w:cstheme="minorHAnsi"/>
                <w:i/>
                <w:iCs/>
                <w:szCs w:val="18"/>
              </w:rPr>
              <w:t>Xylella</w:t>
            </w:r>
            <w:r w:rsidRPr="00464C99">
              <w:rPr>
                <w:rFonts w:cstheme="minorHAnsi"/>
                <w:szCs w:val="18"/>
              </w:rPr>
              <w:t xml:space="preserve"> spp., including relating to professional development opportunities.</w:t>
            </w:r>
          </w:p>
          <w:p w14:paraId="56995E9C" w14:textId="14D4C4D1" w:rsidR="00933559" w:rsidRDefault="00933559" w:rsidP="00914023">
            <w:pPr>
              <w:pStyle w:val="TableText"/>
              <w:rPr>
                <w:rStyle w:val="Strong"/>
              </w:rPr>
            </w:pPr>
            <w:r>
              <w:rPr>
                <w:rStyle w:val="Strong"/>
              </w:rPr>
              <w:t xml:space="preserve">Priority: </w:t>
            </w:r>
            <w:r w:rsidRPr="005425D8">
              <w:rPr>
                <w:rStyle w:val="Strong"/>
                <w:b w:val="0"/>
                <w:bCs w:val="0"/>
              </w:rPr>
              <w:t>high</w:t>
            </w:r>
          </w:p>
          <w:p w14:paraId="54CF7485" w14:textId="7122E88F" w:rsidR="00933559" w:rsidRPr="00C2627F" w:rsidRDefault="00933559" w:rsidP="00914023">
            <w:pPr>
              <w:pStyle w:val="TableText"/>
              <w:rPr>
                <w:rStyle w:val="Strong"/>
              </w:rPr>
            </w:pPr>
            <w:r>
              <w:rPr>
                <w:rStyle w:val="Strong"/>
              </w:rPr>
              <w:t xml:space="preserve">Time frame: </w:t>
            </w:r>
            <w:r w:rsidRPr="005425D8">
              <w:rPr>
                <w:rStyle w:val="Strong"/>
                <w:b w:val="0"/>
                <w:bCs w:val="0"/>
              </w:rPr>
              <w:t>ongoing</w:t>
            </w:r>
          </w:p>
        </w:tc>
        <w:tc>
          <w:tcPr>
            <w:tcW w:w="868" w:type="pct"/>
            <w:tcMar>
              <w:left w:w="108" w:type="dxa"/>
              <w:bottom w:w="28" w:type="dxa"/>
              <w:right w:w="108" w:type="dxa"/>
            </w:tcMar>
          </w:tcPr>
          <w:p w14:paraId="35B5E7BC" w14:textId="350D3470" w:rsidR="00933559" w:rsidRDefault="00933559" w:rsidP="00914023">
            <w:pPr>
              <w:pStyle w:val="TableText"/>
              <w:tabs>
                <w:tab w:val="left" w:pos="464"/>
              </w:tabs>
            </w:pPr>
            <w:r>
              <w:lastRenderedPageBreak/>
              <w:t>4.2.1</w:t>
            </w:r>
            <w:r w:rsidR="00A27AB9" w:rsidRPr="009733BF">
              <w:rPr>
                <w:rFonts w:asciiTheme="majorHAnsi" w:hAnsiTheme="majorHAnsi" w:cstheme="minorHAnsi"/>
                <w:sz w:val="20"/>
                <w:szCs w:val="20"/>
              </w:rPr>
              <w:t xml:space="preserve"> </w:t>
            </w:r>
            <w:r w:rsidR="00A27AB9">
              <w:t>I</w:t>
            </w:r>
            <w:r w:rsidR="00A27AB9" w:rsidRPr="00464C99">
              <w:t xml:space="preserve">nduct and deploy personnel without a plant/horticulture background into surveillance roles under a </w:t>
            </w:r>
            <w:r w:rsidR="00437EFD" w:rsidRPr="00464C99">
              <w:t xml:space="preserve">xylella </w:t>
            </w:r>
            <w:r w:rsidR="00A27AB9" w:rsidRPr="00464C99">
              <w:t>scenario</w:t>
            </w:r>
          </w:p>
        </w:tc>
        <w:tc>
          <w:tcPr>
            <w:tcW w:w="1377" w:type="pct"/>
            <w:shd w:val="clear" w:color="auto" w:fill="F2DBDB" w:themeFill="accent2" w:themeFillTint="33"/>
            <w:tcMar>
              <w:left w:w="108" w:type="dxa"/>
              <w:bottom w:w="28" w:type="dxa"/>
              <w:right w:w="108" w:type="dxa"/>
            </w:tcMar>
          </w:tcPr>
          <w:p w14:paraId="64BD26DB" w14:textId="27C31248" w:rsidR="00933559" w:rsidRDefault="00474CEC" w:rsidP="00914023">
            <w:pPr>
              <w:pStyle w:val="TableText"/>
            </w:pPr>
            <w:r>
              <w:t>Pending</w:t>
            </w:r>
          </w:p>
          <w:p w14:paraId="7970C703" w14:textId="5DD656F5" w:rsidR="00933559" w:rsidRDefault="00933559" w:rsidP="00914023">
            <w:pPr>
              <w:pStyle w:val="TableText"/>
              <w:rPr>
                <w:rFonts w:cstheme="minorHAnsi"/>
                <w:szCs w:val="18"/>
              </w:rPr>
            </w:pPr>
            <w:r w:rsidRPr="00464C99">
              <w:t xml:space="preserve">Exercises planned in 2021 to test arrangements to induct and deploy personnel without a plant/horticulture background into surveillance roles under a </w:t>
            </w:r>
            <w:r w:rsidR="00437EFD" w:rsidRPr="00464C99">
              <w:t xml:space="preserve">xylella </w:t>
            </w:r>
            <w:r w:rsidRPr="00464C99">
              <w:t>scenario.</w:t>
            </w:r>
          </w:p>
          <w:p w14:paraId="6B6F94CE" w14:textId="77777777" w:rsidR="00933559" w:rsidRDefault="00933559" w:rsidP="00914023">
            <w:pPr>
              <w:pStyle w:val="TableText"/>
              <w:rPr>
                <w:rFonts w:cstheme="minorHAnsi"/>
                <w:szCs w:val="18"/>
              </w:rPr>
            </w:pPr>
            <w:r w:rsidRPr="00AA1E1E">
              <w:rPr>
                <w:rFonts w:cstheme="minorHAnsi"/>
                <w:szCs w:val="18"/>
              </w:rPr>
              <w:t>Proposed exercise with Agriculture Victoria cancelled due to ongoing COVID-19 situation and response workload of Agriculture Victoria staff.</w:t>
            </w:r>
          </w:p>
          <w:p w14:paraId="1E87F3D6" w14:textId="6E7A704C" w:rsidR="002A6E2A" w:rsidRPr="00AA1E1E" w:rsidRDefault="002A6E2A" w:rsidP="00914023">
            <w:pPr>
              <w:pStyle w:val="TableText"/>
              <w:rPr>
                <w:rFonts w:cstheme="minorHAnsi"/>
                <w:szCs w:val="18"/>
                <w:shd w:val="clear" w:color="auto" w:fill="EEECE1" w:themeFill="background2"/>
              </w:rPr>
            </w:pPr>
            <w:r w:rsidRPr="003A1099">
              <w:rPr>
                <w:rFonts w:cstheme="minorHAnsi"/>
                <w:szCs w:val="18"/>
              </w:rPr>
              <w:lastRenderedPageBreak/>
              <w:t>National Xylella Coordinator</w:t>
            </w:r>
            <w:r w:rsidR="00015490">
              <w:rPr>
                <w:rFonts w:cstheme="minorHAnsi"/>
                <w:szCs w:val="18"/>
              </w:rPr>
              <w:t>:</w:t>
            </w:r>
            <w:r w:rsidRPr="003A1099">
              <w:rPr>
                <w:rFonts w:cstheme="minorHAnsi"/>
                <w:szCs w:val="18"/>
              </w:rPr>
              <w:t xml:space="preserve"> this position is finished.</w:t>
            </w:r>
          </w:p>
        </w:tc>
        <w:tc>
          <w:tcPr>
            <w:tcW w:w="501" w:type="pct"/>
            <w:tcMar>
              <w:left w:w="108" w:type="dxa"/>
              <w:bottom w:w="28" w:type="dxa"/>
              <w:right w:w="108" w:type="dxa"/>
            </w:tcMar>
          </w:tcPr>
          <w:p w14:paraId="7B6BDB6E" w14:textId="77777777" w:rsidR="00933559" w:rsidRDefault="00933559" w:rsidP="00914023">
            <w:pPr>
              <w:pStyle w:val="TableText"/>
            </w:pPr>
            <w:r w:rsidRPr="00AA1E1E">
              <w:lastRenderedPageBreak/>
              <w:t>SPHD</w:t>
            </w:r>
          </w:p>
          <w:p w14:paraId="60A218BB" w14:textId="7703E24B" w:rsidR="00933559" w:rsidRPr="00BC13C5" w:rsidRDefault="00933559" w:rsidP="00914023">
            <w:pPr>
              <w:pStyle w:val="TableText"/>
              <w:rPr>
                <w:shd w:val="clear" w:color="auto" w:fill="EEECE1" w:themeFill="background2"/>
              </w:rPr>
            </w:pPr>
            <w:r w:rsidRPr="00AA1E1E">
              <w:t>National Xylella Coordinator</w:t>
            </w:r>
          </w:p>
        </w:tc>
        <w:tc>
          <w:tcPr>
            <w:tcW w:w="723" w:type="pct"/>
            <w:tcMar>
              <w:left w:w="108" w:type="dxa"/>
              <w:bottom w:w="28" w:type="dxa"/>
              <w:right w:w="108" w:type="dxa"/>
            </w:tcMar>
          </w:tcPr>
          <w:p w14:paraId="459B9C6B" w14:textId="1C23882B" w:rsidR="00933559" w:rsidRPr="00BC13C5" w:rsidRDefault="00933559" w:rsidP="00914023">
            <w:pPr>
              <w:pStyle w:val="TableText"/>
              <w:rPr>
                <w:shd w:val="clear" w:color="auto" w:fill="EEECE1" w:themeFill="background2"/>
              </w:rPr>
            </w:pPr>
            <w:r w:rsidRPr="00087CF7">
              <w:t>Commonwealth</w:t>
            </w:r>
            <w:r>
              <w:rPr>
                <w:shd w:val="clear" w:color="auto" w:fill="EEECE1" w:themeFill="background2"/>
              </w:rPr>
              <w:t xml:space="preserve"> </w:t>
            </w:r>
          </w:p>
        </w:tc>
        <w:tc>
          <w:tcPr>
            <w:tcW w:w="664" w:type="pct"/>
            <w:tcMar>
              <w:left w:w="108" w:type="dxa"/>
              <w:bottom w:w="28" w:type="dxa"/>
              <w:right w:w="108" w:type="dxa"/>
            </w:tcMar>
          </w:tcPr>
          <w:p w14:paraId="7DCC9094" w14:textId="01A116D9" w:rsidR="00933559" w:rsidRPr="00DE7573" w:rsidRDefault="00933559" w:rsidP="00087CF7">
            <w:pPr>
              <w:pStyle w:val="TableText"/>
            </w:pPr>
            <w:r>
              <w:t>Support</w:t>
            </w:r>
            <w:r w:rsidR="00B876AF">
              <w:t>s</w:t>
            </w:r>
            <w:r>
              <w:t xml:space="preserve"> many other action areas, including action 2.1</w:t>
            </w:r>
          </w:p>
        </w:tc>
      </w:tr>
      <w:tr w:rsidR="00565738" w:rsidRPr="00013AE2" w14:paraId="4F910F4B" w14:textId="77777777" w:rsidTr="003A1099">
        <w:trPr>
          <w:trHeight w:val="2190"/>
        </w:trPr>
        <w:tc>
          <w:tcPr>
            <w:tcW w:w="867" w:type="pct"/>
            <w:vMerge/>
            <w:tcMar>
              <w:bottom w:w="28" w:type="dxa"/>
            </w:tcMar>
          </w:tcPr>
          <w:p w14:paraId="132B56F9" w14:textId="77777777" w:rsidR="00565738" w:rsidRDefault="00565738" w:rsidP="00914023">
            <w:pPr>
              <w:pStyle w:val="TableText"/>
              <w:rPr>
                <w:rStyle w:val="Strong"/>
              </w:rPr>
            </w:pPr>
          </w:p>
        </w:tc>
        <w:tc>
          <w:tcPr>
            <w:tcW w:w="868" w:type="pct"/>
            <w:tcMar>
              <w:left w:w="108" w:type="dxa"/>
              <w:bottom w:w="28" w:type="dxa"/>
              <w:right w:w="108" w:type="dxa"/>
            </w:tcMar>
          </w:tcPr>
          <w:p w14:paraId="00B457BE" w14:textId="4D9A1CE0" w:rsidR="00565738" w:rsidRDefault="00565738" w:rsidP="00914023">
            <w:pPr>
              <w:pStyle w:val="TableText"/>
              <w:tabs>
                <w:tab w:val="left" w:pos="464"/>
              </w:tabs>
            </w:pPr>
            <w:r>
              <w:t xml:space="preserve">4.2.2 Building DAFF’s </w:t>
            </w:r>
            <w:r w:rsidR="00860F27">
              <w:t>i</w:t>
            </w:r>
            <w:r>
              <w:t xml:space="preserve">n-house R&amp;D diagnostic capability </w:t>
            </w:r>
          </w:p>
        </w:tc>
        <w:tc>
          <w:tcPr>
            <w:tcW w:w="1377" w:type="pct"/>
            <w:shd w:val="clear" w:color="auto" w:fill="FABF8F" w:themeFill="accent6" w:themeFillTint="99"/>
            <w:tcMar>
              <w:left w:w="108" w:type="dxa"/>
              <w:bottom w:w="28" w:type="dxa"/>
              <w:right w:w="108" w:type="dxa"/>
            </w:tcMar>
          </w:tcPr>
          <w:p w14:paraId="6C18C960" w14:textId="2C52966E" w:rsidR="008A73E7" w:rsidRDefault="00B876AF" w:rsidP="008A73E7">
            <w:pPr>
              <w:pStyle w:val="TableText"/>
              <w:rPr>
                <w:rFonts w:cstheme="minorHAnsi"/>
                <w:szCs w:val="18"/>
              </w:rPr>
            </w:pPr>
            <w:r>
              <w:rPr>
                <w:rFonts w:cstheme="minorHAnsi"/>
                <w:szCs w:val="18"/>
              </w:rPr>
              <w:t>Deleted</w:t>
            </w:r>
          </w:p>
          <w:p w14:paraId="3D6B62E5" w14:textId="4D83A2C8" w:rsidR="000B11F9" w:rsidRDefault="000B11F9" w:rsidP="00914023">
            <w:pPr>
              <w:pStyle w:val="TableText"/>
            </w:pPr>
            <w:r>
              <w:t xml:space="preserve">In 2023, this project was agreed to be deleted, because it is a generic project and not specific to </w:t>
            </w:r>
            <w:r w:rsidR="00437EFD" w:rsidRPr="00437EFD">
              <w:t>xylella</w:t>
            </w:r>
            <w:r>
              <w:t>.</w:t>
            </w:r>
          </w:p>
          <w:p w14:paraId="7463D7A4" w14:textId="5FA44EAE" w:rsidR="00565738" w:rsidRDefault="00565738" w:rsidP="00914023">
            <w:pPr>
              <w:pStyle w:val="TableText"/>
              <w:rPr>
                <w:rFonts w:cstheme="minorHAnsi"/>
                <w:szCs w:val="18"/>
              </w:rPr>
            </w:pPr>
            <w:r w:rsidRPr="00565738">
              <w:rPr>
                <w:rFonts w:cstheme="minorHAnsi"/>
                <w:szCs w:val="18"/>
              </w:rPr>
              <w:t>PIC@PEQ has established ‘In-house’ diagnostic capability to develop and validate new molecular tests to rapidly and reliably identify exotic pests and diseases. PIC@PEQ’s diagnostic team work in partnership with external research agencies, policy developers and operational end users to ensure new diagnostic technologies are fit for purpose, evidence based and ‘adoption ready’ for operational implementation.</w:t>
            </w:r>
          </w:p>
          <w:p w14:paraId="2196B9DD" w14:textId="44A84DDA" w:rsidR="00860F27" w:rsidRPr="00565738" w:rsidRDefault="00860F27" w:rsidP="00914023">
            <w:pPr>
              <w:pStyle w:val="TableText"/>
              <w:rPr>
                <w:rFonts w:cstheme="minorHAnsi"/>
                <w:szCs w:val="18"/>
              </w:rPr>
            </w:pPr>
          </w:p>
        </w:tc>
        <w:tc>
          <w:tcPr>
            <w:tcW w:w="501" w:type="pct"/>
            <w:tcMar>
              <w:left w:w="108" w:type="dxa"/>
              <w:bottom w:w="28" w:type="dxa"/>
              <w:right w:w="108" w:type="dxa"/>
            </w:tcMar>
          </w:tcPr>
          <w:p w14:paraId="2E6522B6" w14:textId="37AAC599" w:rsidR="00565738" w:rsidRPr="00AA1E1E" w:rsidRDefault="00D1155C" w:rsidP="00914023">
            <w:pPr>
              <w:pStyle w:val="TableText"/>
            </w:pPr>
            <w:r>
              <w:t>Commonwealth</w:t>
            </w:r>
            <w:r w:rsidR="00565738">
              <w:t xml:space="preserve"> (BPSSD, PIO)</w:t>
            </w:r>
          </w:p>
        </w:tc>
        <w:tc>
          <w:tcPr>
            <w:tcW w:w="723" w:type="pct"/>
            <w:tcMar>
              <w:left w:w="108" w:type="dxa"/>
              <w:bottom w:w="28" w:type="dxa"/>
              <w:right w:w="108" w:type="dxa"/>
            </w:tcMar>
          </w:tcPr>
          <w:p w14:paraId="78F173C5" w14:textId="2D6B3F3F" w:rsidR="00565738" w:rsidRPr="00087CF7" w:rsidRDefault="00565738" w:rsidP="00914023">
            <w:pPr>
              <w:pStyle w:val="TableText"/>
            </w:pPr>
            <w:r>
              <w:t>Not applicable</w:t>
            </w:r>
          </w:p>
        </w:tc>
        <w:tc>
          <w:tcPr>
            <w:tcW w:w="664" w:type="pct"/>
            <w:tcMar>
              <w:left w:w="108" w:type="dxa"/>
              <w:bottom w:w="28" w:type="dxa"/>
              <w:right w:w="108" w:type="dxa"/>
            </w:tcMar>
          </w:tcPr>
          <w:p w14:paraId="61F35858" w14:textId="178DBA69" w:rsidR="00565738" w:rsidRDefault="00565738" w:rsidP="00087CF7">
            <w:pPr>
              <w:pStyle w:val="TableText"/>
            </w:pPr>
            <w:r>
              <w:t>Not applicable</w:t>
            </w:r>
          </w:p>
        </w:tc>
      </w:tr>
      <w:tr w:rsidR="00933559" w:rsidRPr="00013AE2" w14:paraId="1686A010" w14:textId="77777777" w:rsidTr="00141698">
        <w:trPr>
          <w:trHeight w:val="951"/>
        </w:trPr>
        <w:tc>
          <w:tcPr>
            <w:tcW w:w="867" w:type="pct"/>
            <w:vMerge/>
            <w:tcMar>
              <w:bottom w:w="28" w:type="dxa"/>
            </w:tcMar>
          </w:tcPr>
          <w:p w14:paraId="54D1E5A0" w14:textId="77777777" w:rsidR="00933559" w:rsidRDefault="00933559" w:rsidP="00914023">
            <w:pPr>
              <w:pStyle w:val="TableText"/>
              <w:rPr>
                <w:rStyle w:val="Strong"/>
              </w:rPr>
            </w:pPr>
          </w:p>
        </w:tc>
        <w:tc>
          <w:tcPr>
            <w:tcW w:w="868" w:type="pct"/>
            <w:tcMar>
              <w:left w:w="108" w:type="dxa"/>
              <w:bottom w:w="28" w:type="dxa"/>
              <w:right w:w="108" w:type="dxa"/>
            </w:tcMar>
          </w:tcPr>
          <w:p w14:paraId="13630976" w14:textId="57337DDF" w:rsidR="00933559" w:rsidRPr="002F5C6F" w:rsidRDefault="00933559" w:rsidP="00914023">
            <w:pPr>
              <w:pStyle w:val="TableText"/>
              <w:tabs>
                <w:tab w:val="left" w:pos="464"/>
              </w:tabs>
            </w:pPr>
            <w:r>
              <w:t>4.2.</w:t>
            </w:r>
            <w:r w:rsidR="00171323">
              <w:t>2</w:t>
            </w:r>
            <w:r w:rsidR="004B4B9E">
              <w:t xml:space="preserve"> </w:t>
            </w:r>
            <w:r>
              <w:t>MinION: Faster accurate border diagnostics (Implementation phase)</w:t>
            </w:r>
          </w:p>
        </w:tc>
        <w:tc>
          <w:tcPr>
            <w:tcW w:w="1377" w:type="pct"/>
            <w:shd w:val="clear" w:color="auto" w:fill="DEF0C2"/>
            <w:tcMar>
              <w:left w:w="108" w:type="dxa"/>
              <w:bottom w:w="28" w:type="dxa"/>
              <w:right w:w="108" w:type="dxa"/>
            </w:tcMar>
          </w:tcPr>
          <w:p w14:paraId="0BC0B71E" w14:textId="062BB226" w:rsidR="00933559" w:rsidRPr="0095250B" w:rsidRDefault="00933559" w:rsidP="0095250B">
            <w:pPr>
              <w:pStyle w:val="TableText"/>
              <w:rPr>
                <w:rFonts w:cstheme="minorHAnsi"/>
                <w:szCs w:val="18"/>
              </w:rPr>
            </w:pPr>
            <w:r>
              <w:rPr>
                <w:rFonts w:cstheme="minorHAnsi"/>
                <w:szCs w:val="18"/>
              </w:rPr>
              <w:t>Completed</w:t>
            </w:r>
            <w:r w:rsidRPr="0095250B">
              <w:rPr>
                <w:rFonts w:cstheme="minorHAnsi"/>
                <w:szCs w:val="18"/>
              </w:rPr>
              <w:t xml:space="preserve"> – project </w:t>
            </w:r>
            <w:r>
              <w:rPr>
                <w:rFonts w:cstheme="minorHAnsi"/>
                <w:szCs w:val="18"/>
              </w:rPr>
              <w:t>finished</w:t>
            </w:r>
            <w:r w:rsidR="00B876AF">
              <w:rPr>
                <w:rFonts w:cstheme="minorHAnsi"/>
                <w:szCs w:val="18"/>
              </w:rPr>
              <w:t xml:space="preserve"> (2023)</w:t>
            </w:r>
          </w:p>
          <w:p w14:paraId="0C126939" w14:textId="77777777" w:rsidR="00933559" w:rsidRDefault="00933559" w:rsidP="0095250B">
            <w:pPr>
              <w:rPr>
                <w:rFonts w:cstheme="minorHAnsi"/>
                <w:sz w:val="18"/>
                <w:szCs w:val="18"/>
              </w:rPr>
            </w:pPr>
            <w:r w:rsidRPr="0095250B">
              <w:rPr>
                <w:rFonts w:cstheme="minorHAnsi"/>
                <w:sz w:val="18"/>
                <w:szCs w:val="18"/>
              </w:rPr>
              <w:t>Third-generation sequencing platform, Oxford Nanopore Technologies (ONT, Oxford, UK) MinION is the smallest and most user-friendly sequencer enabling rapid and cost-effective identification of species at the border. Compared with existing diagnostics, MinION:</w:t>
            </w:r>
          </w:p>
          <w:p w14:paraId="4CE12C75" w14:textId="2B30D970" w:rsidR="00933559" w:rsidRPr="0095250B" w:rsidRDefault="00933559" w:rsidP="0095250B">
            <w:pPr>
              <w:pStyle w:val="TableBullet1"/>
              <w:rPr>
                <w:rFonts w:cstheme="minorHAnsi"/>
                <w:szCs w:val="18"/>
              </w:rPr>
            </w:pPr>
            <w:r w:rsidRPr="0095250B">
              <w:t>Enables real-time analysis of DNA or RNA fragments for rapid detection</w:t>
            </w:r>
          </w:p>
          <w:p w14:paraId="2E78BCCC" w14:textId="77777777" w:rsidR="00933559" w:rsidRPr="0095250B" w:rsidRDefault="00933559" w:rsidP="0095250B">
            <w:pPr>
              <w:pStyle w:val="TableBullet1"/>
            </w:pPr>
            <w:r w:rsidRPr="0095250B">
              <w:rPr>
                <w:rFonts w:eastAsia="Times New Roman" w:cstheme="minorHAnsi"/>
                <w:szCs w:val="18"/>
              </w:rPr>
              <w:t>Is portable and field-adaptable</w:t>
            </w:r>
          </w:p>
          <w:p w14:paraId="063FB5A6" w14:textId="77777777" w:rsidR="00933559" w:rsidRPr="0095250B" w:rsidRDefault="00933559" w:rsidP="0095250B">
            <w:pPr>
              <w:pStyle w:val="TableBullet1"/>
            </w:pPr>
            <w:r w:rsidRPr="0095250B">
              <w:rPr>
                <w:rFonts w:eastAsia="Times New Roman" w:cstheme="minorHAnsi"/>
                <w:szCs w:val="18"/>
              </w:rPr>
              <w:t>Provides immediate access to results</w:t>
            </w:r>
          </w:p>
          <w:p w14:paraId="40E36E28" w14:textId="77777777" w:rsidR="00933559" w:rsidRPr="0095250B" w:rsidRDefault="00933559" w:rsidP="0095250B">
            <w:pPr>
              <w:pStyle w:val="TableBullet1"/>
            </w:pPr>
            <w:r w:rsidRPr="0095250B">
              <w:rPr>
                <w:rFonts w:eastAsia="Times New Roman" w:cstheme="minorHAnsi"/>
                <w:szCs w:val="18"/>
              </w:rPr>
              <w:t>Allows multiplexing samples</w:t>
            </w:r>
          </w:p>
          <w:p w14:paraId="74C4206D" w14:textId="77777777" w:rsidR="00933559" w:rsidRPr="007D6ABC" w:rsidRDefault="00933559" w:rsidP="00914023">
            <w:pPr>
              <w:pStyle w:val="TableBullet1"/>
            </w:pPr>
            <w:r w:rsidRPr="0095250B">
              <w:rPr>
                <w:rFonts w:eastAsia="Times New Roman" w:cstheme="minorHAnsi"/>
                <w:szCs w:val="18"/>
              </w:rPr>
              <w:t>Offers a more cost-effective and faster alternative to Sanger sequencing</w:t>
            </w:r>
          </w:p>
          <w:p w14:paraId="596EC1A4" w14:textId="10F6B4B5" w:rsidR="007D6ABC" w:rsidRPr="0095250B" w:rsidRDefault="00000000" w:rsidP="007D6ABC">
            <w:pPr>
              <w:pStyle w:val="TableText"/>
            </w:pPr>
            <w:hyperlink r:id="rId32" w:history="1">
              <w:r w:rsidR="007D6ABC">
                <w:rPr>
                  <w:rStyle w:val="Hyperlink"/>
                </w:rPr>
                <w:t>Hort Innovation | Xylella coordinator (MT17006) (horticulture.com.au)</w:t>
              </w:r>
            </w:hyperlink>
          </w:p>
        </w:tc>
        <w:tc>
          <w:tcPr>
            <w:tcW w:w="501" w:type="pct"/>
            <w:tcMar>
              <w:left w:w="108" w:type="dxa"/>
              <w:bottom w:w="28" w:type="dxa"/>
              <w:right w:w="108" w:type="dxa"/>
            </w:tcMar>
          </w:tcPr>
          <w:p w14:paraId="09079F40" w14:textId="1C212079" w:rsidR="00933559" w:rsidRPr="002F5C6F" w:rsidRDefault="00933559" w:rsidP="00914023">
            <w:pPr>
              <w:pStyle w:val="TableText"/>
            </w:pPr>
            <w:r>
              <w:t>Commonwealth (BPSSD, PIO</w:t>
            </w:r>
            <w:r w:rsidR="004B4B9E">
              <w:t>, PIC</w:t>
            </w:r>
            <w:r>
              <w:t>)</w:t>
            </w:r>
          </w:p>
        </w:tc>
        <w:tc>
          <w:tcPr>
            <w:tcW w:w="723" w:type="pct"/>
            <w:tcMar>
              <w:left w:w="108" w:type="dxa"/>
              <w:bottom w:w="28" w:type="dxa"/>
              <w:right w:w="108" w:type="dxa"/>
            </w:tcMar>
          </w:tcPr>
          <w:p w14:paraId="04751898" w14:textId="2AC3EEC4" w:rsidR="00933559" w:rsidRDefault="00933559" w:rsidP="00914023">
            <w:pPr>
              <w:pStyle w:val="TableText"/>
            </w:pPr>
            <w:r>
              <w:t>Not applicable</w:t>
            </w:r>
          </w:p>
        </w:tc>
        <w:tc>
          <w:tcPr>
            <w:tcW w:w="664" w:type="pct"/>
            <w:tcMar>
              <w:left w:w="108" w:type="dxa"/>
              <w:bottom w:w="28" w:type="dxa"/>
              <w:right w:w="108" w:type="dxa"/>
            </w:tcMar>
          </w:tcPr>
          <w:p w14:paraId="56062A6F" w14:textId="555E1CB1" w:rsidR="00933559" w:rsidRDefault="00933559" w:rsidP="00914023">
            <w:pPr>
              <w:pStyle w:val="TableText"/>
            </w:pPr>
            <w:r>
              <w:t>Support</w:t>
            </w:r>
            <w:r w:rsidR="00B876AF">
              <w:t>s</w:t>
            </w:r>
            <w:r>
              <w:t xml:space="preserve"> many other action areas</w:t>
            </w:r>
          </w:p>
          <w:p w14:paraId="1B3D377E" w14:textId="319CB5B2" w:rsidR="00933559" w:rsidRDefault="00933559" w:rsidP="00914023">
            <w:pPr>
              <w:pStyle w:val="TableText"/>
            </w:pPr>
          </w:p>
        </w:tc>
      </w:tr>
      <w:tr w:rsidR="00565738" w:rsidRPr="00013AE2" w14:paraId="2BF36851" w14:textId="77777777" w:rsidTr="003A1099">
        <w:trPr>
          <w:trHeight w:val="951"/>
        </w:trPr>
        <w:tc>
          <w:tcPr>
            <w:tcW w:w="867" w:type="pct"/>
            <w:vMerge/>
            <w:tcMar>
              <w:bottom w:w="28" w:type="dxa"/>
            </w:tcMar>
          </w:tcPr>
          <w:p w14:paraId="479E8F96" w14:textId="77777777" w:rsidR="00565738" w:rsidRDefault="00565738" w:rsidP="00914023">
            <w:pPr>
              <w:pStyle w:val="TableText"/>
              <w:rPr>
                <w:rStyle w:val="Strong"/>
              </w:rPr>
            </w:pPr>
          </w:p>
        </w:tc>
        <w:tc>
          <w:tcPr>
            <w:tcW w:w="868" w:type="pct"/>
            <w:tcMar>
              <w:left w:w="108" w:type="dxa"/>
              <w:bottom w:w="28" w:type="dxa"/>
              <w:right w:w="108" w:type="dxa"/>
            </w:tcMar>
          </w:tcPr>
          <w:p w14:paraId="28F7386C" w14:textId="1D312AB1" w:rsidR="00565738" w:rsidRDefault="00565738" w:rsidP="00914023">
            <w:pPr>
              <w:pStyle w:val="TableText"/>
              <w:tabs>
                <w:tab w:val="left" w:pos="464"/>
              </w:tabs>
            </w:pPr>
            <w:r>
              <w:t>4.2.4</w:t>
            </w:r>
            <w:r w:rsidR="00437EFD">
              <w:t xml:space="preserve"> </w:t>
            </w:r>
            <w:r>
              <w:t>PhD Project: Developing a cost effective HTS system for identifying all plant viruses</w:t>
            </w:r>
          </w:p>
        </w:tc>
        <w:tc>
          <w:tcPr>
            <w:tcW w:w="1377" w:type="pct"/>
            <w:shd w:val="clear" w:color="auto" w:fill="FABF8F" w:themeFill="accent6" w:themeFillTint="99"/>
            <w:tcMar>
              <w:left w:w="108" w:type="dxa"/>
              <w:bottom w:w="28" w:type="dxa"/>
              <w:right w:w="108" w:type="dxa"/>
            </w:tcMar>
          </w:tcPr>
          <w:p w14:paraId="5A6460C9" w14:textId="77777777" w:rsidR="00B876AF" w:rsidRPr="000B11F9" w:rsidRDefault="00B876AF" w:rsidP="0095250B">
            <w:pPr>
              <w:pStyle w:val="TableText"/>
              <w:rPr>
                <w:szCs w:val="18"/>
              </w:rPr>
            </w:pPr>
            <w:r w:rsidRPr="000B11F9">
              <w:rPr>
                <w:szCs w:val="18"/>
              </w:rPr>
              <w:t xml:space="preserve">Deleted </w:t>
            </w:r>
          </w:p>
          <w:p w14:paraId="076E461D" w14:textId="4F196B2B" w:rsidR="000B11F9" w:rsidRDefault="000B11F9" w:rsidP="0095250B">
            <w:pPr>
              <w:pStyle w:val="TableText"/>
            </w:pPr>
            <w:r>
              <w:t xml:space="preserve">In 2023, this project was agreed to be deleted because it is a generic project and not specific to </w:t>
            </w:r>
            <w:r w:rsidR="00437EFD" w:rsidRPr="00437EFD">
              <w:t>xylella</w:t>
            </w:r>
            <w:r>
              <w:t>.</w:t>
            </w:r>
          </w:p>
          <w:p w14:paraId="2F3C534A" w14:textId="0C13CE85" w:rsidR="00860F27" w:rsidRPr="0095250B" w:rsidDel="00933559" w:rsidRDefault="00565738" w:rsidP="000B11F9">
            <w:pPr>
              <w:pStyle w:val="TableText"/>
              <w:rPr>
                <w:rFonts w:cstheme="minorHAnsi"/>
                <w:szCs w:val="18"/>
              </w:rPr>
            </w:pPr>
            <w:r w:rsidRPr="000B11F9">
              <w:rPr>
                <w:szCs w:val="18"/>
              </w:rPr>
              <w:t xml:space="preserve">The PhytoPath v5 sequencing pipeline is a </w:t>
            </w:r>
            <w:r w:rsidR="000D4C52" w:rsidRPr="000B11F9">
              <w:rPr>
                <w:szCs w:val="18"/>
              </w:rPr>
              <w:t>third</w:t>
            </w:r>
            <w:r w:rsidRPr="000B11F9">
              <w:rPr>
                <w:szCs w:val="18"/>
              </w:rPr>
              <w:t xml:space="preserve"> generation sequencing platform that offers in-house MinION sequencing combined with hybrid capture technology that offers a cost-effective, rapid and sensitive </w:t>
            </w:r>
            <w:r w:rsidR="00630864" w:rsidRPr="000B11F9">
              <w:rPr>
                <w:szCs w:val="18"/>
              </w:rPr>
              <w:t>probe-based</w:t>
            </w:r>
            <w:r w:rsidRPr="000B11F9">
              <w:rPr>
                <w:szCs w:val="18"/>
              </w:rPr>
              <w:t xml:space="preserve"> sequencing system. Can be combined with different outputs to suit a range of departmental detection needs. A single</w:t>
            </w:r>
            <w:r w:rsidR="000D4C52" w:rsidRPr="000B11F9">
              <w:rPr>
                <w:szCs w:val="18"/>
              </w:rPr>
              <w:t>-</w:t>
            </w:r>
            <w:r w:rsidRPr="000B11F9">
              <w:rPr>
                <w:szCs w:val="18"/>
              </w:rPr>
              <w:t>use assay for all plant viruses across multiple hosts.</w:t>
            </w:r>
          </w:p>
        </w:tc>
        <w:tc>
          <w:tcPr>
            <w:tcW w:w="501" w:type="pct"/>
            <w:tcMar>
              <w:left w:w="108" w:type="dxa"/>
              <w:bottom w:w="28" w:type="dxa"/>
              <w:right w:w="108" w:type="dxa"/>
            </w:tcMar>
          </w:tcPr>
          <w:p w14:paraId="3853FF5F" w14:textId="23544112" w:rsidR="00565738" w:rsidRDefault="00EA7F98" w:rsidP="00914023">
            <w:pPr>
              <w:pStyle w:val="TableText"/>
            </w:pPr>
            <w:r>
              <w:t xml:space="preserve">Commonwealth </w:t>
            </w:r>
            <w:r w:rsidR="00565738">
              <w:t>(BPSSD, PIO)</w:t>
            </w:r>
          </w:p>
        </w:tc>
        <w:tc>
          <w:tcPr>
            <w:tcW w:w="723" w:type="pct"/>
            <w:tcMar>
              <w:left w:w="108" w:type="dxa"/>
              <w:bottom w:w="28" w:type="dxa"/>
              <w:right w:w="108" w:type="dxa"/>
            </w:tcMar>
          </w:tcPr>
          <w:p w14:paraId="0978AFEA" w14:textId="7251245B" w:rsidR="00565738" w:rsidRDefault="00565738" w:rsidP="00914023">
            <w:pPr>
              <w:pStyle w:val="TableText"/>
            </w:pPr>
            <w:r>
              <w:t xml:space="preserve">Not applicable </w:t>
            </w:r>
          </w:p>
        </w:tc>
        <w:tc>
          <w:tcPr>
            <w:tcW w:w="664" w:type="pct"/>
            <w:tcMar>
              <w:left w:w="108" w:type="dxa"/>
              <w:bottom w:w="28" w:type="dxa"/>
              <w:right w:w="108" w:type="dxa"/>
            </w:tcMar>
          </w:tcPr>
          <w:p w14:paraId="760153A9" w14:textId="11712A9A" w:rsidR="00565738" w:rsidRDefault="00565738" w:rsidP="00914023">
            <w:pPr>
              <w:pStyle w:val="TableText"/>
            </w:pPr>
            <w:r>
              <w:t>Not applicabl</w:t>
            </w:r>
            <w:r w:rsidR="00C54845">
              <w:t>e</w:t>
            </w:r>
          </w:p>
        </w:tc>
      </w:tr>
      <w:tr w:rsidR="00933559" w:rsidRPr="00013AE2" w14:paraId="1FCD7D05" w14:textId="77777777" w:rsidTr="003A1099">
        <w:trPr>
          <w:trHeight w:val="951"/>
        </w:trPr>
        <w:tc>
          <w:tcPr>
            <w:tcW w:w="867" w:type="pct"/>
            <w:vMerge/>
            <w:tcMar>
              <w:bottom w:w="28" w:type="dxa"/>
            </w:tcMar>
          </w:tcPr>
          <w:p w14:paraId="16160651" w14:textId="77777777" w:rsidR="00933559" w:rsidRDefault="00933559" w:rsidP="00914023">
            <w:pPr>
              <w:pStyle w:val="TableText"/>
              <w:rPr>
                <w:rStyle w:val="Strong"/>
              </w:rPr>
            </w:pPr>
          </w:p>
        </w:tc>
        <w:tc>
          <w:tcPr>
            <w:tcW w:w="868" w:type="pct"/>
            <w:tcMar>
              <w:left w:w="108" w:type="dxa"/>
              <w:bottom w:w="28" w:type="dxa"/>
              <w:right w:w="108" w:type="dxa"/>
            </w:tcMar>
          </w:tcPr>
          <w:p w14:paraId="65FD0593" w14:textId="6EE683EE" w:rsidR="00933559" w:rsidRPr="002F5C6F" w:rsidRDefault="00933559" w:rsidP="00914023">
            <w:pPr>
              <w:pStyle w:val="TableText"/>
              <w:tabs>
                <w:tab w:val="left" w:pos="464"/>
              </w:tabs>
            </w:pPr>
            <w:r>
              <w:t xml:space="preserve">4.2.3 </w:t>
            </w:r>
            <w:r w:rsidRPr="00AA1E1E">
              <w:rPr>
                <w:rFonts w:cstheme="minorHAnsi"/>
                <w:szCs w:val="18"/>
              </w:rPr>
              <w:t>To be determined</w:t>
            </w:r>
          </w:p>
        </w:tc>
        <w:tc>
          <w:tcPr>
            <w:tcW w:w="1377" w:type="pct"/>
            <w:shd w:val="clear" w:color="auto" w:fill="FABF8F" w:themeFill="accent6" w:themeFillTint="99"/>
            <w:tcMar>
              <w:left w:w="108" w:type="dxa"/>
              <w:bottom w:w="28" w:type="dxa"/>
              <w:right w:w="108" w:type="dxa"/>
            </w:tcMar>
          </w:tcPr>
          <w:p w14:paraId="6F9F4C37" w14:textId="1C602378" w:rsidR="00933559" w:rsidRDefault="00B876AF" w:rsidP="00914023">
            <w:pPr>
              <w:pStyle w:val="TableText"/>
            </w:pPr>
            <w:r>
              <w:t>Deleted</w:t>
            </w:r>
          </w:p>
          <w:p w14:paraId="36CBC26D" w14:textId="6598E10A" w:rsidR="00860F27" w:rsidRPr="002F5C6F" w:rsidRDefault="00860F27" w:rsidP="00914023">
            <w:pPr>
              <w:pStyle w:val="TableText"/>
            </w:pPr>
            <w:r>
              <w:t>In 2023, this project was agreed to be deleted because there is project detail and no related action in 2.1.</w:t>
            </w:r>
          </w:p>
        </w:tc>
        <w:tc>
          <w:tcPr>
            <w:tcW w:w="501" w:type="pct"/>
            <w:tcMar>
              <w:left w:w="108" w:type="dxa"/>
              <w:bottom w:w="28" w:type="dxa"/>
              <w:right w:w="108" w:type="dxa"/>
            </w:tcMar>
          </w:tcPr>
          <w:p w14:paraId="41EEAA43" w14:textId="29C222D4" w:rsidR="00933559" w:rsidRPr="002F5C6F" w:rsidRDefault="008A73E7" w:rsidP="00914023">
            <w:pPr>
              <w:pStyle w:val="TableText"/>
            </w:pPr>
            <w:r>
              <w:t>Commonwealth</w:t>
            </w:r>
            <w:r w:rsidR="00933559">
              <w:t xml:space="preserve"> (BPSSD, PIO)</w:t>
            </w:r>
          </w:p>
        </w:tc>
        <w:tc>
          <w:tcPr>
            <w:tcW w:w="723" w:type="pct"/>
            <w:tcMar>
              <w:left w:w="108" w:type="dxa"/>
              <w:bottom w:w="28" w:type="dxa"/>
              <w:right w:w="108" w:type="dxa"/>
            </w:tcMar>
          </w:tcPr>
          <w:p w14:paraId="7C069DEF" w14:textId="17BEECDE" w:rsidR="00933559" w:rsidRDefault="00933559" w:rsidP="00914023">
            <w:pPr>
              <w:pStyle w:val="TableText"/>
            </w:pPr>
            <w:r>
              <w:t xml:space="preserve">To be determined </w:t>
            </w:r>
          </w:p>
        </w:tc>
        <w:tc>
          <w:tcPr>
            <w:tcW w:w="664" w:type="pct"/>
            <w:tcMar>
              <w:left w:w="108" w:type="dxa"/>
              <w:bottom w:w="28" w:type="dxa"/>
              <w:right w:w="108" w:type="dxa"/>
            </w:tcMar>
          </w:tcPr>
          <w:p w14:paraId="24E5D29C" w14:textId="7EE27150" w:rsidR="00933559" w:rsidRDefault="00933559" w:rsidP="00914023">
            <w:pPr>
              <w:pStyle w:val="TableText"/>
            </w:pPr>
            <w:r>
              <w:t>Relates to action 2.1</w:t>
            </w:r>
          </w:p>
        </w:tc>
      </w:tr>
      <w:tr w:rsidR="00D56181" w:rsidRPr="00013AE2" w14:paraId="05610AD8" w14:textId="77777777" w:rsidTr="003A1099">
        <w:trPr>
          <w:trHeight w:val="2045"/>
        </w:trPr>
        <w:tc>
          <w:tcPr>
            <w:tcW w:w="867" w:type="pct"/>
            <w:vMerge w:val="restart"/>
            <w:tcMar>
              <w:bottom w:w="28" w:type="dxa"/>
            </w:tcMar>
          </w:tcPr>
          <w:p w14:paraId="39753150" w14:textId="77777777" w:rsidR="00516462" w:rsidRDefault="00914023" w:rsidP="00914023">
            <w:pPr>
              <w:pStyle w:val="TableText"/>
              <w:rPr>
                <w:rStyle w:val="Strong"/>
                <w:b w:val="0"/>
                <w:bCs w:val="0"/>
              </w:rPr>
            </w:pPr>
            <w:r>
              <w:rPr>
                <w:rStyle w:val="Strong"/>
              </w:rPr>
              <w:t xml:space="preserve">Action 4.3: </w:t>
            </w:r>
            <w:r w:rsidR="00516462" w:rsidRPr="00516462">
              <w:rPr>
                <w:rStyle w:val="Strong"/>
                <w:b w:val="0"/>
                <w:bCs w:val="0"/>
              </w:rPr>
              <w:t>Establish governance arrangements to coordinate and monitor national actions</w:t>
            </w:r>
            <w:r w:rsidR="00516462">
              <w:rPr>
                <w:rStyle w:val="Strong"/>
                <w:b w:val="0"/>
                <w:bCs w:val="0"/>
              </w:rPr>
              <w:t>.</w:t>
            </w:r>
          </w:p>
          <w:p w14:paraId="45280E09" w14:textId="6D78BEAD" w:rsidR="00914023" w:rsidRDefault="00914023" w:rsidP="00516462">
            <w:pPr>
              <w:pStyle w:val="TableText"/>
              <w:rPr>
                <w:rStyle w:val="Strong"/>
                <w:b w:val="0"/>
                <w:bCs w:val="0"/>
              </w:rPr>
            </w:pPr>
            <w:r w:rsidRPr="004D04AB">
              <w:rPr>
                <w:rStyle w:val="Strong"/>
              </w:rPr>
              <w:t>E</w:t>
            </w:r>
            <w:r>
              <w:rPr>
                <w:rStyle w:val="Strong"/>
              </w:rPr>
              <w:t xml:space="preserve">xpected benefit and outcome: </w:t>
            </w:r>
            <w:r w:rsidR="00516462" w:rsidRPr="00516462">
              <w:rPr>
                <w:rStyle w:val="Strong"/>
                <w:rFonts w:cstheme="minorHAnsi"/>
                <w:b w:val="0"/>
                <w:bCs w:val="0"/>
              </w:rPr>
              <w:t xml:space="preserve">To increase Australia’s detection and response capability in relation to </w:t>
            </w:r>
            <w:r w:rsidR="00516462" w:rsidRPr="00011B18">
              <w:rPr>
                <w:rStyle w:val="Strong"/>
                <w:rFonts w:cstheme="minorHAnsi"/>
                <w:b w:val="0"/>
                <w:bCs w:val="0"/>
                <w:i/>
                <w:iCs/>
              </w:rPr>
              <w:t>Xylella fastidiosa</w:t>
            </w:r>
            <w:r w:rsidR="00516462" w:rsidRPr="00516462">
              <w:rPr>
                <w:rStyle w:val="Strong"/>
                <w:rFonts w:cstheme="minorHAnsi"/>
                <w:b w:val="0"/>
                <w:bCs w:val="0"/>
              </w:rPr>
              <w:t xml:space="preserve"> through, among other things, the coordination of cross-sectoral biosecurity preparedness and high-priority RD&amp;E.</w:t>
            </w:r>
          </w:p>
          <w:p w14:paraId="39A0D3C2" w14:textId="70B537CF" w:rsidR="00914023" w:rsidRDefault="00914023" w:rsidP="00914023">
            <w:pPr>
              <w:pStyle w:val="TableText"/>
              <w:rPr>
                <w:rStyle w:val="Strong"/>
              </w:rPr>
            </w:pPr>
            <w:r>
              <w:rPr>
                <w:rStyle w:val="Strong"/>
              </w:rPr>
              <w:t xml:space="preserve">Priority: </w:t>
            </w:r>
            <w:r w:rsidR="005425D8" w:rsidRPr="005425D8">
              <w:rPr>
                <w:rStyle w:val="Strong"/>
                <w:b w:val="0"/>
                <w:bCs w:val="0"/>
              </w:rPr>
              <w:t>high</w:t>
            </w:r>
          </w:p>
          <w:p w14:paraId="0C6788C5" w14:textId="00A2BF8A" w:rsidR="00914023" w:rsidRPr="007B0473" w:rsidRDefault="00914023" w:rsidP="00914023">
            <w:pPr>
              <w:pStyle w:val="TableText"/>
              <w:rPr>
                <w:rStyle w:val="Strong"/>
              </w:rPr>
            </w:pPr>
            <w:r>
              <w:rPr>
                <w:rStyle w:val="Strong"/>
              </w:rPr>
              <w:t xml:space="preserve">Time frame: </w:t>
            </w:r>
            <w:r w:rsidR="005425D8" w:rsidRPr="005425D8">
              <w:rPr>
                <w:rStyle w:val="Strong"/>
                <w:b w:val="0"/>
                <w:bCs w:val="0"/>
              </w:rPr>
              <w:t xml:space="preserve">short </w:t>
            </w:r>
            <w:r w:rsidRPr="005425D8">
              <w:rPr>
                <w:rStyle w:val="Strong"/>
                <w:b w:val="0"/>
                <w:bCs w:val="0"/>
              </w:rPr>
              <w:t>term</w:t>
            </w:r>
          </w:p>
        </w:tc>
        <w:tc>
          <w:tcPr>
            <w:tcW w:w="868" w:type="pct"/>
            <w:tcMar>
              <w:left w:w="108" w:type="dxa"/>
              <w:bottom w:w="28" w:type="dxa"/>
              <w:right w:w="108" w:type="dxa"/>
            </w:tcMar>
          </w:tcPr>
          <w:p w14:paraId="7AF69979" w14:textId="106246C9" w:rsidR="004B4B9E" w:rsidRPr="005205F9" w:rsidRDefault="00914023" w:rsidP="00914023">
            <w:pPr>
              <w:pStyle w:val="TableText"/>
              <w:tabs>
                <w:tab w:val="left" w:pos="464"/>
              </w:tabs>
              <w:rPr>
                <w:rFonts w:cstheme="minorHAnsi"/>
                <w:szCs w:val="18"/>
              </w:rPr>
            </w:pPr>
            <w:r w:rsidRPr="002F5C6F">
              <w:t>4.3.1</w:t>
            </w:r>
            <w:r w:rsidR="00516462">
              <w:t xml:space="preserve"> </w:t>
            </w:r>
            <w:r w:rsidR="00015490" w:rsidRPr="00516462">
              <w:t>T</w:t>
            </w:r>
            <w:r w:rsidR="004B4B9E" w:rsidRPr="00516462">
              <w:t>he Plant Biosecurity Preparedness Working Group</w:t>
            </w:r>
            <w:r w:rsidR="002274A5">
              <w:t xml:space="preserve"> will coordinate input into</w:t>
            </w:r>
            <w:r w:rsidR="00283EF0">
              <w:t xml:space="preserve"> the </w:t>
            </w:r>
            <w:r w:rsidR="00283EF0" w:rsidRPr="00437EFD">
              <w:t>National Xylella Action Plan</w:t>
            </w:r>
            <w:r w:rsidR="002274A5">
              <w:rPr>
                <w:i/>
                <w:iCs/>
              </w:rPr>
              <w:t xml:space="preserve"> </w:t>
            </w:r>
            <w:r w:rsidR="002274A5">
              <w:t>to focus prioritisation preparedness discussions</w:t>
            </w:r>
          </w:p>
        </w:tc>
        <w:tc>
          <w:tcPr>
            <w:tcW w:w="1377" w:type="pct"/>
            <w:shd w:val="clear" w:color="auto" w:fill="C6D9F1" w:themeFill="text2" w:themeFillTint="33"/>
            <w:tcMar>
              <w:left w:w="108" w:type="dxa"/>
              <w:bottom w:w="28" w:type="dxa"/>
              <w:right w:w="108" w:type="dxa"/>
            </w:tcMar>
          </w:tcPr>
          <w:p w14:paraId="414446BE" w14:textId="2D5E1B39" w:rsidR="00914023" w:rsidRDefault="00516462" w:rsidP="00914023">
            <w:pPr>
              <w:pStyle w:val="TableText"/>
            </w:pPr>
            <w:r w:rsidRPr="002F5C6F">
              <w:t>On</w:t>
            </w:r>
            <w:r>
              <w:t>going</w:t>
            </w:r>
            <w:r w:rsidRPr="002F5C6F">
              <w:t xml:space="preserve"> – business as usual</w:t>
            </w:r>
          </w:p>
          <w:p w14:paraId="616AA1BA" w14:textId="25424418" w:rsidR="003C6485" w:rsidRPr="00BC13C5" w:rsidRDefault="003C6485" w:rsidP="00914023">
            <w:pPr>
              <w:pStyle w:val="TableText"/>
              <w:rPr>
                <w:shd w:val="clear" w:color="auto" w:fill="EEECE1" w:themeFill="background2"/>
              </w:rPr>
            </w:pPr>
            <w:r w:rsidRPr="00516462">
              <w:t xml:space="preserve">The Plant Health Committee has established the Plant Biosecurity Preparedness Working Group consisting of representatives from jurisdictions and PHC. A Terms of Reference and 2021 Workplan have been developed. The working group </w:t>
            </w:r>
            <w:r w:rsidR="002274A5">
              <w:t>will provide a mechanism to support</w:t>
            </w:r>
            <w:r w:rsidRPr="00516462">
              <w:t xml:space="preserve"> progress against the National </w:t>
            </w:r>
            <w:r w:rsidRPr="00437EFD">
              <w:t>Xylella</w:t>
            </w:r>
            <w:r w:rsidRPr="00516462">
              <w:t xml:space="preserve"> Action Plan.</w:t>
            </w:r>
          </w:p>
        </w:tc>
        <w:tc>
          <w:tcPr>
            <w:tcW w:w="501" w:type="pct"/>
            <w:tcMar>
              <w:left w:w="108" w:type="dxa"/>
              <w:bottom w:w="28" w:type="dxa"/>
              <w:right w:w="108" w:type="dxa"/>
            </w:tcMar>
          </w:tcPr>
          <w:p w14:paraId="52CB56A1" w14:textId="66B950CF" w:rsidR="00914023" w:rsidRPr="00BC13C5" w:rsidRDefault="00516462" w:rsidP="00914023">
            <w:pPr>
              <w:pStyle w:val="TableText"/>
              <w:rPr>
                <w:shd w:val="clear" w:color="auto" w:fill="EEECE1" w:themeFill="background2"/>
              </w:rPr>
            </w:pPr>
            <w:r w:rsidRPr="00516462">
              <w:t>PBPWG</w:t>
            </w:r>
          </w:p>
        </w:tc>
        <w:tc>
          <w:tcPr>
            <w:tcW w:w="723" w:type="pct"/>
            <w:shd w:val="clear" w:color="auto" w:fill="auto"/>
            <w:tcMar>
              <w:left w:w="108" w:type="dxa"/>
              <w:bottom w:w="28" w:type="dxa"/>
              <w:right w:w="108" w:type="dxa"/>
            </w:tcMar>
          </w:tcPr>
          <w:p w14:paraId="5DC73434" w14:textId="38907565" w:rsidR="00087CF7" w:rsidRPr="00BC13C5" w:rsidRDefault="003A59BA" w:rsidP="00914023">
            <w:pPr>
              <w:pStyle w:val="TableText"/>
              <w:rPr>
                <w:shd w:val="clear" w:color="auto" w:fill="EEECE1" w:themeFill="background2"/>
              </w:rPr>
            </w:pPr>
            <w:r w:rsidRPr="00516462">
              <w:t>Commonwealth (PPEBD)</w:t>
            </w:r>
            <w:r w:rsidR="00F255CB">
              <w:t>, J</w:t>
            </w:r>
            <w:r>
              <w:t>urisdictions</w:t>
            </w:r>
          </w:p>
        </w:tc>
        <w:tc>
          <w:tcPr>
            <w:tcW w:w="664" w:type="pct"/>
            <w:tcMar>
              <w:left w:w="108" w:type="dxa"/>
              <w:bottom w:w="28" w:type="dxa"/>
              <w:right w:w="108" w:type="dxa"/>
            </w:tcMar>
          </w:tcPr>
          <w:p w14:paraId="3931FF2B" w14:textId="7A3B1399" w:rsidR="00914023" w:rsidRDefault="00087CF7" w:rsidP="00087CF7">
            <w:pPr>
              <w:pStyle w:val="TableText"/>
            </w:pPr>
            <w:r>
              <w:t>Supports many other action areas</w:t>
            </w:r>
          </w:p>
          <w:p w14:paraId="086DDE56" w14:textId="77777777" w:rsidR="006B72D7" w:rsidRDefault="006B72D7" w:rsidP="00087CF7">
            <w:pPr>
              <w:pStyle w:val="TableText"/>
            </w:pPr>
            <w:r>
              <w:t>Supports:</w:t>
            </w:r>
          </w:p>
          <w:p w14:paraId="3C1300FC" w14:textId="476BCE57" w:rsidR="006B72D7" w:rsidRDefault="006B72D7" w:rsidP="006B72D7">
            <w:pPr>
              <w:pStyle w:val="TableBullet1"/>
            </w:pPr>
            <w:r>
              <w:t>National Khapra Beetle Action Plan action 4.2</w:t>
            </w:r>
          </w:p>
          <w:p w14:paraId="3E2AA74D" w14:textId="0DD7BFE4" w:rsidR="006B72D7" w:rsidRPr="00DE7573" w:rsidRDefault="006B72D7" w:rsidP="00011B18">
            <w:pPr>
              <w:pStyle w:val="TableBullet1"/>
            </w:pPr>
            <w:r>
              <w:t>National Hitchhiker</w:t>
            </w:r>
            <w:r w:rsidR="0005721D">
              <w:t xml:space="preserve"> (Contaminating) </w:t>
            </w:r>
            <w:r>
              <w:t>Plant Pest Action Plan action 4.2</w:t>
            </w:r>
          </w:p>
        </w:tc>
      </w:tr>
      <w:tr w:rsidR="00D56181" w:rsidRPr="00013AE2" w14:paraId="760E7804" w14:textId="77777777" w:rsidTr="003A1099">
        <w:trPr>
          <w:trHeight w:val="825"/>
        </w:trPr>
        <w:tc>
          <w:tcPr>
            <w:tcW w:w="867" w:type="pct"/>
            <w:vMerge/>
            <w:tcMar>
              <w:bottom w:w="28" w:type="dxa"/>
            </w:tcMar>
          </w:tcPr>
          <w:p w14:paraId="102460A7" w14:textId="77777777" w:rsidR="00914023" w:rsidRDefault="00914023" w:rsidP="00914023">
            <w:pPr>
              <w:pStyle w:val="TableText"/>
              <w:rPr>
                <w:rStyle w:val="Strong"/>
              </w:rPr>
            </w:pPr>
          </w:p>
        </w:tc>
        <w:tc>
          <w:tcPr>
            <w:tcW w:w="868" w:type="pct"/>
            <w:tcMar>
              <w:left w:w="108" w:type="dxa"/>
              <w:bottom w:w="28" w:type="dxa"/>
              <w:right w:w="108" w:type="dxa"/>
            </w:tcMar>
          </w:tcPr>
          <w:p w14:paraId="5E9C9E57" w14:textId="28E950F7" w:rsidR="00914023" w:rsidRPr="002F5C6F" w:rsidRDefault="00914023" w:rsidP="00914023">
            <w:pPr>
              <w:pStyle w:val="TableText"/>
              <w:tabs>
                <w:tab w:val="left" w:pos="464"/>
              </w:tabs>
            </w:pPr>
            <w:r w:rsidRPr="003E73E7">
              <w:t xml:space="preserve">4.3.2 </w:t>
            </w:r>
            <w:r w:rsidR="004B4B9E">
              <w:t>Develop governance proposal</w:t>
            </w:r>
            <w:r w:rsidR="00F25E88">
              <w:t xml:space="preserve"> for the </w:t>
            </w:r>
            <w:r w:rsidR="00F25E88" w:rsidRPr="00437EFD">
              <w:t>National Xylella Action Plan</w:t>
            </w:r>
          </w:p>
        </w:tc>
        <w:tc>
          <w:tcPr>
            <w:tcW w:w="1377" w:type="pct"/>
            <w:shd w:val="clear" w:color="auto" w:fill="C6D9F1" w:themeFill="text2" w:themeFillTint="33"/>
            <w:tcMar>
              <w:left w:w="108" w:type="dxa"/>
              <w:bottom w:w="28" w:type="dxa"/>
              <w:right w:w="108" w:type="dxa"/>
            </w:tcMar>
          </w:tcPr>
          <w:p w14:paraId="509DEFE3" w14:textId="257D1428" w:rsidR="000C3D4D" w:rsidRDefault="00914023" w:rsidP="00914023">
            <w:pPr>
              <w:pStyle w:val="TableText"/>
            </w:pPr>
            <w:r w:rsidRPr="002F5C6F">
              <w:t>On</w:t>
            </w:r>
            <w:r w:rsidR="00516462">
              <w:t>going</w:t>
            </w:r>
            <w:r w:rsidRPr="002F5C6F">
              <w:t xml:space="preserve"> – business as usual</w:t>
            </w:r>
          </w:p>
          <w:p w14:paraId="15F72486" w14:textId="77777777" w:rsidR="00E16844" w:rsidRDefault="00E16844" w:rsidP="00E16844">
            <w:pPr>
              <w:pStyle w:val="TableText"/>
            </w:pPr>
            <w:r>
              <w:t xml:space="preserve">A proposal to further develop governance is being provided to PHC for consideration. </w:t>
            </w:r>
          </w:p>
          <w:p w14:paraId="397347DF" w14:textId="11BF86F2" w:rsidR="000C3D4D" w:rsidRPr="003E73E7" w:rsidRDefault="00E16844" w:rsidP="00E16844">
            <w:pPr>
              <w:pStyle w:val="TableText"/>
            </w:pPr>
            <w:r>
              <w:t xml:space="preserve">In the future </w:t>
            </w:r>
            <w:r w:rsidR="00C23D5D">
              <w:t>the</w:t>
            </w:r>
            <w:r w:rsidR="000C3D4D" w:rsidRPr="00516462">
              <w:t xml:space="preserve"> Commonwealth will submit a</w:t>
            </w:r>
            <w:r w:rsidR="000C3D4D">
              <w:t>n</w:t>
            </w:r>
            <w:r w:rsidR="000C3D4D" w:rsidRPr="00516462">
              <w:t xml:space="preserve"> evaluation proposal to PHC for consideration for the formal 5-year review of the plan and input </w:t>
            </w:r>
            <w:r w:rsidR="000C3D4D" w:rsidRPr="00516462">
              <w:lastRenderedPageBreak/>
              <w:t xml:space="preserve">from annual </w:t>
            </w:r>
            <w:r w:rsidR="00437EFD" w:rsidRPr="00516462">
              <w:t xml:space="preserve">xylella </w:t>
            </w:r>
            <w:r w:rsidR="000C3D4D" w:rsidRPr="00516462">
              <w:t>forums will be taken into account.</w:t>
            </w:r>
          </w:p>
        </w:tc>
        <w:tc>
          <w:tcPr>
            <w:tcW w:w="501" w:type="pct"/>
            <w:tcMar>
              <w:left w:w="108" w:type="dxa"/>
              <w:bottom w:w="28" w:type="dxa"/>
              <w:right w:w="108" w:type="dxa"/>
            </w:tcMar>
          </w:tcPr>
          <w:p w14:paraId="16990ECE" w14:textId="4F17D9D4" w:rsidR="00914023" w:rsidRPr="00516462" w:rsidRDefault="00516462" w:rsidP="00914023">
            <w:pPr>
              <w:pStyle w:val="TableText"/>
            </w:pPr>
            <w:r w:rsidRPr="00516462">
              <w:lastRenderedPageBreak/>
              <w:t>Commonwealth (PPEBD)</w:t>
            </w:r>
          </w:p>
        </w:tc>
        <w:tc>
          <w:tcPr>
            <w:tcW w:w="723" w:type="pct"/>
            <w:tcMar>
              <w:left w:w="108" w:type="dxa"/>
              <w:bottom w:w="28" w:type="dxa"/>
              <w:right w:w="108" w:type="dxa"/>
            </w:tcMar>
          </w:tcPr>
          <w:p w14:paraId="08D9B1AE" w14:textId="5ED32623" w:rsidR="00914023" w:rsidRPr="003E73E7" w:rsidRDefault="00437485" w:rsidP="00087CF7">
            <w:pPr>
              <w:pStyle w:val="TableText"/>
            </w:pPr>
            <w:r>
              <w:t xml:space="preserve">Not applicable </w:t>
            </w:r>
          </w:p>
        </w:tc>
        <w:tc>
          <w:tcPr>
            <w:tcW w:w="664" w:type="pct"/>
            <w:tcMar>
              <w:left w:w="108" w:type="dxa"/>
              <w:bottom w:w="28" w:type="dxa"/>
              <w:right w:w="108" w:type="dxa"/>
            </w:tcMar>
          </w:tcPr>
          <w:p w14:paraId="7466ED11" w14:textId="70DDDC43" w:rsidR="00914023" w:rsidRDefault="00087CF7" w:rsidP="00914023">
            <w:pPr>
              <w:pStyle w:val="TableText"/>
            </w:pPr>
            <w:r>
              <w:t>Supports many other action areas</w:t>
            </w:r>
          </w:p>
          <w:p w14:paraId="53733D3E" w14:textId="77777777" w:rsidR="006B72D7" w:rsidRDefault="006B72D7" w:rsidP="006B72D7">
            <w:pPr>
              <w:pStyle w:val="TableText"/>
            </w:pPr>
            <w:r>
              <w:t>Supports:</w:t>
            </w:r>
          </w:p>
          <w:p w14:paraId="112CFA50" w14:textId="5817B77D" w:rsidR="006B72D7" w:rsidRDefault="006B72D7" w:rsidP="006B72D7">
            <w:pPr>
              <w:pStyle w:val="TableBullet1"/>
            </w:pPr>
            <w:r>
              <w:t>National Khapra Beetle Action Plan</w:t>
            </w:r>
            <w:r w:rsidR="001A34AD">
              <w:t xml:space="preserve"> 2021</w:t>
            </w:r>
            <w:r w:rsidR="00437EFD">
              <w:t>–</w:t>
            </w:r>
            <w:r w:rsidR="001A34AD">
              <w:t>2031</w:t>
            </w:r>
            <w:r>
              <w:t xml:space="preserve"> action 4.2</w:t>
            </w:r>
          </w:p>
          <w:p w14:paraId="22822692" w14:textId="6A18D592" w:rsidR="006B72D7" w:rsidRDefault="006B72D7" w:rsidP="00011B18">
            <w:pPr>
              <w:pStyle w:val="TableBullet1"/>
            </w:pPr>
            <w:r>
              <w:lastRenderedPageBreak/>
              <w:t>National Hitchhiker</w:t>
            </w:r>
            <w:r w:rsidR="00490CFA">
              <w:t xml:space="preserve"> </w:t>
            </w:r>
            <w:r w:rsidR="0005721D">
              <w:t>(Contaminating)</w:t>
            </w:r>
            <w:r>
              <w:t xml:space="preserve"> Plant Pest Action Plan</w:t>
            </w:r>
            <w:r w:rsidR="00037448">
              <w:t xml:space="preserve"> 2022-2032</w:t>
            </w:r>
            <w:r>
              <w:t xml:space="preserve"> action 4.2</w:t>
            </w:r>
          </w:p>
        </w:tc>
      </w:tr>
      <w:tr w:rsidR="00D56181" w:rsidRPr="00013AE2" w14:paraId="0BE8EC07" w14:textId="77777777" w:rsidTr="00141698">
        <w:trPr>
          <w:trHeight w:val="559"/>
        </w:trPr>
        <w:tc>
          <w:tcPr>
            <w:tcW w:w="867" w:type="pct"/>
            <w:tcMar>
              <w:bottom w:w="28" w:type="dxa"/>
            </w:tcMar>
          </w:tcPr>
          <w:p w14:paraId="01B38C35" w14:textId="4965CCE6" w:rsidR="00914023" w:rsidRPr="009D6998" w:rsidRDefault="00914023" w:rsidP="00914023">
            <w:pPr>
              <w:pStyle w:val="TableText"/>
            </w:pPr>
            <w:r w:rsidRPr="009D6998">
              <w:rPr>
                <w:rStyle w:val="Strong"/>
              </w:rPr>
              <w:lastRenderedPageBreak/>
              <w:t xml:space="preserve">Action </w:t>
            </w:r>
            <w:r>
              <w:rPr>
                <w:rStyle w:val="Strong"/>
              </w:rPr>
              <w:t>4</w:t>
            </w:r>
            <w:r w:rsidRPr="009D6998">
              <w:rPr>
                <w:rStyle w:val="Strong"/>
              </w:rPr>
              <w:t>.</w:t>
            </w:r>
            <w:r>
              <w:rPr>
                <w:rStyle w:val="Strong"/>
              </w:rPr>
              <w:t>4:</w:t>
            </w:r>
            <w:r w:rsidR="00142B49">
              <w:rPr>
                <w:rStyle w:val="Strong"/>
              </w:rPr>
              <w:t xml:space="preserve"> </w:t>
            </w:r>
            <w:r w:rsidR="00142B49" w:rsidRPr="00142B49">
              <w:rPr>
                <w:rStyle w:val="Strong"/>
                <w:b w:val="0"/>
                <w:bCs w:val="0"/>
              </w:rPr>
              <w:t>Map suitability zones for the spread and survival of X</w:t>
            </w:r>
            <w:r w:rsidR="00C13AEE" w:rsidRPr="00142B49">
              <w:rPr>
                <w:rStyle w:val="Strong"/>
                <w:b w:val="0"/>
                <w:bCs w:val="0"/>
              </w:rPr>
              <w:t>ylella, considering the dynamics between xylella</w:t>
            </w:r>
            <w:r w:rsidR="00142B49" w:rsidRPr="00142B49">
              <w:rPr>
                <w:rStyle w:val="Strong"/>
                <w:b w:val="0"/>
                <w:bCs w:val="0"/>
              </w:rPr>
              <w:t>, plant hosts, vectors, and the Australian environment</w:t>
            </w:r>
            <w:r w:rsidR="00142B49">
              <w:rPr>
                <w:rStyle w:val="Strong"/>
                <w:b w:val="0"/>
                <w:bCs w:val="0"/>
              </w:rPr>
              <w:t>.</w:t>
            </w:r>
          </w:p>
          <w:p w14:paraId="6016818D" w14:textId="39F3FA38" w:rsidR="00914023" w:rsidRPr="009D6998" w:rsidRDefault="00914023" w:rsidP="00914023">
            <w:pPr>
              <w:pStyle w:val="TableText"/>
            </w:pPr>
            <w:r w:rsidRPr="009D6998">
              <w:rPr>
                <w:rStyle w:val="Strong"/>
              </w:rPr>
              <w:t>Expected benefit and outcome</w:t>
            </w:r>
            <w:r>
              <w:rPr>
                <w:rStyle w:val="Strong"/>
              </w:rPr>
              <w:t xml:space="preserve">: </w:t>
            </w:r>
            <w:r w:rsidR="00142B49" w:rsidRPr="00142B49">
              <w:rPr>
                <w:rStyle w:val="Strong"/>
                <w:b w:val="0"/>
                <w:bCs w:val="0"/>
              </w:rPr>
              <w:t xml:space="preserve">To increase Australia’s detection and response capability in relation to </w:t>
            </w:r>
            <w:r w:rsidR="00142B49" w:rsidRPr="00011B18">
              <w:rPr>
                <w:rStyle w:val="Strong"/>
                <w:b w:val="0"/>
                <w:bCs w:val="0"/>
                <w:i/>
                <w:iCs/>
              </w:rPr>
              <w:t>Xylella fastidiosa</w:t>
            </w:r>
            <w:r w:rsidR="00142B49" w:rsidRPr="00142B49">
              <w:rPr>
                <w:rStyle w:val="Strong"/>
                <w:b w:val="0"/>
                <w:bCs w:val="0"/>
              </w:rPr>
              <w:t xml:space="preserve"> through more targeted surveillance of high-risk locations.</w:t>
            </w:r>
          </w:p>
          <w:p w14:paraId="5A74F62F" w14:textId="76D095F0" w:rsidR="00914023" w:rsidRPr="009D6998" w:rsidRDefault="00914023" w:rsidP="00914023">
            <w:pPr>
              <w:pStyle w:val="TableText"/>
            </w:pPr>
            <w:r w:rsidRPr="009D6998">
              <w:rPr>
                <w:rStyle w:val="Strong"/>
              </w:rPr>
              <w:t>Priority</w:t>
            </w:r>
            <w:r>
              <w:rPr>
                <w:rStyle w:val="Strong"/>
              </w:rPr>
              <w:t xml:space="preserve">: </w:t>
            </w:r>
            <w:r w:rsidR="005425D8" w:rsidRPr="005425D8">
              <w:rPr>
                <w:rStyle w:val="Strong"/>
                <w:b w:val="0"/>
                <w:bCs w:val="0"/>
              </w:rPr>
              <w:t>medium</w:t>
            </w:r>
          </w:p>
          <w:p w14:paraId="19C01084" w14:textId="70808E1C" w:rsidR="00914023" w:rsidRDefault="00914023" w:rsidP="00914023">
            <w:pPr>
              <w:pStyle w:val="TableText"/>
              <w:rPr>
                <w:rStyle w:val="Strong"/>
              </w:rPr>
            </w:pPr>
            <w:r w:rsidRPr="009D6998">
              <w:rPr>
                <w:rStyle w:val="Strong"/>
              </w:rPr>
              <w:t>Time frame</w:t>
            </w:r>
            <w:r>
              <w:rPr>
                <w:rStyle w:val="Strong"/>
              </w:rPr>
              <w:t xml:space="preserve">: </w:t>
            </w:r>
            <w:r w:rsidR="005425D8" w:rsidRPr="005425D8">
              <w:rPr>
                <w:rStyle w:val="Strong"/>
                <w:b w:val="0"/>
                <w:bCs w:val="0"/>
              </w:rPr>
              <w:t>medium term</w:t>
            </w:r>
          </w:p>
        </w:tc>
        <w:tc>
          <w:tcPr>
            <w:tcW w:w="868" w:type="pct"/>
            <w:tcMar>
              <w:left w:w="108" w:type="dxa"/>
              <w:bottom w:w="28" w:type="dxa"/>
              <w:right w:w="108" w:type="dxa"/>
            </w:tcMar>
          </w:tcPr>
          <w:p w14:paraId="784656D1" w14:textId="70042B71" w:rsidR="00914023" w:rsidRPr="00C9147B" w:rsidRDefault="00914023" w:rsidP="00914023">
            <w:pPr>
              <w:pStyle w:val="TableText"/>
              <w:tabs>
                <w:tab w:val="left" w:pos="464"/>
              </w:tabs>
            </w:pPr>
            <w:r>
              <w:t>4.4</w:t>
            </w:r>
            <w:r w:rsidRPr="00142B49">
              <w:t>.1</w:t>
            </w:r>
            <w:r w:rsidR="00BE4891">
              <w:t xml:space="preserve"> </w:t>
            </w:r>
            <w:bookmarkStart w:id="13" w:name="_Hlk142317937"/>
            <w:r w:rsidR="00BE4891">
              <w:t>M</w:t>
            </w:r>
            <w:r w:rsidR="00BE4891" w:rsidRPr="00142B49">
              <w:t xml:space="preserve">ap suitability zones for the spread and survival of </w:t>
            </w:r>
            <w:r w:rsidR="00437EFD" w:rsidRPr="00142B49">
              <w:t xml:space="preserve">xylella </w:t>
            </w:r>
            <w:r w:rsidR="00BE4891" w:rsidRPr="00142B49">
              <w:t xml:space="preserve">species., considering the dynamics between </w:t>
            </w:r>
            <w:r w:rsidR="00437EFD" w:rsidRPr="00437EFD">
              <w:rPr>
                <w:i/>
                <w:iCs/>
              </w:rPr>
              <w:t>Xylella</w:t>
            </w:r>
            <w:r w:rsidR="00437EFD" w:rsidRPr="00142B49">
              <w:t xml:space="preserve"> </w:t>
            </w:r>
            <w:r w:rsidR="00BE4891" w:rsidRPr="00142B49">
              <w:t>spp., hosts, vectors and the Australian environment</w:t>
            </w:r>
            <w:bookmarkEnd w:id="13"/>
          </w:p>
        </w:tc>
        <w:tc>
          <w:tcPr>
            <w:tcW w:w="1377" w:type="pct"/>
            <w:shd w:val="clear" w:color="auto" w:fill="DEF0C2"/>
            <w:tcMar>
              <w:left w:w="108" w:type="dxa"/>
              <w:bottom w:w="28" w:type="dxa"/>
              <w:right w:w="108" w:type="dxa"/>
            </w:tcMar>
          </w:tcPr>
          <w:p w14:paraId="39E70C46" w14:textId="0F2DE909" w:rsidR="0020678E" w:rsidRDefault="00844716" w:rsidP="0015120C">
            <w:pPr>
              <w:rPr>
                <w:rFonts w:cstheme="minorHAnsi"/>
                <w:sz w:val="18"/>
                <w:szCs w:val="18"/>
              </w:rPr>
            </w:pPr>
            <w:r>
              <w:rPr>
                <w:rFonts w:cstheme="minorHAnsi"/>
                <w:sz w:val="18"/>
                <w:szCs w:val="18"/>
              </w:rPr>
              <w:t xml:space="preserve">Completed </w:t>
            </w:r>
            <w:r w:rsidR="0020678E">
              <w:rPr>
                <w:rFonts w:cstheme="minorHAnsi"/>
                <w:sz w:val="18"/>
                <w:szCs w:val="18"/>
              </w:rPr>
              <w:t xml:space="preserve">– project </w:t>
            </w:r>
            <w:r>
              <w:rPr>
                <w:rFonts w:cstheme="minorHAnsi"/>
                <w:sz w:val="18"/>
                <w:szCs w:val="18"/>
              </w:rPr>
              <w:t>finished</w:t>
            </w:r>
            <w:r w:rsidR="00B876AF">
              <w:rPr>
                <w:rFonts w:cstheme="minorHAnsi"/>
                <w:sz w:val="18"/>
                <w:szCs w:val="18"/>
              </w:rPr>
              <w:t xml:space="preserve"> (2023)</w:t>
            </w:r>
          </w:p>
          <w:p w14:paraId="2AEB9204" w14:textId="5C0AC744" w:rsidR="00A226F0" w:rsidRPr="00A226F0" w:rsidRDefault="00A226F0" w:rsidP="0015120C">
            <w:pPr>
              <w:rPr>
                <w:rFonts w:cstheme="minorHAnsi"/>
                <w:sz w:val="18"/>
                <w:szCs w:val="18"/>
              </w:rPr>
            </w:pPr>
            <w:r w:rsidRPr="00D317FA">
              <w:rPr>
                <w:sz w:val="18"/>
                <w:szCs w:val="18"/>
              </w:rPr>
              <w:t xml:space="preserve">The completed ‘Draft pest risk analysis for bacterial pathogens in the genus </w:t>
            </w:r>
            <w:r w:rsidRPr="00D317FA">
              <w:rPr>
                <w:i/>
                <w:iCs/>
                <w:sz w:val="18"/>
                <w:szCs w:val="18"/>
              </w:rPr>
              <w:t>Xylella</w:t>
            </w:r>
            <w:r w:rsidRPr="00D317FA">
              <w:rPr>
                <w:sz w:val="18"/>
                <w:szCs w:val="18"/>
              </w:rPr>
              <w:t xml:space="preserve">’ (agriculture.gov.au) has mapped suitability zones for establishment of </w:t>
            </w:r>
            <w:r w:rsidR="00445F65" w:rsidRPr="00445F65">
              <w:rPr>
                <w:sz w:val="18"/>
                <w:szCs w:val="18"/>
              </w:rPr>
              <w:t>xylella</w:t>
            </w:r>
            <w:r w:rsidR="00445F65" w:rsidRPr="00D317FA">
              <w:rPr>
                <w:sz w:val="18"/>
                <w:szCs w:val="18"/>
              </w:rPr>
              <w:t xml:space="preserve"> </w:t>
            </w:r>
            <w:r w:rsidRPr="00D317FA">
              <w:rPr>
                <w:sz w:val="18"/>
                <w:szCs w:val="18"/>
              </w:rPr>
              <w:t>species, and also for four key vectors, within the Australian environment</w:t>
            </w:r>
            <w:r>
              <w:rPr>
                <w:sz w:val="18"/>
                <w:szCs w:val="18"/>
              </w:rPr>
              <w:t>.</w:t>
            </w:r>
          </w:p>
          <w:p w14:paraId="3D7D78FA" w14:textId="3E42D4A9" w:rsidR="00C539F0" w:rsidRPr="0056113C" w:rsidRDefault="00000000" w:rsidP="0015120C">
            <w:pPr>
              <w:rPr>
                <w:rFonts w:cstheme="minorHAnsi"/>
                <w:sz w:val="18"/>
                <w:szCs w:val="18"/>
              </w:rPr>
            </w:pPr>
            <w:hyperlink r:id="rId33" w:history="1">
              <w:r w:rsidR="0020678E" w:rsidRPr="0095475A">
                <w:rPr>
                  <w:rStyle w:val="Hyperlink"/>
                  <w:sz w:val="18"/>
                  <w:szCs w:val="18"/>
                </w:rPr>
                <w:t>Draft pest risk analysis for bacterial pathogens in the genus Xylella (agriculture.gov.au)</w:t>
              </w:r>
            </w:hyperlink>
          </w:p>
        </w:tc>
        <w:tc>
          <w:tcPr>
            <w:tcW w:w="501" w:type="pct"/>
            <w:tcMar>
              <w:left w:w="108" w:type="dxa"/>
              <w:bottom w:w="28" w:type="dxa"/>
              <w:right w:w="108" w:type="dxa"/>
            </w:tcMar>
          </w:tcPr>
          <w:p w14:paraId="75FE9217" w14:textId="77777777" w:rsidR="00914023" w:rsidRDefault="00C539F0" w:rsidP="00914023">
            <w:pPr>
              <w:pStyle w:val="TableText"/>
            </w:pPr>
            <w:r>
              <w:t>Commonwealth (PPEBD)</w:t>
            </w:r>
          </w:p>
          <w:p w14:paraId="1196DBC6" w14:textId="5BC6349F" w:rsidR="00844716" w:rsidRPr="00DE7573" w:rsidRDefault="00844716" w:rsidP="00914023">
            <w:pPr>
              <w:pStyle w:val="TableText"/>
            </w:pPr>
            <w:r>
              <w:t>PSARA</w:t>
            </w:r>
          </w:p>
        </w:tc>
        <w:tc>
          <w:tcPr>
            <w:tcW w:w="723" w:type="pct"/>
            <w:tcMar>
              <w:left w:w="108" w:type="dxa"/>
              <w:bottom w:w="28" w:type="dxa"/>
              <w:right w:w="108" w:type="dxa"/>
            </w:tcMar>
          </w:tcPr>
          <w:p w14:paraId="637A034F" w14:textId="59562840" w:rsidR="00914023" w:rsidRPr="009F0489" w:rsidRDefault="00437485" w:rsidP="00914023">
            <w:pPr>
              <w:pStyle w:val="TableText"/>
            </w:pPr>
            <w:r>
              <w:t>Not applicable</w:t>
            </w:r>
          </w:p>
        </w:tc>
        <w:tc>
          <w:tcPr>
            <w:tcW w:w="664" w:type="pct"/>
            <w:tcMar>
              <w:left w:w="108" w:type="dxa"/>
              <w:bottom w:w="28" w:type="dxa"/>
              <w:right w:w="108" w:type="dxa"/>
            </w:tcMar>
          </w:tcPr>
          <w:p w14:paraId="5ADDD95F" w14:textId="2F5B78AF" w:rsidR="00914023" w:rsidRDefault="00142B49" w:rsidP="00914023">
            <w:pPr>
              <w:pStyle w:val="TableText"/>
            </w:pPr>
            <w:r>
              <w:t xml:space="preserve">Relates to action </w:t>
            </w:r>
            <w:r w:rsidR="006C244E">
              <w:t xml:space="preserve">1.3 project 1.3.1 and action </w:t>
            </w:r>
            <w:r>
              <w:t>2.5</w:t>
            </w:r>
          </w:p>
        </w:tc>
      </w:tr>
      <w:tr w:rsidR="00D56181" w:rsidRPr="00013AE2" w14:paraId="2C5F5C62" w14:textId="77777777" w:rsidTr="00141698">
        <w:trPr>
          <w:trHeight w:val="559"/>
        </w:trPr>
        <w:tc>
          <w:tcPr>
            <w:tcW w:w="867" w:type="pct"/>
            <w:tcMar>
              <w:bottom w:w="28" w:type="dxa"/>
            </w:tcMar>
          </w:tcPr>
          <w:p w14:paraId="5A3D97F4" w14:textId="1E10892C" w:rsidR="00C539F0" w:rsidRPr="009D6998" w:rsidRDefault="00C539F0" w:rsidP="00C539F0">
            <w:pPr>
              <w:pStyle w:val="TableText"/>
            </w:pPr>
            <w:r w:rsidRPr="009D6998">
              <w:rPr>
                <w:rStyle w:val="Strong"/>
              </w:rPr>
              <w:t xml:space="preserve">Action </w:t>
            </w:r>
            <w:r>
              <w:rPr>
                <w:rStyle w:val="Strong"/>
              </w:rPr>
              <w:t>4</w:t>
            </w:r>
            <w:r w:rsidRPr="009D6998">
              <w:rPr>
                <w:rStyle w:val="Strong"/>
              </w:rPr>
              <w:t>.</w:t>
            </w:r>
            <w:r>
              <w:rPr>
                <w:rStyle w:val="Strong"/>
              </w:rPr>
              <w:t xml:space="preserve">5: </w:t>
            </w:r>
            <w:r w:rsidRPr="00C539F0">
              <w:rPr>
                <w:rStyle w:val="Strong"/>
                <w:b w:val="0"/>
                <w:bCs w:val="0"/>
              </w:rPr>
              <w:t>Identify research and development priorities for investment</w:t>
            </w:r>
            <w:r>
              <w:rPr>
                <w:rStyle w:val="Strong"/>
                <w:b w:val="0"/>
                <w:bCs w:val="0"/>
              </w:rPr>
              <w:t>.</w:t>
            </w:r>
          </w:p>
          <w:p w14:paraId="07FB53CB" w14:textId="73D11750" w:rsidR="00C539F0" w:rsidRPr="009D6998" w:rsidRDefault="00C539F0" w:rsidP="00C539F0">
            <w:pPr>
              <w:pStyle w:val="TableText"/>
            </w:pPr>
            <w:r w:rsidRPr="009D6998">
              <w:rPr>
                <w:rStyle w:val="Strong"/>
              </w:rPr>
              <w:t>Expected benefit and outcome</w:t>
            </w:r>
            <w:r>
              <w:rPr>
                <w:rStyle w:val="Strong"/>
              </w:rPr>
              <w:t xml:space="preserve">: </w:t>
            </w:r>
            <w:r w:rsidRPr="00C539F0">
              <w:rPr>
                <w:rStyle w:val="Strong"/>
                <w:b w:val="0"/>
                <w:bCs w:val="0"/>
              </w:rPr>
              <w:t xml:space="preserve">To improve preparedness and response capability in relation to incursions by </w:t>
            </w:r>
            <w:r w:rsidRPr="00011B18">
              <w:rPr>
                <w:rStyle w:val="Strong"/>
                <w:b w:val="0"/>
                <w:bCs w:val="0"/>
                <w:i/>
                <w:iCs/>
              </w:rPr>
              <w:t>Xylella fastidiosa</w:t>
            </w:r>
            <w:r w:rsidRPr="00C539F0">
              <w:rPr>
                <w:rStyle w:val="Strong"/>
                <w:b w:val="0"/>
                <w:bCs w:val="0"/>
              </w:rPr>
              <w:t xml:space="preserve"> through the coordination of R&amp;D to focus investment on national R&amp;D priorities and projects.</w:t>
            </w:r>
          </w:p>
          <w:p w14:paraId="4FCA58A7" w14:textId="14CAF914" w:rsidR="00C539F0" w:rsidRDefault="00C539F0" w:rsidP="00C539F0">
            <w:pPr>
              <w:pStyle w:val="TableText"/>
            </w:pPr>
            <w:r w:rsidRPr="009D6998">
              <w:rPr>
                <w:rStyle w:val="Strong"/>
              </w:rPr>
              <w:t>Priority</w:t>
            </w:r>
            <w:r>
              <w:rPr>
                <w:rStyle w:val="Strong"/>
              </w:rPr>
              <w:t xml:space="preserve">: </w:t>
            </w:r>
            <w:r w:rsidR="008C3A19" w:rsidRPr="008C3A19">
              <w:rPr>
                <w:rStyle w:val="Strong"/>
                <w:b w:val="0"/>
                <w:bCs w:val="0"/>
              </w:rPr>
              <w:t>medium</w:t>
            </w:r>
          </w:p>
          <w:p w14:paraId="5BEAC722" w14:textId="3440485C" w:rsidR="00C539F0" w:rsidRPr="00C539F0" w:rsidRDefault="00C539F0" w:rsidP="00914023">
            <w:pPr>
              <w:pStyle w:val="TableText"/>
              <w:rPr>
                <w:rStyle w:val="Strong"/>
                <w:b w:val="0"/>
                <w:bCs w:val="0"/>
              </w:rPr>
            </w:pPr>
            <w:r w:rsidRPr="009D6998">
              <w:rPr>
                <w:rStyle w:val="Strong"/>
              </w:rPr>
              <w:lastRenderedPageBreak/>
              <w:t>Time frame</w:t>
            </w:r>
            <w:r>
              <w:rPr>
                <w:rStyle w:val="Strong"/>
              </w:rPr>
              <w:t xml:space="preserve">: </w:t>
            </w:r>
            <w:r w:rsidR="008C3A19" w:rsidRPr="008C3A19">
              <w:rPr>
                <w:rStyle w:val="Strong"/>
                <w:b w:val="0"/>
                <w:bCs w:val="0"/>
              </w:rPr>
              <w:t>medium term</w:t>
            </w:r>
          </w:p>
        </w:tc>
        <w:tc>
          <w:tcPr>
            <w:tcW w:w="868" w:type="pct"/>
            <w:tcMar>
              <w:left w:w="108" w:type="dxa"/>
              <w:bottom w:w="28" w:type="dxa"/>
              <w:right w:w="108" w:type="dxa"/>
            </w:tcMar>
          </w:tcPr>
          <w:p w14:paraId="58E65611" w14:textId="6331A950" w:rsidR="00C539F0" w:rsidRDefault="00C539F0" w:rsidP="00914023">
            <w:pPr>
              <w:pStyle w:val="TableText"/>
              <w:tabs>
                <w:tab w:val="left" w:pos="464"/>
              </w:tabs>
            </w:pPr>
            <w:r>
              <w:lastRenderedPageBreak/>
              <w:t xml:space="preserve">4.5.1 </w:t>
            </w:r>
            <w:r w:rsidRPr="00C539F0">
              <w:t>National Xylella Coordinator has completed developing a national research and development investment program</w:t>
            </w:r>
          </w:p>
        </w:tc>
        <w:tc>
          <w:tcPr>
            <w:tcW w:w="1377" w:type="pct"/>
            <w:shd w:val="clear" w:color="auto" w:fill="DEF0C2"/>
            <w:tcMar>
              <w:left w:w="108" w:type="dxa"/>
              <w:bottom w:w="28" w:type="dxa"/>
              <w:right w:w="108" w:type="dxa"/>
            </w:tcMar>
          </w:tcPr>
          <w:p w14:paraId="6F156445" w14:textId="2D650195" w:rsidR="00C539F0" w:rsidRDefault="00C539F0" w:rsidP="00914023">
            <w:pPr>
              <w:pStyle w:val="TableText"/>
            </w:pPr>
            <w:r>
              <w:t>Completed – project finished</w:t>
            </w:r>
          </w:p>
          <w:p w14:paraId="1780A78A" w14:textId="51710395" w:rsidR="002A6E2A" w:rsidRDefault="00000000" w:rsidP="00914023">
            <w:pPr>
              <w:pStyle w:val="TableText"/>
            </w:pPr>
            <w:hyperlink r:id="rId34" w:history="1">
              <w:r w:rsidR="001044E9">
                <w:rPr>
                  <w:rStyle w:val="Hyperlink"/>
                </w:rPr>
                <w:t>Hort Innovation | Xylella coordinator (MT17006) (horticulture.com.au)</w:t>
              </w:r>
            </w:hyperlink>
          </w:p>
        </w:tc>
        <w:tc>
          <w:tcPr>
            <w:tcW w:w="501" w:type="pct"/>
            <w:tcMar>
              <w:left w:w="108" w:type="dxa"/>
              <w:bottom w:w="28" w:type="dxa"/>
              <w:right w:w="108" w:type="dxa"/>
            </w:tcMar>
          </w:tcPr>
          <w:p w14:paraId="3DA8190C" w14:textId="033956CE" w:rsidR="00C539F0" w:rsidRPr="00DE7573" w:rsidRDefault="00C539F0" w:rsidP="00914023">
            <w:pPr>
              <w:pStyle w:val="TableText"/>
            </w:pPr>
          </w:p>
        </w:tc>
        <w:tc>
          <w:tcPr>
            <w:tcW w:w="723" w:type="pct"/>
            <w:tcMar>
              <w:left w:w="108" w:type="dxa"/>
              <w:bottom w:w="28" w:type="dxa"/>
              <w:right w:w="108" w:type="dxa"/>
            </w:tcMar>
          </w:tcPr>
          <w:p w14:paraId="6699CAB2" w14:textId="77777777" w:rsidR="00C539F0" w:rsidRDefault="00087CF7" w:rsidP="00914023">
            <w:pPr>
              <w:pStyle w:val="TableText"/>
            </w:pPr>
            <w:r>
              <w:t>Wine Australia</w:t>
            </w:r>
          </w:p>
          <w:p w14:paraId="74D5B8DF" w14:textId="31592550" w:rsidR="00087CF7" w:rsidRPr="009F0489" w:rsidRDefault="00087CF7" w:rsidP="00914023">
            <w:pPr>
              <w:pStyle w:val="TableText"/>
            </w:pPr>
            <w:r>
              <w:t xml:space="preserve">Hort Innovation </w:t>
            </w:r>
          </w:p>
        </w:tc>
        <w:tc>
          <w:tcPr>
            <w:tcW w:w="664" w:type="pct"/>
            <w:tcMar>
              <w:left w:w="108" w:type="dxa"/>
              <w:bottom w:w="28" w:type="dxa"/>
              <w:right w:w="108" w:type="dxa"/>
            </w:tcMar>
          </w:tcPr>
          <w:p w14:paraId="4DC4031A" w14:textId="49C3D029" w:rsidR="00C539F0" w:rsidRDefault="00C539F0" w:rsidP="00914023">
            <w:pPr>
              <w:pStyle w:val="TableText"/>
            </w:pPr>
            <w:r>
              <w:t>Relates to action 3.4</w:t>
            </w:r>
          </w:p>
          <w:p w14:paraId="5137DADF" w14:textId="77777777" w:rsidR="0010042C" w:rsidRDefault="0010042C" w:rsidP="00914023">
            <w:pPr>
              <w:pStyle w:val="TableText"/>
            </w:pPr>
            <w:r>
              <w:t xml:space="preserve">Supports: </w:t>
            </w:r>
          </w:p>
          <w:p w14:paraId="05BAB171" w14:textId="78159EFE" w:rsidR="0010042C" w:rsidRDefault="0010042C" w:rsidP="0010042C">
            <w:pPr>
              <w:pStyle w:val="TableBullet1"/>
            </w:pPr>
            <w:r>
              <w:t xml:space="preserve">National Khapra Beetle Action Plan action </w:t>
            </w:r>
            <w:r w:rsidR="00050C59">
              <w:t xml:space="preserve">2021-2031 </w:t>
            </w:r>
            <w:r>
              <w:t>4.3</w:t>
            </w:r>
          </w:p>
          <w:p w14:paraId="46224935" w14:textId="70816EE8" w:rsidR="0010042C" w:rsidRDefault="0010042C" w:rsidP="00011B18">
            <w:pPr>
              <w:pStyle w:val="TableBullet1"/>
            </w:pPr>
            <w:r>
              <w:t>National Hitchhiker</w:t>
            </w:r>
            <w:r w:rsidR="00037448">
              <w:t xml:space="preserve"> </w:t>
            </w:r>
            <w:r w:rsidR="0005721D">
              <w:t>(Contaminating)</w:t>
            </w:r>
            <w:r>
              <w:t xml:space="preserve"> Plant Pest Action Plan</w:t>
            </w:r>
            <w:r w:rsidR="00037448">
              <w:t xml:space="preserve"> 2022-2032</w:t>
            </w:r>
            <w:r>
              <w:t xml:space="preserve"> 4.3</w:t>
            </w:r>
          </w:p>
        </w:tc>
      </w:tr>
      <w:tr w:rsidR="00D56181" w:rsidRPr="00013AE2" w14:paraId="63A1B8B1" w14:textId="77777777" w:rsidTr="00141698">
        <w:trPr>
          <w:trHeight w:val="559"/>
        </w:trPr>
        <w:tc>
          <w:tcPr>
            <w:tcW w:w="867" w:type="pct"/>
            <w:vMerge w:val="restart"/>
            <w:tcMar>
              <w:bottom w:w="28" w:type="dxa"/>
            </w:tcMar>
          </w:tcPr>
          <w:p w14:paraId="3D960C50" w14:textId="39ABC1E4" w:rsidR="00493492" w:rsidRDefault="00C539F0" w:rsidP="00C539F0">
            <w:pPr>
              <w:pStyle w:val="TableText"/>
              <w:rPr>
                <w:rStyle w:val="Strong"/>
                <w:b w:val="0"/>
                <w:bCs w:val="0"/>
              </w:rPr>
            </w:pPr>
            <w:r w:rsidRPr="009D6998">
              <w:rPr>
                <w:rStyle w:val="Strong"/>
              </w:rPr>
              <w:t xml:space="preserve">Action </w:t>
            </w:r>
            <w:r>
              <w:rPr>
                <w:rStyle w:val="Strong"/>
              </w:rPr>
              <w:t>4</w:t>
            </w:r>
            <w:r w:rsidRPr="009D6998">
              <w:rPr>
                <w:rStyle w:val="Strong"/>
              </w:rPr>
              <w:t>.</w:t>
            </w:r>
            <w:r>
              <w:rPr>
                <w:rStyle w:val="Strong"/>
              </w:rPr>
              <w:t>6:</w:t>
            </w:r>
            <w:r w:rsidR="00493492">
              <w:rPr>
                <w:rStyle w:val="Strong"/>
              </w:rPr>
              <w:t xml:space="preserve"> </w:t>
            </w:r>
            <w:r w:rsidR="00493492" w:rsidRPr="00493492">
              <w:rPr>
                <w:rStyle w:val="Strong"/>
                <w:b w:val="0"/>
                <w:bCs w:val="0"/>
              </w:rPr>
              <w:t xml:space="preserve">Assess the potential environmental and economic impacts of </w:t>
            </w:r>
            <w:r w:rsidR="00C13AEE" w:rsidRPr="00493492">
              <w:rPr>
                <w:rStyle w:val="Strong"/>
                <w:b w:val="0"/>
                <w:bCs w:val="0"/>
              </w:rPr>
              <w:t>xylella</w:t>
            </w:r>
            <w:r w:rsidR="00493492" w:rsidRPr="00493492">
              <w:rPr>
                <w:rStyle w:val="Strong"/>
                <w:b w:val="0"/>
                <w:bCs w:val="0"/>
              </w:rPr>
              <w:t>.</w:t>
            </w:r>
          </w:p>
          <w:p w14:paraId="479F13D3" w14:textId="7DD222C2" w:rsidR="00C539F0" w:rsidRPr="009D6998" w:rsidRDefault="00C539F0" w:rsidP="00C539F0">
            <w:pPr>
              <w:pStyle w:val="TableText"/>
            </w:pPr>
            <w:r w:rsidRPr="009D6998">
              <w:rPr>
                <w:rStyle w:val="Strong"/>
              </w:rPr>
              <w:t>Expected benefit and outcome</w:t>
            </w:r>
            <w:r>
              <w:rPr>
                <w:rStyle w:val="Strong"/>
              </w:rPr>
              <w:t xml:space="preserve">: </w:t>
            </w:r>
            <w:r w:rsidR="00493492" w:rsidRPr="00493492">
              <w:rPr>
                <w:rStyle w:val="Strong"/>
                <w:b w:val="0"/>
                <w:bCs w:val="0"/>
              </w:rPr>
              <w:t xml:space="preserve">To gain an improved understanding of the impact of a </w:t>
            </w:r>
            <w:r w:rsidR="00493492" w:rsidRPr="00011B18">
              <w:rPr>
                <w:rStyle w:val="Strong"/>
                <w:b w:val="0"/>
                <w:bCs w:val="0"/>
                <w:i/>
                <w:iCs/>
              </w:rPr>
              <w:t>Xylella fastidiosa</w:t>
            </w:r>
            <w:r w:rsidR="00493492" w:rsidRPr="00493492">
              <w:rPr>
                <w:rStyle w:val="Strong"/>
                <w:b w:val="0"/>
                <w:bCs w:val="0"/>
              </w:rPr>
              <w:t xml:space="preserve"> incursion on the Australian economy as part of an ongoing evaluation of biosecurity investment priorities.</w:t>
            </w:r>
          </w:p>
          <w:p w14:paraId="3CC86B7B" w14:textId="449B90BD" w:rsidR="00C539F0" w:rsidRDefault="00C539F0" w:rsidP="00C539F0">
            <w:pPr>
              <w:pStyle w:val="TableText"/>
            </w:pPr>
            <w:r w:rsidRPr="009D6998">
              <w:rPr>
                <w:rStyle w:val="Strong"/>
              </w:rPr>
              <w:t>Priority</w:t>
            </w:r>
            <w:r>
              <w:rPr>
                <w:rStyle w:val="Strong"/>
              </w:rPr>
              <w:t xml:space="preserve">: </w:t>
            </w:r>
            <w:r w:rsidR="008C3A19" w:rsidRPr="008C3A19">
              <w:rPr>
                <w:rStyle w:val="Strong"/>
                <w:b w:val="0"/>
                <w:bCs w:val="0"/>
              </w:rPr>
              <w:t>high</w:t>
            </w:r>
          </w:p>
          <w:p w14:paraId="4C6756BD" w14:textId="0698823C" w:rsidR="00C539F0" w:rsidRPr="009D6998" w:rsidRDefault="00C539F0" w:rsidP="00C539F0">
            <w:pPr>
              <w:pStyle w:val="TableText"/>
              <w:rPr>
                <w:rStyle w:val="Strong"/>
              </w:rPr>
            </w:pPr>
            <w:r w:rsidRPr="009D6998">
              <w:rPr>
                <w:rStyle w:val="Strong"/>
              </w:rPr>
              <w:t>Time frame</w:t>
            </w:r>
            <w:r>
              <w:rPr>
                <w:rStyle w:val="Strong"/>
              </w:rPr>
              <w:t xml:space="preserve">: </w:t>
            </w:r>
            <w:r w:rsidR="008C3A19" w:rsidRPr="008C3A19">
              <w:rPr>
                <w:rStyle w:val="Strong"/>
                <w:b w:val="0"/>
                <w:bCs w:val="0"/>
              </w:rPr>
              <w:t>short term</w:t>
            </w:r>
          </w:p>
        </w:tc>
        <w:tc>
          <w:tcPr>
            <w:tcW w:w="868" w:type="pct"/>
            <w:tcMar>
              <w:left w:w="108" w:type="dxa"/>
              <w:bottom w:w="28" w:type="dxa"/>
              <w:right w:w="108" w:type="dxa"/>
            </w:tcMar>
          </w:tcPr>
          <w:p w14:paraId="3377772A" w14:textId="3088A535" w:rsidR="00C539F0" w:rsidRDefault="00C539F0" w:rsidP="00914023">
            <w:pPr>
              <w:pStyle w:val="TableText"/>
              <w:tabs>
                <w:tab w:val="left" w:pos="464"/>
              </w:tabs>
            </w:pPr>
            <w:r>
              <w:t xml:space="preserve">4.6.1 </w:t>
            </w:r>
            <w:r w:rsidR="00BE4891">
              <w:t>Develop a</w:t>
            </w:r>
            <w:r w:rsidR="00BE4891" w:rsidRPr="00C539F0">
              <w:t xml:space="preserve"> report</w:t>
            </w:r>
            <w:r w:rsidR="00BE4891">
              <w:t xml:space="preserve"> on the</w:t>
            </w:r>
            <w:r w:rsidR="00BE4891" w:rsidRPr="00C539F0">
              <w:t xml:space="preserve"> </w:t>
            </w:r>
            <w:r w:rsidR="00BE4891">
              <w:t>e</w:t>
            </w:r>
            <w:r w:rsidR="00BE4891" w:rsidRPr="00C539F0">
              <w:t xml:space="preserve">conomic impacts of </w:t>
            </w:r>
            <w:r w:rsidR="00BE4891" w:rsidRPr="00011B18">
              <w:rPr>
                <w:i/>
                <w:iCs/>
              </w:rPr>
              <w:t>Xylella fastidiosa</w:t>
            </w:r>
            <w:r w:rsidR="00BE4891" w:rsidRPr="00C539F0">
              <w:t xml:space="preserve"> on the Australia wine grape and wine making industries</w:t>
            </w:r>
          </w:p>
        </w:tc>
        <w:tc>
          <w:tcPr>
            <w:tcW w:w="1377" w:type="pct"/>
            <w:shd w:val="clear" w:color="auto" w:fill="DEF0C2"/>
            <w:tcMar>
              <w:left w:w="108" w:type="dxa"/>
              <w:bottom w:w="28" w:type="dxa"/>
              <w:right w:w="108" w:type="dxa"/>
            </w:tcMar>
          </w:tcPr>
          <w:p w14:paraId="694EACD3" w14:textId="1169A4D5" w:rsidR="00C539F0" w:rsidRDefault="00C539F0" w:rsidP="00C539F0">
            <w:pPr>
              <w:pStyle w:val="TableText"/>
            </w:pPr>
            <w:r>
              <w:t>Completed – project finished</w:t>
            </w:r>
          </w:p>
          <w:p w14:paraId="3C417B72" w14:textId="2975AD30" w:rsidR="008F7C5F" w:rsidRDefault="008F7C5F" w:rsidP="00914023">
            <w:pPr>
              <w:pStyle w:val="TableText"/>
            </w:pPr>
            <w:r w:rsidRPr="00C539F0">
              <w:t>Th</w:t>
            </w:r>
            <w:r>
              <w:t>is</w:t>
            </w:r>
            <w:r w:rsidRPr="00C539F0">
              <w:t xml:space="preserve"> report </w:t>
            </w:r>
            <w:r>
              <w:t>has been</w:t>
            </w:r>
            <w:r w:rsidRPr="00C539F0">
              <w:t xml:space="preserve"> published on the ABARES website</w:t>
            </w:r>
            <w:r>
              <w:t>:</w:t>
            </w:r>
          </w:p>
          <w:p w14:paraId="09234C52" w14:textId="260FB178" w:rsidR="002A6E2A" w:rsidRPr="00141698" w:rsidRDefault="00000000" w:rsidP="00914023">
            <w:pPr>
              <w:pStyle w:val="TableText"/>
              <w:rPr>
                <w:color w:val="165788"/>
                <w:u w:val="single"/>
              </w:rPr>
            </w:pPr>
            <w:hyperlink r:id="rId35" w:history="1">
              <w:r w:rsidR="00952C0B">
                <w:rPr>
                  <w:rStyle w:val="Hyperlink"/>
                </w:rPr>
                <w:t xml:space="preserve">Economic impacts of </w:t>
              </w:r>
              <w:r w:rsidR="00952C0B" w:rsidRPr="005C66F3">
                <w:rPr>
                  <w:rStyle w:val="Hyperlink"/>
                  <w:i/>
                  <w:iCs/>
                </w:rPr>
                <w:t>Xylella fastidiosa</w:t>
              </w:r>
              <w:r w:rsidR="00952C0B">
                <w:rPr>
                  <w:rStyle w:val="Hyperlink"/>
                </w:rPr>
                <w:t xml:space="preserve"> on the Australian wine grape and wine making industries</w:t>
              </w:r>
            </w:hyperlink>
          </w:p>
        </w:tc>
        <w:tc>
          <w:tcPr>
            <w:tcW w:w="501" w:type="pct"/>
            <w:tcMar>
              <w:left w:w="108" w:type="dxa"/>
              <w:bottom w:w="28" w:type="dxa"/>
              <w:right w:w="108" w:type="dxa"/>
            </w:tcMar>
          </w:tcPr>
          <w:p w14:paraId="2A3392E6" w14:textId="18FF2302" w:rsidR="00C539F0" w:rsidRDefault="00493492" w:rsidP="00914023">
            <w:pPr>
              <w:pStyle w:val="TableText"/>
            </w:pPr>
            <w:r>
              <w:t>Commonwealth (ABARES)</w:t>
            </w:r>
          </w:p>
        </w:tc>
        <w:tc>
          <w:tcPr>
            <w:tcW w:w="723" w:type="pct"/>
            <w:tcMar>
              <w:left w:w="108" w:type="dxa"/>
              <w:bottom w:w="28" w:type="dxa"/>
              <w:right w:w="108" w:type="dxa"/>
            </w:tcMar>
          </w:tcPr>
          <w:p w14:paraId="1797425F" w14:textId="6564CEC8" w:rsidR="00087CF7" w:rsidRPr="009F0489" w:rsidRDefault="00437485" w:rsidP="00914023">
            <w:pPr>
              <w:pStyle w:val="TableText"/>
            </w:pPr>
            <w:r>
              <w:t>Not applicable</w:t>
            </w:r>
          </w:p>
        </w:tc>
        <w:tc>
          <w:tcPr>
            <w:tcW w:w="664" w:type="pct"/>
            <w:tcMar>
              <w:left w:w="108" w:type="dxa"/>
              <w:bottom w:w="28" w:type="dxa"/>
              <w:right w:w="108" w:type="dxa"/>
            </w:tcMar>
          </w:tcPr>
          <w:p w14:paraId="20D9EE8F" w14:textId="05369D87" w:rsidR="00C539F0" w:rsidRDefault="00087CF7" w:rsidP="00914023">
            <w:pPr>
              <w:pStyle w:val="TableText"/>
            </w:pPr>
            <w:r>
              <w:t>Supports many other action areas</w:t>
            </w:r>
          </w:p>
        </w:tc>
      </w:tr>
      <w:tr w:rsidR="00D56181" w:rsidRPr="00013AE2" w14:paraId="3EB10590" w14:textId="77777777" w:rsidTr="00141698">
        <w:trPr>
          <w:trHeight w:val="559"/>
        </w:trPr>
        <w:tc>
          <w:tcPr>
            <w:tcW w:w="867" w:type="pct"/>
            <w:vMerge/>
            <w:tcMar>
              <w:bottom w:w="28" w:type="dxa"/>
            </w:tcMar>
          </w:tcPr>
          <w:p w14:paraId="08BBD886" w14:textId="77777777" w:rsidR="00C539F0" w:rsidRPr="009D6998" w:rsidRDefault="00C539F0" w:rsidP="00C539F0">
            <w:pPr>
              <w:pStyle w:val="TableText"/>
              <w:rPr>
                <w:rStyle w:val="Strong"/>
              </w:rPr>
            </w:pPr>
          </w:p>
        </w:tc>
        <w:tc>
          <w:tcPr>
            <w:tcW w:w="868" w:type="pct"/>
            <w:tcMar>
              <w:left w:w="108" w:type="dxa"/>
              <w:bottom w:w="28" w:type="dxa"/>
              <w:right w:w="108" w:type="dxa"/>
            </w:tcMar>
          </w:tcPr>
          <w:p w14:paraId="296E4567" w14:textId="1B45EB28" w:rsidR="00C539F0" w:rsidRPr="0056113C" w:rsidRDefault="00C539F0" w:rsidP="0056113C">
            <w:pPr>
              <w:rPr>
                <w:sz w:val="18"/>
              </w:rPr>
            </w:pPr>
            <w:r w:rsidRPr="00C539F0">
              <w:rPr>
                <w:rFonts w:cstheme="minorHAnsi"/>
                <w:sz w:val="18"/>
                <w:szCs w:val="18"/>
              </w:rPr>
              <w:t>4.6.2</w:t>
            </w:r>
            <w:r w:rsidR="00BE4891" w:rsidRPr="008F7C5F">
              <w:rPr>
                <w:sz w:val="18"/>
              </w:rPr>
              <w:t xml:space="preserve"> Develop a report </w:t>
            </w:r>
            <w:r w:rsidR="00BE4891">
              <w:rPr>
                <w:sz w:val="18"/>
              </w:rPr>
              <w:t xml:space="preserve">on the </w:t>
            </w:r>
            <w:r w:rsidR="00BE4891" w:rsidRPr="00C539F0">
              <w:rPr>
                <w:sz w:val="18"/>
              </w:rPr>
              <w:t xml:space="preserve">impacts of </w:t>
            </w:r>
            <w:r w:rsidR="00BE4891" w:rsidRPr="00011B18">
              <w:rPr>
                <w:i/>
                <w:iCs/>
                <w:sz w:val="18"/>
              </w:rPr>
              <w:t>Xylella fastidiosa</w:t>
            </w:r>
            <w:r w:rsidR="00BE4891" w:rsidRPr="00C539F0">
              <w:rPr>
                <w:sz w:val="18"/>
              </w:rPr>
              <w:t xml:space="preserve"> on Australian horticulture and the environment</w:t>
            </w:r>
          </w:p>
        </w:tc>
        <w:tc>
          <w:tcPr>
            <w:tcW w:w="1377" w:type="pct"/>
            <w:shd w:val="clear" w:color="auto" w:fill="DEF0C2"/>
            <w:tcMar>
              <w:left w:w="108" w:type="dxa"/>
              <w:bottom w:w="28" w:type="dxa"/>
              <w:right w:w="108" w:type="dxa"/>
            </w:tcMar>
          </w:tcPr>
          <w:p w14:paraId="79CD3237" w14:textId="44A9DDB8" w:rsidR="00C539F0" w:rsidRDefault="00C539F0" w:rsidP="00914023">
            <w:pPr>
              <w:pStyle w:val="TableText"/>
            </w:pPr>
            <w:r>
              <w:t>Completed – project finished</w:t>
            </w:r>
          </w:p>
          <w:p w14:paraId="47BC2A79" w14:textId="77777777" w:rsidR="008F7C5F" w:rsidRDefault="008F7C5F" w:rsidP="008F7C5F">
            <w:pPr>
              <w:pStyle w:val="TableText"/>
            </w:pPr>
            <w:r w:rsidRPr="00C539F0">
              <w:t>Th</w:t>
            </w:r>
            <w:r>
              <w:t>is</w:t>
            </w:r>
            <w:r w:rsidRPr="00C539F0">
              <w:t xml:space="preserve"> report </w:t>
            </w:r>
            <w:r>
              <w:t>has been</w:t>
            </w:r>
            <w:r w:rsidRPr="00C539F0">
              <w:t xml:space="preserve"> published on the ABARES website</w:t>
            </w:r>
            <w:r>
              <w:t>:</w:t>
            </w:r>
          </w:p>
          <w:p w14:paraId="06694727" w14:textId="13BB52E0" w:rsidR="00C539F0" w:rsidRDefault="00000000" w:rsidP="00914023">
            <w:pPr>
              <w:pStyle w:val="TableText"/>
            </w:pPr>
            <w:hyperlink r:id="rId36" w:anchor=":~:text=An%20incursion%20of%20Xylella%20fastidiosa,and%20its%20rate%20of%20spread." w:history="1">
              <w:r w:rsidR="00C539F0">
                <w:rPr>
                  <w:rStyle w:val="Hyperlink"/>
                </w:rPr>
                <w:t xml:space="preserve">Protecting Australia’s horticultural industries from disease: The impacts of </w:t>
              </w:r>
              <w:r w:rsidR="00C539F0" w:rsidRPr="00011B18">
                <w:rPr>
                  <w:rStyle w:val="Hyperlink"/>
                  <w:i/>
                  <w:iCs/>
                </w:rPr>
                <w:t>Xylella fastidiosa</w:t>
              </w:r>
              <w:r w:rsidR="00C539F0">
                <w:rPr>
                  <w:rStyle w:val="Hyperlink"/>
                </w:rPr>
                <w:t xml:space="preserve"> on Australian horticulture and the environment </w:t>
              </w:r>
            </w:hyperlink>
          </w:p>
        </w:tc>
        <w:tc>
          <w:tcPr>
            <w:tcW w:w="501" w:type="pct"/>
            <w:tcMar>
              <w:left w:w="108" w:type="dxa"/>
              <w:bottom w:w="28" w:type="dxa"/>
              <w:right w:w="108" w:type="dxa"/>
            </w:tcMar>
          </w:tcPr>
          <w:p w14:paraId="0FDB68A1" w14:textId="66DB853A" w:rsidR="00C539F0" w:rsidRDefault="00493492" w:rsidP="00914023">
            <w:pPr>
              <w:pStyle w:val="TableText"/>
            </w:pPr>
            <w:r>
              <w:t>Commonwealth (ABARES)</w:t>
            </w:r>
          </w:p>
        </w:tc>
        <w:tc>
          <w:tcPr>
            <w:tcW w:w="723" w:type="pct"/>
            <w:tcMar>
              <w:left w:w="108" w:type="dxa"/>
              <w:bottom w:w="28" w:type="dxa"/>
              <w:right w:w="108" w:type="dxa"/>
            </w:tcMar>
          </w:tcPr>
          <w:p w14:paraId="6F49AA93" w14:textId="3F634565" w:rsidR="00C539F0" w:rsidRPr="009F0489" w:rsidRDefault="00437485" w:rsidP="00914023">
            <w:pPr>
              <w:pStyle w:val="TableText"/>
            </w:pPr>
            <w:r>
              <w:t>Not applicable</w:t>
            </w:r>
          </w:p>
        </w:tc>
        <w:tc>
          <w:tcPr>
            <w:tcW w:w="664" w:type="pct"/>
            <w:tcMar>
              <w:left w:w="108" w:type="dxa"/>
              <w:bottom w:w="28" w:type="dxa"/>
              <w:right w:w="108" w:type="dxa"/>
            </w:tcMar>
          </w:tcPr>
          <w:p w14:paraId="7821AB2E" w14:textId="645B3053" w:rsidR="00C539F0" w:rsidRDefault="00087CF7" w:rsidP="00914023">
            <w:pPr>
              <w:pStyle w:val="TableText"/>
            </w:pPr>
            <w:r>
              <w:t xml:space="preserve">Supports many other action areas </w:t>
            </w:r>
          </w:p>
        </w:tc>
      </w:tr>
      <w:tr w:rsidR="00D56181" w:rsidRPr="00013AE2" w14:paraId="06126475" w14:textId="77777777" w:rsidTr="003A1099">
        <w:trPr>
          <w:trHeight w:val="559"/>
        </w:trPr>
        <w:tc>
          <w:tcPr>
            <w:tcW w:w="867" w:type="pct"/>
            <w:vMerge w:val="restart"/>
            <w:tcMar>
              <w:bottom w:w="28" w:type="dxa"/>
            </w:tcMar>
          </w:tcPr>
          <w:p w14:paraId="66C1BDA6" w14:textId="242ABF6D" w:rsidR="00493492" w:rsidRPr="009D6998" w:rsidRDefault="00493492" w:rsidP="00C539F0">
            <w:pPr>
              <w:pStyle w:val="TableText"/>
            </w:pPr>
            <w:r w:rsidRPr="009D6998">
              <w:rPr>
                <w:rStyle w:val="Strong"/>
              </w:rPr>
              <w:t xml:space="preserve">Action </w:t>
            </w:r>
            <w:r>
              <w:rPr>
                <w:rStyle w:val="Strong"/>
              </w:rPr>
              <w:t>4</w:t>
            </w:r>
            <w:r w:rsidRPr="009D6998">
              <w:rPr>
                <w:rStyle w:val="Strong"/>
              </w:rPr>
              <w:t>.</w:t>
            </w:r>
            <w:r>
              <w:rPr>
                <w:rStyle w:val="Strong"/>
              </w:rPr>
              <w:t xml:space="preserve">7: </w:t>
            </w:r>
            <w:r w:rsidRPr="00493492">
              <w:rPr>
                <w:rStyle w:val="Strong"/>
                <w:b w:val="0"/>
                <w:bCs w:val="0"/>
              </w:rPr>
              <w:t xml:space="preserve">Support international collaboration with researchers, experts, and laboratories to build national capability and to deliver relevant actions from the </w:t>
            </w:r>
            <w:r w:rsidR="00C13AEE" w:rsidRPr="00493492">
              <w:rPr>
                <w:rStyle w:val="Strong"/>
                <w:b w:val="0"/>
                <w:bCs w:val="0"/>
              </w:rPr>
              <w:t>plan</w:t>
            </w:r>
            <w:r w:rsidRPr="00493492">
              <w:rPr>
                <w:rStyle w:val="Strong"/>
                <w:b w:val="0"/>
                <w:bCs w:val="0"/>
              </w:rPr>
              <w:t>.</w:t>
            </w:r>
          </w:p>
          <w:p w14:paraId="1F84F819" w14:textId="77777777" w:rsidR="00493492" w:rsidRDefault="00493492" w:rsidP="00C539F0">
            <w:pPr>
              <w:pStyle w:val="TableText"/>
              <w:rPr>
                <w:rStyle w:val="Strong"/>
              </w:rPr>
            </w:pPr>
            <w:r w:rsidRPr="009D6998">
              <w:rPr>
                <w:rStyle w:val="Strong"/>
              </w:rPr>
              <w:t>Expected benefit and outcome</w:t>
            </w:r>
            <w:r>
              <w:rPr>
                <w:rStyle w:val="Strong"/>
              </w:rPr>
              <w:t>:</w:t>
            </w:r>
          </w:p>
          <w:p w14:paraId="319567F1" w14:textId="0F21D214" w:rsidR="00493492" w:rsidRPr="009D6998" w:rsidRDefault="00493492" w:rsidP="00C539F0">
            <w:pPr>
              <w:pStyle w:val="TableText"/>
            </w:pPr>
            <w:r w:rsidRPr="00493492">
              <w:rPr>
                <w:rStyle w:val="Strong"/>
                <w:b w:val="0"/>
                <w:bCs w:val="0"/>
              </w:rPr>
              <w:t xml:space="preserve">To improve national preparedness and response capabilities in relation to </w:t>
            </w:r>
            <w:r w:rsidRPr="00493492">
              <w:rPr>
                <w:rStyle w:val="Strong"/>
                <w:b w:val="0"/>
                <w:bCs w:val="0"/>
                <w:i/>
                <w:iCs/>
              </w:rPr>
              <w:t>Xylella fastidiosa</w:t>
            </w:r>
            <w:r w:rsidRPr="00493492">
              <w:rPr>
                <w:rStyle w:val="Strong"/>
                <w:b w:val="0"/>
                <w:bCs w:val="0"/>
              </w:rPr>
              <w:t xml:space="preserve"> by engagement and collaboration with experts in the field.</w:t>
            </w:r>
          </w:p>
          <w:p w14:paraId="4BC14BD6" w14:textId="2582FD60" w:rsidR="00493492" w:rsidRDefault="00493492" w:rsidP="00C539F0">
            <w:pPr>
              <w:pStyle w:val="TableText"/>
            </w:pPr>
            <w:r w:rsidRPr="009D6998">
              <w:rPr>
                <w:rStyle w:val="Strong"/>
              </w:rPr>
              <w:t>Priority</w:t>
            </w:r>
            <w:r>
              <w:rPr>
                <w:rStyle w:val="Strong"/>
              </w:rPr>
              <w:t xml:space="preserve">: </w:t>
            </w:r>
            <w:r w:rsidR="008C3A19" w:rsidRPr="008C3A19">
              <w:rPr>
                <w:rStyle w:val="Strong"/>
                <w:b w:val="0"/>
                <w:bCs w:val="0"/>
              </w:rPr>
              <w:t>high</w:t>
            </w:r>
          </w:p>
          <w:p w14:paraId="42F00B42" w14:textId="2BB0F70D" w:rsidR="00493492" w:rsidRPr="009D6998" w:rsidRDefault="00493492" w:rsidP="00C539F0">
            <w:pPr>
              <w:pStyle w:val="TableText"/>
              <w:rPr>
                <w:rStyle w:val="Strong"/>
              </w:rPr>
            </w:pPr>
            <w:r w:rsidRPr="009D6998">
              <w:rPr>
                <w:rStyle w:val="Strong"/>
              </w:rPr>
              <w:t>Time frame</w:t>
            </w:r>
            <w:r>
              <w:rPr>
                <w:rStyle w:val="Strong"/>
              </w:rPr>
              <w:t xml:space="preserve">: </w:t>
            </w:r>
            <w:r w:rsidR="008C3A19" w:rsidRPr="008C3A19">
              <w:rPr>
                <w:rStyle w:val="Strong"/>
                <w:b w:val="0"/>
                <w:bCs w:val="0"/>
              </w:rPr>
              <w:t>ongoing</w:t>
            </w:r>
          </w:p>
        </w:tc>
        <w:tc>
          <w:tcPr>
            <w:tcW w:w="868" w:type="pct"/>
            <w:tcMar>
              <w:left w:w="108" w:type="dxa"/>
              <w:bottom w:w="28" w:type="dxa"/>
              <w:right w:w="108" w:type="dxa"/>
            </w:tcMar>
          </w:tcPr>
          <w:p w14:paraId="0DECB8D9" w14:textId="1959D558" w:rsidR="00493492" w:rsidRDefault="00493492" w:rsidP="00914023">
            <w:pPr>
              <w:pStyle w:val="TableText"/>
              <w:tabs>
                <w:tab w:val="left" w:pos="464"/>
              </w:tabs>
            </w:pPr>
            <w:r>
              <w:t xml:space="preserve">4.7.1 </w:t>
            </w:r>
            <w:r w:rsidRPr="00493492">
              <w:t xml:space="preserve">Ongoing engagement with university and government research institutes including formal engagement with EUPHRESCO through PBRI into </w:t>
            </w:r>
            <w:r w:rsidRPr="00011B18">
              <w:rPr>
                <w:i/>
                <w:iCs/>
              </w:rPr>
              <w:t>Xylella fastidiosa</w:t>
            </w:r>
            <w:r w:rsidRPr="00493492">
              <w:t xml:space="preserve"> research activities in addition to direct connections with key researchers in the USA and Europe</w:t>
            </w:r>
          </w:p>
        </w:tc>
        <w:tc>
          <w:tcPr>
            <w:tcW w:w="1377" w:type="pct"/>
            <w:shd w:val="clear" w:color="auto" w:fill="C6D9F1" w:themeFill="text2" w:themeFillTint="33"/>
            <w:tcMar>
              <w:left w:w="108" w:type="dxa"/>
              <w:bottom w:w="28" w:type="dxa"/>
              <w:right w:w="108" w:type="dxa"/>
            </w:tcMar>
          </w:tcPr>
          <w:p w14:paraId="4983A12F" w14:textId="77777777" w:rsidR="00141698" w:rsidRPr="002274A5" w:rsidRDefault="00493492" w:rsidP="00141698">
            <w:pPr>
              <w:pStyle w:val="TableText"/>
              <w:rPr>
                <w:rFonts w:cstheme="minorHAnsi"/>
              </w:rPr>
            </w:pPr>
            <w:r w:rsidRPr="002274A5">
              <w:rPr>
                <w:rFonts w:cstheme="minorHAnsi"/>
              </w:rPr>
              <w:t>Ongoing – business as usual</w:t>
            </w:r>
          </w:p>
          <w:p w14:paraId="4D7C1674" w14:textId="40DB17FE" w:rsidR="00375007" w:rsidRPr="002274A5" w:rsidRDefault="002274A5" w:rsidP="00914023">
            <w:pPr>
              <w:pStyle w:val="TableText"/>
              <w:rPr>
                <w:rFonts w:cstheme="minorHAnsi"/>
              </w:rPr>
            </w:pPr>
            <w:r w:rsidRPr="002274A5">
              <w:rPr>
                <w:rStyle w:val="cf01"/>
                <w:rFonts w:asciiTheme="minorHAnsi" w:hAnsiTheme="minorHAnsi" w:cstheme="minorHAnsi"/>
              </w:rPr>
              <w:t xml:space="preserve">A </w:t>
            </w:r>
            <w:r w:rsidR="00375007" w:rsidRPr="002274A5">
              <w:rPr>
                <w:rStyle w:val="cf01"/>
                <w:rFonts w:asciiTheme="minorHAnsi" w:hAnsiTheme="minorHAnsi" w:cstheme="minorHAnsi"/>
              </w:rPr>
              <w:t xml:space="preserve">NSW researcher undertook international travel to meet and collaborate with international counterparts on </w:t>
            </w:r>
            <w:r w:rsidR="00445F65" w:rsidRPr="002274A5">
              <w:rPr>
                <w:rStyle w:val="cf01"/>
                <w:rFonts w:asciiTheme="minorHAnsi" w:hAnsiTheme="minorHAnsi" w:cstheme="minorHAnsi"/>
              </w:rPr>
              <w:t xml:space="preserve">xylella </w:t>
            </w:r>
            <w:r w:rsidR="00375007" w:rsidRPr="002274A5">
              <w:rPr>
                <w:rStyle w:val="cf01"/>
                <w:rFonts w:asciiTheme="minorHAnsi" w:hAnsiTheme="minorHAnsi" w:cstheme="minorHAnsi"/>
              </w:rPr>
              <w:t xml:space="preserve">in 2023. Was successful in bringing back some samples for research in Australia, including dormant </w:t>
            </w:r>
            <w:r w:rsidR="00445F65" w:rsidRPr="002274A5">
              <w:rPr>
                <w:rStyle w:val="cf01"/>
                <w:rFonts w:asciiTheme="minorHAnsi" w:hAnsiTheme="minorHAnsi" w:cstheme="minorHAnsi"/>
              </w:rPr>
              <w:t>xylella</w:t>
            </w:r>
            <w:r w:rsidR="00445F65">
              <w:rPr>
                <w:rStyle w:val="cf01"/>
                <w:rFonts w:asciiTheme="minorHAnsi" w:hAnsiTheme="minorHAnsi" w:cstheme="minorHAnsi"/>
              </w:rPr>
              <w:t>-</w:t>
            </w:r>
            <w:r w:rsidR="00375007" w:rsidRPr="002274A5">
              <w:rPr>
                <w:rStyle w:val="cf01"/>
                <w:rFonts w:asciiTheme="minorHAnsi" w:hAnsiTheme="minorHAnsi" w:cstheme="minorHAnsi"/>
              </w:rPr>
              <w:t>infected plan</w:t>
            </w:r>
            <w:r w:rsidR="006C31E3">
              <w:rPr>
                <w:rStyle w:val="cf01"/>
                <w:rFonts w:asciiTheme="minorHAnsi" w:hAnsiTheme="minorHAnsi" w:cstheme="minorHAnsi"/>
              </w:rPr>
              <w:t>t</w:t>
            </w:r>
            <w:r w:rsidR="00375007" w:rsidRPr="002274A5">
              <w:rPr>
                <w:rStyle w:val="cf01"/>
                <w:rFonts w:asciiTheme="minorHAnsi" w:hAnsiTheme="minorHAnsi" w:cstheme="minorHAnsi"/>
              </w:rPr>
              <w:t xml:space="preserve"> samples, plus </w:t>
            </w:r>
            <w:r w:rsidR="00445F65" w:rsidRPr="002274A5">
              <w:rPr>
                <w:rStyle w:val="cf01"/>
                <w:rFonts w:asciiTheme="minorHAnsi" w:hAnsiTheme="minorHAnsi" w:cstheme="minorHAnsi"/>
              </w:rPr>
              <w:t xml:space="preserve">xylella </w:t>
            </w:r>
            <w:r w:rsidR="00375007" w:rsidRPr="002274A5">
              <w:rPr>
                <w:rStyle w:val="cf01"/>
                <w:rFonts w:asciiTheme="minorHAnsi" w:hAnsiTheme="minorHAnsi" w:cstheme="minorHAnsi"/>
              </w:rPr>
              <w:t>cultures</w:t>
            </w:r>
            <w:r w:rsidRPr="002274A5">
              <w:rPr>
                <w:rStyle w:val="cf01"/>
                <w:rFonts w:asciiTheme="minorHAnsi" w:hAnsiTheme="minorHAnsi" w:cstheme="minorHAnsi"/>
              </w:rPr>
              <w:t xml:space="preserve"> (under an approved permit)</w:t>
            </w:r>
            <w:r w:rsidR="00375007" w:rsidRPr="002274A5">
              <w:rPr>
                <w:rStyle w:val="cf01"/>
                <w:rFonts w:asciiTheme="minorHAnsi" w:hAnsiTheme="minorHAnsi" w:cstheme="minorHAnsi"/>
              </w:rPr>
              <w:t xml:space="preserve">. </w:t>
            </w:r>
          </w:p>
        </w:tc>
        <w:tc>
          <w:tcPr>
            <w:tcW w:w="501" w:type="pct"/>
            <w:tcMar>
              <w:left w:w="108" w:type="dxa"/>
              <w:bottom w:w="28" w:type="dxa"/>
              <w:right w:w="108" w:type="dxa"/>
            </w:tcMar>
          </w:tcPr>
          <w:p w14:paraId="3A5E061E" w14:textId="76865E62" w:rsidR="00493492" w:rsidRDefault="00493492" w:rsidP="00914023">
            <w:pPr>
              <w:pStyle w:val="TableText"/>
            </w:pPr>
            <w:r>
              <w:t>Commonwealth (PPEBD)</w:t>
            </w:r>
          </w:p>
          <w:p w14:paraId="1BDFD8F4" w14:textId="7B876393" w:rsidR="00AC3C86" w:rsidRDefault="00AC3C86" w:rsidP="00914023">
            <w:pPr>
              <w:pStyle w:val="TableText"/>
            </w:pPr>
            <w:r>
              <w:t>PBRI</w:t>
            </w:r>
          </w:p>
          <w:p w14:paraId="2C762DC5" w14:textId="38C26565" w:rsidR="00493492" w:rsidRDefault="00493492" w:rsidP="00914023">
            <w:pPr>
              <w:pStyle w:val="TableText"/>
            </w:pPr>
            <w:r>
              <w:t>Jurisdiction</w:t>
            </w:r>
          </w:p>
        </w:tc>
        <w:tc>
          <w:tcPr>
            <w:tcW w:w="723" w:type="pct"/>
            <w:tcMar>
              <w:left w:w="108" w:type="dxa"/>
              <w:bottom w:w="28" w:type="dxa"/>
              <w:right w:w="108" w:type="dxa"/>
            </w:tcMar>
          </w:tcPr>
          <w:p w14:paraId="4CC698EF" w14:textId="258D6379" w:rsidR="00493492" w:rsidRPr="009F0489" w:rsidRDefault="00437485" w:rsidP="00914023">
            <w:pPr>
              <w:pStyle w:val="TableText"/>
            </w:pPr>
            <w:r>
              <w:t>Not applicable</w:t>
            </w:r>
          </w:p>
        </w:tc>
        <w:tc>
          <w:tcPr>
            <w:tcW w:w="664" w:type="pct"/>
            <w:tcMar>
              <w:left w:w="108" w:type="dxa"/>
              <w:bottom w:w="28" w:type="dxa"/>
              <w:right w:w="108" w:type="dxa"/>
            </w:tcMar>
          </w:tcPr>
          <w:p w14:paraId="79E5F5C4" w14:textId="265A47BE" w:rsidR="00493492" w:rsidRDefault="00493492" w:rsidP="00914023">
            <w:pPr>
              <w:pStyle w:val="TableText"/>
            </w:pPr>
            <w:r>
              <w:t>Relates to action 1.2</w:t>
            </w:r>
          </w:p>
        </w:tc>
      </w:tr>
      <w:tr w:rsidR="00D56181" w:rsidRPr="00013AE2" w14:paraId="55E98418" w14:textId="77777777" w:rsidTr="003A1099">
        <w:trPr>
          <w:trHeight w:val="559"/>
        </w:trPr>
        <w:tc>
          <w:tcPr>
            <w:tcW w:w="867" w:type="pct"/>
            <w:vMerge/>
            <w:tcMar>
              <w:bottom w:w="28" w:type="dxa"/>
            </w:tcMar>
          </w:tcPr>
          <w:p w14:paraId="190BA9C3" w14:textId="77777777" w:rsidR="00493492" w:rsidRPr="009D6998" w:rsidRDefault="00493492" w:rsidP="00C539F0">
            <w:pPr>
              <w:pStyle w:val="TableText"/>
              <w:rPr>
                <w:rStyle w:val="Strong"/>
              </w:rPr>
            </w:pPr>
          </w:p>
        </w:tc>
        <w:tc>
          <w:tcPr>
            <w:tcW w:w="868" w:type="pct"/>
            <w:tcMar>
              <w:left w:w="108" w:type="dxa"/>
              <w:bottom w:w="28" w:type="dxa"/>
              <w:right w:w="108" w:type="dxa"/>
            </w:tcMar>
          </w:tcPr>
          <w:p w14:paraId="6F7C6073" w14:textId="707F1565" w:rsidR="00493492" w:rsidRDefault="00493492" w:rsidP="00914023">
            <w:pPr>
              <w:pStyle w:val="TableText"/>
              <w:tabs>
                <w:tab w:val="left" w:pos="464"/>
              </w:tabs>
            </w:pPr>
            <w:r>
              <w:t xml:space="preserve">4.7.2 </w:t>
            </w:r>
            <w:r w:rsidRPr="00493492">
              <w:t>Viticulture Industry Biosecurity Reference Group established to provide principles and recommendations for sectors to follow in relation to preparedness, prevention and response activities</w:t>
            </w:r>
          </w:p>
        </w:tc>
        <w:tc>
          <w:tcPr>
            <w:tcW w:w="1377" w:type="pct"/>
            <w:shd w:val="clear" w:color="auto" w:fill="C6D9F1" w:themeFill="text2" w:themeFillTint="33"/>
            <w:tcMar>
              <w:left w:w="108" w:type="dxa"/>
              <w:bottom w:w="28" w:type="dxa"/>
              <w:right w:w="108" w:type="dxa"/>
            </w:tcMar>
          </w:tcPr>
          <w:p w14:paraId="5CF78640" w14:textId="77777777" w:rsidR="00493492" w:rsidRDefault="00493492" w:rsidP="00914023">
            <w:pPr>
              <w:pStyle w:val="TableText"/>
            </w:pPr>
            <w:r>
              <w:t>Ongoing – business as usual</w:t>
            </w:r>
          </w:p>
          <w:p w14:paraId="118D07FA" w14:textId="1917A815" w:rsidR="002A6E2A" w:rsidRDefault="00445F65" w:rsidP="00914023">
            <w:pPr>
              <w:pStyle w:val="TableText"/>
            </w:pPr>
            <w:r>
              <w:t xml:space="preserve">The </w:t>
            </w:r>
            <w:r w:rsidR="002A6E2A">
              <w:t xml:space="preserve">National Xylella Coordinator position </w:t>
            </w:r>
            <w:r w:rsidR="002274A5">
              <w:t>ha</w:t>
            </w:r>
            <w:r w:rsidR="002A6E2A">
              <w:t>s finished.</w:t>
            </w:r>
            <w:r w:rsidR="00585C71">
              <w:t xml:space="preserve"> May now be referred to as the </w:t>
            </w:r>
            <w:r w:rsidR="00474CEC">
              <w:t>National Wine Biosecurity Commi</w:t>
            </w:r>
            <w:r w:rsidR="00585C71">
              <w:t xml:space="preserve">ttee (chaired by Hill-Smith Family Estates) </w:t>
            </w:r>
          </w:p>
        </w:tc>
        <w:tc>
          <w:tcPr>
            <w:tcW w:w="501" w:type="pct"/>
            <w:tcMar>
              <w:left w:w="108" w:type="dxa"/>
              <w:bottom w:w="28" w:type="dxa"/>
              <w:right w:w="108" w:type="dxa"/>
            </w:tcMar>
          </w:tcPr>
          <w:p w14:paraId="77899531" w14:textId="053C6EAA" w:rsidR="00493492" w:rsidRDefault="00493492" w:rsidP="00914023">
            <w:pPr>
              <w:pStyle w:val="TableText"/>
            </w:pPr>
            <w:r>
              <w:t xml:space="preserve">National Xylella Coordinator </w:t>
            </w:r>
            <w:r w:rsidR="00585C71">
              <w:t>(prior to 2023)</w:t>
            </w:r>
          </w:p>
          <w:p w14:paraId="1A3C9DFE" w14:textId="77777777" w:rsidR="00493492" w:rsidRDefault="00493492" w:rsidP="00914023">
            <w:pPr>
              <w:pStyle w:val="TableText"/>
            </w:pPr>
            <w:r>
              <w:t>PHA</w:t>
            </w:r>
            <w:r w:rsidR="00585C71">
              <w:t xml:space="preserve"> (prior to 2023)</w:t>
            </w:r>
          </w:p>
          <w:p w14:paraId="1214A16D" w14:textId="77777777" w:rsidR="00585C71" w:rsidRDefault="00585C71" w:rsidP="00914023">
            <w:pPr>
              <w:pStyle w:val="TableText"/>
            </w:pPr>
            <w:r>
              <w:t>Hill-Smith Family Estates</w:t>
            </w:r>
          </w:p>
          <w:p w14:paraId="6A77C062" w14:textId="383EC9D4" w:rsidR="00585C71" w:rsidRDefault="00585C71" w:rsidP="00914023">
            <w:pPr>
              <w:pStyle w:val="TableText"/>
            </w:pPr>
            <w:r>
              <w:lastRenderedPageBreak/>
              <w:t>Australian Grape and Wine</w:t>
            </w:r>
          </w:p>
        </w:tc>
        <w:tc>
          <w:tcPr>
            <w:tcW w:w="723" w:type="pct"/>
            <w:tcMar>
              <w:left w:w="108" w:type="dxa"/>
              <w:bottom w:w="28" w:type="dxa"/>
              <w:right w:w="108" w:type="dxa"/>
            </w:tcMar>
          </w:tcPr>
          <w:p w14:paraId="0F1C6325" w14:textId="08236416" w:rsidR="00493492" w:rsidRPr="009F0489" w:rsidRDefault="006274DC" w:rsidP="00914023">
            <w:pPr>
              <w:pStyle w:val="TableText"/>
            </w:pPr>
            <w:r>
              <w:lastRenderedPageBreak/>
              <w:t>Not applicable</w:t>
            </w:r>
          </w:p>
        </w:tc>
        <w:tc>
          <w:tcPr>
            <w:tcW w:w="664" w:type="pct"/>
            <w:tcMar>
              <w:left w:w="108" w:type="dxa"/>
              <w:bottom w:w="28" w:type="dxa"/>
              <w:right w:w="108" w:type="dxa"/>
            </w:tcMar>
          </w:tcPr>
          <w:p w14:paraId="4F14395D" w14:textId="337DD39B" w:rsidR="00493492" w:rsidRDefault="006274DC" w:rsidP="00914023">
            <w:pPr>
              <w:pStyle w:val="TableText"/>
            </w:pPr>
            <w:r>
              <w:t xml:space="preserve">Not applicable </w:t>
            </w:r>
          </w:p>
        </w:tc>
      </w:tr>
    </w:tbl>
    <w:p w14:paraId="76E9BA16" w14:textId="77777777" w:rsidR="00620E16" w:rsidRPr="009F0489" w:rsidRDefault="00620E16" w:rsidP="00620E16">
      <w:pPr>
        <w:rPr>
          <w:rFonts w:ascii="Calibri" w:hAnsi="Calibri" w:cs="Calibri"/>
          <w:sz w:val="18"/>
          <w:szCs w:val="18"/>
          <w:shd w:val="clear" w:color="auto" w:fill="D6E3BC"/>
        </w:rPr>
      </w:pPr>
    </w:p>
    <w:p w14:paraId="6D6C46F2" w14:textId="77777777" w:rsidR="00B11B52" w:rsidRDefault="00B11B52" w:rsidP="007B24BE">
      <w:pPr>
        <w:rPr>
          <w:b/>
          <w:lang w:eastAsia="ja-JP"/>
        </w:rPr>
        <w:sectPr w:rsidR="00B11B52" w:rsidSect="00180FF6">
          <w:pgSz w:w="16838" w:h="11906" w:orient="landscape"/>
          <w:pgMar w:top="1418" w:right="1418" w:bottom="851" w:left="1418" w:header="567" w:footer="283" w:gutter="0"/>
          <w:cols w:space="708"/>
          <w:docGrid w:linePitch="360"/>
        </w:sectPr>
      </w:pPr>
    </w:p>
    <w:p w14:paraId="7AC3BCE7" w14:textId="3FD402F0" w:rsidR="00CA5D2E" w:rsidRDefault="00017DDE" w:rsidP="00017DDE">
      <w:pPr>
        <w:pStyle w:val="Heading2"/>
        <w:numPr>
          <w:ilvl w:val="0"/>
          <w:numId w:val="0"/>
        </w:numPr>
        <w:ind w:left="720" w:hanging="720"/>
      </w:pPr>
      <w:bookmarkStart w:id="14" w:name="Table_2_Action_area_2_Detection"/>
      <w:bookmarkEnd w:id="14"/>
      <w:r>
        <w:lastRenderedPageBreak/>
        <w:t>Glossary</w:t>
      </w:r>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266"/>
        <w:gridCol w:w="6804"/>
      </w:tblGrid>
      <w:tr w:rsidR="00017DDE" w14:paraId="02EE3BC6" w14:textId="77777777" w:rsidTr="00CD7640">
        <w:trPr>
          <w:cantSplit/>
          <w:tblHeader/>
        </w:trPr>
        <w:tc>
          <w:tcPr>
            <w:tcW w:w="1249" w:type="pct"/>
            <w:tcMar>
              <w:left w:w="108" w:type="dxa"/>
              <w:right w:w="108" w:type="dxa"/>
            </w:tcMar>
          </w:tcPr>
          <w:p w14:paraId="39AE87C0" w14:textId="77777777" w:rsidR="00017DDE" w:rsidRPr="00FE64BC" w:rsidRDefault="00017DDE" w:rsidP="00280FAA">
            <w:pPr>
              <w:pStyle w:val="TableHeading"/>
            </w:pPr>
            <w:r w:rsidRPr="00FE64BC">
              <w:t>Term</w:t>
            </w:r>
          </w:p>
        </w:tc>
        <w:tc>
          <w:tcPr>
            <w:tcW w:w="3751" w:type="pct"/>
            <w:tcMar>
              <w:left w:w="108" w:type="dxa"/>
              <w:right w:w="108" w:type="dxa"/>
            </w:tcMar>
          </w:tcPr>
          <w:p w14:paraId="779AA664" w14:textId="77777777" w:rsidR="00017DDE" w:rsidRPr="00FE64BC" w:rsidRDefault="00017DDE" w:rsidP="00280FAA">
            <w:pPr>
              <w:pStyle w:val="TableHeading"/>
            </w:pPr>
            <w:r w:rsidRPr="00FE64BC">
              <w:t>Definition</w:t>
            </w:r>
          </w:p>
        </w:tc>
      </w:tr>
      <w:tr w:rsidR="00C5765F" w14:paraId="7BDFFE65" w14:textId="77777777" w:rsidTr="00CD7640">
        <w:tc>
          <w:tcPr>
            <w:tcW w:w="1249" w:type="pct"/>
            <w:tcMar>
              <w:left w:w="108" w:type="dxa"/>
              <w:right w:w="108" w:type="dxa"/>
            </w:tcMar>
          </w:tcPr>
          <w:p w14:paraId="2CE54C29" w14:textId="61315928" w:rsidR="00C5765F" w:rsidRPr="00C002F8" w:rsidRDefault="00C5765F" w:rsidP="00C5765F">
            <w:pPr>
              <w:pStyle w:val="TableText"/>
            </w:pPr>
            <w:r w:rsidRPr="00B516FD">
              <w:t>ABARES</w:t>
            </w:r>
          </w:p>
        </w:tc>
        <w:tc>
          <w:tcPr>
            <w:tcW w:w="3751" w:type="pct"/>
            <w:tcMar>
              <w:left w:w="108" w:type="dxa"/>
              <w:right w:w="108" w:type="dxa"/>
            </w:tcMar>
          </w:tcPr>
          <w:p w14:paraId="73A77FD5" w14:textId="3D363A1C" w:rsidR="00C5765F" w:rsidRPr="00C002F8" w:rsidRDefault="00C5765F" w:rsidP="00C5765F">
            <w:pPr>
              <w:pStyle w:val="TableText"/>
            </w:pPr>
            <w:r w:rsidRPr="00B516FD">
              <w:t>Australian Bureau of Agricultural and Research Economics and Sciences</w:t>
            </w:r>
          </w:p>
        </w:tc>
      </w:tr>
      <w:tr w:rsidR="00C5765F" w14:paraId="7E5642A3" w14:textId="77777777" w:rsidTr="009B64EE">
        <w:tc>
          <w:tcPr>
            <w:tcW w:w="1249" w:type="pct"/>
            <w:shd w:val="clear" w:color="auto" w:fill="auto"/>
            <w:tcMar>
              <w:left w:w="108" w:type="dxa"/>
              <w:right w:w="108" w:type="dxa"/>
            </w:tcMar>
          </w:tcPr>
          <w:p w14:paraId="419CF141" w14:textId="0C07FF05" w:rsidR="00C5765F" w:rsidRPr="00103763" w:rsidRDefault="00C5765F" w:rsidP="00C5765F">
            <w:pPr>
              <w:pStyle w:val="TableText"/>
            </w:pPr>
            <w:r w:rsidRPr="00B516FD">
              <w:t>BPSSD</w:t>
            </w:r>
          </w:p>
        </w:tc>
        <w:tc>
          <w:tcPr>
            <w:tcW w:w="3751" w:type="pct"/>
            <w:shd w:val="clear" w:color="auto" w:fill="auto"/>
            <w:tcMar>
              <w:left w:w="108" w:type="dxa"/>
              <w:right w:w="108" w:type="dxa"/>
            </w:tcMar>
          </w:tcPr>
          <w:p w14:paraId="3CE02773" w14:textId="29CF2188" w:rsidR="00C5765F" w:rsidRPr="00103763" w:rsidRDefault="00C5765F" w:rsidP="00C5765F">
            <w:pPr>
              <w:pStyle w:val="TableText"/>
            </w:pPr>
            <w:r w:rsidRPr="00B516FD">
              <w:t>Biosecurity Plant and Science Service Division (DAFF)</w:t>
            </w:r>
          </w:p>
        </w:tc>
      </w:tr>
      <w:tr w:rsidR="00C5765F" w14:paraId="3C468D31" w14:textId="77777777" w:rsidTr="009B64EE">
        <w:tc>
          <w:tcPr>
            <w:tcW w:w="1249" w:type="pct"/>
            <w:tcMar>
              <w:left w:w="108" w:type="dxa"/>
              <w:right w:w="108" w:type="dxa"/>
            </w:tcMar>
          </w:tcPr>
          <w:p w14:paraId="78209EB6" w14:textId="50759D75" w:rsidR="00C5765F" w:rsidRPr="00FE64BC" w:rsidRDefault="00C5765F" w:rsidP="00C5765F">
            <w:pPr>
              <w:pStyle w:val="TableText"/>
            </w:pPr>
            <w:r w:rsidRPr="00B516FD">
              <w:t>CSIRO</w:t>
            </w:r>
          </w:p>
        </w:tc>
        <w:tc>
          <w:tcPr>
            <w:tcW w:w="3751" w:type="pct"/>
            <w:tcMar>
              <w:left w:w="108" w:type="dxa"/>
              <w:right w:w="108" w:type="dxa"/>
            </w:tcMar>
          </w:tcPr>
          <w:p w14:paraId="1675B251" w14:textId="4B268006" w:rsidR="00C5765F" w:rsidRPr="00FE64BC" w:rsidRDefault="00C5765F" w:rsidP="00C5765F">
            <w:pPr>
              <w:pStyle w:val="TableText"/>
            </w:pPr>
            <w:r w:rsidRPr="00B516FD">
              <w:t>Commonwealth Scientific and Industrial Research Organisation</w:t>
            </w:r>
          </w:p>
        </w:tc>
      </w:tr>
      <w:tr w:rsidR="00C5765F" w14:paraId="15BBFF72" w14:textId="77777777" w:rsidTr="009B64EE">
        <w:tc>
          <w:tcPr>
            <w:tcW w:w="1249" w:type="pct"/>
            <w:tcMar>
              <w:left w:w="108" w:type="dxa"/>
              <w:right w:w="108" w:type="dxa"/>
            </w:tcMar>
          </w:tcPr>
          <w:p w14:paraId="62B97BF6" w14:textId="1F0A3CF3" w:rsidR="00C5765F" w:rsidRPr="00FE64BC" w:rsidRDefault="00C5765F" w:rsidP="00C5765F">
            <w:pPr>
              <w:pStyle w:val="TableText"/>
            </w:pPr>
            <w:r w:rsidRPr="00B516FD">
              <w:t>DAFF</w:t>
            </w:r>
          </w:p>
        </w:tc>
        <w:tc>
          <w:tcPr>
            <w:tcW w:w="3751" w:type="pct"/>
            <w:tcMar>
              <w:left w:w="108" w:type="dxa"/>
              <w:right w:w="108" w:type="dxa"/>
            </w:tcMar>
          </w:tcPr>
          <w:p w14:paraId="00D56623" w14:textId="66D0F6CA" w:rsidR="00C5765F" w:rsidRPr="00FE64BC" w:rsidRDefault="00C5765F" w:rsidP="00C5765F">
            <w:pPr>
              <w:pStyle w:val="TableText"/>
            </w:pPr>
            <w:r w:rsidRPr="00B516FD">
              <w:t>Department of Agriculture, Fisheries and Forestry</w:t>
            </w:r>
          </w:p>
        </w:tc>
      </w:tr>
      <w:tr w:rsidR="00C5765F" w14:paraId="261B0CDE" w14:textId="77777777" w:rsidTr="009B64EE">
        <w:tc>
          <w:tcPr>
            <w:tcW w:w="1249" w:type="pct"/>
            <w:tcMar>
              <w:left w:w="108" w:type="dxa"/>
              <w:right w:w="108" w:type="dxa"/>
            </w:tcMar>
          </w:tcPr>
          <w:p w14:paraId="4E7220E2" w14:textId="31D9CBC2" w:rsidR="00C5765F" w:rsidRPr="00FE64BC" w:rsidRDefault="00C5765F" w:rsidP="00C5765F">
            <w:pPr>
              <w:pStyle w:val="TableText"/>
            </w:pPr>
            <w:r w:rsidRPr="005F42C3">
              <w:t>NPBDN</w:t>
            </w:r>
          </w:p>
        </w:tc>
        <w:tc>
          <w:tcPr>
            <w:tcW w:w="3751" w:type="pct"/>
            <w:tcMar>
              <w:left w:w="108" w:type="dxa"/>
              <w:right w:w="108" w:type="dxa"/>
            </w:tcMar>
          </w:tcPr>
          <w:p w14:paraId="0B6468F4" w14:textId="0B6A9EF5" w:rsidR="00C5765F" w:rsidRPr="00FE64BC" w:rsidRDefault="00C5765F" w:rsidP="00C5765F">
            <w:pPr>
              <w:pStyle w:val="TableText"/>
            </w:pPr>
            <w:r w:rsidRPr="005F42C3">
              <w:t>National Plant Biosecurity Diagnostic Network (through SPHD)</w:t>
            </w:r>
          </w:p>
        </w:tc>
      </w:tr>
      <w:tr w:rsidR="0068348F" w14:paraId="3CEE59DD" w14:textId="77777777" w:rsidTr="009B64EE">
        <w:tc>
          <w:tcPr>
            <w:tcW w:w="1249" w:type="pct"/>
            <w:tcMar>
              <w:left w:w="108" w:type="dxa"/>
              <w:right w:w="108" w:type="dxa"/>
            </w:tcMar>
          </w:tcPr>
          <w:p w14:paraId="51EAAA59" w14:textId="747EDD6E" w:rsidR="0068348F" w:rsidRPr="005F42C3" w:rsidRDefault="0068348F" w:rsidP="00C5765F">
            <w:pPr>
              <w:pStyle w:val="TableText"/>
            </w:pPr>
            <w:r>
              <w:t>NPHSP</w:t>
            </w:r>
          </w:p>
        </w:tc>
        <w:tc>
          <w:tcPr>
            <w:tcW w:w="3751" w:type="pct"/>
            <w:tcMar>
              <w:left w:w="108" w:type="dxa"/>
              <w:right w:w="108" w:type="dxa"/>
            </w:tcMar>
          </w:tcPr>
          <w:p w14:paraId="3295EE93" w14:textId="721D391C" w:rsidR="0068348F" w:rsidRPr="005F42C3" w:rsidRDefault="0068348F" w:rsidP="00C5765F">
            <w:pPr>
              <w:pStyle w:val="TableText"/>
            </w:pPr>
            <w:r>
              <w:t>National Plant Health Surveillance Program (through SNPHS)</w:t>
            </w:r>
          </w:p>
        </w:tc>
      </w:tr>
      <w:tr w:rsidR="00C5765F" w14:paraId="4D4646BB" w14:textId="77777777" w:rsidTr="009B64EE">
        <w:tc>
          <w:tcPr>
            <w:tcW w:w="1249" w:type="pct"/>
            <w:tcMar>
              <w:left w:w="108" w:type="dxa"/>
              <w:right w:w="108" w:type="dxa"/>
            </w:tcMar>
          </w:tcPr>
          <w:p w14:paraId="278D2669" w14:textId="7616CAD7" w:rsidR="00C5765F" w:rsidRPr="00FE64BC" w:rsidRDefault="00C5765F" w:rsidP="00C5765F">
            <w:pPr>
              <w:pStyle w:val="TableText"/>
            </w:pPr>
            <w:r w:rsidRPr="005F42C3">
              <w:t>PBPWG</w:t>
            </w:r>
          </w:p>
        </w:tc>
        <w:tc>
          <w:tcPr>
            <w:tcW w:w="3751" w:type="pct"/>
            <w:tcMar>
              <w:left w:w="108" w:type="dxa"/>
              <w:right w:w="108" w:type="dxa"/>
            </w:tcMar>
          </w:tcPr>
          <w:p w14:paraId="6D07549F" w14:textId="601C9C83" w:rsidR="00C5765F" w:rsidRPr="00FE64BC" w:rsidRDefault="00C5765F" w:rsidP="00C5765F">
            <w:pPr>
              <w:pStyle w:val="TableText"/>
            </w:pPr>
            <w:r w:rsidRPr="005F42C3">
              <w:t>Plant Biosecurity Preparedness Working Group (under PHC)</w:t>
            </w:r>
          </w:p>
        </w:tc>
      </w:tr>
      <w:tr w:rsidR="00C5765F" w14:paraId="3F5454BA" w14:textId="77777777" w:rsidTr="009B64EE">
        <w:tc>
          <w:tcPr>
            <w:tcW w:w="1249" w:type="pct"/>
            <w:tcMar>
              <w:left w:w="108" w:type="dxa"/>
              <w:right w:w="108" w:type="dxa"/>
            </w:tcMar>
          </w:tcPr>
          <w:p w14:paraId="3C298E02" w14:textId="44AD2ABA" w:rsidR="00C5765F" w:rsidRPr="00FE64BC" w:rsidRDefault="00C5765F" w:rsidP="00C5765F">
            <w:pPr>
              <w:pStyle w:val="TableText"/>
            </w:pPr>
            <w:r w:rsidRPr="005F42C3">
              <w:t>PBRI</w:t>
            </w:r>
          </w:p>
        </w:tc>
        <w:tc>
          <w:tcPr>
            <w:tcW w:w="3751" w:type="pct"/>
            <w:tcMar>
              <w:left w:w="108" w:type="dxa"/>
              <w:right w:w="108" w:type="dxa"/>
            </w:tcMar>
          </w:tcPr>
          <w:p w14:paraId="2139BEAA" w14:textId="424CF2F1" w:rsidR="00C5765F" w:rsidRPr="00FE64BC" w:rsidRDefault="00C5765F" w:rsidP="00C5765F">
            <w:pPr>
              <w:pStyle w:val="TableText"/>
            </w:pPr>
            <w:r w:rsidRPr="005F42C3">
              <w:t>Plant Biosecurity Research Initiative</w:t>
            </w:r>
          </w:p>
        </w:tc>
      </w:tr>
      <w:tr w:rsidR="00C5765F" w14:paraId="698B3B6B" w14:textId="77777777" w:rsidTr="009B64EE">
        <w:tc>
          <w:tcPr>
            <w:tcW w:w="1249" w:type="pct"/>
            <w:tcMar>
              <w:left w:w="108" w:type="dxa"/>
              <w:right w:w="108" w:type="dxa"/>
            </w:tcMar>
          </w:tcPr>
          <w:p w14:paraId="4315BE47" w14:textId="1D10EB6F" w:rsidR="00C5765F" w:rsidRPr="00FE64BC" w:rsidRDefault="00C5765F" w:rsidP="00C5765F">
            <w:pPr>
              <w:pStyle w:val="TableText"/>
            </w:pPr>
            <w:r w:rsidRPr="005F42C3">
              <w:t>PHA</w:t>
            </w:r>
          </w:p>
        </w:tc>
        <w:tc>
          <w:tcPr>
            <w:tcW w:w="3751" w:type="pct"/>
            <w:tcMar>
              <w:left w:w="108" w:type="dxa"/>
              <w:right w:w="108" w:type="dxa"/>
            </w:tcMar>
          </w:tcPr>
          <w:p w14:paraId="34317CBD" w14:textId="2D24B9AC" w:rsidR="00C5765F" w:rsidRPr="00FE64BC" w:rsidRDefault="00C5765F" w:rsidP="00C5765F">
            <w:pPr>
              <w:pStyle w:val="TableText"/>
            </w:pPr>
            <w:r w:rsidRPr="005F42C3">
              <w:t>Plant Health Australia</w:t>
            </w:r>
          </w:p>
        </w:tc>
      </w:tr>
      <w:tr w:rsidR="00C5765F" w14:paraId="4D766D6F" w14:textId="77777777" w:rsidTr="009B64EE">
        <w:tc>
          <w:tcPr>
            <w:tcW w:w="1249" w:type="pct"/>
            <w:tcMar>
              <w:left w:w="108" w:type="dxa"/>
              <w:right w:w="108" w:type="dxa"/>
            </w:tcMar>
          </w:tcPr>
          <w:p w14:paraId="770C2A4A" w14:textId="74F3C5BC" w:rsidR="00C5765F" w:rsidRPr="00FE64BC" w:rsidRDefault="00C5765F" w:rsidP="00C5765F">
            <w:pPr>
              <w:pStyle w:val="TableText"/>
            </w:pPr>
            <w:r w:rsidRPr="005F42C3">
              <w:t>PHC</w:t>
            </w:r>
          </w:p>
        </w:tc>
        <w:tc>
          <w:tcPr>
            <w:tcW w:w="3751" w:type="pct"/>
            <w:tcMar>
              <w:left w:w="108" w:type="dxa"/>
              <w:right w:w="108" w:type="dxa"/>
            </w:tcMar>
          </w:tcPr>
          <w:p w14:paraId="28BF4994" w14:textId="46F5BDB9" w:rsidR="00C5765F" w:rsidRPr="00FE64BC" w:rsidRDefault="00C5765F" w:rsidP="00C5765F">
            <w:pPr>
              <w:pStyle w:val="TableText"/>
            </w:pPr>
            <w:r w:rsidRPr="005F42C3">
              <w:t>Plant Health Committee</w:t>
            </w:r>
          </w:p>
        </w:tc>
      </w:tr>
      <w:tr w:rsidR="00C5765F" w14:paraId="4B6A0DB6" w14:textId="77777777" w:rsidTr="009B64EE">
        <w:tc>
          <w:tcPr>
            <w:tcW w:w="1249" w:type="pct"/>
            <w:tcMar>
              <w:left w:w="108" w:type="dxa"/>
              <w:right w:w="108" w:type="dxa"/>
            </w:tcMar>
          </w:tcPr>
          <w:p w14:paraId="25E3E253" w14:textId="70ACD5B7" w:rsidR="00C5765F" w:rsidRPr="00FE64BC" w:rsidRDefault="00C5765F" w:rsidP="00C5765F">
            <w:pPr>
              <w:pStyle w:val="TableText"/>
            </w:pPr>
            <w:r w:rsidRPr="005F42C3">
              <w:t>PIC</w:t>
            </w:r>
          </w:p>
        </w:tc>
        <w:tc>
          <w:tcPr>
            <w:tcW w:w="3751" w:type="pct"/>
            <w:tcMar>
              <w:left w:w="108" w:type="dxa"/>
              <w:right w:w="108" w:type="dxa"/>
            </w:tcMar>
          </w:tcPr>
          <w:p w14:paraId="326E456C" w14:textId="224E3271" w:rsidR="00C5765F" w:rsidRPr="00FE64BC" w:rsidRDefault="00C5765F" w:rsidP="00C5765F">
            <w:pPr>
              <w:pStyle w:val="TableText"/>
            </w:pPr>
            <w:r w:rsidRPr="005F42C3">
              <w:t>Plant Innovation Centre (DAFF)</w:t>
            </w:r>
          </w:p>
        </w:tc>
      </w:tr>
      <w:tr w:rsidR="00C5765F" w14:paraId="474FC2B2" w14:textId="77777777" w:rsidTr="009B64EE">
        <w:tc>
          <w:tcPr>
            <w:tcW w:w="1249" w:type="pct"/>
            <w:tcMar>
              <w:left w:w="108" w:type="dxa"/>
              <w:right w:w="108" w:type="dxa"/>
            </w:tcMar>
          </w:tcPr>
          <w:p w14:paraId="5E57C7F8" w14:textId="397ADBF6" w:rsidR="00C5765F" w:rsidRPr="00FE64BC" w:rsidRDefault="00C5765F" w:rsidP="00C5765F">
            <w:pPr>
              <w:pStyle w:val="TableText"/>
            </w:pPr>
            <w:r w:rsidRPr="005F42C3">
              <w:t>PIO</w:t>
            </w:r>
          </w:p>
        </w:tc>
        <w:tc>
          <w:tcPr>
            <w:tcW w:w="3751" w:type="pct"/>
            <w:tcMar>
              <w:left w:w="108" w:type="dxa"/>
              <w:right w:w="108" w:type="dxa"/>
            </w:tcMar>
          </w:tcPr>
          <w:p w14:paraId="689F6E1A" w14:textId="39555019" w:rsidR="00C5765F" w:rsidRPr="00FE64BC" w:rsidRDefault="00C5765F" w:rsidP="00C5765F">
            <w:pPr>
              <w:pStyle w:val="TableText"/>
            </w:pPr>
            <w:r w:rsidRPr="005F42C3">
              <w:t>Plant Import Operations (DAFF)</w:t>
            </w:r>
          </w:p>
        </w:tc>
      </w:tr>
      <w:tr w:rsidR="00C5765F" w14:paraId="25BCD740" w14:textId="77777777" w:rsidTr="009B64EE">
        <w:tc>
          <w:tcPr>
            <w:tcW w:w="1249" w:type="pct"/>
            <w:tcMar>
              <w:left w:w="108" w:type="dxa"/>
              <w:right w:w="108" w:type="dxa"/>
            </w:tcMar>
          </w:tcPr>
          <w:p w14:paraId="1471FC31" w14:textId="20B95D67" w:rsidR="00C5765F" w:rsidRPr="00FE64BC" w:rsidRDefault="00C5765F" w:rsidP="00C5765F">
            <w:pPr>
              <w:pStyle w:val="TableText"/>
            </w:pPr>
            <w:r w:rsidRPr="005F42C3">
              <w:t>PPEBD</w:t>
            </w:r>
          </w:p>
        </w:tc>
        <w:tc>
          <w:tcPr>
            <w:tcW w:w="3751" w:type="pct"/>
            <w:tcMar>
              <w:left w:w="108" w:type="dxa"/>
              <w:right w:w="108" w:type="dxa"/>
            </w:tcMar>
          </w:tcPr>
          <w:p w14:paraId="73E4A5E2" w14:textId="6E54F031" w:rsidR="00C5765F" w:rsidRPr="00FE64BC" w:rsidRDefault="00C5765F" w:rsidP="00C5765F">
            <w:pPr>
              <w:pStyle w:val="TableText"/>
            </w:pPr>
            <w:r w:rsidRPr="005F42C3">
              <w:t xml:space="preserve">Plant Protection and Environmental Biosecurity Division </w:t>
            </w:r>
            <w:r>
              <w:t>(DAFF)</w:t>
            </w:r>
          </w:p>
        </w:tc>
      </w:tr>
      <w:tr w:rsidR="00C5765F" w14:paraId="7A4CC46F" w14:textId="77777777" w:rsidTr="009B64EE">
        <w:tc>
          <w:tcPr>
            <w:tcW w:w="1249" w:type="pct"/>
            <w:tcMar>
              <w:left w:w="108" w:type="dxa"/>
              <w:right w:w="108" w:type="dxa"/>
            </w:tcMar>
          </w:tcPr>
          <w:p w14:paraId="19638F2E" w14:textId="129D5FB9" w:rsidR="00C5765F" w:rsidRPr="00FE64BC" w:rsidRDefault="00C5765F" w:rsidP="00C5765F">
            <w:pPr>
              <w:pStyle w:val="TableText"/>
            </w:pPr>
            <w:r w:rsidRPr="005F42C3">
              <w:t xml:space="preserve">PSARA </w:t>
            </w:r>
          </w:p>
        </w:tc>
        <w:tc>
          <w:tcPr>
            <w:tcW w:w="3751" w:type="pct"/>
            <w:tcMar>
              <w:left w:w="108" w:type="dxa"/>
              <w:right w:w="108" w:type="dxa"/>
            </w:tcMar>
          </w:tcPr>
          <w:p w14:paraId="1B7889D7" w14:textId="3A6E07D0" w:rsidR="00C5765F" w:rsidRPr="00FE64BC" w:rsidRDefault="00C5765F" w:rsidP="00C5765F">
            <w:pPr>
              <w:pStyle w:val="TableText"/>
            </w:pPr>
            <w:r w:rsidRPr="005F42C3">
              <w:t>Plant Sciences and Risk Assessment (DAFF)</w:t>
            </w:r>
          </w:p>
        </w:tc>
      </w:tr>
      <w:tr w:rsidR="00C5765F" w14:paraId="73C85E1F" w14:textId="77777777" w:rsidTr="009B64EE">
        <w:tc>
          <w:tcPr>
            <w:tcW w:w="1249" w:type="pct"/>
            <w:tcMar>
              <w:left w:w="108" w:type="dxa"/>
              <w:right w:w="108" w:type="dxa"/>
            </w:tcMar>
          </w:tcPr>
          <w:p w14:paraId="19083048" w14:textId="2A2E8B9C" w:rsidR="00C5765F" w:rsidRPr="00FE64BC" w:rsidRDefault="00C5765F" w:rsidP="00C5765F">
            <w:pPr>
              <w:pStyle w:val="TableText"/>
            </w:pPr>
            <w:r w:rsidRPr="005F42C3">
              <w:t>SNPHS</w:t>
            </w:r>
          </w:p>
        </w:tc>
        <w:tc>
          <w:tcPr>
            <w:tcW w:w="3751" w:type="pct"/>
            <w:tcMar>
              <w:left w:w="108" w:type="dxa"/>
              <w:right w:w="108" w:type="dxa"/>
            </w:tcMar>
          </w:tcPr>
          <w:p w14:paraId="6A30F8DE" w14:textId="56AE995E" w:rsidR="00C5765F" w:rsidRPr="00FE64BC" w:rsidRDefault="00C5765F" w:rsidP="00C5765F">
            <w:pPr>
              <w:pStyle w:val="TableText"/>
            </w:pPr>
            <w:r w:rsidRPr="005F42C3">
              <w:t>Subcommittee on National Plant Health Surveillance (under PHC)</w:t>
            </w:r>
          </w:p>
        </w:tc>
      </w:tr>
      <w:tr w:rsidR="00C5765F" w14:paraId="3CFECD74" w14:textId="77777777" w:rsidTr="009B64EE">
        <w:tc>
          <w:tcPr>
            <w:tcW w:w="1249" w:type="pct"/>
            <w:tcMar>
              <w:left w:w="108" w:type="dxa"/>
              <w:right w:w="108" w:type="dxa"/>
            </w:tcMar>
          </w:tcPr>
          <w:p w14:paraId="658851B6" w14:textId="033E7FBF" w:rsidR="00C5765F" w:rsidRPr="00FE64BC" w:rsidRDefault="00C5765F" w:rsidP="00C5765F">
            <w:pPr>
              <w:pStyle w:val="TableText"/>
            </w:pPr>
            <w:r w:rsidRPr="005F42C3">
              <w:t>SPHD</w:t>
            </w:r>
          </w:p>
        </w:tc>
        <w:tc>
          <w:tcPr>
            <w:tcW w:w="3751" w:type="pct"/>
            <w:tcMar>
              <w:left w:w="108" w:type="dxa"/>
              <w:right w:w="108" w:type="dxa"/>
            </w:tcMar>
          </w:tcPr>
          <w:p w14:paraId="39B3ACF4" w14:textId="0FB778A3" w:rsidR="00C5765F" w:rsidRPr="00FE64BC" w:rsidRDefault="00C5765F" w:rsidP="00C5765F">
            <w:pPr>
              <w:pStyle w:val="TableText"/>
            </w:pPr>
            <w:r w:rsidRPr="005F42C3">
              <w:t>Subcommittee on Plant Health Diagnostics (under PHC)</w:t>
            </w:r>
          </w:p>
        </w:tc>
      </w:tr>
    </w:tbl>
    <w:p w14:paraId="0C868598" w14:textId="77777777" w:rsidR="008D1B48" w:rsidRDefault="008D1B48" w:rsidP="00C31036">
      <w:pPr>
        <w:pStyle w:val="Normalsmall"/>
        <w:spacing w:before="240"/>
      </w:pPr>
      <w:r>
        <w:rPr>
          <w:rStyle w:val="Strong"/>
        </w:rPr>
        <w:t>Acknowledgement of Country</w:t>
      </w:r>
    </w:p>
    <w:p w14:paraId="1FBFC6FA"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1B41257C" w14:textId="77777777" w:rsidR="00262394" w:rsidRDefault="00262394" w:rsidP="00262394">
      <w:pPr>
        <w:pStyle w:val="Normalsmall"/>
        <w:spacing w:before="360"/>
      </w:pPr>
      <w:r>
        <w:t>© Commonwealth of Australia 202</w:t>
      </w:r>
      <w:r w:rsidR="00340820">
        <w:t>3</w:t>
      </w:r>
    </w:p>
    <w:p w14:paraId="2D47D685"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37FD894E" w14:textId="77777777" w:rsidR="00262394" w:rsidRDefault="00262394" w:rsidP="00262394">
      <w:pPr>
        <w:pStyle w:val="Normalsmall"/>
      </w:pPr>
      <w:r>
        <w:t xml:space="preserve">All material in this publication is licensed under a </w:t>
      </w:r>
      <w:hyperlink r:id="rId37" w:history="1">
        <w:r>
          <w:rPr>
            <w:rStyle w:val="Hyperlink"/>
          </w:rPr>
          <w:t>Creative Commons Attribution 4.0 International Licence</w:t>
        </w:r>
      </w:hyperlink>
      <w:r>
        <w:t xml:space="preserve"> except content supplied by third parties, logos and the Commonwealth Coat of Arms.</w:t>
      </w:r>
    </w:p>
    <w:p w14:paraId="148938C6"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262394" w:rsidSect="00013AE2">
      <w:headerReference w:type="even" r:id="rId38"/>
      <w:headerReference w:type="default" r:id="rId39"/>
      <w:footerReference w:type="even" r:id="rId40"/>
      <w:footerReference w:type="default" r:id="rId41"/>
      <w:headerReference w:type="first" r:id="rId42"/>
      <w:footerReference w:type="first" r:id="rId43"/>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04DC8" w14:textId="77777777" w:rsidR="005E6123" w:rsidRDefault="005E6123">
      <w:r>
        <w:separator/>
      </w:r>
    </w:p>
    <w:p w14:paraId="15C4C2F5" w14:textId="77777777" w:rsidR="005E6123" w:rsidRDefault="005E6123"/>
    <w:p w14:paraId="3877E78D" w14:textId="77777777" w:rsidR="005E6123" w:rsidRDefault="005E6123"/>
  </w:endnote>
  <w:endnote w:type="continuationSeparator" w:id="0">
    <w:p w14:paraId="37B1B5F7" w14:textId="77777777" w:rsidR="005E6123" w:rsidRDefault="005E6123">
      <w:r>
        <w:continuationSeparator/>
      </w:r>
    </w:p>
    <w:p w14:paraId="379EA277" w14:textId="77777777" w:rsidR="005E6123" w:rsidRDefault="005E6123"/>
    <w:p w14:paraId="5BCB91FC" w14:textId="77777777" w:rsidR="005E6123" w:rsidRDefault="005E6123"/>
  </w:endnote>
  <w:endnote w:type="continuationNotice" w:id="1">
    <w:p w14:paraId="0DFEAF00" w14:textId="77777777" w:rsidR="005E6123" w:rsidRDefault="005E6123">
      <w:pPr>
        <w:pStyle w:val="Footer"/>
      </w:pPr>
    </w:p>
    <w:p w14:paraId="7E8C4114" w14:textId="77777777" w:rsidR="005E6123" w:rsidRDefault="005E6123"/>
    <w:p w14:paraId="65A9914D" w14:textId="77777777" w:rsidR="005E6123" w:rsidRDefault="005E6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86296" w14:textId="4945DAF1" w:rsidR="00AF555B" w:rsidRDefault="00AF555B">
    <w:pPr>
      <w:pStyle w:val="Footer"/>
    </w:pPr>
    <w:r>
      <w:rPr>
        <w:noProof/>
      </w:rPr>
      <mc:AlternateContent>
        <mc:Choice Requires="wps">
          <w:drawing>
            <wp:anchor distT="0" distB="0" distL="0" distR="0" simplePos="0" relativeHeight="251671552" behindDoc="0" locked="0" layoutInCell="1" allowOverlap="1" wp14:anchorId="17ED1FCD" wp14:editId="03C6DB72">
              <wp:simplePos x="635" y="635"/>
              <wp:positionH relativeFrom="page">
                <wp:align>center</wp:align>
              </wp:positionH>
              <wp:positionV relativeFrom="page">
                <wp:align>bottom</wp:align>
              </wp:positionV>
              <wp:extent cx="551815" cy="404495"/>
              <wp:effectExtent l="0" t="0" r="635" b="0"/>
              <wp:wrapNone/>
              <wp:docPr id="1032355331"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D6910AD" w14:textId="02B185FB" w:rsidR="00AF555B" w:rsidRPr="00AF555B" w:rsidRDefault="00AF555B" w:rsidP="00AF555B">
                          <w:pPr>
                            <w:spacing w:after="0"/>
                            <w:rPr>
                              <w:rFonts w:ascii="Calibri" w:eastAsia="Calibri" w:hAnsi="Calibri" w:cs="Calibri"/>
                              <w:noProof/>
                              <w:color w:val="FF0000"/>
                              <w:sz w:val="24"/>
                              <w:szCs w:val="24"/>
                            </w:rPr>
                          </w:pPr>
                          <w:r w:rsidRPr="00AF555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ED1FCD" id="_x0000_t202" coordsize="21600,21600" o:spt="202" path="m,l,21600r21600,l21600,xe">
              <v:stroke joinstyle="miter"/>
              <v:path gradientshapeok="t" o:connecttype="rect"/>
            </v:shapetype>
            <v:shape id="Text Box 14" o:spid="_x0000_s1028" type="#_x0000_t202" alt="OFFICIAL" style="position:absolute;left:0;text-align:left;margin-left:0;margin-top:0;width:43.45pt;height:31.8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D6910AD" w14:textId="02B185FB" w:rsidR="00AF555B" w:rsidRPr="00AF555B" w:rsidRDefault="00AF555B" w:rsidP="00AF555B">
                    <w:pPr>
                      <w:spacing w:after="0"/>
                      <w:rPr>
                        <w:rFonts w:ascii="Calibri" w:eastAsia="Calibri" w:hAnsi="Calibri" w:cs="Calibri"/>
                        <w:noProof/>
                        <w:color w:val="FF0000"/>
                        <w:sz w:val="24"/>
                        <w:szCs w:val="24"/>
                      </w:rPr>
                    </w:pPr>
                    <w:r w:rsidRPr="00AF555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4122235"/>
      <w:docPartObj>
        <w:docPartGallery w:val="Page Numbers (Bottom of Page)"/>
        <w:docPartUnique/>
      </w:docPartObj>
    </w:sdtPr>
    <w:sdtEndPr>
      <w:rPr>
        <w:noProof/>
      </w:rPr>
    </w:sdtEndPr>
    <w:sdtContent>
      <w:p w14:paraId="71DCE32D" w14:textId="6944F7BB" w:rsidR="00252D6E" w:rsidRDefault="00252D6E">
        <w:pPr>
          <w:pStyle w:val="Footer"/>
        </w:pPr>
        <w:r>
          <w:fldChar w:fldCharType="begin"/>
        </w:r>
        <w:r>
          <w:instrText xml:space="preserve"> PAGE   \* MERGEFORMAT </w:instrText>
        </w:r>
        <w:r>
          <w:fldChar w:fldCharType="separate"/>
        </w:r>
        <w:r>
          <w:rPr>
            <w:noProof/>
          </w:rPr>
          <w:t>2</w:t>
        </w:r>
        <w:r>
          <w:rPr>
            <w:noProof/>
          </w:rPr>
          <w:fldChar w:fldCharType="end"/>
        </w:r>
      </w:p>
    </w:sdtContent>
  </w:sdt>
  <w:p w14:paraId="4B1784F0" w14:textId="243C539A" w:rsidR="002A193C" w:rsidRDefault="002A19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076202"/>
      <w:docPartObj>
        <w:docPartGallery w:val="Page Numbers (Bottom of Page)"/>
        <w:docPartUnique/>
      </w:docPartObj>
    </w:sdtPr>
    <w:sdtEndPr>
      <w:rPr>
        <w:noProof/>
      </w:rPr>
    </w:sdtEndPr>
    <w:sdtContent>
      <w:p w14:paraId="313EC9BC" w14:textId="10C38963" w:rsidR="00252D6E" w:rsidRDefault="00252D6E">
        <w:pPr>
          <w:pStyle w:val="Footer"/>
        </w:pPr>
        <w:r>
          <w:fldChar w:fldCharType="begin"/>
        </w:r>
        <w:r>
          <w:instrText xml:space="preserve"> PAGE   \* MERGEFORMAT </w:instrText>
        </w:r>
        <w:r>
          <w:fldChar w:fldCharType="separate"/>
        </w:r>
        <w:r>
          <w:rPr>
            <w:noProof/>
          </w:rPr>
          <w:t>2</w:t>
        </w:r>
        <w:r>
          <w:rPr>
            <w:noProof/>
          </w:rPr>
          <w:fldChar w:fldCharType="end"/>
        </w:r>
      </w:p>
    </w:sdtContent>
  </w:sdt>
  <w:p w14:paraId="40CD2708" w14:textId="1F07445E" w:rsidR="002A193C" w:rsidRDefault="002A19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0555F" w14:textId="65686DC7" w:rsidR="00AF555B" w:rsidRDefault="00AF555B">
    <w:pPr>
      <w:pStyle w:val="Footer"/>
    </w:pPr>
    <w:r>
      <w:rPr>
        <w:noProof/>
      </w:rPr>
      <mc:AlternateContent>
        <mc:Choice Requires="wps">
          <w:drawing>
            <wp:anchor distT="0" distB="0" distL="0" distR="0" simplePos="0" relativeHeight="251674624" behindDoc="0" locked="0" layoutInCell="1" allowOverlap="1" wp14:anchorId="72486460" wp14:editId="6B7E100B">
              <wp:simplePos x="635" y="635"/>
              <wp:positionH relativeFrom="page">
                <wp:align>center</wp:align>
              </wp:positionH>
              <wp:positionV relativeFrom="page">
                <wp:align>bottom</wp:align>
              </wp:positionV>
              <wp:extent cx="551815" cy="404495"/>
              <wp:effectExtent l="0" t="0" r="635" b="0"/>
              <wp:wrapNone/>
              <wp:docPr id="184801921"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9F0A9AF" w14:textId="20AAA838" w:rsidR="00AF555B" w:rsidRPr="00AF555B" w:rsidRDefault="00AF555B" w:rsidP="00AF555B">
                          <w:pPr>
                            <w:spacing w:after="0"/>
                            <w:rPr>
                              <w:rFonts w:ascii="Calibri" w:eastAsia="Calibri" w:hAnsi="Calibri" w:cs="Calibri"/>
                              <w:noProof/>
                              <w:color w:val="FF0000"/>
                              <w:sz w:val="24"/>
                              <w:szCs w:val="24"/>
                            </w:rPr>
                          </w:pPr>
                          <w:r w:rsidRPr="00AF555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486460" id="_x0000_t202" coordsize="21600,21600" o:spt="202" path="m,l,21600r21600,l21600,xe">
              <v:stroke joinstyle="miter"/>
              <v:path gradientshapeok="t" o:connecttype="rect"/>
            </v:shapetype>
            <v:shape id="Text Box 17" o:spid="_x0000_s1032"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dGWcxg4CAAAc&#10;BAAADgAAAAAAAAAAAAAAAAAuAgAAZHJzL2Uyb0RvYy54bWxQSwECLQAUAAYACAAAACEAH1WiDdsA&#10;AAADAQAADwAAAAAAAAAAAAAAAABoBAAAZHJzL2Rvd25yZXYueG1sUEsFBgAAAAAEAAQA8wAAAHAF&#10;AAAAAA==&#10;" filled="f" stroked="f">
              <v:textbox style="mso-fit-shape-to-text:t" inset="0,0,0,15pt">
                <w:txbxContent>
                  <w:p w14:paraId="79F0A9AF" w14:textId="20AAA838" w:rsidR="00AF555B" w:rsidRPr="00AF555B" w:rsidRDefault="00AF555B" w:rsidP="00AF555B">
                    <w:pPr>
                      <w:spacing w:after="0"/>
                      <w:rPr>
                        <w:rFonts w:ascii="Calibri" w:eastAsia="Calibri" w:hAnsi="Calibri" w:cs="Calibri"/>
                        <w:noProof/>
                        <w:color w:val="FF0000"/>
                        <w:sz w:val="24"/>
                        <w:szCs w:val="24"/>
                      </w:rPr>
                    </w:pPr>
                    <w:r w:rsidRPr="00AF555B">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86608" w14:textId="6C0FE723" w:rsidR="00AF555B" w:rsidRDefault="00AF555B">
    <w:pPr>
      <w:pStyle w:val="Footer"/>
    </w:pPr>
    <w:r>
      <w:rPr>
        <w:noProof/>
      </w:rPr>
      <mc:AlternateContent>
        <mc:Choice Requires="wps">
          <w:drawing>
            <wp:anchor distT="0" distB="0" distL="0" distR="0" simplePos="0" relativeHeight="251675648" behindDoc="0" locked="0" layoutInCell="1" allowOverlap="1" wp14:anchorId="39232858" wp14:editId="18F79934">
              <wp:simplePos x="635" y="635"/>
              <wp:positionH relativeFrom="page">
                <wp:align>center</wp:align>
              </wp:positionH>
              <wp:positionV relativeFrom="page">
                <wp:align>bottom</wp:align>
              </wp:positionV>
              <wp:extent cx="551815" cy="404495"/>
              <wp:effectExtent l="0" t="0" r="635" b="0"/>
              <wp:wrapNone/>
              <wp:docPr id="556892173"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497E4B7" w14:textId="222E0A49" w:rsidR="00AF555B" w:rsidRPr="00AF555B" w:rsidRDefault="00AF555B" w:rsidP="00AF555B">
                          <w:pPr>
                            <w:spacing w:after="0"/>
                            <w:rPr>
                              <w:rFonts w:ascii="Calibri" w:eastAsia="Calibri" w:hAnsi="Calibri" w:cs="Calibri"/>
                              <w:noProof/>
                              <w:color w:val="FF0000"/>
                              <w:sz w:val="24"/>
                              <w:szCs w:val="24"/>
                            </w:rPr>
                          </w:pPr>
                          <w:r w:rsidRPr="00AF555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232858" id="_x0000_t202" coordsize="21600,21600" o:spt="202" path="m,l,21600r21600,l21600,xe">
              <v:stroke joinstyle="miter"/>
              <v:path gradientshapeok="t" o:connecttype="rect"/>
            </v:shapetype>
            <v:shape id="Text Box 18" o:spid="_x0000_s1033" type="#_x0000_t202" alt="OFFICIAL" style="position:absolute;left:0;text-align:left;margin-left:0;margin-top:0;width:43.45pt;height:31.8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BnaLvsPAgAA&#10;HAQAAA4AAAAAAAAAAAAAAAAALgIAAGRycy9lMm9Eb2MueG1sUEsBAi0AFAAGAAgAAAAhAB9Vog3b&#10;AAAAAwEAAA8AAAAAAAAAAAAAAAAAaQQAAGRycy9kb3ducmV2LnhtbFBLBQYAAAAABAAEAPMAAABx&#10;BQAAAAA=&#10;" filled="f" stroked="f">
              <v:textbox style="mso-fit-shape-to-text:t" inset="0,0,0,15pt">
                <w:txbxContent>
                  <w:p w14:paraId="1497E4B7" w14:textId="222E0A49" w:rsidR="00AF555B" w:rsidRPr="00AF555B" w:rsidRDefault="00AF555B" w:rsidP="00AF555B">
                    <w:pPr>
                      <w:spacing w:after="0"/>
                      <w:rPr>
                        <w:rFonts w:ascii="Calibri" w:eastAsia="Calibri" w:hAnsi="Calibri" w:cs="Calibri"/>
                        <w:noProof/>
                        <w:color w:val="FF0000"/>
                        <w:sz w:val="24"/>
                        <w:szCs w:val="24"/>
                      </w:rPr>
                    </w:pPr>
                    <w:r w:rsidRPr="00AF555B">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574483"/>
      <w:docPartObj>
        <w:docPartGallery w:val="Page Numbers (Bottom of Page)"/>
        <w:docPartUnique/>
      </w:docPartObj>
    </w:sdtPr>
    <w:sdtEndPr>
      <w:rPr>
        <w:noProof/>
      </w:rPr>
    </w:sdtEndPr>
    <w:sdtContent>
      <w:p w14:paraId="5E74C654" w14:textId="516F20BD" w:rsidR="00395E86" w:rsidRDefault="00395E86">
        <w:pPr>
          <w:pStyle w:val="Footer"/>
        </w:pPr>
        <w:r>
          <w:fldChar w:fldCharType="begin"/>
        </w:r>
        <w:r>
          <w:instrText xml:space="preserve"> PAGE   \* MERGEFORMAT </w:instrText>
        </w:r>
        <w:r>
          <w:fldChar w:fldCharType="separate"/>
        </w:r>
        <w:r>
          <w:rPr>
            <w:noProof/>
          </w:rPr>
          <w:t>2</w:t>
        </w:r>
        <w:r>
          <w:rPr>
            <w:noProof/>
          </w:rPr>
          <w:fldChar w:fldCharType="end"/>
        </w:r>
      </w:p>
    </w:sdtContent>
  </w:sdt>
  <w:p w14:paraId="19BF7641" w14:textId="57F14870" w:rsidR="00AF555B" w:rsidRDefault="00AF5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66B6A" w14:textId="77777777" w:rsidR="005E6123" w:rsidRDefault="005E6123">
      <w:r>
        <w:separator/>
      </w:r>
    </w:p>
    <w:p w14:paraId="1AC38AB7" w14:textId="77777777" w:rsidR="005E6123" w:rsidRDefault="005E6123"/>
    <w:p w14:paraId="5AAD53B7" w14:textId="77777777" w:rsidR="005E6123" w:rsidRDefault="005E6123"/>
  </w:footnote>
  <w:footnote w:type="continuationSeparator" w:id="0">
    <w:p w14:paraId="078A3F54" w14:textId="77777777" w:rsidR="005E6123" w:rsidRDefault="005E6123">
      <w:r>
        <w:continuationSeparator/>
      </w:r>
    </w:p>
    <w:p w14:paraId="5DAC2D70" w14:textId="77777777" w:rsidR="005E6123" w:rsidRDefault="005E6123"/>
    <w:p w14:paraId="31581D2C" w14:textId="77777777" w:rsidR="005E6123" w:rsidRDefault="005E6123"/>
  </w:footnote>
  <w:footnote w:type="continuationNotice" w:id="1">
    <w:p w14:paraId="3ED46DC7" w14:textId="77777777" w:rsidR="005E6123" w:rsidRDefault="005E6123">
      <w:pPr>
        <w:pStyle w:val="Footer"/>
      </w:pPr>
    </w:p>
    <w:p w14:paraId="76844847" w14:textId="77777777" w:rsidR="005E6123" w:rsidRDefault="005E6123"/>
    <w:p w14:paraId="4BD5B597" w14:textId="77777777" w:rsidR="005E6123" w:rsidRDefault="005E6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AEA8D" w14:textId="647F8E60" w:rsidR="00AF555B" w:rsidRDefault="00AF555B">
    <w:pPr>
      <w:pStyle w:val="Header"/>
    </w:pPr>
    <w:r>
      <w:rPr>
        <w:noProof/>
      </w:rPr>
      <mc:AlternateContent>
        <mc:Choice Requires="wps">
          <w:drawing>
            <wp:anchor distT="0" distB="0" distL="0" distR="0" simplePos="0" relativeHeight="251662336" behindDoc="0" locked="0" layoutInCell="1" allowOverlap="1" wp14:anchorId="0C85F722" wp14:editId="5FAD65E1">
              <wp:simplePos x="635" y="635"/>
              <wp:positionH relativeFrom="page">
                <wp:align>center</wp:align>
              </wp:positionH>
              <wp:positionV relativeFrom="page">
                <wp:align>top</wp:align>
              </wp:positionV>
              <wp:extent cx="551815" cy="404495"/>
              <wp:effectExtent l="0" t="0" r="635" b="14605"/>
              <wp:wrapNone/>
              <wp:docPr id="17456666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1E93B9" w14:textId="2115D46F" w:rsidR="00AF555B" w:rsidRPr="00AF555B" w:rsidRDefault="00AF555B" w:rsidP="00AF555B">
                          <w:pPr>
                            <w:spacing w:after="0"/>
                            <w:rPr>
                              <w:rFonts w:ascii="Calibri" w:eastAsia="Calibri" w:hAnsi="Calibri" w:cs="Calibri"/>
                              <w:noProof/>
                              <w:color w:val="FF0000"/>
                              <w:sz w:val="24"/>
                              <w:szCs w:val="24"/>
                            </w:rPr>
                          </w:pPr>
                          <w:r w:rsidRPr="00AF555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85F722" id="_x0000_t202" coordsize="21600,21600" o:spt="202" path="m,l,21600r21600,l21600,xe">
              <v:stroke joinstyle="miter"/>
              <v:path gradientshapeok="t" o:connecttype="rect"/>
            </v:shapetype>
            <v:shape id="Text Box 5" o:spid="_x0000_s1026" type="#_x0000_t202" alt="OFFICIAL" style="position:absolute;left:0;text-align:left;margin-left:0;margin-top:0;width:43.45pt;height:31.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51E93B9" w14:textId="2115D46F" w:rsidR="00AF555B" w:rsidRPr="00AF555B" w:rsidRDefault="00AF555B" w:rsidP="00AF555B">
                    <w:pPr>
                      <w:spacing w:after="0"/>
                      <w:rPr>
                        <w:rFonts w:ascii="Calibri" w:eastAsia="Calibri" w:hAnsi="Calibri" w:cs="Calibri"/>
                        <w:noProof/>
                        <w:color w:val="FF0000"/>
                        <w:sz w:val="24"/>
                        <w:szCs w:val="24"/>
                      </w:rPr>
                    </w:pPr>
                    <w:r w:rsidRPr="00AF555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237DA" w14:textId="63D88776" w:rsidR="002A193C" w:rsidRDefault="00AF555B" w:rsidP="00BC4E35">
    <w:pPr>
      <w:pStyle w:val="Header"/>
    </w:pPr>
    <w:r>
      <w:rPr>
        <w:noProof/>
        <w:lang w:val="en-US"/>
      </w:rPr>
      <mc:AlternateContent>
        <mc:Choice Requires="wps">
          <w:drawing>
            <wp:anchor distT="0" distB="0" distL="0" distR="0" simplePos="0" relativeHeight="251663360" behindDoc="0" locked="0" layoutInCell="1" allowOverlap="1" wp14:anchorId="04D195E2" wp14:editId="69D6F577">
              <wp:simplePos x="897147" y="362309"/>
              <wp:positionH relativeFrom="page">
                <wp:align>center</wp:align>
              </wp:positionH>
              <wp:positionV relativeFrom="page">
                <wp:align>top</wp:align>
              </wp:positionV>
              <wp:extent cx="551815" cy="404495"/>
              <wp:effectExtent l="0" t="0" r="635" b="14605"/>
              <wp:wrapNone/>
              <wp:docPr id="35876101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37E9C2A" w14:textId="00A82B2C" w:rsidR="00AF555B" w:rsidRPr="00AF555B" w:rsidRDefault="00AF555B" w:rsidP="00AF555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D195E2" id="_x0000_t202" coordsize="21600,21600" o:spt="202" path="m,l,21600r21600,l21600,xe">
              <v:stroke joinstyle="miter"/>
              <v:path gradientshapeok="t" o:connecttype="rect"/>
            </v:shapetype>
            <v:shape id="Text Box 6" o:spid="_x0000_s1027" type="#_x0000_t202" alt="OFFICIAL" style="position:absolute;left:0;text-align:left;margin-left:0;margin-top:0;width:43.45pt;height:31.8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437E9C2A" w14:textId="00A82B2C" w:rsidR="00AF555B" w:rsidRPr="00AF555B" w:rsidRDefault="00AF555B" w:rsidP="00AF555B">
                    <w:pPr>
                      <w:spacing w:after="0"/>
                      <w:rPr>
                        <w:rFonts w:ascii="Calibri" w:eastAsia="Calibri" w:hAnsi="Calibri" w:cs="Calibri"/>
                        <w:noProof/>
                        <w:color w:val="FF0000"/>
                        <w:sz w:val="24"/>
                        <w:szCs w:val="24"/>
                      </w:rPr>
                    </w:pPr>
                  </w:p>
                </w:txbxContent>
              </v:textbox>
              <w10:wrap anchorx="page" anchory="page"/>
            </v:shape>
          </w:pict>
        </mc:Fallback>
      </mc:AlternateContent>
    </w:r>
    <w:r w:rsidR="00BC4E35" w:rsidRPr="00314563">
      <w:rPr>
        <w:noProof/>
        <w:lang w:val="en-US"/>
      </w:rPr>
      <w:t>National</w:t>
    </w:r>
    <w:r w:rsidR="00314563" w:rsidRPr="00314563">
      <w:rPr>
        <w:noProof/>
        <w:lang w:val="en-US"/>
      </w:rPr>
      <w:t xml:space="preserve"> Xylella</w:t>
    </w:r>
    <w:r w:rsidR="00BC4E35" w:rsidRPr="00314563">
      <w:rPr>
        <w:noProof/>
        <w:lang w:val="en-US"/>
      </w:rPr>
      <w:t xml:space="preserve"> Action Plan 20</w:t>
    </w:r>
    <w:r w:rsidR="00314563" w:rsidRPr="00314563">
      <w:rPr>
        <w:noProof/>
        <w:lang w:val="en-US"/>
      </w:rPr>
      <w:t>19</w:t>
    </w:r>
    <w:r w:rsidR="00285D46" w:rsidRPr="00314563">
      <w:rPr>
        <w:noProof/>
        <w:lang w:val="en-US"/>
      </w:rPr>
      <w:t>–</w:t>
    </w:r>
    <w:r w:rsidR="00BC4E35" w:rsidRPr="00314563">
      <w:rPr>
        <w:noProof/>
        <w:lang w:val="en-US"/>
      </w:rPr>
      <w:t>20</w:t>
    </w:r>
    <w:r w:rsidR="00314563" w:rsidRPr="00314563">
      <w:rPr>
        <w:noProof/>
        <w:lang w:val="en-US"/>
      </w:rPr>
      <w:t>29</w:t>
    </w:r>
    <w:r w:rsidR="00BC4E35">
      <w:rPr>
        <w:noProof/>
        <w:lang w:val="en-US"/>
      </w:rPr>
      <w:t>: i</w:t>
    </w:r>
    <w:r w:rsidR="00BC4E35" w:rsidRPr="00BC4E35">
      <w:rPr>
        <w:noProof/>
        <w:lang w:val="en-US"/>
      </w:rPr>
      <w:t>mplementation schedule</w:t>
    </w:r>
    <w:r w:rsidR="00D4229F">
      <w:rPr>
        <w:noProof/>
        <w:lang w:val="en-US"/>
      </w:rPr>
      <w:t xml:space="preserve"> 202</w:t>
    </w:r>
    <w:r w:rsidR="00CC42E0">
      <w:rPr>
        <w:noProof/>
        <w:lang w:val="en-U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98206" w14:textId="199DBA83" w:rsidR="00AF555B" w:rsidRDefault="00AF555B">
    <w:pPr>
      <w:pStyle w:val="Header"/>
    </w:pPr>
    <w:r>
      <w:rPr>
        <w:noProof/>
      </w:rPr>
      <mc:AlternateContent>
        <mc:Choice Requires="wps">
          <w:drawing>
            <wp:anchor distT="0" distB="0" distL="0" distR="0" simplePos="0" relativeHeight="251661312" behindDoc="0" locked="0" layoutInCell="1" allowOverlap="1" wp14:anchorId="5308EB43" wp14:editId="5B80AB18">
              <wp:simplePos x="901065" y="360680"/>
              <wp:positionH relativeFrom="page">
                <wp:align>center</wp:align>
              </wp:positionH>
              <wp:positionV relativeFrom="page">
                <wp:align>top</wp:align>
              </wp:positionV>
              <wp:extent cx="551815" cy="404495"/>
              <wp:effectExtent l="0" t="0" r="635" b="14605"/>
              <wp:wrapNone/>
              <wp:docPr id="79282975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1939249" w14:textId="7E1B841C" w:rsidR="00AF555B" w:rsidRPr="00AF555B" w:rsidRDefault="00AF555B" w:rsidP="00AF555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08EB43"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textbox style="mso-fit-shape-to-text:t" inset="0,15pt,0,0">
                <w:txbxContent>
                  <w:p w14:paraId="61939249" w14:textId="7E1B841C" w:rsidR="00AF555B" w:rsidRPr="00AF555B" w:rsidRDefault="00AF555B" w:rsidP="00AF555B">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9AFE4" w14:textId="1CFA9D9C" w:rsidR="00AF555B" w:rsidRDefault="00AF555B">
    <w:pPr>
      <w:pStyle w:val="Header"/>
    </w:pPr>
    <w:r>
      <w:rPr>
        <w:noProof/>
      </w:rPr>
      <mc:AlternateContent>
        <mc:Choice Requires="wps">
          <w:drawing>
            <wp:anchor distT="0" distB="0" distL="0" distR="0" simplePos="0" relativeHeight="251665408" behindDoc="0" locked="0" layoutInCell="1" allowOverlap="1" wp14:anchorId="557D1B59" wp14:editId="08A0A804">
              <wp:simplePos x="635" y="635"/>
              <wp:positionH relativeFrom="page">
                <wp:align>center</wp:align>
              </wp:positionH>
              <wp:positionV relativeFrom="page">
                <wp:align>top</wp:align>
              </wp:positionV>
              <wp:extent cx="551815" cy="404495"/>
              <wp:effectExtent l="0" t="0" r="635" b="14605"/>
              <wp:wrapNone/>
              <wp:docPr id="489632787"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8EF87A" w14:textId="6ADF33DD" w:rsidR="00AF555B" w:rsidRPr="00AF555B" w:rsidRDefault="00AF555B" w:rsidP="00AF555B">
                          <w:pPr>
                            <w:spacing w:after="0"/>
                            <w:rPr>
                              <w:rFonts w:ascii="Calibri" w:eastAsia="Calibri" w:hAnsi="Calibri" w:cs="Calibri"/>
                              <w:noProof/>
                              <w:color w:val="FF0000"/>
                              <w:sz w:val="24"/>
                              <w:szCs w:val="24"/>
                            </w:rPr>
                          </w:pPr>
                          <w:r w:rsidRPr="00AF555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7D1B59" id="_x0000_t202" coordsize="21600,21600" o:spt="202" path="m,l,21600r21600,l21600,xe">
              <v:stroke joinstyle="miter"/>
              <v:path gradientshapeok="t" o:connecttype="rect"/>
            </v:shapetype>
            <v:shape id="Text Box 8" o:spid="_x0000_s1030" type="#_x0000_t202" alt="OFFICIAL" style="position:absolute;left:0;text-align:left;margin-left:0;margin-top:0;width:43.45pt;height:31.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F8EF87A" w14:textId="6ADF33DD" w:rsidR="00AF555B" w:rsidRPr="00AF555B" w:rsidRDefault="00AF555B" w:rsidP="00AF555B">
                    <w:pPr>
                      <w:spacing w:after="0"/>
                      <w:rPr>
                        <w:rFonts w:ascii="Calibri" w:eastAsia="Calibri" w:hAnsi="Calibri" w:cs="Calibri"/>
                        <w:noProof/>
                        <w:color w:val="FF0000"/>
                        <w:sz w:val="24"/>
                        <w:szCs w:val="24"/>
                      </w:rPr>
                    </w:pPr>
                    <w:r w:rsidRPr="00AF555B">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2E960" w14:textId="44EBF7EF" w:rsidR="00AF555B" w:rsidRDefault="00AF555B">
    <w:pPr>
      <w:pStyle w:val="Header"/>
    </w:pPr>
    <w:r>
      <w:rPr>
        <w:noProof/>
      </w:rPr>
      <mc:AlternateContent>
        <mc:Choice Requires="wps">
          <w:drawing>
            <wp:anchor distT="0" distB="0" distL="0" distR="0" simplePos="0" relativeHeight="251666432" behindDoc="0" locked="0" layoutInCell="1" allowOverlap="1" wp14:anchorId="2B9377F3" wp14:editId="6579310F">
              <wp:simplePos x="635" y="635"/>
              <wp:positionH relativeFrom="page">
                <wp:align>center</wp:align>
              </wp:positionH>
              <wp:positionV relativeFrom="page">
                <wp:align>top</wp:align>
              </wp:positionV>
              <wp:extent cx="551815" cy="404495"/>
              <wp:effectExtent l="0" t="0" r="635" b="14605"/>
              <wp:wrapNone/>
              <wp:docPr id="182683664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557965" w14:textId="4D1EFA85" w:rsidR="00AF555B" w:rsidRPr="00AF555B" w:rsidRDefault="00AF555B" w:rsidP="00AF555B">
                          <w:pPr>
                            <w:spacing w:after="0"/>
                            <w:rPr>
                              <w:rFonts w:ascii="Calibri" w:eastAsia="Calibri" w:hAnsi="Calibri" w:cs="Calibri"/>
                              <w:noProof/>
                              <w:color w:val="FF0000"/>
                              <w:sz w:val="24"/>
                              <w:szCs w:val="24"/>
                            </w:rPr>
                          </w:pPr>
                          <w:r w:rsidRPr="00AF555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9377F3" id="_x0000_t202" coordsize="21600,21600" o:spt="202" path="m,l,21600r21600,l21600,xe">
              <v:stroke joinstyle="miter"/>
              <v:path gradientshapeok="t" o:connecttype="rect"/>
            </v:shapetype>
            <v:shape id="Text Box 9" o:spid="_x0000_s1031" type="#_x0000_t202" alt="OFFICIAL" style="position:absolute;left:0;text-align:left;margin-left:0;margin-top:0;width:43.45pt;height:31.8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o0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Rqbu91CfcSgHw7695ZsWS2+ZDy/M4YJxDhRt&#10;eMZDKugqCqNFSQPux9/8MR95xyglHQqmogYVTYn6ZnAfUVvJKO7yRY43N7n3k2GO+gFQhgW+CMuT&#10;GfOCmkzpQL+hnNexEIaY4ViuomEyH8KgXHwOXKzXKQllZFnYmp3lETrSFbl87d+YsyPhATf1BJOa&#10;WPmO9yE3/unt+hiQ/bSUSO1A5Mg4SjCtdXwuUeO/3lPW9VGvfgI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F1jGjQNAgAAHAQA&#10;AA4AAAAAAAAAAAAAAAAALgIAAGRycy9lMm9Eb2MueG1sUEsBAi0AFAAGAAgAAAAhAPymfrLaAAAA&#10;AwEAAA8AAAAAAAAAAAAAAAAAZwQAAGRycy9kb3ducmV2LnhtbFBLBQYAAAAABAAEAPMAAABuBQAA&#10;AAA=&#10;" filled="f" stroked="f">
              <v:textbox style="mso-fit-shape-to-text:t" inset="0,15pt,0,0">
                <w:txbxContent>
                  <w:p w14:paraId="3F557965" w14:textId="4D1EFA85" w:rsidR="00AF555B" w:rsidRPr="00AF555B" w:rsidRDefault="00AF555B" w:rsidP="00AF555B">
                    <w:pPr>
                      <w:spacing w:after="0"/>
                      <w:rPr>
                        <w:rFonts w:ascii="Calibri" w:eastAsia="Calibri" w:hAnsi="Calibri" w:cs="Calibri"/>
                        <w:noProof/>
                        <w:color w:val="FF0000"/>
                        <w:sz w:val="24"/>
                        <w:szCs w:val="24"/>
                      </w:rPr>
                    </w:pPr>
                    <w:r w:rsidRPr="00AF555B">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B26FE" w14:textId="16B07D86" w:rsidR="00013AE2" w:rsidRDefault="00AF555B" w:rsidP="00013AE2">
    <w:pPr>
      <w:pStyle w:val="Header"/>
    </w:pPr>
    <w:r>
      <w:rPr>
        <w:noProof/>
      </w:rPr>
      <mc:AlternateContent>
        <mc:Choice Requires="wps">
          <w:drawing>
            <wp:anchor distT="0" distB="0" distL="0" distR="0" simplePos="0" relativeHeight="251664384" behindDoc="0" locked="0" layoutInCell="1" allowOverlap="1" wp14:anchorId="6A7AF1FD" wp14:editId="0C560D71">
              <wp:simplePos x="635" y="635"/>
              <wp:positionH relativeFrom="page">
                <wp:align>center</wp:align>
              </wp:positionH>
              <wp:positionV relativeFrom="page">
                <wp:align>top</wp:align>
              </wp:positionV>
              <wp:extent cx="551815" cy="404495"/>
              <wp:effectExtent l="0" t="0" r="635" b="14605"/>
              <wp:wrapNone/>
              <wp:docPr id="164161480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3638F6F" w14:textId="4E8CFA58" w:rsidR="00AF555B" w:rsidRPr="00AF555B" w:rsidRDefault="00AF555B" w:rsidP="00AF555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7AF1FD" id="_x0000_t202" coordsize="21600,21600" o:spt="202" path="m,l,21600r21600,l21600,xe">
              <v:stroke joinstyle="miter"/>
              <v:path gradientshapeok="t" o:connecttype="rect"/>
            </v:shapetype>
            <v:shape id="Text Box 7" o:spid="_x0000_s1034" type="#_x0000_t202" alt="OFFICIAL" style="position:absolute;left:0;text-align:left;margin-left:0;margin-top:0;width:43.45pt;height:31.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Ct3IbJDgIAABwE&#10;AAAOAAAAAAAAAAAAAAAAAC4CAABkcnMvZTJvRG9jLnhtbFBLAQItABQABgAIAAAAIQD8pn6y2gAA&#10;AAMBAAAPAAAAAAAAAAAAAAAAAGgEAABkcnMvZG93bnJldi54bWxQSwUGAAAAAAQABADzAAAAbwUA&#10;AAAA&#10;" filled="f" stroked="f">
              <v:textbox style="mso-fit-shape-to-text:t" inset="0,15pt,0,0">
                <w:txbxContent>
                  <w:p w14:paraId="73638F6F" w14:textId="4E8CFA58" w:rsidR="00AF555B" w:rsidRPr="00AF555B" w:rsidRDefault="00AF555B" w:rsidP="00AF555B">
                    <w:pPr>
                      <w:spacing w:after="0"/>
                      <w:rPr>
                        <w:rFonts w:ascii="Calibri" w:eastAsia="Calibri" w:hAnsi="Calibri" w:cs="Calibri"/>
                        <w:noProof/>
                        <w:color w:val="FF0000"/>
                        <w:sz w:val="24"/>
                        <w:szCs w:val="24"/>
                      </w:rPr>
                    </w:pPr>
                  </w:p>
                </w:txbxContent>
              </v:textbox>
              <w10:wrap anchorx="page" anchory="page"/>
            </v:shape>
          </w:pict>
        </mc:Fallback>
      </mc:AlternateContent>
    </w:r>
    <w:r w:rsidR="007418EF" w:rsidRPr="007418EF">
      <w:t xml:space="preserve"> </w:t>
    </w:r>
    <w:r w:rsidR="007418EF">
      <w:t>National Xylella Action Plan 2019–2029</w:t>
    </w:r>
    <w:r w:rsidR="00013AE2">
      <w:t>: implementation schedule</w:t>
    </w:r>
    <w:r w:rsidR="00395E86">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52468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026E77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8F370FE"/>
    <w:multiLevelType w:val="hybridMultilevel"/>
    <w:tmpl w:val="6874A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0F7812AA"/>
    <w:multiLevelType w:val="hybridMultilevel"/>
    <w:tmpl w:val="12D60D7A"/>
    <w:lvl w:ilvl="0" w:tplc="78747FD2">
      <w:start w:val="1"/>
      <w:numFmt w:val="bullet"/>
      <w:lvlText w:val="-"/>
      <w:lvlJc w:val="left"/>
      <w:pPr>
        <w:ind w:left="720" w:hanging="360"/>
      </w:pPr>
      <w:rPr>
        <w:rFonts w:ascii="Calibri" w:eastAsiaTheme="minorHAnsi" w:hAnsi="Calibri" w:cs="Calibr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5B743B3"/>
    <w:multiLevelType w:val="hybridMultilevel"/>
    <w:tmpl w:val="C1D8FD60"/>
    <w:lvl w:ilvl="0" w:tplc="452CFEB8">
      <w:start w:val="1"/>
      <w:numFmt w:val="bullet"/>
      <w:lvlText w:val=""/>
      <w:lvlJc w:val="left"/>
      <w:pPr>
        <w:ind w:left="720" w:hanging="360"/>
      </w:pPr>
      <w:rPr>
        <w:rFonts w:ascii="Symbol" w:hAnsi="Symbol" w:hint="default"/>
      </w:rPr>
    </w:lvl>
    <w:lvl w:ilvl="1" w:tplc="79CE6C0C" w:tentative="1">
      <w:start w:val="1"/>
      <w:numFmt w:val="bullet"/>
      <w:lvlText w:val="o"/>
      <w:lvlJc w:val="left"/>
      <w:pPr>
        <w:ind w:left="1440" w:hanging="360"/>
      </w:pPr>
      <w:rPr>
        <w:rFonts w:ascii="Courier New" w:hAnsi="Courier New" w:cs="Courier New" w:hint="default"/>
      </w:rPr>
    </w:lvl>
    <w:lvl w:ilvl="2" w:tplc="8A928DA4" w:tentative="1">
      <w:start w:val="1"/>
      <w:numFmt w:val="bullet"/>
      <w:lvlText w:val=""/>
      <w:lvlJc w:val="left"/>
      <w:pPr>
        <w:ind w:left="2160" w:hanging="360"/>
      </w:pPr>
      <w:rPr>
        <w:rFonts w:ascii="Wingdings" w:hAnsi="Wingdings" w:hint="default"/>
      </w:rPr>
    </w:lvl>
    <w:lvl w:ilvl="3" w:tplc="4AD659BC" w:tentative="1">
      <w:start w:val="1"/>
      <w:numFmt w:val="bullet"/>
      <w:lvlText w:val=""/>
      <w:lvlJc w:val="left"/>
      <w:pPr>
        <w:ind w:left="2880" w:hanging="360"/>
      </w:pPr>
      <w:rPr>
        <w:rFonts w:ascii="Symbol" w:hAnsi="Symbol" w:hint="default"/>
      </w:rPr>
    </w:lvl>
    <w:lvl w:ilvl="4" w:tplc="F9F6FC9E" w:tentative="1">
      <w:start w:val="1"/>
      <w:numFmt w:val="bullet"/>
      <w:lvlText w:val="o"/>
      <w:lvlJc w:val="left"/>
      <w:pPr>
        <w:ind w:left="3600" w:hanging="360"/>
      </w:pPr>
      <w:rPr>
        <w:rFonts w:ascii="Courier New" w:hAnsi="Courier New" w:cs="Courier New" w:hint="default"/>
      </w:rPr>
    </w:lvl>
    <w:lvl w:ilvl="5" w:tplc="00DE9EDA" w:tentative="1">
      <w:start w:val="1"/>
      <w:numFmt w:val="bullet"/>
      <w:lvlText w:val=""/>
      <w:lvlJc w:val="left"/>
      <w:pPr>
        <w:ind w:left="4320" w:hanging="360"/>
      </w:pPr>
      <w:rPr>
        <w:rFonts w:ascii="Wingdings" w:hAnsi="Wingdings" w:hint="default"/>
      </w:rPr>
    </w:lvl>
    <w:lvl w:ilvl="6" w:tplc="A3D241FE" w:tentative="1">
      <w:start w:val="1"/>
      <w:numFmt w:val="bullet"/>
      <w:lvlText w:val=""/>
      <w:lvlJc w:val="left"/>
      <w:pPr>
        <w:ind w:left="5040" w:hanging="360"/>
      </w:pPr>
      <w:rPr>
        <w:rFonts w:ascii="Symbol" w:hAnsi="Symbol" w:hint="default"/>
      </w:rPr>
    </w:lvl>
    <w:lvl w:ilvl="7" w:tplc="1BEA28CA" w:tentative="1">
      <w:start w:val="1"/>
      <w:numFmt w:val="bullet"/>
      <w:lvlText w:val="o"/>
      <w:lvlJc w:val="left"/>
      <w:pPr>
        <w:ind w:left="5760" w:hanging="360"/>
      </w:pPr>
      <w:rPr>
        <w:rFonts w:ascii="Courier New" w:hAnsi="Courier New" w:cs="Courier New" w:hint="default"/>
      </w:rPr>
    </w:lvl>
    <w:lvl w:ilvl="8" w:tplc="2348FDA8" w:tentative="1">
      <w:start w:val="1"/>
      <w:numFmt w:val="bullet"/>
      <w:lvlText w:val=""/>
      <w:lvlJc w:val="left"/>
      <w:pPr>
        <w:ind w:left="6480" w:hanging="360"/>
      </w:pPr>
      <w:rPr>
        <w:rFonts w:ascii="Wingdings" w:hAnsi="Wingdings" w:hint="default"/>
      </w:rPr>
    </w:lvl>
  </w:abstractNum>
  <w:abstractNum w:abstractNumId="13"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4"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328D5"/>
    <w:multiLevelType w:val="multilevel"/>
    <w:tmpl w:val="BE78A4F8"/>
    <w:numStyleLink w:val="Numberlist"/>
  </w:abstractNum>
  <w:abstractNum w:abstractNumId="16"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51019D4"/>
    <w:multiLevelType w:val="multilevel"/>
    <w:tmpl w:val="0334355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B103637"/>
    <w:multiLevelType w:val="multilevel"/>
    <w:tmpl w:val="BE78A4F8"/>
    <w:numStyleLink w:val="Numberlist"/>
  </w:abstractNum>
  <w:abstractNum w:abstractNumId="19" w15:restartNumberingAfterBreak="0">
    <w:nsid w:val="394A15FE"/>
    <w:multiLevelType w:val="multilevel"/>
    <w:tmpl w:val="B95457A8"/>
    <w:numStyleLink w:val="Headinglist"/>
  </w:abstractNum>
  <w:abstractNum w:abstractNumId="20" w15:restartNumberingAfterBreak="0">
    <w:nsid w:val="414F4729"/>
    <w:multiLevelType w:val="multilevel"/>
    <w:tmpl w:val="A0241B28"/>
    <w:numStyleLink w:val="List1"/>
  </w:abstractNum>
  <w:abstractNum w:abstractNumId="21" w15:restartNumberingAfterBreak="0">
    <w:nsid w:val="486800B4"/>
    <w:multiLevelType w:val="multilevel"/>
    <w:tmpl w:val="A0241B28"/>
    <w:numStyleLink w:val="List1"/>
  </w:abstractNum>
  <w:abstractNum w:abstractNumId="22"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3" w15:restartNumberingAfterBreak="0">
    <w:nsid w:val="496159DC"/>
    <w:multiLevelType w:val="multilevel"/>
    <w:tmpl w:val="BE78A4F8"/>
    <w:numStyleLink w:val="Numberlist"/>
  </w:abstractNum>
  <w:abstractNum w:abstractNumId="24" w15:restartNumberingAfterBreak="0">
    <w:nsid w:val="4A9D35C6"/>
    <w:multiLevelType w:val="hybridMultilevel"/>
    <w:tmpl w:val="4E487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B83B83"/>
    <w:multiLevelType w:val="hybridMultilevel"/>
    <w:tmpl w:val="C7627D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8"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1"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8C10A1"/>
    <w:multiLevelType w:val="multilevel"/>
    <w:tmpl w:val="BE78A4F8"/>
    <w:numStyleLink w:val="Numberlist"/>
  </w:abstractNum>
  <w:abstractNum w:abstractNumId="34" w15:restartNumberingAfterBreak="0">
    <w:nsid w:val="733934B7"/>
    <w:multiLevelType w:val="multilevel"/>
    <w:tmpl w:val="A0241B28"/>
    <w:numStyleLink w:val="List1"/>
  </w:abstractNum>
  <w:num w:numId="1" w16cid:durableId="1171791816">
    <w:abstractNumId w:val="7"/>
  </w:num>
  <w:num w:numId="2" w16cid:durableId="1667321647">
    <w:abstractNumId w:val="21"/>
  </w:num>
  <w:num w:numId="3" w16cid:durableId="59796415">
    <w:abstractNumId w:val="22"/>
  </w:num>
  <w:num w:numId="4" w16cid:durableId="1913806772">
    <w:abstractNumId w:val="13"/>
  </w:num>
  <w:num w:numId="5" w16cid:durableId="2037268471">
    <w:abstractNumId w:val="29"/>
  </w:num>
  <w:num w:numId="6" w16cid:durableId="1355770275">
    <w:abstractNumId w:val="30"/>
  </w:num>
  <w:num w:numId="7" w16cid:durableId="2033527157">
    <w:abstractNumId w:val="9"/>
  </w:num>
  <w:num w:numId="8" w16cid:durableId="1882862685">
    <w:abstractNumId w:val="16"/>
  </w:num>
  <w:num w:numId="9" w16cid:durableId="179634464">
    <w:abstractNumId w:val="19"/>
  </w:num>
  <w:num w:numId="10" w16cid:durableId="19015584">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4"/>
  </w:num>
  <w:num w:numId="16" w16cid:durableId="52967123">
    <w:abstractNumId w:val="27"/>
  </w:num>
  <w:num w:numId="17" w16cid:durableId="6434383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32"/>
  </w:num>
  <w:num w:numId="19" w16cid:durableId="1707943211">
    <w:abstractNumId w:val="1"/>
  </w:num>
  <w:num w:numId="20" w16cid:durableId="570045979">
    <w:abstractNumId w:val="0"/>
  </w:num>
  <w:num w:numId="21" w16cid:durableId="1679841556">
    <w:abstractNumId w:val="18"/>
  </w:num>
  <w:num w:numId="22" w16cid:durableId="959340878">
    <w:abstractNumId w:val="23"/>
  </w:num>
  <w:num w:numId="23" w16cid:durableId="17239849">
    <w:abstractNumId w:val="33"/>
  </w:num>
  <w:num w:numId="24" w16cid:durableId="1609504699">
    <w:abstractNumId w:val="15"/>
  </w:num>
  <w:num w:numId="25" w16cid:durableId="121310739">
    <w:abstractNumId w:val="20"/>
  </w:num>
  <w:num w:numId="26" w16cid:durableId="360508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34"/>
  </w:num>
  <w:num w:numId="28" w16cid:durableId="286162399">
    <w:abstractNumId w:val="26"/>
  </w:num>
  <w:num w:numId="29" w16cid:durableId="1314989398">
    <w:abstractNumId w:val="28"/>
  </w:num>
  <w:num w:numId="30" w16cid:durableId="66652615">
    <w:abstractNumId w:val="11"/>
  </w:num>
  <w:num w:numId="31" w16cid:durableId="1990859383">
    <w:abstractNumId w:val="5"/>
  </w:num>
  <w:num w:numId="32" w16cid:durableId="951480071">
    <w:abstractNumId w:val="22"/>
  </w:num>
  <w:num w:numId="33" w16cid:durableId="2131590192">
    <w:abstractNumId w:val="16"/>
    <w:lvlOverride w:ilvl="0">
      <w:lvl w:ilvl="0">
        <w:start w:val="1"/>
        <w:numFmt w:val="decimal"/>
        <w:pStyle w:val="Heading2"/>
        <w:lvlText w:val="%1"/>
        <w:lvlJc w:val="left"/>
        <w:pPr>
          <w:ind w:left="720" w:hanging="720"/>
        </w:pPr>
        <w:rPr>
          <w:color w:val="59621D"/>
        </w:rPr>
      </w:lvl>
    </w:lvlOverride>
  </w:num>
  <w:num w:numId="34" w16cid:durableId="21588965">
    <w:abstractNumId w:val="16"/>
    <w:lvlOverride w:ilvl="0">
      <w:lvl w:ilvl="0">
        <w:start w:val="1"/>
        <w:numFmt w:val="decimal"/>
        <w:pStyle w:val="Heading2"/>
        <w:lvlText w:val="%1"/>
        <w:lvlJc w:val="left"/>
        <w:pPr>
          <w:ind w:left="720" w:hanging="720"/>
        </w:pPr>
        <w:rPr>
          <w:color w:val="59621D"/>
        </w:rPr>
      </w:lvl>
    </w:lvlOverride>
  </w:num>
  <w:num w:numId="35" w16cid:durableId="188571948">
    <w:abstractNumId w:val="16"/>
    <w:lvlOverride w:ilvl="0">
      <w:lvl w:ilvl="0">
        <w:start w:val="1"/>
        <w:numFmt w:val="decimal"/>
        <w:pStyle w:val="Heading2"/>
        <w:lvlText w:val="%1"/>
        <w:lvlJc w:val="left"/>
        <w:pPr>
          <w:ind w:left="720" w:hanging="720"/>
        </w:pPr>
        <w:rPr>
          <w:color w:val="59621D"/>
        </w:rPr>
      </w:lvl>
    </w:lvlOverride>
  </w:num>
  <w:num w:numId="36" w16cid:durableId="844629787">
    <w:abstractNumId w:val="16"/>
    <w:lvlOverride w:ilvl="0">
      <w:lvl w:ilvl="0">
        <w:start w:val="1"/>
        <w:numFmt w:val="decimal"/>
        <w:pStyle w:val="Heading2"/>
        <w:lvlText w:val="%1"/>
        <w:lvlJc w:val="left"/>
        <w:pPr>
          <w:ind w:left="720" w:hanging="720"/>
        </w:pPr>
      </w:lvl>
    </w:lvlOverride>
  </w:num>
  <w:num w:numId="37" w16cid:durableId="935332696">
    <w:abstractNumId w:val="29"/>
  </w:num>
  <w:num w:numId="38" w16cid:durableId="1594363265">
    <w:abstractNumId w:val="29"/>
  </w:num>
  <w:num w:numId="39" w16cid:durableId="934168278">
    <w:abstractNumId w:val="29"/>
  </w:num>
  <w:num w:numId="40" w16cid:durableId="1347173504">
    <w:abstractNumId w:val="30"/>
  </w:num>
  <w:num w:numId="41" w16cid:durableId="823355897">
    <w:abstractNumId w:val="30"/>
  </w:num>
  <w:num w:numId="42" w16cid:durableId="1100218817">
    <w:abstractNumId w:val="30"/>
  </w:num>
  <w:num w:numId="43" w16cid:durableId="1698308952">
    <w:abstractNumId w:val="29"/>
  </w:num>
  <w:num w:numId="44" w16cid:durableId="547035718">
    <w:abstractNumId w:val="30"/>
  </w:num>
  <w:num w:numId="45" w16cid:durableId="921455078">
    <w:abstractNumId w:val="13"/>
  </w:num>
  <w:num w:numId="46" w16cid:durableId="1145393031">
    <w:abstractNumId w:val="11"/>
  </w:num>
  <w:num w:numId="47" w16cid:durableId="776364836">
    <w:abstractNumId w:val="26"/>
  </w:num>
  <w:num w:numId="48" w16cid:durableId="919363984">
    <w:abstractNumId w:val="27"/>
  </w:num>
  <w:num w:numId="49" w16cid:durableId="645671681">
    <w:abstractNumId w:val="31"/>
  </w:num>
  <w:num w:numId="50" w16cid:durableId="745149752">
    <w:abstractNumId w:val="16"/>
    <w:lvlOverride w:ilvl="0">
      <w:lvl w:ilvl="0">
        <w:start w:val="1"/>
        <w:numFmt w:val="decimal"/>
        <w:pStyle w:val="Heading2"/>
        <w:lvlText w:val="%1"/>
        <w:lvlJc w:val="left"/>
        <w:pPr>
          <w:ind w:left="720" w:hanging="720"/>
        </w:pPr>
      </w:lvl>
    </w:lvlOverride>
  </w:num>
  <w:num w:numId="51" w16cid:durableId="1339388524">
    <w:abstractNumId w:val="12"/>
  </w:num>
  <w:num w:numId="52" w16cid:durableId="1894655202">
    <w:abstractNumId w:val="10"/>
  </w:num>
  <w:num w:numId="53" w16cid:durableId="137889681">
    <w:abstractNumId w:val="7"/>
  </w:num>
  <w:num w:numId="54" w16cid:durableId="1332564079">
    <w:abstractNumId w:val="6"/>
  </w:num>
  <w:num w:numId="55" w16cid:durableId="878275291">
    <w:abstractNumId w:val="7"/>
  </w:num>
  <w:num w:numId="56" w16cid:durableId="464784713">
    <w:abstractNumId w:val="6"/>
  </w:num>
  <w:num w:numId="57" w16cid:durableId="841435397">
    <w:abstractNumId w:val="7"/>
  </w:num>
  <w:num w:numId="58" w16cid:durableId="379481948">
    <w:abstractNumId w:val="16"/>
    <w:lvlOverride w:ilvl="0">
      <w:lvl w:ilvl="0">
        <w:start w:val="1"/>
        <w:numFmt w:val="decimal"/>
        <w:pStyle w:val="Heading2"/>
        <w:lvlText w:val="%1"/>
        <w:lvlJc w:val="left"/>
        <w:pPr>
          <w:ind w:left="720" w:hanging="720"/>
        </w:pPr>
      </w:lvl>
    </w:lvlOverride>
  </w:num>
  <w:num w:numId="59" w16cid:durableId="1540164956">
    <w:abstractNumId w:val="16"/>
    <w:lvlOverride w:ilvl="0">
      <w:lvl w:ilvl="0">
        <w:start w:val="1"/>
        <w:numFmt w:val="decimal"/>
        <w:pStyle w:val="Heading2"/>
        <w:lvlText w:val="%1"/>
        <w:lvlJc w:val="left"/>
        <w:pPr>
          <w:ind w:left="720" w:hanging="720"/>
        </w:pPr>
      </w:lvl>
    </w:lvlOverride>
  </w:num>
  <w:num w:numId="60" w16cid:durableId="2004235777">
    <w:abstractNumId w:val="25"/>
  </w:num>
  <w:num w:numId="61" w16cid:durableId="1003245516">
    <w:abstractNumId w:val="8"/>
  </w:num>
  <w:num w:numId="62" w16cid:durableId="144786219">
    <w:abstractNumId w:val="17"/>
  </w:num>
  <w:num w:numId="63" w16cid:durableId="797146435">
    <w:abstractNumId w:val="16"/>
    <w:lvlOverride w:ilvl="0">
      <w:lvl w:ilvl="0">
        <w:start w:val="1"/>
        <w:numFmt w:val="decimal"/>
        <w:pStyle w:val="Heading2"/>
        <w:lvlText w:val="%1"/>
        <w:lvlJc w:val="left"/>
        <w:pPr>
          <w:ind w:left="720" w:hanging="720"/>
        </w:pPr>
      </w:lvl>
    </w:lvlOverride>
  </w:num>
  <w:num w:numId="64" w16cid:durableId="844366002">
    <w:abstractNumId w:val="16"/>
    <w:lvlOverride w:ilvl="0">
      <w:lvl w:ilvl="0">
        <w:start w:val="1"/>
        <w:numFmt w:val="decimal"/>
        <w:pStyle w:val="Heading2"/>
        <w:lvlText w:val="%1"/>
        <w:lvlJc w:val="left"/>
        <w:pPr>
          <w:ind w:left="720" w:hanging="720"/>
        </w:pPr>
      </w:lvl>
    </w:lvlOverride>
  </w:num>
  <w:num w:numId="65" w16cid:durableId="1596788543">
    <w:abstractNumId w:val="16"/>
    <w:lvlOverride w:ilvl="0">
      <w:lvl w:ilvl="0">
        <w:start w:val="1"/>
        <w:numFmt w:val="decimal"/>
        <w:pStyle w:val="Heading2"/>
        <w:lvlText w:val="%1"/>
        <w:lvlJc w:val="left"/>
        <w:pPr>
          <w:ind w:left="720" w:hanging="720"/>
        </w:pPr>
      </w:lvl>
    </w:lvlOverride>
  </w:num>
  <w:num w:numId="66" w16cid:durableId="553467247">
    <w:abstractNumId w:val="16"/>
    <w:lvlOverride w:ilvl="0">
      <w:lvl w:ilvl="0">
        <w:start w:val="1"/>
        <w:numFmt w:val="decimal"/>
        <w:pStyle w:val="Heading2"/>
        <w:lvlText w:val="%1"/>
        <w:lvlJc w:val="left"/>
        <w:pPr>
          <w:ind w:left="720" w:hanging="720"/>
        </w:pPr>
      </w:lvl>
    </w:lvlOverride>
  </w:num>
  <w:num w:numId="67" w16cid:durableId="817649062">
    <w:abstractNumId w:val="24"/>
  </w:num>
  <w:num w:numId="68" w16cid:durableId="840657517">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1"/>
  <w:activeWritingStyle w:appName="MSWord" w:lang="en-US" w:vendorID="64" w:dllVersion="0" w:nlCheck="1" w:checkStyle="0"/>
  <w:activeWritingStyle w:appName="MSWord" w:lang="en-GB"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F2"/>
    <w:rsid w:val="00003455"/>
    <w:rsid w:val="00004733"/>
    <w:rsid w:val="0001019E"/>
    <w:rsid w:val="00010FF4"/>
    <w:rsid w:val="000112BD"/>
    <w:rsid w:val="00011B18"/>
    <w:rsid w:val="00013AC2"/>
    <w:rsid w:val="00013AE2"/>
    <w:rsid w:val="00015490"/>
    <w:rsid w:val="000178B6"/>
    <w:rsid w:val="00017CCB"/>
    <w:rsid w:val="00017DDE"/>
    <w:rsid w:val="000237AC"/>
    <w:rsid w:val="00023EAD"/>
    <w:rsid w:val="00026F52"/>
    <w:rsid w:val="0002746B"/>
    <w:rsid w:val="00032B42"/>
    <w:rsid w:val="00037448"/>
    <w:rsid w:val="000402FF"/>
    <w:rsid w:val="000454C5"/>
    <w:rsid w:val="00050C59"/>
    <w:rsid w:val="0005273E"/>
    <w:rsid w:val="00053D49"/>
    <w:rsid w:val="00055169"/>
    <w:rsid w:val="00056412"/>
    <w:rsid w:val="0005721D"/>
    <w:rsid w:val="00057844"/>
    <w:rsid w:val="0006127B"/>
    <w:rsid w:val="00067C9A"/>
    <w:rsid w:val="0007122E"/>
    <w:rsid w:val="000724BC"/>
    <w:rsid w:val="00074FBE"/>
    <w:rsid w:val="00075981"/>
    <w:rsid w:val="000763D2"/>
    <w:rsid w:val="000778EF"/>
    <w:rsid w:val="00081A5E"/>
    <w:rsid w:val="00081E7B"/>
    <w:rsid w:val="00082C37"/>
    <w:rsid w:val="0008547B"/>
    <w:rsid w:val="00087B0E"/>
    <w:rsid w:val="00087CF7"/>
    <w:rsid w:val="000926B4"/>
    <w:rsid w:val="00092814"/>
    <w:rsid w:val="000957B3"/>
    <w:rsid w:val="000A2CAA"/>
    <w:rsid w:val="000A435D"/>
    <w:rsid w:val="000A6C9E"/>
    <w:rsid w:val="000B0F55"/>
    <w:rsid w:val="000B11F9"/>
    <w:rsid w:val="000B57BC"/>
    <w:rsid w:val="000C18FF"/>
    <w:rsid w:val="000C34EF"/>
    <w:rsid w:val="000C3D4D"/>
    <w:rsid w:val="000C7E73"/>
    <w:rsid w:val="000D0202"/>
    <w:rsid w:val="000D3184"/>
    <w:rsid w:val="000D4C52"/>
    <w:rsid w:val="000D6DD8"/>
    <w:rsid w:val="000E06A9"/>
    <w:rsid w:val="000E25A5"/>
    <w:rsid w:val="0010042C"/>
    <w:rsid w:val="00100DAB"/>
    <w:rsid w:val="00101293"/>
    <w:rsid w:val="00102854"/>
    <w:rsid w:val="00102F05"/>
    <w:rsid w:val="00103763"/>
    <w:rsid w:val="00103A83"/>
    <w:rsid w:val="001044E9"/>
    <w:rsid w:val="001045B1"/>
    <w:rsid w:val="00106B8A"/>
    <w:rsid w:val="00106C85"/>
    <w:rsid w:val="001075AA"/>
    <w:rsid w:val="001116FD"/>
    <w:rsid w:val="00112B86"/>
    <w:rsid w:val="00112F64"/>
    <w:rsid w:val="00116E29"/>
    <w:rsid w:val="0011744D"/>
    <w:rsid w:val="00125E88"/>
    <w:rsid w:val="00126368"/>
    <w:rsid w:val="00126EAC"/>
    <w:rsid w:val="001318B9"/>
    <w:rsid w:val="00133341"/>
    <w:rsid w:val="00134CE6"/>
    <w:rsid w:val="001350B4"/>
    <w:rsid w:val="00135568"/>
    <w:rsid w:val="00136896"/>
    <w:rsid w:val="00141698"/>
    <w:rsid w:val="00142B49"/>
    <w:rsid w:val="001437C3"/>
    <w:rsid w:val="00143CB0"/>
    <w:rsid w:val="00143F78"/>
    <w:rsid w:val="0015120C"/>
    <w:rsid w:val="00151827"/>
    <w:rsid w:val="001523ED"/>
    <w:rsid w:val="001544E7"/>
    <w:rsid w:val="001567E9"/>
    <w:rsid w:val="00171323"/>
    <w:rsid w:val="001727D7"/>
    <w:rsid w:val="0017284A"/>
    <w:rsid w:val="00180FF6"/>
    <w:rsid w:val="001820F0"/>
    <w:rsid w:val="00183612"/>
    <w:rsid w:val="00184590"/>
    <w:rsid w:val="00187A50"/>
    <w:rsid w:val="00187F18"/>
    <w:rsid w:val="00190098"/>
    <w:rsid w:val="001907FD"/>
    <w:rsid w:val="001912B1"/>
    <w:rsid w:val="00192CA1"/>
    <w:rsid w:val="00196673"/>
    <w:rsid w:val="001A021E"/>
    <w:rsid w:val="001A1F79"/>
    <w:rsid w:val="001A2D55"/>
    <w:rsid w:val="001A34AD"/>
    <w:rsid w:val="001A4C27"/>
    <w:rsid w:val="001A79A5"/>
    <w:rsid w:val="001B1009"/>
    <w:rsid w:val="001B3ECC"/>
    <w:rsid w:val="001B6876"/>
    <w:rsid w:val="001B6ED9"/>
    <w:rsid w:val="001B749A"/>
    <w:rsid w:val="001C00A4"/>
    <w:rsid w:val="001C3583"/>
    <w:rsid w:val="001D0CB4"/>
    <w:rsid w:val="001D2F65"/>
    <w:rsid w:val="001D77BC"/>
    <w:rsid w:val="001E1C4C"/>
    <w:rsid w:val="001E4A3D"/>
    <w:rsid w:val="001F1952"/>
    <w:rsid w:val="001F582A"/>
    <w:rsid w:val="001F6C05"/>
    <w:rsid w:val="002007FB"/>
    <w:rsid w:val="00204B8A"/>
    <w:rsid w:val="00205D4F"/>
    <w:rsid w:val="0020678E"/>
    <w:rsid w:val="00217173"/>
    <w:rsid w:val="00217399"/>
    <w:rsid w:val="0022614A"/>
    <w:rsid w:val="002274A5"/>
    <w:rsid w:val="002312DF"/>
    <w:rsid w:val="00232E00"/>
    <w:rsid w:val="002365BD"/>
    <w:rsid w:val="00237B5D"/>
    <w:rsid w:val="0024278F"/>
    <w:rsid w:val="00244981"/>
    <w:rsid w:val="00251116"/>
    <w:rsid w:val="00252D6E"/>
    <w:rsid w:val="00257539"/>
    <w:rsid w:val="002609B4"/>
    <w:rsid w:val="00262207"/>
    <w:rsid w:val="00262394"/>
    <w:rsid w:val="0026321B"/>
    <w:rsid w:val="00263E40"/>
    <w:rsid w:val="00265855"/>
    <w:rsid w:val="002670A6"/>
    <w:rsid w:val="0027297D"/>
    <w:rsid w:val="00273FB3"/>
    <w:rsid w:val="00277DB4"/>
    <w:rsid w:val="00280FAA"/>
    <w:rsid w:val="00282DCF"/>
    <w:rsid w:val="00283EF0"/>
    <w:rsid w:val="00284B30"/>
    <w:rsid w:val="00285D46"/>
    <w:rsid w:val="0028649E"/>
    <w:rsid w:val="00286A7D"/>
    <w:rsid w:val="00286E08"/>
    <w:rsid w:val="002907E5"/>
    <w:rsid w:val="00290848"/>
    <w:rsid w:val="00290929"/>
    <w:rsid w:val="002915F2"/>
    <w:rsid w:val="002917DE"/>
    <w:rsid w:val="002932C0"/>
    <w:rsid w:val="00297EE1"/>
    <w:rsid w:val="002A193C"/>
    <w:rsid w:val="002A349D"/>
    <w:rsid w:val="002A6E2A"/>
    <w:rsid w:val="002A776B"/>
    <w:rsid w:val="002C0382"/>
    <w:rsid w:val="002C131C"/>
    <w:rsid w:val="002C2029"/>
    <w:rsid w:val="002C446B"/>
    <w:rsid w:val="002C7D76"/>
    <w:rsid w:val="002D67F7"/>
    <w:rsid w:val="002D7E04"/>
    <w:rsid w:val="002E225A"/>
    <w:rsid w:val="002E25A2"/>
    <w:rsid w:val="002E2A77"/>
    <w:rsid w:val="002E2D9D"/>
    <w:rsid w:val="002E6321"/>
    <w:rsid w:val="002E679D"/>
    <w:rsid w:val="002E7ED9"/>
    <w:rsid w:val="002F5698"/>
    <w:rsid w:val="002F5C6F"/>
    <w:rsid w:val="002F625F"/>
    <w:rsid w:val="00300DC4"/>
    <w:rsid w:val="003031AC"/>
    <w:rsid w:val="00305911"/>
    <w:rsid w:val="0030792A"/>
    <w:rsid w:val="00314563"/>
    <w:rsid w:val="00315B0F"/>
    <w:rsid w:val="00317C7B"/>
    <w:rsid w:val="003239FC"/>
    <w:rsid w:val="00327C29"/>
    <w:rsid w:val="00331C9B"/>
    <w:rsid w:val="00333079"/>
    <w:rsid w:val="003336EF"/>
    <w:rsid w:val="00333D70"/>
    <w:rsid w:val="00340160"/>
    <w:rsid w:val="00340820"/>
    <w:rsid w:val="00346402"/>
    <w:rsid w:val="003467B8"/>
    <w:rsid w:val="00357095"/>
    <w:rsid w:val="00362353"/>
    <w:rsid w:val="00366C7A"/>
    <w:rsid w:val="00367ACF"/>
    <w:rsid w:val="0037120E"/>
    <w:rsid w:val="00372832"/>
    <w:rsid w:val="00372BA5"/>
    <w:rsid w:val="00375007"/>
    <w:rsid w:val="00376432"/>
    <w:rsid w:val="003768F8"/>
    <w:rsid w:val="00380373"/>
    <w:rsid w:val="00381D23"/>
    <w:rsid w:val="0038483B"/>
    <w:rsid w:val="00386B82"/>
    <w:rsid w:val="00387FF4"/>
    <w:rsid w:val="00390928"/>
    <w:rsid w:val="0039293F"/>
    <w:rsid w:val="00392EB2"/>
    <w:rsid w:val="00395E86"/>
    <w:rsid w:val="00396339"/>
    <w:rsid w:val="003A04B6"/>
    <w:rsid w:val="003A1099"/>
    <w:rsid w:val="003A498F"/>
    <w:rsid w:val="003A4B4A"/>
    <w:rsid w:val="003A59BA"/>
    <w:rsid w:val="003A6766"/>
    <w:rsid w:val="003A6BFB"/>
    <w:rsid w:val="003B140F"/>
    <w:rsid w:val="003B1DE6"/>
    <w:rsid w:val="003B27B5"/>
    <w:rsid w:val="003B5961"/>
    <w:rsid w:val="003C2BC7"/>
    <w:rsid w:val="003C4AE2"/>
    <w:rsid w:val="003C6485"/>
    <w:rsid w:val="003C764D"/>
    <w:rsid w:val="003D2EFA"/>
    <w:rsid w:val="003D3CE1"/>
    <w:rsid w:val="003D44DC"/>
    <w:rsid w:val="003E17DC"/>
    <w:rsid w:val="003E60D8"/>
    <w:rsid w:val="003E73E7"/>
    <w:rsid w:val="003F5AC7"/>
    <w:rsid w:val="003F5E7E"/>
    <w:rsid w:val="003F5EEB"/>
    <w:rsid w:val="003F69F5"/>
    <w:rsid w:val="00402404"/>
    <w:rsid w:val="004052AC"/>
    <w:rsid w:val="00405EAD"/>
    <w:rsid w:val="00406AC2"/>
    <w:rsid w:val="00406EDE"/>
    <w:rsid w:val="00411408"/>
    <w:rsid w:val="0041174A"/>
    <w:rsid w:val="00412E0B"/>
    <w:rsid w:val="00415824"/>
    <w:rsid w:val="0042147A"/>
    <w:rsid w:val="004223E3"/>
    <w:rsid w:val="00422551"/>
    <w:rsid w:val="00424757"/>
    <w:rsid w:val="0042593E"/>
    <w:rsid w:val="00425B08"/>
    <w:rsid w:val="0043376F"/>
    <w:rsid w:val="00433776"/>
    <w:rsid w:val="00433C0F"/>
    <w:rsid w:val="00437485"/>
    <w:rsid w:val="00437EFD"/>
    <w:rsid w:val="00437F39"/>
    <w:rsid w:val="00442A60"/>
    <w:rsid w:val="00444D6B"/>
    <w:rsid w:val="00445F65"/>
    <w:rsid w:val="004462AD"/>
    <w:rsid w:val="004501EF"/>
    <w:rsid w:val="00451900"/>
    <w:rsid w:val="00460750"/>
    <w:rsid w:val="00461AFF"/>
    <w:rsid w:val="00462C1A"/>
    <w:rsid w:val="00464C99"/>
    <w:rsid w:val="004651A9"/>
    <w:rsid w:val="00466138"/>
    <w:rsid w:val="004705F2"/>
    <w:rsid w:val="00473964"/>
    <w:rsid w:val="00474CEC"/>
    <w:rsid w:val="00477896"/>
    <w:rsid w:val="004837B1"/>
    <w:rsid w:val="00484EDD"/>
    <w:rsid w:val="0048569E"/>
    <w:rsid w:val="004867CE"/>
    <w:rsid w:val="00486C20"/>
    <w:rsid w:val="00486EF9"/>
    <w:rsid w:val="00490CFA"/>
    <w:rsid w:val="00490E7F"/>
    <w:rsid w:val="004926B3"/>
    <w:rsid w:val="00493492"/>
    <w:rsid w:val="004952F2"/>
    <w:rsid w:val="004A01B6"/>
    <w:rsid w:val="004A246C"/>
    <w:rsid w:val="004A3C29"/>
    <w:rsid w:val="004A66C6"/>
    <w:rsid w:val="004B4B9E"/>
    <w:rsid w:val="004B6AAB"/>
    <w:rsid w:val="004C0F24"/>
    <w:rsid w:val="004C1F57"/>
    <w:rsid w:val="004C2071"/>
    <w:rsid w:val="004C2775"/>
    <w:rsid w:val="004C6362"/>
    <w:rsid w:val="004C6C47"/>
    <w:rsid w:val="004D20BD"/>
    <w:rsid w:val="004D4368"/>
    <w:rsid w:val="004E052E"/>
    <w:rsid w:val="004E2F5A"/>
    <w:rsid w:val="004E5797"/>
    <w:rsid w:val="004F0FB4"/>
    <w:rsid w:val="004F25EF"/>
    <w:rsid w:val="004F3FFC"/>
    <w:rsid w:val="004F43E6"/>
    <w:rsid w:val="004F4858"/>
    <w:rsid w:val="004F7267"/>
    <w:rsid w:val="00503AD8"/>
    <w:rsid w:val="00503C40"/>
    <w:rsid w:val="00507B88"/>
    <w:rsid w:val="0051250A"/>
    <w:rsid w:val="00512C0A"/>
    <w:rsid w:val="00516462"/>
    <w:rsid w:val="00516C96"/>
    <w:rsid w:val="005205F9"/>
    <w:rsid w:val="005315B2"/>
    <w:rsid w:val="00535319"/>
    <w:rsid w:val="0054143D"/>
    <w:rsid w:val="005425D8"/>
    <w:rsid w:val="00543BA6"/>
    <w:rsid w:val="0054400D"/>
    <w:rsid w:val="005479BF"/>
    <w:rsid w:val="00554FC4"/>
    <w:rsid w:val="00555E2D"/>
    <w:rsid w:val="00556AED"/>
    <w:rsid w:val="00557620"/>
    <w:rsid w:val="0056113C"/>
    <w:rsid w:val="00564F4C"/>
    <w:rsid w:val="00565738"/>
    <w:rsid w:val="00566479"/>
    <w:rsid w:val="00566997"/>
    <w:rsid w:val="005732E0"/>
    <w:rsid w:val="00573BAD"/>
    <w:rsid w:val="00575D80"/>
    <w:rsid w:val="00580765"/>
    <w:rsid w:val="00580916"/>
    <w:rsid w:val="005809B1"/>
    <w:rsid w:val="00585C71"/>
    <w:rsid w:val="00586D34"/>
    <w:rsid w:val="005935DE"/>
    <w:rsid w:val="005A0472"/>
    <w:rsid w:val="005A18ED"/>
    <w:rsid w:val="005A292B"/>
    <w:rsid w:val="005A47DC"/>
    <w:rsid w:val="005A516D"/>
    <w:rsid w:val="005A52B0"/>
    <w:rsid w:val="005A620F"/>
    <w:rsid w:val="005B2185"/>
    <w:rsid w:val="005B2D6A"/>
    <w:rsid w:val="005B7221"/>
    <w:rsid w:val="005C2139"/>
    <w:rsid w:val="005C4EF5"/>
    <w:rsid w:val="005C659F"/>
    <w:rsid w:val="005C66F3"/>
    <w:rsid w:val="005D26F3"/>
    <w:rsid w:val="005D3343"/>
    <w:rsid w:val="005D4D9E"/>
    <w:rsid w:val="005E21E7"/>
    <w:rsid w:val="005E2BA1"/>
    <w:rsid w:val="005E5BCF"/>
    <w:rsid w:val="005E6123"/>
    <w:rsid w:val="005E6550"/>
    <w:rsid w:val="005E66C9"/>
    <w:rsid w:val="005F0E4D"/>
    <w:rsid w:val="005F3678"/>
    <w:rsid w:val="005F4ABF"/>
    <w:rsid w:val="006019C1"/>
    <w:rsid w:val="00605035"/>
    <w:rsid w:val="00611DA7"/>
    <w:rsid w:val="006130B0"/>
    <w:rsid w:val="006172F7"/>
    <w:rsid w:val="00620E16"/>
    <w:rsid w:val="006274DC"/>
    <w:rsid w:val="00627890"/>
    <w:rsid w:val="00630864"/>
    <w:rsid w:val="00632491"/>
    <w:rsid w:val="006400C2"/>
    <w:rsid w:val="006416D4"/>
    <w:rsid w:val="006471DA"/>
    <w:rsid w:val="0065358E"/>
    <w:rsid w:val="0068348F"/>
    <w:rsid w:val="00690F33"/>
    <w:rsid w:val="0069121A"/>
    <w:rsid w:val="006923B6"/>
    <w:rsid w:val="006A22D8"/>
    <w:rsid w:val="006B093D"/>
    <w:rsid w:val="006B3261"/>
    <w:rsid w:val="006B3A1A"/>
    <w:rsid w:val="006B4C40"/>
    <w:rsid w:val="006B53A2"/>
    <w:rsid w:val="006B72D7"/>
    <w:rsid w:val="006C244E"/>
    <w:rsid w:val="006C31E3"/>
    <w:rsid w:val="006C7C97"/>
    <w:rsid w:val="006D06DF"/>
    <w:rsid w:val="006D332C"/>
    <w:rsid w:val="006E5D7F"/>
    <w:rsid w:val="006E760B"/>
    <w:rsid w:val="006F1668"/>
    <w:rsid w:val="006F2180"/>
    <w:rsid w:val="006F5852"/>
    <w:rsid w:val="006F5A0E"/>
    <w:rsid w:val="0070391A"/>
    <w:rsid w:val="00705183"/>
    <w:rsid w:val="00726525"/>
    <w:rsid w:val="00726F5C"/>
    <w:rsid w:val="00731581"/>
    <w:rsid w:val="00732DA2"/>
    <w:rsid w:val="00734C34"/>
    <w:rsid w:val="007378ED"/>
    <w:rsid w:val="007405CB"/>
    <w:rsid w:val="007418EF"/>
    <w:rsid w:val="007436AD"/>
    <w:rsid w:val="0074684B"/>
    <w:rsid w:val="00746918"/>
    <w:rsid w:val="00746D07"/>
    <w:rsid w:val="007510A2"/>
    <w:rsid w:val="00753AB9"/>
    <w:rsid w:val="00771D88"/>
    <w:rsid w:val="007805EB"/>
    <w:rsid w:val="00781FFA"/>
    <w:rsid w:val="007940D2"/>
    <w:rsid w:val="007A0151"/>
    <w:rsid w:val="007A02BC"/>
    <w:rsid w:val="007A38BC"/>
    <w:rsid w:val="007A4AF9"/>
    <w:rsid w:val="007A54EA"/>
    <w:rsid w:val="007A61DC"/>
    <w:rsid w:val="007A676A"/>
    <w:rsid w:val="007A6B0D"/>
    <w:rsid w:val="007B0473"/>
    <w:rsid w:val="007B1F92"/>
    <w:rsid w:val="007B24BE"/>
    <w:rsid w:val="007B36B6"/>
    <w:rsid w:val="007B4AB4"/>
    <w:rsid w:val="007B7A8A"/>
    <w:rsid w:val="007C2A5F"/>
    <w:rsid w:val="007C5B94"/>
    <w:rsid w:val="007C75FB"/>
    <w:rsid w:val="007C7B88"/>
    <w:rsid w:val="007D5789"/>
    <w:rsid w:val="007D59FB"/>
    <w:rsid w:val="007D6ABC"/>
    <w:rsid w:val="007E09BC"/>
    <w:rsid w:val="007E5FFF"/>
    <w:rsid w:val="007E6650"/>
    <w:rsid w:val="007F3661"/>
    <w:rsid w:val="00800564"/>
    <w:rsid w:val="00802D29"/>
    <w:rsid w:val="00805938"/>
    <w:rsid w:val="008137B1"/>
    <w:rsid w:val="008153FE"/>
    <w:rsid w:val="008168EA"/>
    <w:rsid w:val="00820CD1"/>
    <w:rsid w:val="0082249A"/>
    <w:rsid w:val="0083034A"/>
    <w:rsid w:val="00830925"/>
    <w:rsid w:val="00832F37"/>
    <w:rsid w:val="00833933"/>
    <w:rsid w:val="0083408B"/>
    <w:rsid w:val="008340DF"/>
    <w:rsid w:val="008411D7"/>
    <w:rsid w:val="00842014"/>
    <w:rsid w:val="00844716"/>
    <w:rsid w:val="00846419"/>
    <w:rsid w:val="0085463C"/>
    <w:rsid w:val="00856627"/>
    <w:rsid w:val="00860F27"/>
    <w:rsid w:val="00864B0B"/>
    <w:rsid w:val="00864BEE"/>
    <w:rsid w:val="00867F4A"/>
    <w:rsid w:val="00872724"/>
    <w:rsid w:val="00876E0B"/>
    <w:rsid w:val="00877577"/>
    <w:rsid w:val="00880733"/>
    <w:rsid w:val="008821E9"/>
    <w:rsid w:val="00884852"/>
    <w:rsid w:val="00884E81"/>
    <w:rsid w:val="00890BA6"/>
    <w:rsid w:val="0089238B"/>
    <w:rsid w:val="00892884"/>
    <w:rsid w:val="008931C0"/>
    <w:rsid w:val="00894754"/>
    <w:rsid w:val="008A3190"/>
    <w:rsid w:val="008A3C3B"/>
    <w:rsid w:val="008A73E7"/>
    <w:rsid w:val="008B05EB"/>
    <w:rsid w:val="008B20AA"/>
    <w:rsid w:val="008B3B74"/>
    <w:rsid w:val="008B579E"/>
    <w:rsid w:val="008B6725"/>
    <w:rsid w:val="008C3A19"/>
    <w:rsid w:val="008C4BC4"/>
    <w:rsid w:val="008C63AD"/>
    <w:rsid w:val="008C64DA"/>
    <w:rsid w:val="008D1B48"/>
    <w:rsid w:val="008D715B"/>
    <w:rsid w:val="008E1C88"/>
    <w:rsid w:val="008E1D3E"/>
    <w:rsid w:val="008E2A99"/>
    <w:rsid w:val="008E325F"/>
    <w:rsid w:val="008E44C5"/>
    <w:rsid w:val="008E7D58"/>
    <w:rsid w:val="008F010B"/>
    <w:rsid w:val="008F2836"/>
    <w:rsid w:val="008F3518"/>
    <w:rsid w:val="008F7C5F"/>
    <w:rsid w:val="0090281E"/>
    <w:rsid w:val="0090774C"/>
    <w:rsid w:val="00907AC5"/>
    <w:rsid w:val="00911CF0"/>
    <w:rsid w:val="00914023"/>
    <w:rsid w:val="009143AB"/>
    <w:rsid w:val="00914AC3"/>
    <w:rsid w:val="00921D7A"/>
    <w:rsid w:val="0092282A"/>
    <w:rsid w:val="009303C1"/>
    <w:rsid w:val="009318F0"/>
    <w:rsid w:val="009331FF"/>
    <w:rsid w:val="00933559"/>
    <w:rsid w:val="0093378D"/>
    <w:rsid w:val="00936563"/>
    <w:rsid w:val="0094620A"/>
    <w:rsid w:val="00946955"/>
    <w:rsid w:val="009522BB"/>
    <w:rsid w:val="0095250B"/>
    <w:rsid w:val="00952C0B"/>
    <w:rsid w:val="00952E39"/>
    <w:rsid w:val="0095475A"/>
    <w:rsid w:val="00954CE4"/>
    <w:rsid w:val="009620B7"/>
    <w:rsid w:val="00965F29"/>
    <w:rsid w:val="00966B88"/>
    <w:rsid w:val="009679F4"/>
    <w:rsid w:val="00971732"/>
    <w:rsid w:val="009772B5"/>
    <w:rsid w:val="00980326"/>
    <w:rsid w:val="009849CF"/>
    <w:rsid w:val="00986CAD"/>
    <w:rsid w:val="00991227"/>
    <w:rsid w:val="009950FC"/>
    <w:rsid w:val="0099743D"/>
    <w:rsid w:val="00997D5D"/>
    <w:rsid w:val="009A14F1"/>
    <w:rsid w:val="009A5B4A"/>
    <w:rsid w:val="009B5684"/>
    <w:rsid w:val="009B64EE"/>
    <w:rsid w:val="009B69BC"/>
    <w:rsid w:val="009C2FCA"/>
    <w:rsid w:val="009C6E83"/>
    <w:rsid w:val="009D6346"/>
    <w:rsid w:val="009D6998"/>
    <w:rsid w:val="009E058D"/>
    <w:rsid w:val="009E114D"/>
    <w:rsid w:val="009E38F1"/>
    <w:rsid w:val="009E7819"/>
    <w:rsid w:val="009F052A"/>
    <w:rsid w:val="009F26B1"/>
    <w:rsid w:val="009F70A1"/>
    <w:rsid w:val="00A00116"/>
    <w:rsid w:val="00A00D28"/>
    <w:rsid w:val="00A01FFD"/>
    <w:rsid w:val="00A128B5"/>
    <w:rsid w:val="00A1414B"/>
    <w:rsid w:val="00A15FFB"/>
    <w:rsid w:val="00A216EF"/>
    <w:rsid w:val="00A226F0"/>
    <w:rsid w:val="00A233FF"/>
    <w:rsid w:val="00A26D23"/>
    <w:rsid w:val="00A275E1"/>
    <w:rsid w:val="00A27AB9"/>
    <w:rsid w:val="00A3182F"/>
    <w:rsid w:val="00A3279E"/>
    <w:rsid w:val="00A36C1B"/>
    <w:rsid w:val="00A424CA"/>
    <w:rsid w:val="00A5062C"/>
    <w:rsid w:val="00A51BDA"/>
    <w:rsid w:val="00A52B62"/>
    <w:rsid w:val="00A547CF"/>
    <w:rsid w:val="00A55374"/>
    <w:rsid w:val="00A66E67"/>
    <w:rsid w:val="00A67BD4"/>
    <w:rsid w:val="00A73D2B"/>
    <w:rsid w:val="00A756A4"/>
    <w:rsid w:val="00A80C2E"/>
    <w:rsid w:val="00A82484"/>
    <w:rsid w:val="00A82705"/>
    <w:rsid w:val="00A866E0"/>
    <w:rsid w:val="00A868E8"/>
    <w:rsid w:val="00A8715D"/>
    <w:rsid w:val="00A9002C"/>
    <w:rsid w:val="00A9382F"/>
    <w:rsid w:val="00A9795B"/>
    <w:rsid w:val="00AA1E1E"/>
    <w:rsid w:val="00AA2A13"/>
    <w:rsid w:val="00AA36BA"/>
    <w:rsid w:val="00AA50B8"/>
    <w:rsid w:val="00AA70E3"/>
    <w:rsid w:val="00AB0FBE"/>
    <w:rsid w:val="00AB1290"/>
    <w:rsid w:val="00AB13A7"/>
    <w:rsid w:val="00AB73F8"/>
    <w:rsid w:val="00AC2D24"/>
    <w:rsid w:val="00AC3C86"/>
    <w:rsid w:val="00AC7CDC"/>
    <w:rsid w:val="00AD2BAF"/>
    <w:rsid w:val="00AD7443"/>
    <w:rsid w:val="00AE1FDE"/>
    <w:rsid w:val="00AE5B65"/>
    <w:rsid w:val="00AE76D7"/>
    <w:rsid w:val="00AF1EB9"/>
    <w:rsid w:val="00AF39DB"/>
    <w:rsid w:val="00AF3D1F"/>
    <w:rsid w:val="00AF5211"/>
    <w:rsid w:val="00AF52F0"/>
    <w:rsid w:val="00AF555B"/>
    <w:rsid w:val="00B01FB8"/>
    <w:rsid w:val="00B02274"/>
    <w:rsid w:val="00B03E7C"/>
    <w:rsid w:val="00B05F75"/>
    <w:rsid w:val="00B07244"/>
    <w:rsid w:val="00B07652"/>
    <w:rsid w:val="00B11B52"/>
    <w:rsid w:val="00B1279D"/>
    <w:rsid w:val="00B13BB6"/>
    <w:rsid w:val="00B15D61"/>
    <w:rsid w:val="00B164BE"/>
    <w:rsid w:val="00B169AF"/>
    <w:rsid w:val="00B22D01"/>
    <w:rsid w:val="00B23BD8"/>
    <w:rsid w:val="00B23FD3"/>
    <w:rsid w:val="00B24D47"/>
    <w:rsid w:val="00B24F54"/>
    <w:rsid w:val="00B25859"/>
    <w:rsid w:val="00B25F2C"/>
    <w:rsid w:val="00B277FD"/>
    <w:rsid w:val="00B3156A"/>
    <w:rsid w:val="00B3228E"/>
    <w:rsid w:val="00B338B1"/>
    <w:rsid w:val="00B345A6"/>
    <w:rsid w:val="00B35721"/>
    <w:rsid w:val="00B42367"/>
    <w:rsid w:val="00B43A0A"/>
    <w:rsid w:val="00B43A41"/>
    <w:rsid w:val="00B5453F"/>
    <w:rsid w:val="00B57FD2"/>
    <w:rsid w:val="00B61320"/>
    <w:rsid w:val="00B72CE2"/>
    <w:rsid w:val="00B75F02"/>
    <w:rsid w:val="00B76CB9"/>
    <w:rsid w:val="00B77670"/>
    <w:rsid w:val="00B876AF"/>
    <w:rsid w:val="00B9177B"/>
    <w:rsid w:val="00B930F0"/>
    <w:rsid w:val="00BA16CB"/>
    <w:rsid w:val="00BA2C02"/>
    <w:rsid w:val="00BA36B1"/>
    <w:rsid w:val="00BB026C"/>
    <w:rsid w:val="00BB3DA3"/>
    <w:rsid w:val="00BB5444"/>
    <w:rsid w:val="00BB65B3"/>
    <w:rsid w:val="00BB6ACE"/>
    <w:rsid w:val="00BC13C5"/>
    <w:rsid w:val="00BC222E"/>
    <w:rsid w:val="00BC2E0B"/>
    <w:rsid w:val="00BC309F"/>
    <w:rsid w:val="00BC3C67"/>
    <w:rsid w:val="00BC4E35"/>
    <w:rsid w:val="00BC648A"/>
    <w:rsid w:val="00BC6BA3"/>
    <w:rsid w:val="00BC7588"/>
    <w:rsid w:val="00BD2275"/>
    <w:rsid w:val="00BE2DAE"/>
    <w:rsid w:val="00BE4891"/>
    <w:rsid w:val="00BE61A7"/>
    <w:rsid w:val="00BF105D"/>
    <w:rsid w:val="00BF3C2E"/>
    <w:rsid w:val="00C003FF"/>
    <w:rsid w:val="00C00AAC"/>
    <w:rsid w:val="00C02E60"/>
    <w:rsid w:val="00C04AE9"/>
    <w:rsid w:val="00C04FE9"/>
    <w:rsid w:val="00C05B38"/>
    <w:rsid w:val="00C05EA8"/>
    <w:rsid w:val="00C06619"/>
    <w:rsid w:val="00C13AEE"/>
    <w:rsid w:val="00C22748"/>
    <w:rsid w:val="00C230BF"/>
    <w:rsid w:val="00C23D5D"/>
    <w:rsid w:val="00C25FF2"/>
    <w:rsid w:val="00C2627F"/>
    <w:rsid w:val="00C271FB"/>
    <w:rsid w:val="00C31036"/>
    <w:rsid w:val="00C34177"/>
    <w:rsid w:val="00C36EC7"/>
    <w:rsid w:val="00C3758D"/>
    <w:rsid w:val="00C42AF8"/>
    <w:rsid w:val="00C5096D"/>
    <w:rsid w:val="00C51E35"/>
    <w:rsid w:val="00C539F0"/>
    <w:rsid w:val="00C53BC4"/>
    <w:rsid w:val="00C543E9"/>
    <w:rsid w:val="00C54845"/>
    <w:rsid w:val="00C5765F"/>
    <w:rsid w:val="00C62E18"/>
    <w:rsid w:val="00C678D4"/>
    <w:rsid w:val="00C73207"/>
    <w:rsid w:val="00C73647"/>
    <w:rsid w:val="00C758E5"/>
    <w:rsid w:val="00C759F8"/>
    <w:rsid w:val="00C82716"/>
    <w:rsid w:val="00C83658"/>
    <w:rsid w:val="00C83915"/>
    <w:rsid w:val="00C83DBA"/>
    <w:rsid w:val="00C84E1F"/>
    <w:rsid w:val="00C85977"/>
    <w:rsid w:val="00C85F00"/>
    <w:rsid w:val="00C9147B"/>
    <w:rsid w:val="00C92102"/>
    <w:rsid w:val="00C92869"/>
    <w:rsid w:val="00CA3341"/>
    <w:rsid w:val="00CA548B"/>
    <w:rsid w:val="00CA5D2E"/>
    <w:rsid w:val="00CB2641"/>
    <w:rsid w:val="00CB328E"/>
    <w:rsid w:val="00CB76ED"/>
    <w:rsid w:val="00CC42E0"/>
    <w:rsid w:val="00CC649F"/>
    <w:rsid w:val="00CC7454"/>
    <w:rsid w:val="00CD1B3C"/>
    <w:rsid w:val="00CD4D61"/>
    <w:rsid w:val="00CD5E90"/>
    <w:rsid w:val="00CD7640"/>
    <w:rsid w:val="00CE0AF5"/>
    <w:rsid w:val="00CE6445"/>
    <w:rsid w:val="00CE699A"/>
    <w:rsid w:val="00CE7D3A"/>
    <w:rsid w:val="00CF400B"/>
    <w:rsid w:val="00CF417F"/>
    <w:rsid w:val="00D00ACC"/>
    <w:rsid w:val="00D04E06"/>
    <w:rsid w:val="00D06356"/>
    <w:rsid w:val="00D1155C"/>
    <w:rsid w:val="00D14E40"/>
    <w:rsid w:val="00D168DA"/>
    <w:rsid w:val="00D21D70"/>
    <w:rsid w:val="00D220A1"/>
    <w:rsid w:val="00D300C5"/>
    <w:rsid w:val="00D317FA"/>
    <w:rsid w:val="00D31C52"/>
    <w:rsid w:val="00D36729"/>
    <w:rsid w:val="00D40F70"/>
    <w:rsid w:val="00D4229F"/>
    <w:rsid w:val="00D45274"/>
    <w:rsid w:val="00D45E0E"/>
    <w:rsid w:val="00D46242"/>
    <w:rsid w:val="00D47405"/>
    <w:rsid w:val="00D542A1"/>
    <w:rsid w:val="00D5573D"/>
    <w:rsid w:val="00D56181"/>
    <w:rsid w:val="00D56366"/>
    <w:rsid w:val="00D6108A"/>
    <w:rsid w:val="00D62B82"/>
    <w:rsid w:val="00D62C02"/>
    <w:rsid w:val="00D63D7D"/>
    <w:rsid w:val="00D6547B"/>
    <w:rsid w:val="00D666DC"/>
    <w:rsid w:val="00D72E3E"/>
    <w:rsid w:val="00D737E2"/>
    <w:rsid w:val="00D77618"/>
    <w:rsid w:val="00D77D9D"/>
    <w:rsid w:val="00D8012F"/>
    <w:rsid w:val="00D8318A"/>
    <w:rsid w:val="00D90268"/>
    <w:rsid w:val="00D912A7"/>
    <w:rsid w:val="00D9174D"/>
    <w:rsid w:val="00DA095C"/>
    <w:rsid w:val="00DA6D83"/>
    <w:rsid w:val="00DB0515"/>
    <w:rsid w:val="00DB33E2"/>
    <w:rsid w:val="00DB561E"/>
    <w:rsid w:val="00DB6246"/>
    <w:rsid w:val="00DC034A"/>
    <w:rsid w:val="00DC0FBA"/>
    <w:rsid w:val="00DC7ADF"/>
    <w:rsid w:val="00DD7F12"/>
    <w:rsid w:val="00DE70E7"/>
    <w:rsid w:val="00DE7573"/>
    <w:rsid w:val="00DE75BD"/>
    <w:rsid w:val="00DE79FB"/>
    <w:rsid w:val="00DF0292"/>
    <w:rsid w:val="00DF279C"/>
    <w:rsid w:val="00E03721"/>
    <w:rsid w:val="00E05D92"/>
    <w:rsid w:val="00E1360A"/>
    <w:rsid w:val="00E15150"/>
    <w:rsid w:val="00E16844"/>
    <w:rsid w:val="00E178E1"/>
    <w:rsid w:val="00E212E1"/>
    <w:rsid w:val="00E21C30"/>
    <w:rsid w:val="00E25050"/>
    <w:rsid w:val="00E27CE0"/>
    <w:rsid w:val="00E31F27"/>
    <w:rsid w:val="00E342C9"/>
    <w:rsid w:val="00E35674"/>
    <w:rsid w:val="00E362EF"/>
    <w:rsid w:val="00E42C5C"/>
    <w:rsid w:val="00E47D06"/>
    <w:rsid w:val="00E53CDE"/>
    <w:rsid w:val="00E54D3B"/>
    <w:rsid w:val="00E56BB3"/>
    <w:rsid w:val="00E70EE1"/>
    <w:rsid w:val="00E72202"/>
    <w:rsid w:val="00E73148"/>
    <w:rsid w:val="00E732BE"/>
    <w:rsid w:val="00E73A65"/>
    <w:rsid w:val="00E756E5"/>
    <w:rsid w:val="00E765F1"/>
    <w:rsid w:val="00E7796F"/>
    <w:rsid w:val="00E84EE7"/>
    <w:rsid w:val="00E850E9"/>
    <w:rsid w:val="00E91609"/>
    <w:rsid w:val="00E93DF0"/>
    <w:rsid w:val="00E94ED1"/>
    <w:rsid w:val="00E9631A"/>
    <w:rsid w:val="00E96E54"/>
    <w:rsid w:val="00EA4853"/>
    <w:rsid w:val="00EA64DA"/>
    <w:rsid w:val="00EA74C1"/>
    <w:rsid w:val="00EA7F98"/>
    <w:rsid w:val="00EB7DEA"/>
    <w:rsid w:val="00EC0AE5"/>
    <w:rsid w:val="00EC2FFC"/>
    <w:rsid w:val="00EC563D"/>
    <w:rsid w:val="00EC7C5A"/>
    <w:rsid w:val="00ED1724"/>
    <w:rsid w:val="00ED2D28"/>
    <w:rsid w:val="00ED4437"/>
    <w:rsid w:val="00ED6DF8"/>
    <w:rsid w:val="00EE19B0"/>
    <w:rsid w:val="00EE39BE"/>
    <w:rsid w:val="00EE5CD6"/>
    <w:rsid w:val="00EF0CFA"/>
    <w:rsid w:val="00EF314E"/>
    <w:rsid w:val="00EF42AE"/>
    <w:rsid w:val="00F04130"/>
    <w:rsid w:val="00F108D5"/>
    <w:rsid w:val="00F10B93"/>
    <w:rsid w:val="00F10CBD"/>
    <w:rsid w:val="00F11448"/>
    <w:rsid w:val="00F16277"/>
    <w:rsid w:val="00F21339"/>
    <w:rsid w:val="00F22893"/>
    <w:rsid w:val="00F237A3"/>
    <w:rsid w:val="00F23D56"/>
    <w:rsid w:val="00F2409C"/>
    <w:rsid w:val="00F241DD"/>
    <w:rsid w:val="00F255CB"/>
    <w:rsid w:val="00F25E88"/>
    <w:rsid w:val="00F261A7"/>
    <w:rsid w:val="00F3359C"/>
    <w:rsid w:val="00F35EE8"/>
    <w:rsid w:val="00F434E9"/>
    <w:rsid w:val="00F46BD8"/>
    <w:rsid w:val="00F5388F"/>
    <w:rsid w:val="00F55CB1"/>
    <w:rsid w:val="00F62B4C"/>
    <w:rsid w:val="00F65DFD"/>
    <w:rsid w:val="00F7277A"/>
    <w:rsid w:val="00F77273"/>
    <w:rsid w:val="00F81ECF"/>
    <w:rsid w:val="00F9035E"/>
    <w:rsid w:val="00F90D42"/>
    <w:rsid w:val="00F9109F"/>
    <w:rsid w:val="00F96F87"/>
    <w:rsid w:val="00FA36F9"/>
    <w:rsid w:val="00FA6227"/>
    <w:rsid w:val="00FA7BAA"/>
    <w:rsid w:val="00FB088E"/>
    <w:rsid w:val="00FB0E52"/>
    <w:rsid w:val="00FB3216"/>
    <w:rsid w:val="00FB32EE"/>
    <w:rsid w:val="00FB337B"/>
    <w:rsid w:val="00FB5706"/>
    <w:rsid w:val="00FB6115"/>
    <w:rsid w:val="00FC1038"/>
    <w:rsid w:val="00FC39F3"/>
    <w:rsid w:val="00FC3A12"/>
    <w:rsid w:val="00FC61BF"/>
    <w:rsid w:val="00FC6264"/>
    <w:rsid w:val="00FD0C7D"/>
    <w:rsid w:val="00FD117D"/>
    <w:rsid w:val="00FD1274"/>
    <w:rsid w:val="00FD2373"/>
    <w:rsid w:val="00FD392B"/>
    <w:rsid w:val="00FD74EC"/>
    <w:rsid w:val="00FD75E8"/>
    <w:rsid w:val="00FE3C90"/>
    <w:rsid w:val="00FE40BC"/>
    <w:rsid w:val="00FE4295"/>
    <w:rsid w:val="00FE46C3"/>
    <w:rsid w:val="00FE495A"/>
    <w:rsid w:val="00FF184F"/>
    <w:rsid w:val="00FF7DD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7003"/>
  <w15:docId w15:val="{B5C2B7A9-C739-4446-84B0-46B4AAB7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E16"/>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3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3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3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B6ACE"/>
    <w:rPr>
      <w:sz w:val="20"/>
      <w:szCs w:val="20"/>
    </w:rPr>
  </w:style>
  <w:style w:type="character" w:customStyle="1" w:styleId="CommentTextChar">
    <w:name w:val="Comment Text Char"/>
    <w:basedOn w:val="DefaultParagraphFont"/>
    <w:link w:val="CommentText"/>
    <w:uiPriority w:val="99"/>
    <w:rsid w:val="00BB6ACE"/>
    <w:rPr>
      <w:rFonts w:asciiTheme="minorHAnsi" w:eastAsiaTheme="minorHAnsi" w:hAnsiTheme="minorHAnsi" w:cstheme="minorBidi"/>
      <w:lang w:eastAsia="en-US"/>
    </w:rPr>
  </w:style>
  <w:style w:type="paragraph" w:styleId="Header">
    <w:name w:val="header"/>
    <w:basedOn w:val="Normal"/>
    <w:link w:val="HeaderChar"/>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rsid w:val="00BB6ACE"/>
    <w:rPr>
      <w:rFonts w:ascii="Calibri" w:eastAsiaTheme="minorHAnsi" w:hAnsi="Calibri" w:cstheme="minorBidi"/>
      <w:szCs w:val="22"/>
      <w:lang w:eastAsia="en-US"/>
    </w:rPr>
  </w:style>
  <w:style w:type="paragraph" w:styleId="Footer">
    <w:name w:val="footer"/>
    <w:basedOn w:val="Normal"/>
    <w:link w:val="FooterChar"/>
    <w:uiPriority w:val="99"/>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43"/>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43"/>
      </w:numPr>
      <w:spacing w:before="120" w:after="120"/>
      <w:contextualSpacing/>
    </w:pPr>
  </w:style>
  <w:style w:type="paragraph" w:styleId="ListNumber">
    <w:name w:val="List Number"/>
    <w:basedOn w:val="Normal"/>
    <w:uiPriority w:val="9"/>
    <w:qFormat/>
    <w:rsid w:val="00BB6ACE"/>
    <w:pPr>
      <w:numPr>
        <w:numId w:val="44"/>
      </w:numPr>
      <w:tabs>
        <w:tab w:val="left" w:pos="142"/>
      </w:tabs>
      <w:spacing w:before="120" w:after="120"/>
    </w:pPr>
  </w:style>
  <w:style w:type="paragraph" w:styleId="ListNumber2">
    <w:name w:val="List Number 2"/>
    <w:uiPriority w:val="10"/>
    <w:qFormat/>
    <w:rsid w:val="00BB6ACE"/>
    <w:pPr>
      <w:numPr>
        <w:ilvl w:val="1"/>
        <w:numId w:val="4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4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20"/>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4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aliases w:val="List Paragraph1,List Paragraph11,Recommendation,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styleId="Revision">
    <w:name w:val="Revision"/>
    <w:hidden/>
    <w:uiPriority w:val="99"/>
    <w:semiHidden/>
    <w:rsid w:val="00EA74C1"/>
    <w:rPr>
      <w:rFonts w:asciiTheme="minorHAnsi" w:eastAsiaTheme="minorHAnsi" w:hAnsiTheme="minorHAnsi" w:cstheme="minorBidi"/>
      <w:sz w:val="22"/>
      <w:szCs w:val="22"/>
      <w:lang w:eastAsia="en-US"/>
    </w:rPr>
  </w:style>
  <w:style w:type="table" w:styleId="TableGrid">
    <w:name w:val="Table Grid"/>
    <w:basedOn w:val="TableNormal"/>
    <w:uiPriority w:val="59"/>
    <w:rsid w:val="009C6E83"/>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7B24BE"/>
    <w:pPr>
      <w:spacing w:after="120" w:line="259" w:lineRule="auto"/>
    </w:pPr>
    <w:rPr>
      <w:sz w:val="21"/>
    </w:rPr>
  </w:style>
  <w:style w:type="character" w:customStyle="1" w:styleId="BodyTextChar">
    <w:name w:val="Body Text Char"/>
    <w:basedOn w:val="DefaultParagraphFont"/>
    <w:link w:val="BodyText"/>
    <w:uiPriority w:val="99"/>
    <w:rsid w:val="007B24BE"/>
    <w:rPr>
      <w:rFonts w:asciiTheme="minorHAnsi" w:eastAsiaTheme="minorHAnsi" w:hAnsiTheme="minorHAnsi" w:cstheme="minorBidi"/>
      <w:sz w:val="21"/>
      <w:szCs w:val="22"/>
      <w:lang w:eastAsia="en-US"/>
    </w:rPr>
  </w:style>
  <w:style w:type="table" w:styleId="PlainTable1">
    <w:name w:val="Plain Table 1"/>
    <w:basedOn w:val="TableNormal"/>
    <w:uiPriority w:val="41"/>
    <w:rsid w:val="007B24BE"/>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List Paragraph1 Char,List Paragraph11 Char,Recommendation Char,NFP GP Bulleted List Char,FooterText Char,numbered Char,Paragraphe de liste1 Char,Bulletr List Paragraph Char,列出段落 Char,列出段落1 Char,List Paragraph2 Char,Listeafsnit1 Char"/>
    <w:link w:val="ListParagraph"/>
    <w:uiPriority w:val="34"/>
    <w:rsid w:val="0095250B"/>
    <w:rPr>
      <w:rFonts w:ascii="Calibri" w:eastAsiaTheme="minorHAnsi" w:hAnsi="Calibri" w:cs="Calibri"/>
      <w:sz w:val="22"/>
      <w:szCs w:val="22"/>
      <w:lang w:eastAsia="en-US"/>
    </w:rPr>
  </w:style>
  <w:style w:type="character" w:customStyle="1" w:styleId="cf01">
    <w:name w:val="cf01"/>
    <w:basedOn w:val="DefaultParagraphFont"/>
    <w:rsid w:val="00AB1290"/>
    <w:rPr>
      <w:rFonts w:ascii="Segoe UI" w:hAnsi="Segoe UI" w:cs="Segoe UI" w:hint="default"/>
      <w:sz w:val="18"/>
      <w:szCs w:val="18"/>
    </w:rPr>
  </w:style>
  <w:style w:type="paragraph" w:customStyle="1" w:styleId="pf0">
    <w:name w:val="pf0"/>
    <w:basedOn w:val="Normal"/>
    <w:rsid w:val="00FD237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7A4AF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A4AF9"/>
  </w:style>
  <w:style w:type="character" w:customStyle="1" w:styleId="eop">
    <w:name w:val="eop"/>
    <w:basedOn w:val="DefaultParagraphFont"/>
    <w:rsid w:val="007A4AF9"/>
  </w:style>
  <w:style w:type="paragraph" w:customStyle="1" w:styleId="Default">
    <w:name w:val="Default"/>
    <w:rsid w:val="00952E39"/>
    <w:pPr>
      <w:autoSpaceDE w:val="0"/>
      <w:autoSpaceDN w:val="0"/>
      <w:adjustRightInd w:val="0"/>
    </w:pPr>
    <w:rPr>
      <w:rFonts w:ascii="Calibri" w:hAnsi="Calibri" w:cs="Calibri"/>
      <w:color w:val="000000"/>
      <w:sz w:val="24"/>
      <w:szCs w:val="24"/>
    </w:rPr>
  </w:style>
  <w:style w:type="character" w:customStyle="1" w:styleId="ui-provider">
    <w:name w:val="ui-provider"/>
    <w:basedOn w:val="DefaultParagraphFont"/>
    <w:rsid w:val="00A50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72674">
      <w:bodyDiv w:val="1"/>
      <w:marLeft w:val="0"/>
      <w:marRight w:val="0"/>
      <w:marTop w:val="0"/>
      <w:marBottom w:val="0"/>
      <w:divBdr>
        <w:top w:val="none" w:sz="0" w:space="0" w:color="auto"/>
        <w:left w:val="none" w:sz="0" w:space="0" w:color="auto"/>
        <w:bottom w:val="none" w:sz="0" w:space="0" w:color="auto"/>
        <w:right w:val="none" w:sz="0" w:space="0" w:color="auto"/>
      </w:divBdr>
    </w:div>
    <w:div w:id="237447195">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487779">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32014384">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76251">
      <w:bodyDiv w:val="1"/>
      <w:marLeft w:val="0"/>
      <w:marRight w:val="0"/>
      <w:marTop w:val="0"/>
      <w:marBottom w:val="0"/>
      <w:divBdr>
        <w:top w:val="none" w:sz="0" w:space="0" w:color="auto"/>
        <w:left w:val="none" w:sz="0" w:space="0" w:color="auto"/>
        <w:bottom w:val="none" w:sz="0" w:space="0" w:color="auto"/>
        <w:right w:val="none" w:sz="0" w:space="0" w:color="auto"/>
      </w:divBdr>
    </w:div>
    <w:div w:id="1020160102">
      <w:bodyDiv w:val="1"/>
      <w:marLeft w:val="0"/>
      <w:marRight w:val="0"/>
      <w:marTop w:val="0"/>
      <w:marBottom w:val="0"/>
      <w:divBdr>
        <w:top w:val="none" w:sz="0" w:space="0" w:color="auto"/>
        <w:left w:val="none" w:sz="0" w:space="0" w:color="auto"/>
        <w:bottom w:val="none" w:sz="0" w:space="0" w:color="auto"/>
        <w:right w:val="none" w:sz="0" w:space="0" w:color="auto"/>
      </w:divBdr>
      <w:divsChild>
        <w:div w:id="80376582">
          <w:marLeft w:val="0"/>
          <w:marRight w:val="0"/>
          <w:marTop w:val="0"/>
          <w:marBottom w:val="0"/>
          <w:divBdr>
            <w:top w:val="none" w:sz="0" w:space="0" w:color="auto"/>
            <w:left w:val="none" w:sz="0" w:space="0" w:color="auto"/>
            <w:bottom w:val="none" w:sz="0" w:space="0" w:color="auto"/>
            <w:right w:val="none" w:sz="0" w:space="0" w:color="auto"/>
          </w:divBdr>
        </w:div>
        <w:div w:id="1421872210">
          <w:marLeft w:val="0"/>
          <w:marRight w:val="0"/>
          <w:marTop w:val="0"/>
          <w:marBottom w:val="0"/>
          <w:divBdr>
            <w:top w:val="none" w:sz="0" w:space="0" w:color="auto"/>
            <w:left w:val="none" w:sz="0" w:space="0" w:color="auto"/>
            <w:bottom w:val="none" w:sz="0" w:space="0" w:color="auto"/>
            <w:right w:val="none" w:sz="0" w:space="0" w:color="auto"/>
          </w:divBdr>
        </w:div>
      </w:divsChild>
    </w:div>
    <w:div w:id="1073702643">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15660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558336">
      <w:bodyDiv w:val="1"/>
      <w:marLeft w:val="0"/>
      <w:marRight w:val="0"/>
      <w:marTop w:val="0"/>
      <w:marBottom w:val="0"/>
      <w:divBdr>
        <w:top w:val="none" w:sz="0" w:space="0" w:color="auto"/>
        <w:left w:val="none" w:sz="0" w:space="0" w:color="auto"/>
        <w:bottom w:val="none" w:sz="0" w:space="0" w:color="auto"/>
        <w:right w:val="none" w:sz="0" w:space="0" w:color="auto"/>
      </w:divBdr>
    </w:div>
    <w:div w:id="1437750185">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549502">
      <w:bodyDiv w:val="1"/>
      <w:marLeft w:val="0"/>
      <w:marRight w:val="0"/>
      <w:marTop w:val="0"/>
      <w:marBottom w:val="0"/>
      <w:divBdr>
        <w:top w:val="none" w:sz="0" w:space="0" w:color="auto"/>
        <w:left w:val="none" w:sz="0" w:space="0" w:color="auto"/>
        <w:bottom w:val="none" w:sz="0" w:space="0" w:color="auto"/>
        <w:right w:val="none" w:sz="0" w:space="0" w:color="auto"/>
      </w:divBdr>
    </w:div>
    <w:div w:id="211393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griculture.gov.au/biosecurity-trade/policy/risk-analysis/plant/xylella" TargetMode="External"/><Relationship Id="rId26" Type="http://schemas.openxmlformats.org/officeDocument/2006/relationships/hyperlink" Target="https://link.springer.com/article/10.1007/s13313-023-00954-4" TargetMode="External"/><Relationship Id="rId39" Type="http://schemas.openxmlformats.org/officeDocument/2006/relationships/header" Target="header5.xml"/><Relationship Id="rId21" Type="http://schemas.openxmlformats.org/officeDocument/2006/relationships/hyperlink" Target="https://www.horticulture.com.au/growers/help-your-business-grow/research-reports-publications-fact-sheets-and-more/mt17006b/" TargetMode="External"/><Relationship Id="rId34" Type="http://schemas.openxmlformats.org/officeDocument/2006/relationships/hyperlink" Target="https://www.horticulture.com.au/growers/help-your-business-grow/research-reports-publications-fact-sheets-and-more/mt17006a/" TargetMode="External"/><Relationship Id="rId42" Type="http://schemas.openxmlformats.org/officeDocument/2006/relationships/header" Target="header6.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horticulture.com.au/growers/help-your-business-grow/research-reports-publications-fact-sheets-and-more/as2100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riculture.gov.au/biosecurity-trade/pests-diseases-weeds/plant/national-action-plans" TargetMode="External"/><Relationship Id="rId24" Type="http://schemas.openxmlformats.org/officeDocument/2006/relationships/hyperlink" Target="https://eventstudio.eventsair.com/apps2023/workshops" TargetMode="External"/><Relationship Id="rId32" Type="http://schemas.openxmlformats.org/officeDocument/2006/relationships/hyperlink" Target="https://www.horticulture.com.au/growers/help-your-business-grow/research-reports-publications-fact-sheets-and-more/mt17006a/" TargetMode="External"/><Relationship Id="rId37" Type="http://schemas.openxmlformats.org/officeDocument/2006/relationships/hyperlink" Target="https://creativecommons.org/licenses/by/4.0/legalcode"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horticulture.com.au/growers/help-your-business-grow/research-reports-publications-fact-sheets-and-more/mt17006b/" TargetMode="External"/><Relationship Id="rId28" Type="http://schemas.openxmlformats.org/officeDocument/2006/relationships/hyperlink" Target="https://www.horticulture.com.au/growers/help-your-business-grow/research-reports-publications-fact-sheets-and-more/vg16086/" TargetMode="External"/><Relationship Id="rId36" Type="http://schemas.openxmlformats.org/officeDocument/2006/relationships/hyperlink" Target="https://www.agriculture.gov.au/abares/research-topics/biosecurity/biosecurity-economics/impacts-of-xylella-fastidiosa" TargetMode="External"/><Relationship Id="rId10" Type="http://schemas.openxmlformats.org/officeDocument/2006/relationships/hyperlink" Target="https://www.agriculture.gov.au/biosecurity-trade/pests-diseases-weeds/plant/national-action-plans" TargetMode="External"/><Relationship Id="rId19" Type="http://schemas.openxmlformats.org/officeDocument/2006/relationships/hyperlink" Target="https://www.b3nz.org.nz/projects/xylella-fastidiosa-and-its-new-zealand-vectors/" TargetMode="External"/><Relationship Id="rId31" Type="http://schemas.openxmlformats.org/officeDocument/2006/relationships/hyperlink" Target="https://www.greenlifeindustry.com.au/static/uploads/files/nursery-papers-october-2020-wfqrmnqzxfvx.pdf"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plantbiosecuritydiagnostics.net.au/national-diagnostic-protocol-list/" TargetMode="External"/><Relationship Id="rId27" Type="http://schemas.openxmlformats.org/officeDocument/2006/relationships/hyperlink" Target="https://www.agric.wa.gov.au/apps/mypestguide-reporter" TargetMode="External"/><Relationship Id="rId30" Type="http://schemas.openxmlformats.org/officeDocument/2006/relationships/hyperlink" Target="https://www.planthealthaustralia.com.au/exercise-fastidious-a-success/" TargetMode="External"/><Relationship Id="rId35" Type="http://schemas.openxmlformats.org/officeDocument/2006/relationships/hyperlink" Target="https://www.agriculture.gov.au/abares/research-topics/biosecurity/biosecurity-economics/xyella-impact-report" TargetMode="External"/><Relationship Id="rId43" Type="http://schemas.openxmlformats.org/officeDocument/2006/relationships/footer" Target="footer6.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wineaustralia.com/research_and_innovation/projects/rrd4p-boosting-diagnostic-capacity-for-plant-production-industries" TargetMode="External"/><Relationship Id="rId33" Type="http://schemas.openxmlformats.org/officeDocument/2006/relationships/hyperlink" Target="https://www.agriculture.gov.au/sites/default/files/documents/draft-pest-risk-analysis-for-bacterial-pathogens-in-the-genus-xylella.pdf" TargetMode="External"/><Relationship Id="rId38" Type="http://schemas.openxmlformats.org/officeDocument/2006/relationships/header" Target="header4.xml"/><Relationship Id="rId20" Type="http://schemas.openxmlformats.org/officeDocument/2006/relationships/hyperlink" Target="https://www.horticulture.com.au/growers/help-your-business-grow/research-reports-publications-fact-sheets-and-more/st19018/" TargetMode="External"/><Relationship Id="rId4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7EFFB-8C62-479B-B191-874EC10B6988}">
  <ds:schemaRefs>
    <ds:schemaRef ds:uri="http://schemas.microsoft.com/sharepoint/v3/contenttype/forms"/>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5CB9C556-F68C-42F4-9049-57F31C0C0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7852</Words>
  <Characters>44757</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Xylella Implementation Schedule 2023</vt:lpstr>
    </vt:vector>
  </TitlesOfParts>
  <Company/>
  <LinksUpToDate>false</LinksUpToDate>
  <CharactersWithSpaces>52504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Xylella Implementation Schedule 2023</dc:title>
  <dc:subject/>
  <dc:creator>Plant Health Committee</dc:creator>
  <cp:keywords/>
  <dc:description/>
  <cp:revision>5</cp:revision>
  <dcterms:created xsi:type="dcterms:W3CDTF">2024-08-26T02:10:00Z</dcterms:created>
  <dcterms:modified xsi:type="dcterms:W3CDTF">2024-10-09T06:20:00Z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1d794f64,3cbfd286,6f8af32a,2f419f3d,a67ad04,15624238,61d90dd5,1d2f3413,6ce350a4</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4ead919f,73284871,255f7422,7dddc4ab,3d887e03,87bcbdf,5857b643,b03da81,2131800d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2024-08-20T00:00:18Z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7dab9656-4ad5-4f81-8e52-7c52cafce15b</vt:lpwstr>
  </property>
  <property fmtid="{D5CDD505-2E9C-101B-9397-08002B2CF9AE}" pid="14" name="MSIP_Label_933d8be6-3c40-4052-87a2-9c2adcba8759_ContentBits">
    <vt:lpwstr>3</vt:lpwstr>
  </property>
</Properties>
</file>