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BFF95" w14:textId="69955D84" w:rsidR="00D04A3C" w:rsidRDefault="000E42DB" w:rsidP="001D0BAA">
      <w:pPr>
        <w:pStyle w:val="Series"/>
        <w:spacing w:before="2040"/>
      </w:pPr>
      <w:r w:rsidRPr="000E42DB">
        <w:t>Improving market transparency in perishable agricultural goods industries</w:t>
      </w:r>
    </w:p>
    <w:p w14:paraId="33953D75" w14:textId="0196C166" w:rsidR="00A8597C" w:rsidRPr="00A8597C" w:rsidRDefault="00EC5CE3" w:rsidP="00A8597C">
      <w:pPr>
        <w:pStyle w:val="Heading1"/>
      </w:pPr>
      <w:r>
        <w:t>Chicken meat</w:t>
      </w:r>
      <w:r w:rsidR="000E42DB" w:rsidRPr="000E42DB">
        <w:t xml:space="preserve"> industry </w:t>
      </w:r>
      <w:r w:rsidR="00FD72EA">
        <w:t>fourth</w:t>
      </w:r>
      <w:r w:rsidR="000B1E5E">
        <w:t xml:space="preserve"> </w:t>
      </w:r>
      <w:r w:rsidR="000E42DB" w:rsidRPr="000E42DB">
        <w:t>workshop</w:t>
      </w:r>
      <w:r w:rsidR="002963F0">
        <w:t xml:space="preserve"> </w:t>
      </w:r>
      <w:r w:rsidR="00FD72EA">
        <w:t>1</w:t>
      </w:r>
      <w:r w:rsidR="000B1E5E">
        <w:t> </w:t>
      </w:r>
      <w:r w:rsidR="00FD72EA">
        <w:t>November</w:t>
      </w:r>
      <w:r w:rsidR="000B1E5E">
        <w:t> </w:t>
      </w:r>
      <w:r w:rsidR="00A8597C">
        <w:t>2021</w:t>
      </w:r>
      <w:r w:rsidR="000E42DB" w:rsidRPr="000E42DB">
        <w:t xml:space="preserve">: </w:t>
      </w:r>
      <w:r w:rsidR="000E42DB" w:rsidRPr="000B624A">
        <w:t>W</w:t>
      </w:r>
      <w:r w:rsidR="000E42DB" w:rsidRPr="000E42DB">
        <w:t>orkshop communique</w:t>
      </w:r>
    </w:p>
    <w:p w14:paraId="7170947D" w14:textId="77777777" w:rsidR="00A8597C" w:rsidRDefault="00A8597C" w:rsidP="00A8597C">
      <w:pPr>
        <w:pStyle w:val="Heading2"/>
      </w:pPr>
      <w:r>
        <w:t>Background</w:t>
      </w:r>
    </w:p>
    <w:p w14:paraId="6B4791CD" w14:textId="3E5B1511" w:rsidR="00A8597C" w:rsidRDefault="00A8597C" w:rsidP="00A8597C">
      <w:r>
        <w:t xml:space="preserve">In late 2020, the Australian Competition and Consumer Commission (ACCC) conducted an inquiry into bargaining power imbalances in supply chains for perishable agricultural </w:t>
      </w:r>
      <w:r w:rsidR="00013125">
        <w:t>goods (PAG)</w:t>
      </w:r>
      <w:r w:rsidR="00FD72EA">
        <w:t xml:space="preserve"> in Australia</w:t>
      </w:r>
      <w:r>
        <w:t xml:space="preserve">. </w:t>
      </w:r>
      <w:r w:rsidR="001D0BAA">
        <w:t xml:space="preserve">The </w:t>
      </w:r>
      <w:r>
        <w:t xml:space="preserve">inquiry </w:t>
      </w:r>
      <w:r w:rsidR="001D0BAA">
        <w:t xml:space="preserve">recommended that the </w:t>
      </w:r>
      <w:r>
        <w:t>government explore measures to increase price transparency in PAG</w:t>
      </w:r>
      <w:r w:rsidR="00013125">
        <w:t xml:space="preserve"> </w:t>
      </w:r>
      <w:r>
        <w:t>industries to increase competition in those industries.</w:t>
      </w:r>
    </w:p>
    <w:p w14:paraId="33B1521F" w14:textId="1FE32099" w:rsidR="00A8597C" w:rsidRDefault="00A8597C" w:rsidP="00A8597C">
      <w:r>
        <w:t>In response to this recommendation</w:t>
      </w:r>
      <w:r w:rsidR="001D0BAA">
        <w:t>,</w:t>
      </w:r>
      <w:r>
        <w:t xml:space="preserve"> the Australian Government, th</w:t>
      </w:r>
      <w:r w:rsidR="001D0BAA">
        <w:t>r</w:t>
      </w:r>
      <w:r>
        <w:t xml:space="preserve">ough the Department of Agriculture, </w:t>
      </w:r>
      <w:proofErr w:type="gramStart"/>
      <w:r>
        <w:t>Water</w:t>
      </w:r>
      <w:proofErr w:type="gramEnd"/>
      <w:r>
        <w:t xml:space="preserve"> and the Environment (DAWE) has committed $5.4</w:t>
      </w:r>
      <w:r w:rsidR="00545C6C">
        <w:t> </w:t>
      </w:r>
      <w:r>
        <w:t>million to improve price and market transparency in PAG industries by:</w:t>
      </w:r>
    </w:p>
    <w:p w14:paraId="34A8316D" w14:textId="37D4CB53" w:rsidR="00A8597C" w:rsidRDefault="00A8597C" w:rsidP="00A8597C">
      <w:pPr>
        <w:pStyle w:val="ListBullet"/>
      </w:pPr>
      <w:r>
        <w:t>delivering co-design workshops with PAG industries to understand their market transparency issues, opportunities and requirements</w:t>
      </w:r>
    </w:p>
    <w:p w14:paraId="59696ED6" w14:textId="2CBAECF7" w:rsidR="00A8597C" w:rsidRDefault="00A8597C" w:rsidP="00A8597C">
      <w:pPr>
        <w:pStyle w:val="ListBullet"/>
      </w:pPr>
      <w:r>
        <w:t>delivering a grants program to develop and implement tailored mechanisms to improve price and market transparency.</w:t>
      </w:r>
    </w:p>
    <w:p w14:paraId="78FCA847" w14:textId="3CCDF909" w:rsidR="000E42DB" w:rsidRDefault="00A8597C" w:rsidP="00A8597C">
      <w:r>
        <w:t>The workshops provide an opportunity for participants to discuss price and market transparency issues in their sector, brainstorm ideas to improve transparency and co-design the details of solutions going forward.</w:t>
      </w:r>
    </w:p>
    <w:p w14:paraId="7DCE4720" w14:textId="7019D0AE" w:rsidR="00A8597C" w:rsidRDefault="00A8597C" w:rsidP="00A8597C">
      <w:pPr>
        <w:pStyle w:val="Heading2"/>
      </w:pPr>
      <w:r>
        <w:t xml:space="preserve">Workshop </w:t>
      </w:r>
      <w:r w:rsidR="00FD72EA">
        <w:t>4</w:t>
      </w:r>
      <w:r w:rsidR="000B1E5E">
        <w:t xml:space="preserve"> </w:t>
      </w:r>
      <w:r>
        <w:t>outcomes</w:t>
      </w:r>
    </w:p>
    <w:p w14:paraId="49D05CE8" w14:textId="38444456" w:rsidR="0042447C" w:rsidRDefault="00FD72EA" w:rsidP="0042447C">
      <w:r>
        <w:t xml:space="preserve">Five industry and government representatives </w:t>
      </w:r>
      <w:r w:rsidRPr="00173E2E">
        <w:t>(</w:t>
      </w:r>
      <w:hyperlink w:anchor="_Appendix_A_–" w:history="1">
        <w:r w:rsidRPr="001D0BAA">
          <w:rPr>
            <w:rStyle w:val="Hyperlink"/>
          </w:rPr>
          <w:t>Appendix A</w:t>
        </w:r>
      </w:hyperlink>
      <w:r>
        <w:t xml:space="preserve">) </w:t>
      </w:r>
      <w:r w:rsidR="0042447C">
        <w:t>attended a workshop for chicken meat corporate growers to review and discuss the issues, barriers, opportunities, and potential projects to improve price and market transparency, which were raised by the industry in previous workshops. The purpose of this workshop was to test the ideas raised by chicken meat growers and processors at previous workshops and discuss other potential concepts that could be considered as part of future projects. The future projects would aim to improve price and market transparency for the chicken meat sector and could either form the basis of a proposal in the department’s upcoming grants program or be progressed outside of this program.</w:t>
      </w:r>
    </w:p>
    <w:p w14:paraId="7F61BE07" w14:textId="4447687E" w:rsidR="00CF1650" w:rsidRDefault="00FD72EA" w:rsidP="0042447C">
      <w:pPr>
        <w:sectPr w:rsidR="00CF1650" w:rsidSect="001D0BAA">
          <w:footerReference w:type="default" r:id="rId11"/>
          <w:headerReference w:type="first" r:id="rId12"/>
          <w:footerReference w:type="first" r:id="rId13"/>
          <w:pgSz w:w="11906" w:h="16838" w:code="9"/>
          <w:pgMar w:top="1418" w:right="1077" w:bottom="1134" w:left="1247" w:header="567" w:footer="284" w:gutter="0"/>
          <w:pgNumType w:start="1"/>
          <w:cols w:space="708"/>
          <w:titlePg/>
          <w:docGrid w:linePitch="360"/>
        </w:sectPr>
      </w:pPr>
      <w:r>
        <w:t>The views and concepts raised by the workshop in response to the issues, barrie</w:t>
      </w:r>
      <w:r w:rsidR="0047016C">
        <w:t>r</w:t>
      </w:r>
      <w:r>
        <w:t xml:space="preserve">s and opportunities raised during previous workshops are summarised in </w:t>
      </w:r>
      <w:r w:rsidR="009D502D">
        <w:fldChar w:fldCharType="begin"/>
      </w:r>
      <w:r w:rsidR="009D502D">
        <w:instrText xml:space="preserve"> REF _Ref87364462 \h </w:instrText>
      </w:r>
      <w:r w:rsidR="009D502D">
        <w:fldChar w:fldCharType="separate"/>
      </w:r>
      <w:r w:rsidR="00881D8E">
        <w:t xml:space="preserve">Table </w:t>
      </w:r>
      <w:r w:rsidR="00881D8E">
        <w:rPr>
          <w:noProof/>
        </w:rPr>
        <w:t>1</w:t>
      </w:r>
      <w:r w:rsidR="009D502D">
        <w:fldChar w:fldCharType="end"/>
      </w:r>
      <w:r>
        <w:t>.</w:t>
      </w:r>
    </w:p>
    <w:p w14:paraId="1A7A20F0" w14:textId="7911474A" w:rsidR="00FD72EA" w:rsidRDefault="009D502D" w:rsidP="009D502D">
      <w:pPr>
        <w:pStyle w:val="Caption"/>
      </w:pPr>
      <w:bookmarkStart w:id="0" w:name="_Ref87364462"/>
      <w:r>
        <w:lastRenderedPageBreak/>
        <w:t xml:space="preserve">Table </w:t>
      </w:r>
      <w:fldSimple w:instr=" SEQ Table \* ARABIC ">
        <w:r w:rsidR="00881D8E">
          <w:rPr>
            <w:noProof/>
          </w:rPr>
          <w:t>1</w:t>
        </w:r>
      </w:fldSimple>
      <w:bookmarkEnd w:id="0"/>
      <w:r w:rsidR="00AF5AA7">
        <w:rPr>
          <w:noProof/>
        </w:rPr>
        <w:t xml:space="preserve"> - </w:t>
      </w:r>
      <w:r w:rsidR="00782DCC">
        <w:t>I</w:t>
      </w:r>
      <w:r w:rsidR="00AF5AA7" w:rsidRPr="007E492E">
        <w:t xml:space="preserve">ndustry issues, </w:t>
      </w:r>
      <w:proofErr w:type="gramStart"/>
      <w:r w:rsidR="00AF5AA7" w:rsidRPr="007E492E">
        <w:t>barriers</w:t>
      </w:r>
      <w:proofErr w:type="gramEnd"/>
      <w:r w:rsidR="00AF5AA7" w:rsidRPr="007E492E">
        <w:t xml:space="preserve"> and opportunities</w:t>
      </w:r>
    </w:p>
    <w:tbl>
      <w:tblPr>
        <w:tblStyle w:val="PlainTable2"/>
        <w:tblW w:w="5061" w:type="pct"/>
        <w:tblBorders>
          <w:top w:val="single" w:sz="4" w:space="0" w:color="auto"/>
          <w:bottom w:val="single" w:sz="4" w:space="0" w:color="auto"/>
          <w:insideH w:val="single" w:sz="4" w:space="0" w:color="auto"/>
        </w:tblBorders>
        <w:tblLook w:val="0620" w:firstRow="1" w:lastRow="0" w:firstColumn="0" w:lastColumn="0" w:noHBand="1" w:noVBand="1"/>
      </w:tblPr>
      <w:tblGrid>
        <w:gridCol w:w="1559"/>
        <w:gridCol w:w="3118"/>
        <w:gridCol w:w="3687"/>
        <w:gridCol w:w="6096"/>
      </w:tblGrid>
      <w:tr w:rsidR="0095687A" w:rsidRPr="00ED7A6E" w14:paraId="0B519560" w14:textId="77777777" w:rsidTr="00B57EA6">
        <w:trPr>
          <w:cnfStyle w:val="100000000000" w:firstRow="1" w:lastRow="0" w:firstColumn="0" w:lastColumn="0" w:oddVBand="0" w:evenVBand="0" w:oddHBand="0" w:evenHBand="0" w:firstRowFirstColumn="0" w:firstRowLastColumn="0" w:lastRowFirstColumn="0" w:lastRowLastColumn="0"/>
          <w:tblHeader/>
        </w:trPr>
        <w:tc>
          <w:tcPr>
            <w:tcW w:w="539" w:type="pct"/>
            <w:tcBorders>
              <w:bottom w:val="single" w:sz="4" w:space="0" w:color="auto"/>
            </w:tcBorders>
          </w:tcPr>
          <w:p w14:paraId="43BDB658" w14:textId="77777777" w:rsidR="00AF5AA7" w:rsidRPr="0042447C" w:rsidRDefault="00AF5AA7" w:rsidP="0042447C">
            <w:pPr>
              <w:pStyle w:val="TableHeading"/>
              <w:rPr>
                <w:rStyle w:val="Strong"/>
              </w:rPr>
            </w:pPr>
            <w:r w:rsidRPr="0042447C">
              <w:rPr>
                <w:rStyle w:val="Strong"/>
              </w:rPr>
              <w:t>Category</w:t>
            </w:r>
          </w:p>
        </w:tc>
        <w:tc>
          <w:tcPr>
            <w:tcW w:w="1078" w:type="pct"/>
            <w:tcBorders>
              <w:bottom w:val="single" w:sz="4" w:space="0" w:color="auto"/>
            </w:tcBorders>
          </w:tcPr>
          <w:p w14:paraId="600925DC" w14:textId="77777777" w:rsidR="00AF5AA7" w:rsidRPr="0042447C" w:rsidRDefault="00AF5AA7" w:rsidP="0042447C">
            <w:pPr>
              <w:pStyle w:val="TableHeading"/>
              <w:rPr>
                <w:rStyle w:val="Strong"/>
              </w:rPr>
            </w:pPr>
            <w:r w:rsidRPr="0042447C">
              <w:rPr>
                <w:rStyle w:val="Strong"/>
              </w:rPr>
              <w:t>Issue or barrier</w:t>
            </w:r>
          </w:p>
        </w:tc>
        <w:tc>
          <w:tcPr>
            <w:tcW w:w="1275" w:type="pct"/>
            <w:tcBorders>
              <w:bottom w:val="single" w:sz="4" w:space="0" w:color="auto"/>
            </w:tcBorders>
          </w:tcPr>
          <w:p w14:paraId="59FE453B" w14:textId="77777777" w:rsidR="00AF5AA7" w:rsidRPr="0042447C" w:rsidRDefault="00AF5AA7" w:rsidP="0042447C">
            <w:pPr>
              <w:pStyle w:val="TableHeading"/>
              <w:rPr>
                <w:rStyle w:val="Strong"/>
              </w:rPr>
            </w:pPr>
            <w:r w:rsidRPr="0042447C">
              <w:rPr>
                <w:rStyle w:val="Strong"/>
              </w:rPr>
              <w:t>Opportunities</w:t>
            </w:r>
          </w:p>
        </w:tc>
        <w:tc>
          <w:tcPr>
            <w:tcW w:w="2108" w:type="pct"/>
            <w:tcBorders>
              <w:bottom w:val="single" w:sz="4" w:space="0" w:color="auto"/>
            </w:tcBorders>
          </w:tcPr>
          <w:p w14:paraId="0AB2E03F" w14:textId="77777777" w:rsidR="00AF5AA7" w:rsidRPr="0042447C" w:rsidRDefault="00AF5AA7" w:rsidP="0042447C">
            <w:pPr>
              <w:pStyle w:val="TableHeading"/>
              <w:rPr>
                <w:rStyle w:val="Strong"/>
              </w:rPr>
            </w:pPr>
            <w:r w:rsidRPr="0042447C">
              <w:rPr>
                <w:rStyle w:val="Strong"/>
              </w:rPr>
              <w:t>Additional views</w:t>
            </w:r>
          </w:p>
        </w:tc>
      </w:tr>
      <w:tr w:rsidR="0095687A" w:rsidRPr="00ED7A6E" w14:paraId="11E1F187" w14:textId="77777777" w:rsidTr="00B57EA6">
        <w:tc>
          <w:tcPr>
            <w:tcW w:w="539" w:type="pct"/>
            <w:tcBorders>
              <w:top w:val="single" w:sz="4" w:space="0" w:color="auto"/>
              <w:bottom w:val="single" w:sz="4" w:space="0" w:color="auto"/>
              <w:right w:val="nil"/>
            </w:tcBorders>
          </w:tcPr>
          <w:p w14:paraId="53DC3819" w14:textId="77777777" w:rsidR="00AF5AA7" w:rsidRPr="00483C4C" w:rsidRDefault="00AF5AA7" w:rsidP="00B946EE">
            <w:pPr>
              <w:pStyle w:val="TableText"/>
              <w:rPr>
                <w:rStyle w:val="Strong"/>
              </w:rPr>
            </w:pPr>
            <w:r w:rsidRPr="00483C4C">
              <w:rPr>
                <w:rStyle w:val="Strong"/>
              </w:rPr>
              <w:t>Regulatory</w:t>
            </w:r>
          </w:p>
        </w:tc>
        <w:tc>
          <w:tcPr>
            <w:tcW w:w="1078" w:type="pct"/>
            <w:tcBorders>
              <w:top w:val="single" w:sz="4" w:space="0" w:color="auto"/>
              <w:left w:val="nil"/>
              <w:bottom w:val="single" w:sz="4" w:space="0" w:color="auto"/>
              <w:right w:val="nil"/>
            </w:tcBorders>
          </w:tcPr>
          <w:p w14:paraId="42610813" w14:textId="77777777" w:rsidR="00AF5AA7" w:rsidRPr="00483C4C" w:rsidRDefault="00AF5AA7" w:rsidP="00B946EE">
            <w:pPr>
              <w:pStyle w:val="TableBullet1"/>
            </w:pPr>
            <w:r w:rsidRPr="00483C4C">
              <w:t>Unequal bargaining power between growers and processors that is perceived to manifest in price inequity.</w:t>
            </w:r>
          </w:p>
        </w:tc>
        <w:tc>
          <w:tcPr>
            <w:tcW w:w="1275" w:type="pct"/>
            <w:tcBorders>
              <w:top w:val="single" w:sz="4" w:space="0" w:color="auto"/>
              <w:left w:val="nil"/>
              <w:bottom w:val="single" w:sz="4" w:space="0" w:color="auto"/>
              <w:right w:val="nil"/>
            </w:tcBorders>
          </w:tcPr>
          <w:p w14:paraId="1F7F9772" w14:textId="77777777" w:rsidR="00AF5AA7" w:rsidRPr="00ED7A6E" w:rsidRDefault="00AF5AA7" w:rsidP="00B946EE">
            <w:pPr>
              <w:pStyle w:val="TableBullet1"/>
            </w:pPr>
            <w:r w:rsidRPr="007E492E">
              <w:t>An Industry code of conduct that would include principles of price transparency, price determination, supply chain costing and dispute resolution mechanisms.</w:t>
            </w:r>
          </w:p>
        </w:tc>
        <w:tc>
          <w:tcPr>
            <w:tcW w:w="2108" w:type="pct"/>
            <w:tcBorders>
              <w:top w:val="single" w:sz="4" w:space="0" w:color="auto"/>
              <w:left w:val="nil"/>
              <w:bottom w:val="single" w:sz="4" w:space="0" w:color="auto"/>
            </w:tcBorders>
          </w:tcPr>
          <w:p w14:paraId="0FC0BADF" w14:textId="77777777" w:rsidR="0042447C" w:rsidRPr="0042447C" w:rsidRDefault="0042447C" w:rsidP="0042447C">
            <w:pPr>
              <w:pStyle w:val="TableBullet1"/>
            </w:pPr>
            <w:r w:rsidRPr="0042447C">
              <w:t>Unequal bargaining power can exist, particularly where there is no competition amongst processors in a region.</w:t>
            </w:r>
          </w:p>
          <w:p w14:paraId="6FCDBF9F" w14:textId="77777777" w:rsidR="0042447C" w:rsidRPr="0042447C" w:rsidRDefault="0042447C" w:rsidP="0042447C">
            <w:pPr>
              <w:pStyle w:val="TableBullet1"/>
            </w:pPr>
            <w:r w:rsidRPr="0042447C">
              <w:t>Pricing and contract issues are different and should be dealt with separately.</w:t>
            </w:r>
          </w:p>
          <w:p w14:paraId="060BE878" w14:textId="2F509ED3" w:rsidR="00AF5AA7" w:rsidRPr="00ED7A6E" w:rsidRDefault="0042447C" w:rsidP="0042447C">
            <w:pPr>
              <w:pStyle w:val="TableBullet1"/>
            </w:pPr>
            <w:r w:rsidRPr="0042447C">
              <w:t>Code of Conduct is about how a contract might work rather than details of pricing.</w:t>
            </w:r>
          </w:p>
        </w:tc>
      </w:tr>
      <w:tr w:rsidR="00AF5AA7" w:rsidRPr="00ED7A6E" w14:paraId="602194D7" w14:textId="77777777" w:rsidTr="00B57EA6">
        <w:tc>
          <w:tcPr>
            <w:tcW w:w="539" w:type="pct"/>
            <w:tcBorders>
              <w:top w:val="single" w:sz="4" w:space="0" w:color="auto"/>
              <w:bottom w:val="single" w:sz="4" w:space="0" w:color="auto"/>
              <w:right w:val="nil"/>
            </w:tcBorders>
          </w:tcPr>
          <w:p w14:paraId="23FB88C8" w14:textId="77777777" w:rsidR="00AF5AA7" w:rsidRPr="00483C4C" w:rsidRDefault="00AF5AA7" w:rsidP="00B946EE">
            <w:pPr>
              <w:pStyle w:val="TableText"/>
              <w:rPr>
                <w:rStyle w:val="Strong"/>
              </w:rPr>
            </w:pPr>
            <w:r w:rsidRPr="00483C4C">
              <w:rPr>
                <w:rStyle w:val="Strong"/>
              </w:rPr>
              <w:t>Chicken meat industry</w:t>
            </w:r>
          </w:p>
        </w:tc>
        <w:tc>
          <w:tcPr>
            <w:tcW w:w="1078" w:type="pct"/>
            <w:tcBorders>
              <w:top w:val="single" w:sz="4" w:space="0" w:color="auto"/>
              <w:left w:val="nil"/>
              <w:bottom w:val="single" w:sz="4" w:space="0" w:color="auto"/>
              <w:right w:val="nil"/>
            </w:tcBorders>
          </w:tcPr>
          <w:p w14:paraId="50A0E900" w14:textId="3AEECC1B" w:rsidR="0042447C" w:rsidRPr="0042447C" w:rsidRDefault="0042447C" w:rsidP="0042447C">
            <w:pPr>
              <w:pStyle w:val="TableBullet1"/>
            </w:pPr>
            <w:r w:rsidRPr="0042447C">
              <w:t>Price signalling not coming to</w:t>
            </w:r>
            <w:r w:rsidR="00B57EA6">
              <w:t xml:space="preserve"> the </w:t>
            </w:r>
            <w:r w:rsidRPr="0042447C">
              <w:t>grower and information asymmetry in the supply chain.</w:t>
            </w:r>
          </w:p>
          <w:p w14:paraId="4063EFF3" w14:textId="5F3D6BFB" w:rsidR="00AF5AA7" w:rsidRPr="00ED7A6E" w:rsidRDefault="0042447C" w:rsidP="0042447C">
            <w:pPr>
              <w:pStyle w:val="TableBullet1"/>
            </w:pPr>
            <w:r w:rsidRPr="0042447C">
              <w:t>Complex pool system and contracts are opaque: no transparency between or within regions on how price is determined and what criteria is used to assess price.</w:t>
            </w:r>
          </w:p>
        </w:tc>
        <w:tc>
          <w:tcPr>
            <w:tcW w:w="1275" w:type="pct"/>
            <w:tcBorders>
              <w:top w:val="single" w:sz="4" w:space="0" w:color="auto"/>
              <w:left w:val="nil"/>
              <w:bottom w:val="single" w:sz="4" w:space="0" w:color="auto"/>
              <w:right w:val="nil"/>
            </w:tcBorders>
          </w:tcPr>
          <w:p w14:paraId="015CF8A9" w14:textId="77777777" w:rsidR="0042447C" w:rsidRDefault="0042447C" w:rsidP="0042447C">
            <w:pPr>
              <w:pStyle w:val="TableBullet1"/>
            </w:pPr>
            <w:r>
              <w:t>Architecture exists to enable contractual mechanisms for data sharing.</w:t>
            </w:r>
          </w:p>
          <w:p w14:paraId="66BC1414" w14:textId="4CC5D809" w:rsidR="0042447C" w:rsidRDefault="0042447C" w:rsidP="0042447C">
            <w:pPr>
              <w:pStyle w:val="TableBullet1"/>
            </w:pPr>
            <w:r>
              <w:t xml:space="preserve">Forward contracting for those growers on shorter term contracts </w:t>
            </w:r>
            <w:r w:rsidR="009D618C">
              <w:t xml:space="preserve">– </w:t>
            </w:r>
            <w:r>
              <w:t>less than 5 years in length.</w:t>
            </w:r>
          </w:p>
          <w:p w14:paraId="23FD3D93" w14:textId="5FC6F97C" w:rsidR="00AF5AA7" w:rsidRPr="00ED7A6E" w:rsidRDefault="0042447C" w:rsidP="0042447C">
            <w:pPr>
              <w:pStyle w:val="TableBullet1"/>
            </w:pPr>
            <w:r>
              <w:t>Forward physical and financial modelling for regions; making information available to growers before they invest.</w:t>
            </w:r>
          </w:p>
        </w:tc>
        <w:tc>
          <w:tcPr>
            <w:tcW w:w="2108" w:type="pct"/>
            <w:tcBorders>
              <w:top w:val="single" w:sz="4" w:space="0" w:color="auto"/>
              <w:left w:val="nil"/>
              <w:bottom w:val="single" w:sz="4" w:space="0" w:color="auto"/>
            </w:tcBorders>
          </w:tcPr>
          <w:p w14:paraId="35843410" w14:textId="3C93F444" w:rsidR="0042447C" w:rsidRDefault="0042447C" w:rsidP="0042447C">
            <w:pPr>
              <w:pStyle w:val="TableBullet1"/>
            </w:pPr>
            <w:r>
              <w:t>Signals/data to indicate when a processor might close a plant in a region before a grower invests is important. This may not be discoverable during the due diligence process.</w:t>
            </w:r>
          </w:p>
          <w:p w14:paraId="2BCE0A8D" w14:textId="77777777" w:rsidR="0042447C" w:rsidRDefault="0042447C" w:rsidP="0042447C">
            <w:pPr>
              <w:pStyle w:val="TableBullet1"/>
            </w:pPr>
            <w:r>
              <w:t>The relationship between growers and processors is very important as growers are looking after the processors’ chickens.</w:t>
            </w:r>
          </w:p>
          <w:p w14:paraId="1A779AAB" w14:textId="77777777" w:rsidR="0042447C" w:rsidRDefault="0042447C" w:rsidP="0042447C">
            <w:pPr>
              <w:pStyle w:val="TableBullet1"/>
            </w:pPr>
            <w:r>
              <w:t>Not looking for through-supply chain transparency, rather transparency on the costs associated with growing.</w:t>
            </w:r>
          </w:p>
          <w:p w14:paraId="6EFC4CF7" w14:textId="6AFD5F20" w:rsidR="00AF5AA7" w:rsidRPr="00ED7A6E" w:rsidRDefault="0042447C" w:rsidP="0042447C">
            <w:pPr>
              <w:pStyle w:val="TableBullet1"/>
            </w:pPr>
            <w:r>
              <w:t>More concerned about terms of contracts and when contracts come up for renewal.</w:t>
            </w:r>
          </w:p>
        </w:tc>
      </w:tr>
      <w:tr w:rsidR="00AF5AA7" w:rsidRPr="00ED7A6E" w14:paraId="0CA002A3" w14:textId="77777777" w:rsidTr="00B57EA6">
        <w:tc>
          <w:tcPr>
            <w:tcW w:w="539" w:type="pct"/>
            <w:tcBorders>
              <w:top w:val="single" w:sz="4" w:space="0" w:color="auto"/>
              <w:bottom w:val="single" w:sz="4" w:space="0" w:color="auto"/>
              <w:right w:val="nil"/>
            </w:tcBorders>
          </w:tcPr>
          <w:p w14:paraId="0357F8B7" w14:textId="77777777" w:rsidR="00AF5AA7" w:rsidRPr="00483C4C" w:rsidRDefault="00AF5AA7" w:rsidP="00B946EE">
            <w:pPr>
              <w:pStyle w:val="TableText"/>
              <w:rPr>
                <w:rStyle w:val="Strong"/>
              </w:rPr>
            </w:pPr>
            <w:r w:rsidRPr="00483C4C">
              <w:rPr>
                <w:rStyle w:val="Strong"/>
              </w:rPr>
              <w:t>Process</w:t>
            </w:r>
          </w:p>
        </w:tc>
        <w:tc>
          <w:tcPr>
            <w:tcW w:w="1078" w:type="pct"/>
            <w:tcBorders>
              <w:top w:val="single" w:sz="4" w:space="0" w:color="auto"/>
              <w:left w:val="nil"/>
              <w:bottom w:val="single" w:sz="4" w:space="0" w:color="auto"/>
              <w:right w:val="nil"/>
            </w:tcBorders>
          </w:tcPr>
          <w:p w14:paraId="60ED3A94" w14:textId="180C56ED" w:rsidR="00AF5AA7" w:rsidRPr="00ED7A6E" w:rsidRDefault="0042447C" w:rsidP="0042447C">
            <w:pPr>
              <w:pStyle w:val="TableBullet1"/>
            </w:pPr>
            <w:r>
              <w:t xml:space="preserve">Benchmarking in pricing is not available to growers including cost of production, </w:t>
            </w:r>
            <w:proofErr w:type="gramStart"/>
            <w:r>
              <w:t>wholesale</w:t>
            </w:r>
            <w:proofErr w:type="gramEnd"/>
            <w:r>
              <w:t xml:space="preserve"> and retail.</w:t>
            </w:r>
          </w:p>
        </w:tc>
        <w:tc>
          <w:tcPr>
            <w:tcW w:w="1275" w:type="pct"/>
            <w:tcBorders>
              <w:top w:val="single" w:sz="4" w:space="0" w:color="auto"/>
              <w:left w:val="nil"/>
              <w:bottom w:val="single" w:sz="4" w:space="0" w:color="auto"/>
              <w:right w:val="nil"/>
            </w:tcBorders>
          </w:tcPr>
          <w:p w14:paraId="07ED1F27" w14:textId="4844D014" w:rsidR="00AF5AA7" w:rsidRPr="00ED7A6E" w:rsidRDefault="0042447C" w:rsidP="0042447C">
            <w:pPr>
              <w:pStyle w:val="TableBullet1"/>
            </w:pPr>
            <w:r w:rsidRPr="0042447C">
              <w:t>Frameworks and processes in play to enable benchmarking, including return on investment data.</w:t>
            </w:r>
          </w:p>
        </w:tc>
        <w:tc>
          <w:tcPr>
            <w:tcW w:w="2108" w:type="pct"/>
            <w:tcBorders>
              <w:top w:val="single" w:sz="4" w:space="0" w:color="auto"/>
              <w:left w:val="nil"/>
              <w:bottom w:val="single" w:sz="4" w:space="0" w:color="auto"/>
            </w:tcBorders>
          </w:tcPr>
          <w:p w14:paraId="647C42F7" w14:textId="77777777" w:rsidR="0042447C" w:rsidRDefault="0042447C" w:rsidP="0042447C">
            <w:pPr>
              <w:pStyle w:val="TableBullet1"/>
            </w:pPr>
            <w:r>
              <w:t xml:space="preserve">Growers provide the facility and labour, so these costs could be reviewed periodically. Price comparison across the supply chain is not relevant as processors take on </w:t>
            </w:r>
            <w:proofErr w:type="gramStart"/>
            <w:r>
              <w:t>the majority of</w:t>
            </w:r>
            <w:proofErr w:type="gramEnd"/>
            <w:r>
              <w:t xml:space="preserve"> risk.</w:t>
            </w:r>
          </w:p>
          <w:p w14:paraId="1CE4B27C" w14:textId="0B10EBFC" w:rsidR="00AF5AA7" w:rsidRPr="00ED7A6E" w:rsidRDefault="0042447C" w:rsidP="0042447C">
            <w:pPr>
              <w:pStyle w:val="TableBullet1"/>
            </w:pPr>
            <w:r>
              <w:t xml:space="preserve">Corporate growers have the resources to do a return-on- investment analysis before </w:t>
            </w:r>
            <w:proofErr w:type="gramStart"/>
            <w:r>
              <w:t>entering into</w:t>
            </w:r>
            <w:proofErr w:type="gramEnd"/>
            <w:r>
              <w:t xml:space="preserve"> a contract. Small growers may not have these resources. An ROI model template that could be used by prospective growers may be helpful. Such a model should include all the significant risk variables and the ability to vary each one.</w:t>
            </w:r>
          </w:p>
        </w:tc>
      </w:tr>
      <w:tr w:rsidR="0095687A" w:rsidRPr="00ED7A6E" w14:paraId="05FF50C9" w14:textId="77777777" w:rsidTr="00B57EA6">
        <w:tc>
          <w:tcPr>
            <w:tcW w:w="539" w:type="pct"/>
            <w:tcBorders>
              <w:top w:val="single" w:sz="4" w:space="0" w:color="auto"/>
              <w:bottom w:val="single" w:sz="4" w:space="0" w:color="auto"/>
            </w:tcBorders>
          </w:tcPr>
          <w:p w14:paraId="7191D48B" w14:textId="77777777" w:rsidR="00AF5AA7" w:rsidRPr="00483C4C" w:rsidRDefault="00AF5AA7" w:rsidP="00B946EE">
            <w:pPr>
              <w:pStyle w:val="TableText"/>
              <w:rPr>
                <w:rStyle w:val="Strong"/>
              </w:rPr>
            </w:pPr>
            <w:r w:rsidRPr="00483C4C">
              <w:rPr>
                <w:rStyle w:val="Strong"/>
              </w:rPr>
              <w:t>Information</w:t>
            </w:r>
          </w:p>
        </w:tc>
        <w:tc>
          <w:tcPr>
            <w:tcW w:w="1078" w:type="pct"/>
            <w:tcBorders>
              <w:top w:val="single" w:sz="4" w:space="0" w:color="auto"/>
              <w:bottom w:val="single" w:sz="4" w:space="0" w:color="auto"/>
            </w:tcBorders>
          </w:tcPr>
          <w:p w14:paraId="0293D495" w14:textId="77DB3774" w:rsidR="00AF5AA7" w:rsidRPr="0042447C" w:rsidRDefault="0042447C" w:rsidP="0042447C">
            <w:pPr>
              <w:pStyle w:val="TableBullet1"/>
            </w:pPr>
            <w:r w:rsidRPr="0042447C">
              <w:t>Lack of information transparency</w:t>
            </w:r>
            <w:r>
              <w:t xml:space="preserve"> – </w:t>
            </w:r>
            <w:r w:rsidRPr="0042447C">
              <w:t>growers not able to verify market or information provided by supply chain</w:t>
            </w:r>
          </w:p>
        </w:tc>
        <w:tc>
          <w:tcPr>
            <w:tcW w:w="1275" w:type="pct"/>
            <w:tcBorders>
              <w:top w:val="single" w:sz="4" w:space="0" w:color="auto"/>
              <w:bottom w:val="single" w:sz="4" w:space="0" w:color="auto"/>
            </w:tcBorders>
          </w:tcPr>
          <w:p w14:paraId="7DA8B369" w14:textId="138E525B" w:rsidR="0042447C" w:rsidRPr="0042447C" w:rsidRDefault="0042447C" w:rsidP="0042447C">
            <w:pPr>
              <w:pStyle w:val="TableBullet1"/>
            </w:pPr>
            <w:r w:rsidRPr="0042447C">
              <w:t xml:space="preserve">Index pricing based on data, </w:t>
            </w:r>
            <w:proofErr w:type="gramStart"/>
            <w:r w:rsidRPr="0042447C">
              <w:t>collated</w:t>
            </w:r>
            <w:proofErr w:type="gramEnd"/>
            <w:r w:rsidRPr="0042447C">
              <w:t xml:space="preserve"> and managed by independent body.</w:t>
            </w:r>
          </w:p>
          <w:p w14:paraId="7E52186E" w14:textId="37A60090" w:rsidR="00AF5AA7" w:rsidRPr="0042447C" w:rsidRDefault="0042447C" w:rsidP="0042447C">
            <w:pPr>
              <w:pStyle w:val="TableBullet1"/>
            </w:pPr>
            <w:r w:rsidRPr="0042447C">
              <w:t>Government to publish pricing,</w:t>
            </w:r>
            <w:r w:rsidR="0096744F">
              <w:t xml:space="preserve"> for example,</w:t>
            </w:r>
            <w:r w:rsidRPr="0042447C">
              <w:t xml:space="preserve"> through ABARES</w:t>
            </w:r>
            <w:r w:rsidR="0096744F">
              <w:t xml:space="preserve"> or</w:t>
            </w:r>
            <w:r w:rsidRPr="0042447C">
              <w:t xml:space="preserve"> ABS.</w:t>
            </w:r>
          </w:p>
        </w:tc>
        <w:tc>
          <w:tcPr>
            <w:tcW w:w="2108" w:type="pct"/>
            <w:tcBorders>
              <w:top w:val="single" w:sz="4" w:space="0" w:color="auto"/>
              <w:bottom w:val="single" w:sz="4" w:space="0" w:color="auto"/>
            </w:tcBorders>
          </w:tcPr>
          <w:p w14:paraId="2E802B06" w14:textId="3E8C3C28" w:rsidR="00AF5AA7" w:rsidRPr="0042447C" w:rsidRDefault="0042447C" w:rsidP="0042447C">
            <w:pPr>
              <w:pStyle w:val="TableBullet1"/>
            </w:pPr>
            <w:r w:rsidRPr="0042447C">
              <w:t>Growers should know their costs of production; they don’t need to know the cost of production through the whole supply chain. What value would that add?</w:t>
            </w:r>
          </w:p>
        </w:tc>
      </w:tr>
      <w:tr w:rsidR="0095687A" w:rsidRPr="00ED7A6E" w14:paraId="130EF06A" w14:textId="77777777" w:rsidTr="00B57EA6">
        <w:tc>
          <w:tcPr>
            <w:tcW w:w="539" w:type="pct"/>
            <w:tcBorders>
              <w:top w:val="single" w:sz="4" w:space="0" w:color="auto"/>
              <w:bottom w:val="single" w:sz="4" w:space="0" w:color="auto"/>
            </w:tcBorders>
          </w:tcPr>
          <w:p w14:paraId="2ECAED10" w14:textId="77777777" w:rsidR="00AF5AA7" w:rsidRPr="00483C4C" w:rsidRDefault="00AF5AA7" w:rsidP="00B946EE">
            <w:pPr>
              <w:pStyle w:val="TableText"/>
              <w:rPr>
                <w:rStyle w:val="Strong"/>
              </w:rPr>
            </w:pPr>
            <w:r w:rsidRPr="00483C4C">
              <w:rPr>
                <w:rStyle w:val="Strong"/>
              </w:rPr>
              <w:t>Environmental</w:t>
            </w:r>
          </w:p>
        </w:tc>
        <w:tc>
          <w:tcPr>
            <w:tcW w:w="1078" w:type="pct"/>
            <w:tcBorders>
              <w:top w:val="single" w:sz="4" w:space="0" w:color="auto"/>
              <w:bottom w:val="single" w:sz="4" w:space="0" w:color="auto"/>
            </w:tcBorders>
          </w:tcPr>
          <w:p w14:paraId="39F54193" w14:textId="49F46DBA" w:rsidR="00AF5AA7" w:rsidRPr="0096744F" w:rsidRDefault="0096744F" w:rsidP="0096744F">
            <w:pPr>
              <w:pStyle w:val="TableBullet1"/>
            </w:pPr>
            <w:r w:rsidRPr="0096744F">
              <w:t>Getting to Net Zero 2050</w:t>
            </w:r>
            <w:r w:rsidR="009D618C">
              <w:t xml:space="preserve"> – </w:t>
            </w:r>
            <w:r w:rsidRPr="0096744F">
              <w:t>who and how will it impact? Who will pay for that impact?</w:t>
            </w:r>
          </w:p>
        </w:tc>
        <w:tc>
          <w:tcPr>
            <w:tcW w:w="1275" w:type="pct"/>
            <w:tcBorders>
              <w:top w:val="single" w:sz="4" w:space="0" w:color="auto"/>
              <w:bottom w:val="single" w:sz="4" w:space="0" w:color="auto"/>
            </w:tcBorders>
          </w:tcPr>
          <w:p w14:paraId="10E1782D" w14:textId="64A679B7" w:rsidR="00AF5AA7" w:rsidRPr="0096744F" w:rsidRDefault="0096744F" w:rsidP="0096744F">
            <w:pPr>
              <w:pStyle w:val="TableBullet1"/>
            </w:pPr>
            <w:r w:rsidRPr="0096744F">
              <w:t xml:space="preserve">Forward modelling for regions, </w:t>
            </w:r>
            <w:proofErr w:type="gramStart"/>
            <w:r w:rsidRPr="0096744F">
              <w:t>similar to</w:t>
            </w:r>
            <w:proofErr w:type="gramEnd"/>
            <w:r w:rsidRPr="0096744F">
              <w:t xml:space="preserve"> dairy farm monitoring project for the dairy industry.</w:t>
            </w:r>
          </w:p>
        </w:tc>
        <w:tc>
          <w:tcPr>
            <w:tcW w:w="2108" w:type="pct"/>
            <w:tcBorders>
              <w:top w:val="single" w:sz="4" w:space="0" w:color="auto"/>
              <w:bottom w:val="single" w:sz="4" w:space="0" w:color="auto"/>
            </w:tcBorders>
          </w:tcPr>
          <w:p w14:paraId="34CC0CAC" w14:textId="5A7A4DF8" w:rsidR="00AF5AA7" w:rsidRPr="0096744F" w:rsidRDefault="00C2363E" w:rsidP="0096744F">
            <w:pPr>
              <w:pStyle w:val="TableBullet1"/>
            </w:pPr>
            <w:r w:rsidRPr="00C2363E">
              <w:t>This is a conversation that needs to be had, but in a different forum</w:t>
            </w:r>
            <w:r>
              <w:t>.</w:t>
            </w:r>
          </w:p>
        </w:tc>
      </w:tr>
    </w:tbl>
    <w:p w14:paraId="1DA89E81" w14:textId="3F29C263" w:rsidR="00AF5AA7" w:rsidRDefault="00AF5AA7" w:rsidP="00FD72EA"/>
    <w:p w14:paraId="150FEFCB" w14:textId="77777777" w:rsidR="00AF5AA7" w:rsidRDefault="00AF5AA7" w:rsidP="00FD72EA">
      <w:pPr>
        <w:sectPr w:rsidR="00AF5AA7" w:rsidSect="00B57EA6">
          <w:headerReference w:type="first" r:id="rId14"/>
          <w:pgSz w:w="16838" w:h="11906" w:orient="landscape" w:code="9"/>
          <w:pgMar w:top="993" w:right="1418" w:bottom="1077" w:left="1134" w:header="567" w:footer="284" w:gutter="0"/>
          <w:pgNumType w:start="2"/>
          <w:cols w:space="708"/>
          <w:titlePg/>
          <w:docGrid w:linePitch="360"/>
        </w:sectPr>
      </w:pPr>
    </w:p>
    <w:p w14:paraId="423F32BF" w14:textId="22FB0BA5" w:rsidR="00FD72EA" w:rsidRPr="00FD72EA" w:rsidRDefault="00FD72EA" w:rsidP="00FD72EA">
      <w:r w:rsidRPr="00FD72EA">
        <w:lastRenderedPageBreak/>
        <w:t xml:space="preserve">Participants were briefed on, and then discussed the </w:t>
      </w:r>
      <w:r>
        <w:t>2</w:t>
      </w:r>
      <w:r w:rsidRPr="00FD72EA">
        <w:t xml:space="preserve"> project ideas that were developed by the chicken meat growers' group in a workshop held on 28</w:t>
      </w:r>
      <w:r>
        <w:t> </w:t>
      </w:r>
      <w:r w:rsidRPr="00FD72EA">
        <w:t>September</w:t>
      </w:r>
      <w:r>
        <w:t> </w:t>
      </w:r>
      <w:r w:rsidRPr="00FD72EA">
        <w:t>2021, and discussed by chicken meat processors at a workshop on 7</w:t>
      </w:r>
      <w:r>
        <w:t> </w:t>
      </w:r>
      <w:r w:rsidRPr="00FD72EA">
        <w:t>October</w:t>
      </w:r>
      <w:r>
        <w:t> </w:t>
      </w:r>
      <w:r w:rsidRPr="00FD72EA">
        <w:t>2021:</w:t>
      </w:r>
    </w:p>
    <w:p w14:paraId="0D8A9AC3" w14:textId="00060674" w:rsidR="00FD72EA" w:rsidRPr="00FD72EA" w:rsidRDefault="00FD72EA" w:rsidP="00FD72EA">
      <w:pPr>
        <w:pStyle w:val="ListNumber"/>
      </w:pPr>
      <w:r w:rsidRPr="00FD72EA">
        <w:t>Develop a Code of Conduct</w:t>
      </w:r>
      <w:r>
        <w:t xml:space="preserve"> – </w:t>
      </w:r>
      <w:r w:rsidRPr="00FD72EA">
        <w:t>The code would be based on risk apportionment and principles of fairness and acting in good faith.</w:t>
      </w:r>
    </w:p>
    <w:p w14:paraId="195FE85C" w14:textId="02BA5D63" w:rsidR="00FD72EA" w:rsidRPr="00FD72EA" w:rsidRDefault="00FD72EA" w:rsidP="00FD72EA">
      <w:pPr>
        <w:pStyle w:val="ListNumber"/>
      </w:pPr>
      <w:r w:rsidRPr="00FD72EA">
        <w:t>Benchmarking</w:t>
      </w:r>
      <w:r>
        <w:t xml:space="preserve"> – </w:t>
      </w:r>
      <w:r w:rsidRPr="00FD72EA">
        <w:t>Data sharing and benchmarking across the supply chain to address information asymmetries and build price indexes.</w:t>
      </w:r>
    </w:p>
    <w:p w14:paraId="0F61C9C5" w14:textId="3C57CCC2" w:rsidR="00FD72EA" w:rsidRPr="005B7989" w:rsidRDefault="00FD72EA" w:rsidP="00FD72EA">
      <w:pPr>
        <w:rPr>
          <w:rStyle w:val="Emphasis"/>
        </w:rPr>
      </w:pPr>
      <w:r w:rsidRPr="00FD72EA">
        <w:t>Details of these project ideas are set out in</w:t>
      </w:r>
      <w:r w:rsidR="005B7989">
        <w:t xml:space="preserve"> the</w:t>
      </w:r>
      <w:r w:rsidRPr="00FD72EA">
        <w:t xml:space="preserve"> </w:t>
      </w:r>
      <w:r w:rsidRPr="005B7989">
        <w:rPr>
          <w:rStyle w:val="Emphasis"/>
        </w:rPr>
        <w:t>Chicken meat industry second workshop 28 September 2021: Workshop communique.</w:t>
      </w:r>
    </w:p>
    <w:p w14:paraId="358654D2" w14:textId="77777777" w:rsidR="00FD72EA" w:rsidRPr="00FD72EA" w:rsidRDefault="00FD72EA" w:rsidP="00FD72EA">
      <w:pPr>
        <w:pStyle w:val="Heading3"/>
        <w:rPr>
          <w:rFonts w:eastAsiaTheme="minorHAnsi"/>
        </w:rPr>
      </w:pPr>
      <w:r w:rsidRPr="00FD72EA">
        <w:rPr>
          <w:rFonts w:eastAsiaTheme="minorHAnsi"/>
        </w:rPr>
        <w:t>Code of conduct</w:t>
      </w:r>
    </w:p>
    <w:p w14:paraId="44B14F8C" w14:textId="3567580D" w:rsidR="005B7989" w:rsidRDefault="005B7989" w:rsidP="00FD72EA">
      <w:r w:rsidRPr="005B7989">
        <w:t>The corporate grower group questioned the relevance of a Code of Conduct to Recommendation</w:t>
      </w:r>
      <w:r w:rsidR="00C2363E">
        <w:t> </w:t>
      </w:r>
      <w:r w:rsidRPr="005B7989">
        <w:t>4 of the PAG inquiry but supported the idea of a voluntary code of conduct that was simple, addressed the pertinent issues and included the key items that contracts would need to cover, for example key common clauses.</w:t>
      </w:r>
    </w:p>
    <w:p w14:paraId="133FE455" w14:textId="33DDB67F" w:rsidR="00FD72EA" w:rsidRDefault="00FD72EA" w:rsidP="00FD72EA">
      <w:pPr>
        <w:pStyle w:val="Heading4"/>
      </w:pPr>
      <w:r>
        <w:t>Pros</w:t>
      </w:r>
    </w:p>
    <w:p w14:paraId="1DD307D7" w14:textId="78533B0F" w:rsidR="00A64E17" w:rsidRPr="00A64E17" w:rsidRDefault="00A64E17" w:rsidP="00A64E17">
      <w:pPr>
        <w:pStyle w:val="ListBullet"/>
      </w:pPr>
      <w:r>
        <w:t xml:space="preserve">A </w:t>
      </w:r>
      <w:r w:rsidRPr="00A64E17">
        <w:t>clear annual fee review process which recognizes unavoidable cost increases to Growers</w:t>
      </w:r>
      <w:r>
        <w:t>.</w:t>
      </w:r>
    </w:p>
    <w:p w14:paraId="43E08EA2" w14:textId="77777777" w:rsidR="00A64E17" w:rsidRPr="00A64E17" w:rsidRDefault="00A64E17" w:rsidP="00A64E17">
      <w:pPr>
        <w:pStyle w:val="ListBullet"/>
      </w:pPr>
      <w:r w:rsidRPr="00A64E17">
        <w:t>Clear process to follow when a plant closure is considered.</w:t>
      </w:r>
    </w:p>
    <w:p w14:paraId="18CCBA4A" w14:textId="2C0DB7DF" w:rsidR="00A64E17" w:rsidRPr="00A64E17" w:rsidRDefault="00A64E17" w:rsidP="00A64E17">
      <w:pPr>
        <w:pStyle w:val="ListBullet"/>
      </w:pPr>
      <w:r w:rsidRPr="00A64E17">
        <w:t>Clear pre-defined process regarding contract renewal</w:t>
      </w:r>
      <w:r>
        <w:t>.</w:t>
      </w:r>
    </w:p>
    <w:p w14:paraId="01136FC5" w14:textId="77777777" w:rsidR="00A64E17" w:rsidRPr="00A64E17" w:rsidRDefault="00A64E17" w:rsidP="00A64E17">
      <w:pPr>
        <w:pStyle w:val="ListBullet"/>
      </w:pPr>
      <w:r w:rsidRPr="00A64E17">
        <w:t>An agreed process of assigning contracts to new owners during the term of a contract which clarifies upgrade requirements during the term of the existing contract.</w:t>
      </w:r>
    </w:p>
    <w:p w14:paraId="71CC418D" w14:textId="5C46E76E" w:rsidR="00B946E0" w:rsidRDefault="00B946E0" w:rsidP="00B946E0">
      <w:pPr>
        <w:pStyle w:val="Heading4"/>
      </w:pPr>
      <w:r>
        <w:t>Cons</w:t>
      </w:r>
    </w:p>
    <w:p w14:paraId="560AF5D2" w14:textId="77777777" w:rsidR="00A659E8" w:rsidRPr="00A659E8" w:rsidRDefault="00A659E8" w:rsidP="00A659E8">
      <w:pPr>
        <w:pStyle w:val="ListBullet"/>
      </w:pPr>
      <w:r w:rsidRPr="00A659E8">
        <w:t>Shouldn’t become something that stifles commercial negotiations.</w:t>
      </w:r>
    </w:p>
    <w:p w14:paraId="7D855898" w14:textId="77777777" w:rsidR="00A659E8" w:rsidRPr="00A659E8" w:rsidRDefault="00A659E8" w:rsidP="00A659E8">
      <w:pPr>
        <w:pStyle w:val="ListBullet"/>
      </w:pPr>
      <w:r w:rsidRPr="00A659E8">
        <w:t>The industry should not be supporting poor performers.</w:t>
      </w:r>
    </w:p>
    <w:p w14:paraId="7FA4C137" w14:textId="77777777" w:rsidR="00A659E8" w:rsidRPr="00A659E8" w:rsidRDefault="00A659E8" w:rsidP="00A659E8">
      <w:pPr>
        <w:pStyle w:val="ListBullet"/>
      </w:pPr>
      <w:r w:rsidRPr="00A659E8">
        <w:t>Cannot have a one-size fits all for determining contract terms.</w:t>
      </w:r>
    </w:p>
    <w:p w14:paraId="1AD2A370" w14:textId="2FFEE9BA" w:rsidR="00B946E0" w:rsidRDefault="00B946E0" w:rsidP="00B946E0">
      <w:pPr>
        <w:pStyle w:val="Heading4"/>
      </w:pPr>
      <w:r>
        <w:t>Opportunities</w:t>
      </w:r>
    </w:p>
    <w:p w14:paraId="5AAA5CB9" w14:textId="77777777" w:rsidR="00A659E8" w:rsidRPr="00A659E8" w:rsidRDefault="00A659E8" w:rsidP="00A659E8">
      <w:pPr>
        <w:pStyle w:val="ListBullet"/>
      </w:pPr>
      <w:r w:rsidRPr="00A659E8">
        <w:t xml:space="preserve">Preference is for a voluntary </w:t>
      </w:r>
      <w:proofErr w:type="gramStart"/>
      <w:r w:rsidRPr="00A659E8">
        <w:t>code, if</w:t>
      </w:r>
      <w:proofErr w:type="gramEnd"/>
      <w:r w:rsidRPr="00A659E8">
        <w:t xml:space="preserve"> major processors sign up to it. However, a voluntary code would not be worthwhile if processors do not agree to sign up.</w:t>
      </w:r>
    </w:p>
    <w:p w14:paraId="54B401E4" w14:textId="77777777" w:rsidR="00A659E8" w:rsidRPr="00A659E8" w:rsidRDefault="00A659E8" w:rsidP="00A659E8">
      <w:pPr>
        <w:pStyle w:val="ListBullet"/>
      </w:pPr>
      <w:r w:rsidRPr="00A659E8">
        <w:t>There should be some oversight to help make sure the processors stick to the code.</w:t>
      </w:r>
    </w:p>
    <w:p w14:paraId="18B97C1F" w14:textId="77777777" w:rsidR="00A659E8" w:rsidRPr="00A659E8" w:rsidRDefault="00A659E8" w:rsidP="00A659E8">
      <w:pPr>
        <w:pStyle w:val="ListBullet"/>
      </w:pPr>
      <w:r w:rsidRPr="00A659E8">
        <w:t>A code needs to be simple and not complicated, address the pertinent issues and have clear language that is understood by all parties.</w:t>
      </w:r>
    </w:p>
    <w:p w14:paraId="1EDB6125" w14:textId="258B2D4C" w:rsidR="00A659E8" w:rsidRPr="002907D6" w:rsidRDefault="00A659E8" w:rsidP="00A659E8">
      <w:pPr>
        <w:pStyle w:val="ListBullet"/>
      </w:pPr>
      <w:r w:rsidRPr="00A659E8">
        <w:t>There should be obligations on growers as well</w:t>
      </w:r>
      <w:r w:rsidR="002907D6">
        <w:t>.</w:t>
      </w:r>
    </w:p>
    <w:p w14:paraId="612A7E8A" w14:textId="403DC34C" w:rsidR="00A659E8" w:rsidRPr="00A659E8" w:rsidRDefault="00A659E8" w:rsidP="00A659E8">
      <w:pPr>
        <w:pStyle w:val="ListBullet"/>
      </w:pPr>
      <w:r w:rsidRPr="00A659E8">
        <w:t xml:space="preserve">Processors and growers to agree what critical protections are needed in the code, </w:t>
      </w:r>
      <w:r>
        <w:t>for example</w:t>
      </w:r>
      <w:r w:rsidRPr="00A659E8">
        <w:t>:</w:t>
      </w:r>
    </w:p>
    <w:p w14:paraId="36455384" w14:textId="77777777" w:rsidR="00A659E8" w:rsidRPr="00A659E8" w:rsidRDefault="00A659E8" w:rsidP="00A659E8">
      <w:pPr>
        <w:pStyle w:val="ListBullet2"/>
      </w:pPr>
      <w:r w:rsidRPr="00A659E8">
        <w:t>Key common clauses that can be incorporated into contracts, rather than a definitive contract template.</w:t>
      </w:r>
    </w:p>
    <w:p w14:paraId="1CA1D190" w14:textId="77777777" w:rsidR="00A659E8" w:rsidRPr="00A659E8" w:rsidRDefault="00A659E8" w:rsidP="00A659E8">
      <w:pPr>
        <w:pStyle w:val="ListBullet2"/>
      </w:pPr>
      <w:r w:rsidRPr="00A659E8">
        <w:t>Dispute mechanism boundaries and interpretation.</w:t>
      </w:r>
    </w:p>
    <w:p w14:paraId="06F1364A" w14:textId="77777777" w:rsidR="00A659E8" w:rsidRPr="00A659E8" w:rsidRDefault="00A659E8" w:rsidP="00A659E8">
      <w:pPr>
        <w:pStyle w:val="ListBullet"/>
      </w:pPr>
      <w:r w:rsidRPr="00A659E8">
        <w:t>Grant application to fund drafting and consultation of a voluntary code.</w:t>
      </w:r>
    </w:p>
    <w:p w14:paraId="51B86D58" w14:textId="61E5E9E0" w:rsidR="00B946E0" w:rsidRPr="00F7622F" w:rsidRDefault="00B946E0" w:rsidP="005B0C64">
      <w:pPr>
        <w:pStyle w:val="Heading3"/>
        <w:rPr>
          <w:color w:val="000000" w:themeColor="text1"/>
        </w:rPr>
      </w:pPr>
      <w:r>
        <w:lastRenderedPageBreak/>
        <w:t>Benchmarking</w:t>
      </w:r>
    </w:p>
    <w:p w14:paraId="324F12AD" w14:textId="6E435087" w:rsidR="00434B15" w:rsidRPr="00434B15" w:rsidRDefault="00434B15" w:rsidP="00434B15">
      <w:r w:rsidRPr="00434B15">
        <w:t>The corporate growers did not support supply chain benchmarking. Growers, armed with a suitable model with confidential inputs</w:t>
      </w:r>
      <w:r>
        <w:t>,</w:t>
      </w:r>
      <w:r w:rsidRPr="00434B15">
        <w:t xml:space="preserve"> could benefit from opportunities to improve their efficiencies. This is not regarded as supply chain benchmarking and any data would be owned by growers and be confidential.</w:t>
      </w:r>
    </w:p>
    <w:p w14:paraId="4E94201F" w14:textId="77777777" w:rsidR="005B0C64" w:rsidRDefault="005B0C64" w:rsidP="005B0C64">
      <w:pPr>
        <w:pStyle w:val="Heading4"/>
      </w:pPr>
      <w:r>
        <w:t>Pros (return on investment)</w:t>
      </w:r>
    </w:p>
    <w:p w14:paraId="41822243" w14:textId="77777777" w:rsidR="00434B15" w:rsidRPr="00434B15" w:rsidRDefault="00434B15" w:rsidP="00434B15">
      <w:pPr>
        <w:pStyle w:val="ListBullet"/>
      </w:pPr>
      <w:r w:rsidRPr="00434B15">
        <w:t xml:space="preserve">Most benefit would be derived if participation was national with data segmented by sector, </w:t>
      </w:r>
      <w:proofErr w:type="gramStart"/>
      <w:r w:rsidRPr="00434B15">
        <w:t>geography</w:t>
      </w:r>
      <w:proofErr w:type="gramEnd"/>
      <w:r w:rsidRPr="00434B15">
        <w:t xml:space="preserve"> and size.</w:t>
      </w:r>
    </w:p>
    <w:p w14:paraId="386934D0" w14:textId="77777777" w:rsidR="00434B15" w:rsidRPr="00434B15" w:rsidRDefault="00434B15" w:rsidP="00434B15">
      <w:pPr>
        <w:pStyle w:val="ListBullet"/>
      </w:pPr>
      <w:r w:rsidRPr="00434B15">
        <w:t>To be effective, it must have accurate information and from different types of growers.</w:t>
      </w:r>
    </w:p>
    <w:p w14:paraId="371BEC8D" w14:textId="77777777" w:rsidR="00434B15" w:rsidRPr="00434B15" w:rsidRDefault="00434B15" w:rsidP="00434B15">
      <w:pPr>
        <w:pStyle w:val="ListBullet"/>
      </w:pPr>
      <w:r w:rsidRPr="00434B15">
        <w:t>It should relate to just the on- farm costs and will enable growers to see where they could see efficiencies to their costs.</w:t>
      </w:r>
    </w:p>
    <w:p w14:paraId="599B0438" w14:textId="5F560E59" w:rsidR="00434B15" w:rsidRDefault="00434B15" w:rsidP="00434B15">
      <w:pPr>
        <w:pStyle w:val="Heading4"/>
      </w:pPr>
      <w:r>
        <w:t>Cons (</w:t>
      </w:r>
      <w:r w:rsidR="00F7622F">
        <w:t>b</w:t>
      </w:r>
      <w:r>
        <w:t>enchmarking)</w:t>
      </w:r>
    </w:p>
    <w:p w14:paraId="240A1850" w14:textId="58A9BB7F" w:rsidR="00434B15" w:rsidRPr="00434B15" w:rsidRDefault="00434B15" w:rsidP="00434B15">
      <w:pPr>
        <w:pStyle w:val="ListBullet"/>
      </w:pPr>
      <w:r w:rsidRPr="00434B15">
        <w:t>Data should be confidential to the grower participants.</w:t>
      </w:r>
    </w:p>
    <w:p w14:paraId="67E5EB9F" w14:textId="77777777" w:rsidR="00434B15" w:rsidRDefault="00434B15" w:rsidP="00434B15">
      <w:pPr>
        <w:pStyle w:val="ListBullet"/>
        <w:rPr>
          <w:b/>
          <w:bCs/>
        </w:rPr>
      </w:pPr>
      <w:r w:rsidRPr="00434B15">
        <w:t>Public transparency of costs in the supply chain, can lead to margin pressure throughout. This may impact both processor and grower, particularly with the use of value chain analysis techniques as seen oversees (UK).</w:t>
      </w:r>
    </w:p>
    <w:p w14:paraId="079DAA04" w14:textId="41189A58" w:rsidR="005B0C64" w:rsidRDefault="005B0C64" w:rsidP="00434B15">
      <w:pPr>
        <w:pStyle w:val="Heading4"/>
      </w:pPr>
      <w:r>
        <w:t>Opportunities</w:t>
      </w:r>
    </w:p>
    <w:p w14:paraId="67B8B8DE" w14:textId="77777777" w:rsidR="00434B15" w:rsidRPr="00434B15" w:rsidRDefault="00434B15" w:rsidP="00434B15">
      <w:pPr>
        <w:pStyle w:val="ListBullet"/>
      </w:pPr>
      <w:r w:rsidRPr="00434B15">
        <w:t>A return-on-investment model can provide data for someone contemplating entering the growers’ market.</w:t>
      </w:r>
    </w:p>
    <w:p w14:paraId="3498FCDB" w14:textId="77777777" w:rsidR="00434B15" w:rsidRPr="00434B15" w:rsidRDefault="00434B15" w:rsidP="00434B15">
      <w:pPr>
        <w:pStyle w:val="ListBullet"/>
      </w:pPr>
      <w:r w:rsidRPr="00434B15">
        <w:t>Should have a body to manage, must be independent and respected across industry.</w:t>
      </w:r>
    </w:p>
    <w:p w14:paraId="6C294016" w14:textId="77777777" w:rsidR="00434B15" w:rsidRPr="00434B15" w:rsidRDefault="00434B15" w:rsidP="00434B15">
      <w:pPr>
        <w:pStyle w:val="ListBullet"/>
      </w:pPr>
      <w:r w:rsidRPr="00434B15">
        <w:t>Suggestion that benchmarking/ROI model to be led by Australian Chicken Meat Federation as representative of both processors and growers.</w:t>
      </w:r>
    </w:p>
    <w:p w14:paraId="38D53A36" w14:textId="17DAFD83" w:rsidR="000B1E5E" w:rsidRDefault="000B1E5E" w:rsidP="005B0C64">
      <w:pPr>
        <w:pStyle w:val="Heading2"/>
        <w:ind w:left="0" w:firstLine="0"/>
      </w:pPr>
      <w:r>
        <w:t>Next steps</w:t>
      </w:r>
    </w:p>
    <w:p w14:paraId="70F889B7" w14:textId="77777777" w:rsidR="00434B15" w:rsidRDefault="00434B15" w:rsidP="00434B15">
      <w:pPr>
        <w:rPr>
          <w:b/>
          <w:bCs/>
        </w:rPr>
      </w:pPr>
      <w:bookmarkStart w:id="1" w:name="Title_1"/>
      <w:bookmarkStart w:id="2" w:name="_Appendix_A_–"/>
      <w:bookmarkStart w:id="3" w:name="_Ref82700999"/>
      <w:bookmarkEnd w:id="1"/>
      <w:bookmarkEnd w:id="2"/>
      <w:r w:rsidRPr="00434B15">
        <w:t>Corporate chicken meat growers provided useful insights to the projects previously proposed. Representatives from the chicken meat supply chain should continue to work together to explore the development of projects to address the opportunities presented over the four workshops.</w:t>
      </w:r>
    </w:p>
    <w:p w14:paraId="09D48EDD" w14:textId="59C83726" w:rsidR="00ED7A6E" w:rsidRDefault="00173E2E" w:rsidP="00AF5AA7">
      <w:pPr>
        <w:pStyle w:val="Heading2"/>
        <w:keepNext w:val="0"/>
        <w:pageBreakBefore/>
        <w:ind w:left="0" w:firstLine="0"/>
      </w:pPr>
      <w:r>
        <w:lastRenderedPageBreak/>
        <w:t>Appendix</w:t>
      </w:r>
      <w:bookmarkEnd w:id="3"/>
      <w:r w:rsidR="00981F00">
        <w:t xml:space="preserve"> A</w:t>
      </w:r>
      <w:r w:rsidR="00EA006E">
        <w:t xml:space="preserve">: </w:t>
      </w:r>
      <w:r w:rsidR="00ED7A6E">
        <w:t>Participant list</w:t>
      </w:r>
    </w:p>
    <w:p w14:paraId="4C0977ED" w14:textId="3B85BE4E" w:rsidR="005B0C64" w:rsidRPr="002907D6" w:rsidRDefault="005B0C64" w:rsidP="005B0C64">
      <w:pPr>
        <w:pStyle w:val="ListBullet"/>
      </w:pPr>
      <w:r>
        <w:t>AAM</w:t>
      </w:r>
      <w:r w:rsidR="007E492E">
        <w:t xml:space="preserve"> </w:t>
      </w:r>
      <w:r w:rsidR="007E492E" w:rsidRPr="002907D6">
        <w:t>(Investment Group)</w:t>
      </w:r>
    </w:p>
    <w:p w14:paraId="224AAF1E" w14:textId="77777777" w:rsidR="005B0C64" w:rsidRDefault="005B0C64" w:rsidP="005B0C64">
      <w:pPr>
        <w:pStyle w:val="ListBullet"/>
      </w:pPr>
      <w:proofErr w:type="spellStart"/>
      <w:r>
        <w:t>Fairglen</w:t>
      </w:r>
      <w:proofErr w:type="spellEnd"/>
      <w:r>
        <w:t xml:space="preserve"> Farms</w:t>
      </w:r>
    </w:p>
    <w:p w14:paraId="262CDA95" w14:textId="77777777" w:rsidR="005B0C64" w:rsidRDefault="005B0C64" w:rsidP="005B0C64">
      <w:pPr>
        <w:pStyle w:val="ListBullet"/>
      </w:pPr>
      <w:proofErr w:type="spellStart"/>
      <w:r>
        <w:t>ProTen</w:t>
      </w:r>
      <w:proofErr w:type="spellEnd"/>
    </w:p>
    <w:p w14:paraId="558E4EC2" w14:textId="77777777" w:rsidR="005B0C64" w:rsidRPr="00423122" w:rsidRDefault="005B0C64" w:rsidP="005B0C64">
      <w:pPr>
        <w:pStyle w:val="ListBullet"/>
      </w:pPr>
      <w:r w:rsidRPr="00423122">
        <w:t>Australian Competition and Consumer Commission</w:t>
      </w:r>
    </w:p>
    <w:p w14:paraId="672A744E" w14:textId="77777777" w:rsidR="005B0C64" w:rsidRDefault="005B0C64" w:rsidP="005B0C64">
      <w:pPr>
        <w:pStyle w:val="ListBullet"/>
      </w:pPr>
      <w:r>
        <w:t>DAWE Agricultural Policy Division</w:t>
      </w:r>
    </w:p>
    <w:p w14:paraId="23CD7A7D" w14:textId="470B415B" w:rsidR="00E9781D" w:rsidRDefault="00E9781D" w:rsidP="00EA006E">
      <w:pPr>
        <w:pStyle w:val="Normalsmall"/>
        <w:spacing w:before="1000"/>
      </w:pPr>
      <w:r w:rsidRPr="000B0A88">
        <w:t>© Commonwealth of Australia 2021</w:t>
      </w:r>
    </w:p>
    <w:p w14:paraId="1CE0CC5A"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770C6259" w14:textId="77777777" w:rsidR="00E9781D" w:rsidRDefault="00E9781D" w:rsidP="00E9781D">
      <w:pPr>
        <w:pStyle w:val="Normalsmall"/>
      </w:pPr>
      <w:r>
        <w:t xml:space="preserve">All material in this publication is licensed under a </w:t>
      </w:r>
      <w:hyperlink r:id="rId15" w:history="1">
        <w:r>
          <w:rPr>
            <w:rStyle w:val="Hyperlink"/>
          </w:rPr>
          <w:t>Creative Commons Attribution 4.0 International Licence</w:t>
        </w:r>
      </w:hyperlink>
      <w:r>
        <w:t xml:space="preserve"> except content supplied by third parties, </w:t>
      </w:r>
      <w:proofErr w:type="gramStart"/>
      <w:r>
        <w:t>logos</w:t>
      </w:r>
      <w:proofErr w:type="gramEnd"/>
      <w:r>
        <w:t xml:space="preserve"> and the Commonwealth Coat of Arms.</w:t>
      </w:r>
    </w:p>
    <w:p w14:paraId="4590BBA9" w14:textId="57AC83A7" w:rsidR="00696682" w:rsidRDefault="00E9781D" w:rsidP="00E9781D">
      <w:pPr>
        <w:pStyle w:val="Normalsmall"/>
      </w:pPr>
      <w:r>
        <w:t xml:space="preserve">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sectPr w:rsidR="00696682" w:rsidSect="00125D13">
      <w:headerReference w:type="first" r:id="rId16"/>
      <w:pgSz w:w="11906" w:h="16838" w:code="9"/>
      <w:pgMar w:top="1418" w:right="1077" w:bottom="1134" w:left="1247" w:header="567" w:footer="284"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EFA2B" w14:textId="77777777" w:rsidR="009844EA" w:rsidRDefault="009844EA">
      <w:r>
        <w:separator/>
      </w:r>
    </w:p>
    <w:p w14:paraId="4BE00C9A" w14:textId="77777777" w:rsidR="009844EA" w:rsidRDefault="009844EA"/>
    <w:p w14:paraId="6D5046A3" w14:textId="77777777" w:rsidR="009844EA" w:rsidRDefault="009844EA"/>
  </w:endnote>
  <w:endnote w:type="continuationSeparator" w:id="0">
    <w:p w14:paraId="52C18148" w14:textId="77777777" w:rsidR="009844EA" w:rsidRDefault="009844EA">
      <w:r>
        <w:continuationSeparator/>
      </w:r>
    </w:p>
    <w:p w14:paraId="64898C02" w14:textId="77777777" w:rsidR="009844EA" w:rsidRDefault="009844EA"/>
    <w:p w14:paraId="0BCD154D" w14:textId="77777777" w:rsidR="009844EA" w:rsidRDefault="009844EA"/>
  </w:endnote>
  <w:endnote w:type="continuationNotice" w:id="1">
    <w:p w14:paraId="64A30663" w14:textId="77777777" w:rsidR="009844EA" w:rsidRDefault="009844EA">
      <w:pPr>
        <w:pStyle w:val="Footer"/>
      </w:pPr>
    </w:p>
    <w:p w14:paraId="5D38E31F" w14:textId="77777777" w:rsidR="009844EA" w:rsidRDefault="009844EA"/>
    <w:p w14:paraId="6A6E1053" w14:textId="77777777" w:rsidR="009844EA" w:rsidRDefault="009844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7477" w14:textId="77777777" w:rsidR="000542B4" w:rsidRDefault="000542B4" w:rsidP="000542B4">
    <w:pPr>
      <w:pStyle w:val="Footer"/>
    </w:pPr>
    <w:r>
      <w:t xml:space="preserve">Department of Agriculture, </w:t>
    </w:r>
    <w:proofErr w:type="gramStart"/>
    <w:r>
      <w:t>Water</w:t>
    </w:r>
    <w:proofErr w:type="gramEnd"/>
    <w:r>
      <w:t xml:space="preserve"> and the Environment</w:t>
    </w:r>
  </w:p>
  <w:p w14:paraId="51A09124" w14:textId="212ADD43" w:rsidR="000542B4" w:rsidRDefault="00881D8E"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4C8E09F7" w14:textId="77777777" w:rsidR="000542B4" w:rsidRDefault="000542B4" w:rsidP="00A77E8E">
        <w:pPr>
          <w:pStyle w:val="Footer"/>
        </w:pPr>
        <w:r>
          <w:t xml:space="preserve">Department of Agriculture, </w:t>
        </w:r>
        <w:proofErr w:type="gramStart"/>
        <w:r>
          <w:t>Water</w:t>
        </w:r>
        <w:proofErr w:type="gramEnd"/>
        <w:r>
          <w:t xml:space="preserve"> and the Environment</w:t>
        </w:r>
      </w:p>
      <w:p w14:paraId="2D60CB34" w14:textId="6671B1E3" w:rsidR="00577F29" w:rsidRDefault="00A77E8E" w:rsidP="00A77E8E">
        <w:pPr>
          <w:pStyle w:val="Footer"/>
        </w:pPr>
        <w:r>
          <w:fldChar w:fldCharType="begin"/>
        </w:r>
        <w:r>
          <w:instrText xml:space="preserve"> PAGE   \* MERGEFORMAT </w:instrText>
        </w:r>
        <w:r>
          <w:fldChar w:fldCharType="separate"/>
        </w:r>
        <w:r w:rsidR="00A8157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BDF24" w14:textId="77777777" w:rsidR="009844EA" w:rsidRDefault="009844EA">
      <w:r>
        <w:separator/>
      </w:r>
    </w:p>
    <w:p w14:paraId="536C3AF3" w14:textId="77777777" w:rsidR="009844EA" w:rsidRDefault="009844EA"/>
    <w:p w14:paraId="7A1E5211" w14:textId="77777777" w:rsidR="009844EA" w:rsidRDefault="009844EA"/>
  </w:footnote>
  <w:footnote w:type="continuationSeparator" w:id="0">
    <w:p w14:paraId="30C1FA55" w14:textId="77777777" w:rsidR="009844EA" w:rsidRDefault="009844EA">
      <w:r>
        <w:continuationSeparator/>
      </w:r>
    </w:p>
    <w:p w14:paraId="1CAD6F50" w14:textId="77777777" w:rsidR="009844EA" w:rsidRDefault="009844EA"/>
    <w:p w14:paraId="44942123" w14:textId="77777777" w:rsidR="009844EA" w:rsidRDefault="009844EA"/>
  </w:footnote>
  <w:footnote w:type="continuationNotice" w:id="1">
    <w:p w14:paraId="71439909" w14:textId="77777777" w:rsidR="009844EA" w:rsidRDefault="009844EA">
      <w:pPr>
        <w:pStyle w:val="Footer"/>
      </w:pPr>
    </w:p>
    <w:p w14:paraId="4952DD64" w14:textId="77777777" w:rsidR="009844EA" w:rsidRDefault="009844EA"/>
    <w:p w14:paraId="0B041E1F" w14:textId="77777777" w:rsidR="009844EA" w:rsidRDefault="009844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233A" w14:textId="6E7FDADB" w:rsidR="000E455C" w:rsidRDefault="001051C3" w:rsidP="00A8157A">
    <w:pPr>
      <w:pStyle w:val="Footer"/>
      <w:spacing w:after="0"/>
      <w:jc w:val="left"/>
    </w:pPr>
    <w:r>
      <w:rPr>
        <w:noProof/>
        <w:lang w:eastAsia="en-AU"/>
      </w:rPr>
      <w:drawing>
        <wp:anchor distT="0" distB="0" distL="114300" distR="114300" simplePos="0" relativeHeight="251659264" behindDoc="1" locked="0" layoutInCell="1" allowOverlap="1" wp14:anchorId="39FBFF1E" wp14:editId="5147413E">
          <wp:simplePos x="0" y="0"/>
          <wp:positionH relativeFrom="page">
            <wp:posOffset>-17335</wp:posOffset>
          </wp:positionH>
          <wp:positionV relativeFrom="paragraph">
            <wp:posOffset>-371475</wp:posOffset>
          </wp:positionV>
          <wp:extent cx="7563600" cy="2162335"/>
          <wp:effectExtent l="0" t="0" r="0" b="0"/>
          <wp:wrapNone/>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extLst>
                      <a:ext uri="{28A0092B-C50C-407E-A947-70E740481C1C}">
                        <a14:useLocalDpi xmlns:a14="http://schemas.microsoft.com/office/drawing/2010/main" val="0"/>
                      </a:ext>
                    </a:extLst>
                  </a:blip>
                  <a:stretch>
                    <a:fillRect/>
                  </a:stretch>
                </pic:blipFill>
                <pic:spPr>
                  <a:xfrm>
                    <a:off x="0" y="0"/>
                    <a:ext cx="7563600" cy="216233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8702E" w14:textId="498ED10E" w:rsidR="00CF1650" w:rsidRPr="003717DF" w:rsidRDefault="00CF1650" w:rsidP="003717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87D72" w14:textId="4E3D4AEB" w:rsidR="007517E8" w:rsidRDefault="007517E8" w:rsidP="00A8157A">
    <w:pPr>
      <w:pStyle w:val="Footer"/>
      <w:spacing w:after="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6C74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247FD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EC1BD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0C2FE9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8D486AF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7B76C88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48C10CA"/>
    <w:multiLevelType w:val="hybridMultilevel"/>
    <w:tmpl w:val="904668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E3402E6"/>
    <w:multiLevelType w:val="hybridMultilevel"/>
    <w:tmpl w:val="9EEA15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2"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A328D5"/>
    <w:multiLevelType w:val="multilevel"/>
    <w:tmpl w:val="47AAA7EE"/>
    <w:numStyleLink w:val="Numberlist"/>
  </w:abstractNum>
  <w:abstractNum w:abstractNumId="14"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103637"/>
    <w:multiLevelType w:val="multilevel"/>
    <w:tmpl w:val="47AAA7EE"/>
    <w:numStyleLink w:val="Numberlist"/>
  </w:abstractNum>
  <w:abstractNum w:abstractNumId="16" w15:restartNumberingAfterBreak="0">
    <w:nsid w:val="2C6274CC"/>
    <w:multiLevelType w:val="hybridMultilevel"/>
    <w:tmpl w:val="2AAC50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94A15FE"/>
    <w:multiLevelType w:val="multilevel"/>
    <w:tmpl w:val="F36C17E8"/>
    <w:numStyleLink w:val="Headinglist"/>
  </w:abstractNum>
  <w:abstractNum w:abstractNumId="18" w15:restartNumberingAfterBreak="0">
    <w:nsid w:val="3BD81DEB"/>
    <w:multiLevelType w:val="hybridMultilevel"/>
    <w:tmpl w:val="7FEAC0D6"/>
    <w:lvl w:ilvl="0" w:tplc="6F14B99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14F4729"/>
    <w:multiLevelType w:val="multilevel"/>
    <w:tmpl w:val="A0241B28"/>
    <w:numStyleLink w:val="List1"/>
  </w:abstractNum>
  <w:abstractNum w:abstractNumId="20" w15:restartNumberingAfterBreak="0">
    <w:nsid w:val="437511A8"/>
    <w:multiLevelType w:val="hybridMultilevel"/>
    <w:tmpl w:val="3D5EA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FF11B6"/>
    <w:multiLevelType w:val="hybridMultilevel"/>
    <w:tmpl w:val="5C583336"/>
    <w:lvl w:ilvl="0" w:tplc="83C23DE2">
      <w:start w:val="1"/>
      <w:numFmt w:val="lowerLetter"/>
      <w:pStyle w:val="ListNumber2"/>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486800B4"/>
    <w:multiLevelType w:val="multilevel"/>
    <w:tmpl w:val="A0241B28"/>
    <w:numStyleLink w:val="List1"/>
  </w:abstractNum>
  <w:abstractNum w:abstractNumId="23"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4" w15:restartNumberingAfterBreak="0">
    <w:nsid w:val="496159DC"/>
    <w:multiLevelType w:val="multilevel"/>
    <w:tmpl w:val="47AAA7EE"/>
    <w:numStyleLink w:val="Numberlist"/>
  </w:abstractNum>
  <w:abstractNum w:abstractNumId="25" w15:restartNumberingAfterBreak="0">
    <w:nsid w:val="4AFE37F1"/>
    <w:multiLevelType w:val="hybridMultilevel"/>
    <w:tmpl w:val="48CE9E5C"/>
    <w:lvl w:ilvl="0" w:tplc="0C09000F">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D74CFC"/>
    <w:multiLevelType w:val="hybridMultilevel"/>
    <w:tmpl w:val="323CB43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D7303BF"/>
    <w:multiLevelType w:val="hybridMultilevel"/>
    <w:tmpl w:val="48CE9E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C150A6"/>
    <w:multiLevelType w:val="hybridMultilevel"/>
    <w:tmpl w:val="897AAF8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1"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3"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4" w15:restartNumberingAfterBreak="0">
    <w:nsid w:val="61164DD0"/>
    <w:multiLevelType w:val="hybridMultilevel"/>
    <w:tmpl w:val="FC281CCE"/>
    <w:lvl w:ilvl="0" w:tplc="0C09000F">
      <w:start w:val="1"/>
      <w:numFmt w:val="decimal"/>
      <w:lvlText w:val="%1."/>
      <w:lvlJc w:val="left"/>
      <w:pPr>
        <w:ind w:left="6" w:hanging="360"/>
      </w:pPr>
      <w:rPr>
        <w:rFonts w:hint="default"/>
      </w:rPr>
    </w:lvl>
    <w:lvl w:ilvl="1" w:tplc="0C090015">
      <w:start w:val="1"/>
      <w:numFmt w:val="upperLetter"/>
      <w:lvlText w:val="%2."/>
      <w:lvlJc w:val="left"/>
      <w:pPr>
        <w:ind w:left="726" w:hanging="360"/>
      </w:pPr>
      <w:rPr>
        <w:rFonts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AEE0A34"/>
    <w:multiLevelType w:val="hybridMultilevel"/>
    <w:tmpl w:val="38743F72"/>
    <w:lvl w:ilvl="0" w:tplc="B5506130">
      <w:start w:val="1"/>
      <w:numFmt w:val="lowerRoman"/>
      <w:pStyle w:val="ListNumber3"/>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7" w15:restartNumberingAfterBreak="0">
    <w:nsid w:val="6C8C10A1"/>
    <w:multiLevelType w:val="multilevel"/>
    <w:tmpl w:val="47AAA7EE"/>
    <w:numStyleLink w:val="Numberlist"/>
  </w:abstractNum>
  <w:abstractNum w:abstractNumId="38" w15:restartNumberingAfterBreak="0">
    <w:nsid w:val="733934B7"/>
    <w:multiLevelType w:val="multilevel"/>
    <w:tmpl w:val="A0241B28"/>
    <w:numStyleLink w:val="List1"/>
  </w:abstractNum>
  <w:num w:numId="1">
    <w:abstractNumId w:val="6"/>
  </w:num>
  <w:num w:numId="2">
    <w:abstractNumId w:val="22"/>
  </w:num>
  <w:num w:numId="3">
    <w:abstractNumId w:val="23"/>
  </w:num>
  <w:num w:numId="4">
    <w:abstractNumId w:val="11"/>
  </w:num>
  <w:num w:numId="5">
    <w:abstractNumId w:val="32"/>
  </w:num>
  <w:num w:numId="6">
    <w:abstractNumId w:val="33"/>
  </w:num>
  <w:num w:numId="7">
    <w:abstractNumId w:val="8"/>
  </w:num>
  <w:num w:numId="8">
    <w:abstractNumId w:val="14"/>
  </w:num>
  <w:num w:numId="9">
    <w:abstractNumId w:val="17"/>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2"/>
  </w:num>
  <w:num w:numId="16">
    <w:abstractNumId w:val="3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1"/>
  </w:num>
  <w:num w:numId="20">
    <w:abstractNumId w:val="0"/>
  </w:num>
  <w:num w:numId="21">
    <w:abstractNumId w:val="15"/>
  </w:num>
  <w:num w:numId="22">
    <w:abstractNumId w:val="24"/>
  </w:num>
  <w:num w:numId="23">
    <w:abstractNumId w:val="37"/>
  </w:num>
  <w:num w:numId="24">
    <w:abstractNumId w:val="13"/>
    <w:lvlOverride w:ilvl="0">
      <w:lvl w:ilvl="0">
        <w:start w:val="1"/>
        <w:numFmt w:val="decimal"/>
        <w:pStyle w:val="ListNumber"/>
        <w:lvlText w:val="%1)"/>
        <w:lvlJc w:val="left"/>
        <w:pPr>
          <w:ind w:left="425" w:hanging="425"/>
        </w:pPr>
        <w:rPr>
          <w:rFonts w:hint="default"/>
          <w:color w:val="auto"/>
        </w:rPr>
      </w:lvl>
    </w:lvlOverride>
    <w:lvlOverride w:ilvl="1">
      <w:lvl w:ilvl="1">
        <w:start w:val="1"/>
        <w:numFmt w:val="lowerLetter"/>
        <w:lvlText w:val="%2)"/>
        <w:lvlJc w:val="left"/>
        <w:pPr>
          <w:ind w:left="851" w:hanging="426"/>
        </w:pPr>
        <w:rPr>
          <w:rFonts w:hint="default"/>
        </w:rPr>
      </w:lvl>
    </w:lvlOverride>
    <w:lvlOverride w:ilvl="2">
      <w:lvl w:ilvl="2">
        <w:start w:val="1"/>
        <w:numFmt w:val="lowerRoman"/>
        <w:lvlText w:val="%3)"/>
        <w:lvlJc w:val="left"/>
        <w:pPr>
          <w:ind w:left="1191" w:hanging="340"/>
        </w:pPr>
        <w:rPr>
          <w:rFonts w:hint="default"/>
        </w:rPr>
      </w:lvl>
    </w:lvlOverride>
    <w:lvlOverride w:ilvl="3">
      <w:lvl w:ilvl="3">
        <w:start w:val="1"/>
        <w:numFmt w:val="decimal"/>
        <w:lvlText w:val="%4."/>
        <w:lvlJc w:val="left"/>
        <w:pPr>
          <w:ind w:left="1276" w:hanging="1276"/>
        </w:pPr>
        <w:rPr>
          <w:rFonts w:hint="default"/>
        </w:rPr>
      </w:lvl>
    </w:lvlOverride>
    <w:lvlOverride w:ilvl="4">
      <w:lvl w:ilvl="4">
        <w:start w:val="1"/>
        <w:numFmt w:val="lowerLetter"/>
        <w:lvlText w:val="%5."/>
        <w:lvlJc w:val="left"/>
        <w:pPr>
          <w:ind w:left="567" w:hanging="567"/>
        </w:pPr>
        <w:rPr>
          <w:rFonts w:hint="default"/>
        </w:rPr>
      </w:lvl>
    </w:lvlOverride>
    <w:lvlOverride w:ilvl="5">
      <w:lvl w:ilvl="5">
        <w:start w:val="1"/>
        <w:numFmt w:val="lowerRoman"/>
        <w:lvlText w:val="%6."/>
        <w:lvlJc w:val="righ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lowerLetter"/>
        <w:lvlText w:val="%8."/>
        <w:lvlJc w:val="left"/>
        <w:pPr>
          <w:ind w:left="567" w:hanging="567"/>
        </w:pPr>
        <w:rPr>
          <w:rFonts w:hint="default"/>
        </w:rPr>
      </w:lvl>
    </w:lvlOverride>
    <w:lvlOverride w:ilvl="8">
      <w:lvl w:ilvl="8">
        <w:start w:val="1"/>
        <w:numFmt w:val="lowerRoman"/>
        <w:lvlText w:val="%9."/>
        <w:lvlJc w:val="right"/>
        <w:pPr>
          <w:ind w:left="567" w:hanging="567"/>
        </w:pPr>
        <w:rPr>
          <w:rFonts w:hint="default"/>
        </w:rPr>
      </w:lvl>
    </w:lvlOverride>
  </w:num>
  <w:num w:numId="25">
    <w:abstractNumId w:val="19"/>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26"/>
  </w:num>
  <w:num w:numId="29">
    <w:abstractNumId w:val="31"/>
  </w:num>
  <w:num w:numId="30">
    <w:abstractNumId w:val="10"/>
  </w:num>
  <w:num w:numId="31">
    <w:abstractNumId w:val="34"/>
  </w:num>
  <w:num w:numId="32">
    <w:abstractNumId w:val="7"/>
  </w:num>
  <w:num w:numId="33">
    <w:abstractNumId w:val="28"/>
  </w:num>
  <w:num w:numId="34">
    <w:abstractNumId w:val="25"/>
  </w:num>
  <w:num w:numId="35">
    <w:abstractNumId w:val="16"/>
  </w:num>
  <w:num w:numId="36">
    <w:abstractNumId w:val="9"/>
  </w:num>
  <w:num w:numId="37">
    <w:abstractNumId w:val="18"/>
  </w:num>
  <w:num w:numId="38">
    <w:abstractNumId w:val="20"/>
  </w:num>
  <w:num w:numId="39">
    <w:abstractNumId w:val="13"/>
  </w:num>
  <w:num w:numId="40">
    <w:abstractNumId w:val="27"/>
  </w:num>
  <w:num w:numId="41">
    <w:abstractNumId w:val="29"/>
  </w:num>
  <w:num w:numId="42">
    <w:abstractNumId w:val="21"/>
  </w:num>
  <w:num w:numId="43">
    <w:abstractNumId w:val="36"/>
  </w:num>
  <w:num w:numId="44">
    <w:abstractNumId w:val="13"/>
    <w:lvlOverride w:ilvl="0">
      <w:startOverride w:val="1"/>
      <w:lvl w:ilvl="0">
        <w:start w:val="1"/>
        <w:numFmt w:val="decimal"/>
        <w:pStyle w:val="ListNumber"/>
        <w:lvlText w:val="%1)"/>
        <w:lvlJc w:val="left"/>
        <w:pPr>
          <w:ind w:left="425" w:hanging="425"/>
        </w:pPr>
        <w:rPr>
          <w:rFonts w:hint="default"/>
          <w:color w:val="auto"/>
        </w:rPr>
      </w:lvl>
    </w:lvlOverride>
    <w:lvlOverride w:ilvl="1">
      <w:startOverride w:val="1"/>
      <w:lvl w:ilvl="1">
        <w:start w:val="1"/>
        <w:numFmt w:val="lowerLetter"/>
        <w:lvlText w:val="%2)"/>
        <w:lvlJc w:val="left"/>
        <w:pPr>
          <w:ind w:left="851" w:hanging="426"/>
        </w:pPr>
        <w:rPr>
          <w:rFonts w:hint="default"/>
        </w:rPr>
      </w:lvl>
    </w:lvlOverride>
    <w:lvlOverride w:ilvl="2">
      <w:startOverride w:val="1"/>
      <w:lvl w:ilvl="2">
        <w:start w:val="1"/>
        <w:numFmt w:val="lowerRoman"/>
        <w:lvlText w:val="%3)"/>
        <w:lvlJc w:val="left"/>
        <w:pPr>
          <w:ind w:left="1191" w:hanging="340"/>
        </w:pPr>
        <w:rPr>
          <w:rFonts w:hint="default"/>
        </w:rPr>
      </w:lvl>
    </w:lvlOverride>
    <w:lvlOverride w:ilvl="3">
      <w:startOverride w:val="1"/>
      <w:lvl w:ilvl="3">
        <w:start w:val="1"/>
        <w:numFmt w:val="decimal"/>
        <w:lvlText w:val="%4."/>
        <w:lvlJc w:val="left"/>
        <w:pPr>
          <w:ind w:left="1276" w:hanging="1276"/>
        </w:pPr>
        <w:rPr>
          <w:rFonts w:hint="default"/>
        </w:rPr>
      </w:lvl>
    </w:lvlOverride>
    <w:lvlOverride w:ilvl="4">
      <w:startOverride w:val="1"/>
      <w:lvl w:ilvl="4">
        <w:start w:val="1"/>
        <w:numFmt w:val="lowerLetter"/>
        <w:lvlText w:val="%5."/>
        <w:lvlJc w:val="left"/>
        <w:pPr>
          <w:ind w:left="567" w:hanging="567"/>
        </w:pPr>
        <w:rPr>
          <w:rFonts w:hint="default"/>
        </w:rPr>
      </w:lvl>
    </w:lvlOverride>
    <w:lvlOverride w:ilvl="5">
      <w:startOverride w:val="1"/>
      <w:lvl w:ilvl="5">
        <w:start w:val="1"/>
        <w:numFmt w:val="lowerRoman"/>
        <w:lvlText w:val="%6."/>
        <w:lvlJc w:val="righ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lowerLetter"/>
        <w:lvlText w:val="%8."/>
        <w:lvlJc w:val="left"/>
        <w:pPr>
          <w:ind w:left="567" w:hanging="567"/>
        </w:pPr>
        <w:rPr>
          <w:rFonts w:hint="default"/>
        </w:rPr>
      </w:lvl>
    </w:lvlOverride>
    <w:lvlOverride w:ilvl="8">
      <w:startOverride w:val="1"/>
      <w:lvl w:ilvl="8">
        <w:start w:val="1"/>
        <w:numFmt w:val="lowerRoman"/>
        <w:lvlText w:val="%9."/>
        <w:lvlJc w:val="right"/>
        <w:pPr>
          <w:ind w:left="567" w:hanging="567"/>
        </w:pPr>
        <w:rPr>
          <w:rFonts w:hint="default"/>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55C"/>
    <w:rsid w:val="0000059E"/>
    <w:rsid w:val="0000066F"/>
    <w:rsid w:val="00013125"/>
    <w:rsid w:val="00021590"/>
    <w:rsid w:val="00025D1B"/>
    <w:rsid w:val="000266C4"/>
    <w:rsid w:val="00035DEF"/>
    <w:rsid w:val="0004396C"/>
    <w:rsid w:val="000542B4"/>
    <w:rsid w:val="000618F3"/>
    <w:rsid w:val="00066D0B"/>
    <w:rsid w:val="000717D2"/>
    <w:rsid w:val="00073BE4"/>
    <w:rsid w:val="00074A56"/>
    <w:rsid w:val="00080827"/>
    <w:rsid w:val="0008277A"/>
    <w:rsid w:val="000904C1"/>
    <w:rsid w:val="00095434"/>
    <w:rsid w:val="000B0A88"/>
    <w:rsid w:val="000B1E5E"/>
    <w:rsid w:val="000B3924"/>
    <w:rsid w:val="000B3C44"/>
    <w:rsid w:val="000B624A"/>
    <w:rsid w:val="000C0412"/>
    <w:rsid w:val="000C4558"/>
    <w:rsid w:val="000E42DB"/>
    <w:rsid w:val="000E455C"/>
    <w:rsid w:val="000F15BD"/>
    <w:rsid w:val="001051C3"/>
    <w:rsid w:val="00125D13"/>
    <w:rsid w:val="00133711"/>
    <w:rsid w:val="001515BA"/>
    <w:rsid w:val="001646D8"/>
    <w:rsid w:val="00173E2E"/>
    <w:rsid w:val="00190D7E"/>
    <w:rsid w:val="00193367"/>
    <w:rsid w:val="001A564B"/>
    <w:rsid w:val="001A6968"/>
    <w:rsid w:val="001C77F2"/>
    <w:rsid w:val="001D0BAA"/>
    <w:rsid w:val="001D0EF3"/>
    <w:rsid w:val="00200FD5"/>
    <w:rsid w:val="00203DE1"/>
    <w:rsid w:val="00220618"/>
    <w:rsid w:val="00232FAB"/>
    <w:rsid w:val="00237A69"/>
    <w:rsid w:val="00256F06"/>
    <w:rsid w:val="00272CA3"/>
    <w:rsid w:val="00274B1C"/>
    <w:rsid w:val="00275B58"/>
    <w:rsid w:val="00284B53"/>
    <w:rsid w:val="00286A50"/>
    <w:rsid w:val="002907D6"/>
    <w:rsid w:val="002963F0"/>
    <w:rsid w:val="002C31DC"/>
    <w:rsid w:val="002E3FD4"/>
    <w:rsid w:val="002F4595"/>
    <w:rsid w:val="00300AFD"/>
    <w:rsid w:val="003032C0"/>
    <w:rsid w:val="003235FA"/>
    <w:rsid w:val="003238B0"/>
    <w:rsid w:val="00336B60"/>
    <w:rsid w:val="0035108D"/>
    <w:rsid w:val="003569F9"/>
    <w:rsid w:val="00366721"/>
    <w:rsid w:val="00370990"/>
    <w:rsid w:val="003717DF"/>
    <w:rsid w:val="0037698A"/>
    <w:rsid w:val="00392124"/>
    <w:rsid w:val="003B0131"/>
    <w:rsid w:val="003D4CBC"/>
    <w:rsid w:val="003D58FD"/>
    <w:rsid w:val="003F73D7"/>
    <w:rsid w:val="00411260"/>
    <w:rsid w:val="00423122"/>
    <w:rsid w:val="0042447C"/>
    <w:rsid w:val="00434B15"/>
    <w:rsid w:val="00442630"/>
    <w:rsid w:val="0044304D"/>
    <w:rsid w:val="00446CB3"/>
    <w:rsid w:val="0047016C"/>
    <w:rsid w:val="00474F59"/>
    <w:rsid w:val="00480F1E"/>
    <w:rsid w:val="00483C4C"/>
    <w:rsid w:val="00495122"/>
    <w:rsid w:val="0049787F"/>
    <w:rsid w:val="004A48FF"/>
    <w:rsid w:val="004C2DA2"/>
    <w:rsid w:val="004D0566"/>
    <w:rsid w:val="004D0888"/>
    <w:rsid w:val="004F21BB"/>
    <w:rsid w:val="004F52C6"/>
    <w:rsid w:val="005019C1"/>
    <w:rsid w:val="00515287"/>
    <w:rsid w:val="00531B5A"/>
    <w:rsid w:val="00545C6C"/>
    <w:rsid w:val="00553E9D"/>
    <w:rsid w:val="0055447F"/>
    <w:rsid w:val="0056155D"/>
    <w:rsid w:val="00567DFC"/>
    <w:rsid w:val="00577F29"/>
    <w:rsid w:val="00583B24"/>
    <w:rsid w:val="005866C7"/>
    <w:rsid w:val="00594556"/>
    <w:rsid w:val="005A48A6"/>
    <w:rsid w:val="005B0C64"/>
    <w:rsid w:val="005B613F"/>
    <w:rsid w:val="005B7989"/>
    <w:rsid w:val="005C2BFD"/>
    <w:rsid w:val="005D0059"/>
    <w:rsid w:val="005E56AF"/>
    <w:rsid w:val="00607A21"/>
    <w:rsid w:val="00607A36"/>
    <w:rsid w:val="006141ED"/>
    <w:rsid w:val="006156DF"/>
    <w:rsid w:val="00625D8D"/>
    <w:rsid w:val="00642F36"/>
    <w:rsid w:val="00646917"/>
    <w:rsid w:val="00656587"/>
    <w:rsid w:val="00665B1E"/>
    <w:rsid w:val="006900AC"/>
    <w:rsid w:val="00696682"/>
    <w:rsid w:val="006A6540"/>
    <w:rsid w:val="006B0030"/>
    <w:rsid w:val="006B505B"/>
    <w:rsid w:val="006C401F"/>
    <w:rsid w:val="006D413F"/>
    <w:rsid w:val="006E3139"/>
    <w:rsid w:val="006E4D8F"/>
    <w:rsid w:val="006F6FE8"/>
    <w:rsid w:val="0070464B"/>
    <w:rsid w:val="00704A2D"/>
    <w:rsid w:val="00721291"/>
    <w:rsid w:val="007258B1"/>
    <w:rsid w:val="00725C8B"/>
    <w:rsid w:val="007517E8"/>
    <w:rsid w:val="00754CA3"/>
    <w:rsid w:val="0076549B"/>
    <w:rsid w:val="00782DCC"/>
    <w:rsid w:val="00793E18"/>
    <w:rsid w:val="007A221B"/>
    <w:rsid w:val="007C0010"/>
    <w:rsid w:val="007E492E"/>
    <w:rsid w:val="0080517C"/>
    <w:rsid w:val="00807B20"/>
    <w:rsid w:val="008154B3"/>
    <w:rsid w:val="00832638"/>
    <w:rsid w:val="00865130"/>
    <w:rsid w:val="00881D8E"/>
    <w:rsid w:val="008906CC"/>
    <w:rsid w:val="00892F53"/>
    <w:rsid w:val="00895341"/>
    <w:rsid w:val="008D3DD5"/>
    <w:rsid w:val="008D5198"/>
    <w:rsid w:val="008E3B54"/>
    <w:rsid w:val="008F382A"/>
    <w:rsid w:val="00902E92"/>
    <w:rsid w:val="0090743D"/>
    <w:rsid w:val="00911F4A"/>
    <w:rsid w:val="00916FC3"/>
    <w:rsid w:val="00943779"/>
    <w:rsid w:val="0095687A"/>
    <w:rsid w:val="0096087A"/>
    <w:rsid w:val="0096744F"/>
    <w:rsid w:val="009674C0"/>
    <w:rsid w:val="00974CD6"/>
    <w:rsid w:val="00981F00"/>
    <w:rsid w:val="009841A9"/>
    <w:rsid w:val="009844EA"/>
    <w:rsid w:val="00986927"/>
    <w:rsid w:val="009A3930"/>
    <w:rsid w:val="009C206F"/>
    <w:rsid w:val="009C3FA3"/>
    <w:rsid w:val="009C5CE4"/>
    <w:rsid w:val="009D502D"/>
    <w:rsid w:val="009D618C"/>
    <w:rsid w:val="009D7044"/>
    <w:rsid w:val="009E6953"/>
    <w:rsid w:val="009F4182"/>
    <w:rsid w:val="00A04AFD"/>
    <w:rsid w:val="00A12A10"/>
    <w:rsid w:val="00A130F7"/>
    <w:rsid w:val="00A32860"/>
    <w:rsid w:val="00A62F99"/>
    <w:rsid w:val="00A64E17"/>
    <w:rsid w:val="00A659E8"/>
    <w:rsid w:val="00A65D84"/>
    <w:rsid w:val="00A7471E"/>
    <w:rsid w:val="00A77E8E"/>
    <w:rsid w:val="00A8157A"/>
    <w:rsid w:val="00A8597C"/>
    <w:rsid w:val="00AA1058"/>
    <w:rsid w:val="00AA1D89"/>
    <w:rsid w:val="00AE1E6E"/>
    <w:rsid w:val="00AE4763"/>
    <w:rsid w:val="00AF5AA7"/>
    <w:rsid w:val="00B0121B"/>
    <w:rsid w:val="00B0455B"/>
    <w:rsid w:val="00B11E02"/>
    <w:rsid w:val="00B2514A"/>
    <w:rsid w:val="00B25B27"/>
    <w:rsid w:val="00B3476F"/>
    <w:rsid w:val="00B43568"/>
    <w:rsid w:val="00B57EA6"/>
    <w:rsid w:val="00B61E55"/>
    <w:rsid w:val="00B82095"/>
    <w:rsid w:val="00B83446"/>
    <w:rsid w:val="00B90975"/>
    <w:rsid w:val="00B93571"/>
    <w:rsid w:val="00B946E0"/>
    <w:rsid w:val="00B94CBD"/>
    <w:rsid w:val="00BA2E73"/>
    <w:rsid w:val="00BB0F3E"/>
    <w:rsid w:val="00BC7FF3"/>
    <w:rsid w:val="00BD4F8E"/>
    <w:rsid w:val="00BE345B"/>
    <w:rsid w:val="00C2363E"/>
    <w:rsid w:val="00C40350"/>
    <w:rsid w:val="00C6128D"/>
    <w:rsid w:val="00C6357E"/>
    <w:rsid w:val="00C72735"/>
    <w:rsid w:val="00C73278"/>
    <w:rsid w:val="00C765C8"/>
    <w:rsid w:val="00C82029"/>
    <w:rsid w:val="00C9283A"/>
    <w:rsid w:val="00C95039"/>
    <w:rsid w:val="00CA4615"/>
    <w:rsid w:val="00CC35B5"/>
    <w:rsid w:val="00CD3A6F"/>
    <w:rsid w:val="00CE02CB"/>
    <w:rsid w:val="00CE2511"/>
    <w:rsid w:val="00CE7F36"/>
    <w:rsid w:val="00CF1650"/>
    <w:rsid w:val="00CF1A89"/>
    <w:rsid w:val="00CF6A74"/>
    <w:rsid w:val="00CF7D08"/>
    <w:rsid w:val="00D02907"/>
    <w:rsid w:val="00D04A3C"/>
    <w:rsid w:val="00D22097"/>
    <w:rsid w:val="00D30142"/>
    <w:rsid w:val="00D36C41"/>
    <w:rsid w:val="00D4039B"/>
    <w:rsid w:val="00D449E8"/>
    <w:rsid w:val="00D55A85"/>
    <w:rsid w:val="00D750D0"/>
    <w:rsid w:val="00D87480"/>
    <w:rsid w:val="00DB71FD"/>
    <w:rsid w:val="00DC44EC"/>
    <w:rsid w:val="00DC453F"/>
    <w:rsid w:val="00DC57F0"/>
    <w:rsid w:val="00DC62FB"/>
    <w:rsid w:val="00DD29B4"/>
    <w:rsid w:val="00DE546F"/>
    <w:rsid w:val="00DF241E"/>
    <w:rsid w:val="00E25A07"/>
    <w:rsid w:val="00E333DF"/>
    <w:rsid w:val="00E35D45"/>
    <w:rsid w:val="00E83C41"/>
    <w:rsid w:val="00E9781D"/>
    <w:rsid w:val="00EA006E"/>
    <w:rsid w:val="00EA2366"/>
    <w:rsid w:val="00EA5D76"/>
    <w:rsid w:val="00EB79F4"/>
    <w:rsid w:val="00EB7BE8"/>
    <w:rsid w:val="00EC2925"/>
    <w:rsid w:val="00EC5579"/>
    <w:rsid w:val="00EC5C40"/>
    <w:rsid w:val="00EC5CE3"/>
    <w:rsid w:val="00ED00D4"/>
    <w:rsid w:val="00ED774B"/>
    <w:rsid w:val="00ED7A6E"/>
    <w:rsid w:val="00EE0118"/>
    <w:rsid w:val="00EE49CE"/>
    <w:rsid w:val="00EE7C8D"/>
    <w:rsid w:val="00EF24B1"/>
    <w:rsid w:val="00EF3918"/>
    <w:rsid w:val="00F330C3"/>
    <w:rsid w:val="00F75F33"/>
    <w:rsid w:val="00F7622F"/>
    <w:rsid w:val="00F84236"/>
    <w:rsid w:val="00FB6E33"/>
    <w:rsid w:val="00FC2CE4"/>
    <w:rsid w:val="00FC379E"/>
    <w:rsid w:val="00FD337C"/>
    <w:rsid w:val="00FD3BAE"/>
    <w:rsid w:val="00FD5236"/>
    <w:rsid w:val="00FD5A1D"/>
    <w:rsid w:val="00FD72BD"/>
    <w:rsid w:val="00FD72EA"/>
    <w:rsid w:val="00FD7D5B"/>
    <w:rsid w:val="00FE0F23"/>
    <w:rsid w:val="00FE1F23"/>
    <w:rsid w:val="00FF31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5438977"/>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618"/>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C6128D"/>
    <w:pPr>
      <w:keepNext/>
      <w:spacing w:before="120" w:line="240" w:lineRule="auto"/>
      <w:ind w:left="720" w:hanging="720"/>
      <w:outlineLvl w:val="1"/>
    </w:pPr>
    <w:rPr>
      <w:rFonts w:ascii="Calibri" w:eastAsiaTheme="minorEastAsia" w:hAnsi="Calibri"/>
      <w:b/>
      <w:bCs/>
      <w:color w:val="5482AB"/>
      <w:sz w:val="28"/>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C6128D"/>
    <w:rPr>
      <w:rFonts w:ascii="Calibri" w:eastAsiaTheme="minorEastAsia" w:hAnsi="Calibri" w:cstheme="minorBidi"/>
      <w:b/>
      <w:bCs/>
      <w:color w:val="5482AB"/>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5"/>
      </w:numPr>
      <w:spacing w:before="120"/>
      <w:contextualSpacing/>
    </w:pPr>
  </w:style>
  <w:style w:type="paragraph" w:styleId="ListNumber">
    <w:name w:val="List Number"/>
    <w:basedOn w:val="Normal"/>
    <w:uiPriority w:val="9"/>
    <w:qFormat/>
    <w:pPr>
      <w:numPr>
        <w:numId w:val="24"/>
      </w:numPr>
      <w:tabs>
        <w:tab w:val="left" w:pos="142"/>
      </w:tabs>
      <w:spacing w:before="120"/>
      <w:ind w:left="360" w:hanging="360"/>
    </w:pPr>
  </w:style>
  <w:style w:type="paragraph" w:styleId="ListNumber2">
    <w:name w:val="List Number 2"/>
    <w:uiPriority w:val="10"/>
    <w:qFormat/>
    <w:pPr>
      <w:numPr>
        <w:numId w:val="42"/>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numId w:val="43"/>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Normal"/>
    <w:uiPriority w:val="15"/>
    <w:qFormat/>
    <w:pPr>
      <w:numPr>
        <w:numId w:val="4"/>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pPr>
      <w:spacing w:before="600"/>
    </w:pPr>
  </w:style>
  <w:style w:type="character" w:customStyle="1" w:styleId="DateChar">
    <w:name w:val="Date Char"/>
    <w:aliases w:val="Reference Char"/>
    <w:basedOn w:val="DefaultParagraphFont"/>
    <w:link w:val="Date"/>
    <w:uiPriority w:val="99"/>
    <w:rPr>
      <w:rFonts w:asciiTheme="minorHAnsi" w:eastAsiaTheme="minorHAnsi" w:hAnsiTheme="minorHAnsi" w:cstheme="minorBidi"/>
      <w:sz w:val="22"/>
      <w:szCs w:val="22"/>
      <w:lang w:eastAsia="en-US"/>
    </w:rPr>
  </w:style>
  <w:style w:type="paragraph" w:styleId="ListParagraph">
    <w:name w:val="List Paragraph"/>
    <w:basedOn w:val="Normal"/>
    <w:uiPriority w:val="99"/>
    <w:qFormat/>
    <w:rsid w:val="00B82095"/>
    <w:pPr>
      <w:spacing w:after="160" w:line="259" w:lineRule="auto"/>
      <w:ind w:left="720"/>
      <w:contextualSpacing/>
    </w:pPr>
    <w:rPr>
      <w:rFonts w:asciiTheme="minorHAnsi" w:hAnsiTheme="minorHAnsi"/>
    </w:rPr>
  </w:style>
  <w:style w:type="paragraph" w:customStyle="1" w:styleId="Default">
    <w:name w:val="Default"/>
    <w:rsid w:val="000618F3"/>
    <w:pPr>
      <w:autoSpaceDE w:val="0"/>
      <w:autoSpaceDN w:val="0"/>
      <w:adjustRightInd w:val="0"/>
    </w:pPr>
    <w:rPr>
      <w:rFonts w:ascii="AHSFVG+Cambria" w:hAnsi="AHSFVG+Cambria" w:cs="AHSFVG+Cambria"/>
      <w:color w:val="000000"/>
      <w:sz w:val="24"/>
      <w:szCs w:val="24"/>
    </w:rPr>
  </w:style>
  <w:style w:type="paragraph" w:customStyle="1" w:styleId="Series">
    <w:name w:val="Series"/>
    <w:qFormat/>
    <w:rsid w:val="000E42DB"/>
    <w:pPr>
      <w:spacing w:before="480" w:after="120"/>
    </w:pPr>
    <w:rPr>
      <w:rFonts w:asciiTheme="minorHAnsi" w:eastAsiaTheme="minorHAnsi" w:hAnsiTheme="minorHAnsi" w:cstheme="minorBidi"/>
      <w:b/>
      <w:i/>
      <w:color w:val="5482AB"/>
      <w:sz w:val="32"/>
      <w:szCs w:val="22"/>
      <w:lang w:eastAsia="en-US"/>
    </w:rPr>
  </w:style>
  <w:style w:type="table" w:styleId="PlainTable2">
    <w:name w:val="Plain Table 2"/>
    <w:basedOn w:val="TableNormal"/>
    <w:uiPriority w:val="42"/>
    <w:rsid w:val="00ED7A6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1D0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creativecommons.org/licenses/by/4.0/legalcod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Report%20writing\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schemas.openxmlformats.org/package/2006/metadata/core-properties"/>
    <ds:schemaRef ds:uri="http://schemas.microsoft.com/office/2006/documentManagement/types"/>
    <ds:schemaRef ds:uri="http://schemas.microsoft.com/office/infopath/2007/PartnerControls"/>
    <ds:schemaRef ds:uri="7cf0e0db-f490-4122-abae-21917392c748"/>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template.dotx</Template>
  <TotalTime>86</TotalTime>
  <Pages>5</Pages>
  <Words>1544</Words>
  <Characters>8807</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Improving market transparency in perishable agricultural goods industries - Chicken meat industry fourth workshop 1 November 2021: Workshop communique</vt:lpstr>
    </vt:vector>
  </TitlesOfParts>
  <Company/>
  <LinksUpToDate>false</LinksUpToDate>
  <CharactersWithSpaces>10331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market transparency in perishable agricultural goods industries - Chicken meat industry fourth workshop 1 November 2021: Workshop communique</dc:title>
  <dc:creator>Department of Agriculture, Water and the Environment</dc:creator>
  <cp:lastPrinted>2021-11-21T22:28:00Z</cp:lastPrinted>
  <dcterms:created xsi:type="dcterms:W3CDTF">2021-11-09T03:47:00Z</dcterms:created>
  <dcterms:modified xsi:type="dcterms:W3CDTF">2021-11-21T22:28:00Z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