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Default Extension="emf" ContentType="image/x-emf"/>
  <Override PartName="/word/footer27.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79C" w:rsidRPr="00C66550" w:rsidRDefault="00D1079C" w:rsidP="00114CB5">
      <w:pPr>
        <w:pStyle w:val="Title"/>
      </w:pPr>
    </w:p>
    <w:p w:rsidR="004D43AB" w:rsidRPr="00C66550" w:rsidRDefault="0062001A" w:rsidP="00114CB5">
      <w:pPr>
        <w:pStyle w:val="Title"/>
        <w:rPr>
          <w:sz w:val="36"/>
          <w:szCs w:val="36"/>
        </w:rPr>
      </w:pPr>
      <w:fldSimple w:instr=" DOCPROPERTY  xTitle  \* MERGEFORMAT ">
        <w:r w:rsidR="00D96003">
          <w:rPr>
            <w:sz w:val="36"/>
            <w:szCs w:val="36"/>
          </w:rPr>
          <w:t>Waste generation and resource recovery in Australia</w:t>
        </w:r>
      </w:fldSimple>
    </w:p>
    <w:p w:rsidR="004B1E3C" w:rsidRPr="00C66550" w:rsidRDefault="004B1E3C" w:rsidP="002A0F82">
      <w:pPr>
        <w:pStyle w:val="Draft"/>
        <w:rPr>
          <w:sz w:val="28"/>
          <w:szCs w:val="28"/>
        </w:rPr>
      </w:pPr>
      <w:r w:rsidRPr="00C66550">
        <w:rPr>
          <w:sz w:val="28"/>
          <w:szCs w:val="28"/>
        </w:rPr>
        <w:t>Reporting period 2010/11</w:t>
      </w:r>
    </w:p>
    <w:p w:rsidR="004B1E3C" w:rsidRPr="00C66550" w:rsidRDefault="004B1E3C" w:rsidP="002A0F82">
      <w:pPr>
        <w:pStyle w:val="Draft"/>
      </w:pPr>
    </w:p>
    <w:p w:rsidR="00114CB5" w:rsidRPr="00C66550" w:rsidRDefault="00342B44" w:rsidP="002A0F82">
      <w:pPr>
        <w:pStyle w:val="Draft"/>
        <w:rPr>
          <w:rStyle w:val="Grey"/>
          <w:color w:val="0000FF"/>
        </w:rPr>
      </w:pPr>
      <w:r w:rsidRPr="00C66550">
        <w:t xml:space="preserve">Final </w:t>
      </w:r>
      <w:r w:rsidR="00114CB5" w:rsidRPr="00C66550">
        <w:t>report</w:t>
      </w:r>
    </w:p>
    <w:p w:rsidR="006D0E9D" w:rsidRPr="00C66550" w:rsidRDefault="006F02D4" w:rsidP="002A0F82">
      <w:pPr>
        <w:pStyle w:val="Titlepagetext"/>
      </w:pPr>
      <w:r w:rsidRPr="00C66550">
        <w:rPr>
          <w:rStyle w:val="Grey"/>
          <w:color w:val="0000FF"/>
        </w:rPr>
        <w:t>prepared</w:t>
      </w:r>
      <w:r w:rsidRPr="00C66550">
        <w:t xml:space="preserve"> for</w:t>
      </w:r>
    </w:p>
    <w:p w:rsidR="00A5062A" w:rsidRPr="00B611AB" w:rsidRDefault="0062001A" w:rsidP="00186C62">
      <w:pPr>
        <w:pStyle w:val="Client"/>
        <w:rPr>
          <w:rStyle w:val="Grey"/>
          <w:sz w:val="24"/>
          <w:szCs w:val="24"/>
        </w:rPr>
      </w:pPr>
      <w:fldSimple w:instr=" DOCPROPERTY  xClient  \* MERGEFORMAT ">
        <w:r w:rsidR="00D96003">
          <w:rPr>
            <w:sz w:val="24"/>
            <w:szCs w:val="24"/>
          </w:rPr>
          <w:t>Department of Sustainability, Environment, Water, Population and Communities</w:t>
        </w:r>
      </w:fldSimple>
    </w:p>
    <w:p w:rsidR="009F31BB" w:rsidRPr="00C66550" w:rsidRDefault="004A6975" w:rsidP="00186C62">
      <w:pPr>
        <w:pStyle w:val="Subsubtitle"/>
      </w:pPr>
      <w:r>
        <w:t>4</w:t>
      </w:r>
      <w:r w:rsidR="00D96003">
        <w:t xml:space="preserve"> </w:t>
      </w:r>
      <w:r>
        <w:t xml:space="preserve">February </w:t>
      </w:r>
      <w:r w:rsidR="001F175A" w:rsidRPr="00C66550">
        <w:t>201</w:t>
      </w:r>
      <w:r>
        <w:t>4</w:t>
      </w:r>
    </w:p>
    <w:p w:rsidR="00093F02" w:rsidRPr="00C66550" w:rsidRDefault="00093F02" w:rsidP="00E82ECD"/>
    <w:p w:rsidR="006D0E9D" w:rsidRPr="00C66550" w:rsidRDefault="006D0E9D" w:rsidP="00E82ECD">
      <w:pPr>
        <w:sectPr w:rsidR="006D0E9D" w:rsidRPr="00C66550" w:rsidSect="00856C6F">
          <w:headerReference w:type="even" r:id="rId8"/>
          <w:headerReference w:type="default" r:id="rId9"/>
          <w:footerReference w:type="even" r:id="rId10"/>
          <w:footerReference w:type="default" r:id="rId11"/>
          <w:headerReference w:type="first" r:id="rId12"/>
          <w:footerReference w:type="first" r:id="rId13"/>
          <w:pgSz w:w="11907" w:h="16840" w:code="9"/>
          <w:pgMar w:top="2808" w:right="1077" w:bottom="1559" w:left="1474" w:header="709" w:footer="709" w:gutter="0"/>
          <w:pgNumType w:start="0"/>
          <w:cols w:space="708"/>
          <w:docGrid w:linePitch="360"/>
        </w:sectPr>
      </w:pPr>
    </w:p>
    <w:bookmarkStart w:id="0" w:name="Report_title_1"/>
    <w:p w:rsidR="00B80C20" w:rsidRPr="00C66550" w:rsidRDefault="0062001A" w:rsidP="004B1E3C">
      <w:pPr>
        <w:pStyle w:val="Title2"/>
        <w:spacing w:after="0"/>
      </w:pPr>
      <w:r w:rsidRPr="00C66550">
        <w:lastRenderedPageBreak/>
        <w:fldChar w:fldCharType="begin"/>
      </w:r>
      <w:r w:rsidR="008C03CB" w:rsidRPr="00C66550">
        <w:instrText xml:space="preserve"> DOCPROPERTY  xTitle  \* MERGEFORMAT </w:instrText>
      </w:r>
      <w:r w:rsidRPr="00C66550">
        <w:fldChar w:fldCharType="separate"/>
      </w:r>
      <w:r w:rsidR="00D96003">
        <w:t>Waste generation and resource recovery in Australia</w:t>
      </w:r>
      <w:r w:rsidRPr="00C66550">
        <w:fldChar w:fldCharType="end"/>
      </w:r>
      <w:r w:rsidR="00B80C20" w:rsidRPr="00C66550">
        <w:t xml:space="preserve"> </w:t>
      </w:r>
      <w:bookmarkEnd w:id="0"/>
    </w:p>
    <w:p w:rsidR="004B1E3C" w:rsidRPr="00C66550" w:rsidRDefault="004B1E3C" w:rsidP="00186C62">
      <w:pPr>
        <w:pStyle w:val="Title2"/>
        <w:rPr>
          <w:sz w:val="24"/>
          <w:szCs w:val="24"/>
        </w:rPr>
      </w:pPr>
      <w:r w:rsidRPr="00C66550">
        <w:rPr>
          <w:sz w:val="24"/>
          <w:szCs w:val="24"/>
        </w:rPr>
        <w:t>Reporting period 2010/11</w:t>
      </w:r>
    </w:p>
    <w:p w:rsidR="00B611AB" w:rsidRDefault="00342B44" w:rsidP="00186C62">
      <w:pPr>
        <w:pStyle w:val="Subsubtitle"/>
      </w:pPr>
      <w:r w:rsidRPr="00C66550">
        <w:t xml:space="preserve">Final </w:t>
      </w:r>
      <w:r w:rsidR="00F13E36" w:rsidRPr="00C66550">
        <w:t>report</w:t>
      </w:r>
      <w:r w:rsidR="00B611AB">
        <w:t xml:space="preserve"> version 2.</w:t>
      </w:r>
      <w:r w:rsidR="004A6975">
        <w:t>6</w:t>
      </w:r>
    </w:p>
    <w:p w:rsidR="007D4D1E" w:rsidRPr="00C66550" w:rsidRDefault="0062001A" w:rsidP="00186C62">
      <w:pPr>
        <w:pStyle w:val="Subsubtitle"/>
      </w:pPr>
      <w:fldSimple w:instr=" DOCPROPERTY  xProjectNumber  \* MERGEFORMAT ">
        <w:r w:rsidR="00D96003">
          <w:t>P321</w:t>
        </w:r>
      </w:fldSimple>
    </w:p>
    <w:p w:rsidR="00B520D1" w:rsidRPr="00C66550" w:rsidRDefault="004A6975" w:rsidP="00186C62">
      <w:pPr>
        <w:pStyle w:val="Subsubtitle"/>
      </w:pPr>
      <w:r>
        <w:t>4 February</w:t>
      </w:r>
      <w:r w:rsidR="00342B44" w:rsidRPr="00C66550">
        <w:t xml:space="preserve"> </w:t>
      </w:r>
      <w:r w:rsidR="001F175A" w:rsidRPr="00C66550">
        <w:t>201</w:t>
      </w:r>
      <w:r>
        <w:t>4</w:t>
      </w:r>
    </w:p>
    <w:p w:rsidR="00C1117F" w:rsidRPr="00C66550" w:rsidRDefault="00C1117F" w:rsidP="007D4D1E">
      <w:pPr>
        <w:pStyle w:val="DisclaimerHeading"/>
      </w:pPr>
      <w:bookmarkStart w:id="1" w:name="BE_Disclaimer"/>
      <w:bookmarkEnd w:id="1"/>
      <w:r w:rsidRPr="00C66550">
        <w:t>Disclaimer</w:t>
      </w:r>
    </w:p>
    <w:p w:rsidR="00186C62" w:rsidRPr="00C66550" w:rsidRDefault="00186C62" w:rsidP="00186C62">
      <w:pPr>
        <w:pStyle w:val="DisclaimerText"/>
      </w:pPr>
      <w:r w:rsidRPr="00C66550">
        <w:t xml:space="preserve">This report has been prepared for </w:t>
      </w:r>
      <w:fldSimple w:instr=" DOCPROPERTY  xClient  \* MERGEFORMAT ">
        <w:r w:rsidR="00D96003">
          <w:t>Department of Sustainability, Environment, Water, Population and Communities</w:t>
        </w:r>
      </w:fldSimple>
      <w:r w:rsidRPr="00C66550">
        <w:t xml:space="preserve"> in accordance with the terms and conditions of appointment dated </w:t>
      </w:r>
      <w:fldSimple w:instr=" DOCPROPERTY  xContractDate  \* MERGEFORMAT ">
        <w:r w:rsidR="00D96003">
          <w:t>15 June 2012</w:t>
        </w:r>
      </w:fldSimple>
      <w:r w:rsidRPr="00C66550">
        <w:t xml:space="preserve">, and is based on the assumptions and exclusions set out in our scope of work. Information in this document is current as of </w:t>
      </w:r>
      <w:fldSimple w:instr=" DOCPROPERTY  xCurrentTo  \* MERGEFORMAT ">
        <w:r w:rsidR="00D96003">
          <w:t>May 2013</w:t>
        </w:r>
      </w:fldSimple>
      <w:r w:rsidRPr="00C66550">
        <w:t xml:space="preserve">. This report has been compiled based on secondary information and data provided by other parties; as such it relies on the accuracy of the provided material. Although the data has been reviewed, the information provided was assumed to be correct unless otherwise stated. </w:t>
      </w:r>
    </w:p>
    <w:p w:rsidR="00186C62" w:rsidRPr="00C66550" w:rsidRDefault="00186C62" w:rsidP="00186C62">
      <w:pPr>
        <w:pStyle w:val="DisclaimerText"/>
      </w:pPr>
      <w:r w:rsidRPr="00C66550">
        <w:t>While all professional care has been undertaken in preparing this report, Blue Environment Pty Ltd cannot accept any responsibility for any use of or reliance on the contents of this report by any third party.</w:t>
      </w:r>
    </w:p>
    <w:p w:rsidR="009D67EE" w:rsidRPr="00C66550" w:rsidRDefault="000C685B" w:rsidP="002A0F82">
      <w:pPr>
        <w:pStyle w:val="Copyright"/>
        <w:spacing w:after="360"/>
      </w:pPr>
      <w:r w:rsidRPr="00C66550">
        <w:t>©</w:t>
      </w:r>
      <w:r w:rsidR="00585F91" w:rsidRPr="00C66550">
        <w:t xml:space="preserve"> </w:t>
      </w:r>
      <w:fldSimple w:instr=" DOCPROPERTY  xCopyright  \* MERGEFORMAT ">
        <w:r w:rsidR="00D96003">
          <w:t>DSEWPaC and Blue Environment Pty Ltd, 2013</w:t>
        </w:r>
      </w:fldSimple>
      <w:r w:rsidR="00FF12A8" w:rsidRPr="00C66550">
        <w:t xml:space="preserve"> </w:t>
      </w:r>
    </w:p>
    <w:p w:rsidR="00D40345" w:rsidRPr="00C66550" w:rsidRDefault="00186C62" w:rsidP="002A0F82">
      <w:pPr>
        <w:pStyle w:val="Titlepagetext"/>
      </w:pPr>
      <w:r w:rsidRPr="00C66550">
        <w:t xml:space="preserve">Blue Environment prints on 100% recycled content paper </w:t>
      </w:r>
    </w:p>
    <w:p w:rsidR="00FB5BAC" w:rsidRPr="00C66550" w:rsidRDefault="00BD7711" w:rsidP="002A0F82">
      <w:pPr>
        <w:pStyle w:val="AuthorHeading"/>
      </w:pPr>
      <w:r w:rsidRPr="00C66550">
        <w:t>Author</w:t>
      </w:r>
      <w:r w:rsidR="001B255A" w:rsidRPr="00C66550">
        <w:t>s</w:t>
      </w:r>
    </w:p>
    <w:bookmarkStart w:id="2" w:name="Author"/>
    <w:p w:rsidR="00FB5BAC" w:rsidRPr="00C66550" w:rsidRDefault="0062001A" w:rsidP="002A0F82">
      <w:pPr>
        <w:pStyle w:val="AuthorName"/>
      </w:pPr>
      <w:r w:rsidRPr="00C66550">
        <w:fldChar w:fldCharType="begin"/>
      </w:r>
      <w:r w:rsidR="007D4D1E" w:rsidRPr="00C66550">
        <w:instrText xml:space="preserve"> DOCPROPERTY  xAuthor  \* MERGEFORMAT </w:instrText>
      </w:r>
      <w:r w:rsidRPr="00C66550">
        <w:fldChar w:fldCharType="separate"/>
      </w:r>
      <w:r w:rsidR="00D96003">
        <w:t>Paul Randell, Joe Pickin, Bill Grant</w:t>
      </w:r>
      <w:r w:rsidRPr="00C66550">
        <w:fldChar w:fldCharType="end"/>
      </w:r>
      <w:r w:rsidR="00786F30" w:rsidRPr="00C66550">
        <w:t xml:space="preserve"> </w:t>
      </w:r>
      <w:bookmarkEnd w:id="2"/>
    </w:p>
    <w:p w:rsidR="00786F30" w:rsidRPr="00C66550" w:rsidRDefault="00786F30" w:rsidP="002A0F82">
      <w:pPr>
        <w:pStyle w:val="Reviewer"/>
        <w:rPr>
          <w:rFonts w:ascii="Arial Rounded MT Bold" w:hAnsi="Arial Rounded MT Bold"/>
        </w:rPr>
      </w:pPr>
      <w:r w:rsidRPr="00C66550">
        <w:rPr>
          <w:rFonts w:ascii="Arial Rounded MT Bold" w:hAnsi="Arial Rounded MT Bold"/>
        </w:rPr>
        <w:t>Reviewer</w:t>
      </w:r>
      <w:r w:rsidR="001B255A" w:rsidRPr="00C66550">
        <w:rPr>
          <w:rFonts w:ascii="Arial Rounded MT Bold" w:hAnsi="Arial Rounded MT Bold"/>
        </w:rPr>
        <w:t>s</w:t>
      </w:r>
    </w:p>
    <w:bookmarkStart w:id="3" w:name="Reviewer"/>
    <w:p w:rsidR="00786F30" w:rsidRPr="00C66550" w:rsidRDefault="0062001A" w:rsidP="002A0F82">
      <w:pPr>
        <w:pStyle w:val="AuthorName"/>
      </w:pPr>
      <w:r w:rsidRPr="00C66550">
        <w:fldChar w:fldCharType="begin"/>
      </w:r>
      <w:r w:rsidR="007D4D1E" w:rsidRPr="00C66550">
        <w:instrText xml:space="preserve"> DOCPROPERTY  xReviewer  \* MERGEFORMAT </w:instrText>
      </w:r>
      <w:r w:rsidRPr="00C66550">
        <w:fldChar w:fldCharType="separate"/>
      </w:r>
      <w:r w:rsidR="00D96003">
        <w:t>Christine Wardle, Joe Pickin</w:t>
      </w:r>
      <w:r w:rsidRPr="00C66550">
        <w:fldChar w:fldCharType="end"/>
      </w:r>
      <w:r w:rsidR="00786F30" w:rsidRPr="00C66550">
        <w:t xml:space="preserve"> </w:t>
      </w:r>
      <w:bookmarkEnd w:id="3"/>
    </w:p>
    <w:p w:rsidR="004B1E3C" w:rsidRPr="00C66550" w:rsidRDefault="004B1E3C" w:rsidP="004B1E3C">
      <w:pPr>
        <w:pStyle w:val="BEAddress"/>
        <w:framePr w:wrap="around" w:x="2080" w:y="11957"/>
        <w:rPr>
          <w:lang w:val="en-AU"/>
        </w:rPr>
      </w:pPr>
      <w:r w:rsidRPr="00C66550">
        <w:rPr>
          <w:lang w:val="en-AU"/>
        </w:rPr>
        <w:t>Blue Environment Pty Ltd</w:t>
      </w:r>
    </w:p>
    <w:p w:rsidR="004B1E3C" w:rsidRPr="00C66550" w:rsidRDefault="004B1E3C" w:rsidP="004B1E3C">
      <w:pPr>
        <w:pStyle w:val="BEAddress"/>
        <w:framePr w:wrap="around" w:x="2080" w:y="11957"/>
        <w:rPr>
          <w:lang w:val="en-AU"/>
        </w:rPr>
      </w:pPr>
      <w:r w:rsidRPr="00C66550">
        <w:rPr>
          <w:lang w:val="en-AU"/>
        </w:rPr>
        <w:t>ABN 78 118 663 997</w:t>
      </w:r>
    </w:p>
    <w:p w:rsidR="004B1E3C" w:rsidRPr="00C66550" w:rsidRDefault="004B1E3C" w:rsidP="004B1E3C">
      <w:pPr>
        <w:pStyle w:val="BEAddress"/>
        <w:framePr w:wrap="around" w:x="2080" w:y="11957"/>
        <w:rPr>
          <w:lang w:val="en-AU"/>
        </w:rPr>
      </w:pPr>
      <w:r w:rsidRPr="00C66550">
        <w:rPr>
          <w:rFonts w:eastAsiaTheme="minorEastAsia"/>
          <w:noProof/>
          <w:color w:val="0C0C0C" w:themeColor="text1"/>
          <w:szCs w:val="20"/>
          <w:lang w:val="en-AU" w:eastAsia="en-AU"/>
        </w:rPr>
        <w:t>Suite 212B, 757 Bourke Street, Docklands Vic 3008</w:t>
      </w:r>
    </w:p>
    <w:p w:rsidR="004B1E3C" w:rsidRPr="00C66550" w:rsidRDefault="004B1E3C" w:rsidP="004B1E3C">
      <w:pPr>
        <w:pStyle w:val="BEAddress"/>
        <w:framePr w:wrap="around" w:x="2080" w:y="11957"/>
        <w:rPr>
          <w:lang w:val="en-AU"/>
        </w:rPr>
      </w:pPr>
      <w:r w:rsidRPr="00C66550">
        <w:rPr>
          <w:lang w:val="en-AU"/>
        </w:rPr>
        <w:t xml:space="preserve">email: </w:t>
      </w:r>
      <w:hyperlink r:id="rId14" w:history="1">
        <w:r w:rsidRPr="00C66550">
          <w:rPr>
            <w:rStyle w:val="Hyperlink"/>
            <w:lang w:val="en-AU"/>
          </w:rPr>
          <w:t>blue@blueenvironment.com.au</w:t>
        </w:r>
      </w:hyperlink>
    </w:p>
    <w:p w:rsidR="004B1E3C" w:rsidRPr="00C66550" w:rsidRDefault="004B1E3C" w:rsidP="004B1E3C">
      <w:pPr>
        <w:pStyle w:val="BEAddress"/>
        <w:framePr w:wrap="around" w:x="2080" w:y="11957"/>
        <w:rPr>
          <w:lang w:val="en-AU"/>
        </w:rPr>
      </w:pPr>
      <w:r w:rsidRPr="00C66550">
        <w:rPr>
          <w:lang w:val="en-AU"/>
        </w:rPr>
        <w:t xml:space="preserve">web: </w:t>
      </w:r>
      <w:hyperlink r:id="rId15" w:history="1">
        <w:r w:rsidRPr="00C66550">
          <w:rPr>
            <w:rStyle w:val="Hyperlink"/>
            <w:lang w:val="en-AU"/>
          </w:rPr>
          <w:t>www.blueenvironment.com.au</w:t>
        </w:r>
      </w:hyperlink>
    </w:p>
    <w:p w:rsidR="004B1E3C" w:rsidRPr="00C66550" w:rsidRDefault="004B1E3C" w:rsidP="004B1E3C">
      <w:pPr>
        <w:pStyle w:val="BEAddress"/>
        <w:framePr w:wrap="around" w:x="2080" w:y="11957"/>
        <w:rPr>
          <w:lang w:val="en-AU"/>
        </w:rPr>
      </w:pPr>
      <w:r w:rsidRPr="00C66550">
        <w:rPr>
          <w:lang w:val="en-AU"/>
        </w:rPr>
        <w:t xml:space="preserve">Phone +61 3 </w:t>
      </w:r>
      <w:r w:rsidRPr="00C66550">
        <w:rPr>
          <w:rFonts w:eastAsiaTheme="minorEastAsia"/>
          <w:noProof/>
          <w:color w:val="0C0C0C" w:themeColor="text1"/>
          <w:szCs w:val="20"/>
          <w:lang w:val="en-AU" w:eastAsia="en-AU"/>
        </w:rPr>
        <w:t>8102 9372</w:t>
      </w:r>
    </w:p>
    <w:p w:rsidR="004B1E3C" w:rsidRPr="00C66550" w:rsidRDefault="004B1E3C" w:rsidP="004B1E3C">
      <w:pPr>
        <w:pStyle w:val="BEAddress"/>
        <w:framePr w:wrap="around" w:x="2080" w:y="11957"/>
        <w:rPr>
          <w:lang w:val="en-AU"/>
        </w:rPr>
      </w:pPr>
      <w:r w:rsidRPr="00C66550">
        <w:rPr>
          <w:lang w:val="en-AU"/>
        </w:rPr>
        <w:t>+61 3 5426 3536</w:t>
      </w:r>
    </w:p>
    <w:p w:rsidR="004B1E3C" w:rsidRPr="00C66550" w:rsidRDefault="004B1E3C" w:rsidP="004B1E3C">
      <w:pPr>
        <w:pStyle w:val="BEAddress"/>
        <w:framePr w:wrap="around" w:x="2080" w:y="11957"/>
        <w:rPr>
          <w:lang w:val="en-AU"/>
        </w:rPr>
      </w:pPr>
    </w:p>
    <w:p w:rsidR="00261351" w:rsidRPr="00C66550" w:rsidRDefault="00261351" w:rsidP="00E82ECD"/>
    <w:p w:rsidR="00261351" w:rsidRPr="00C66550" w:rsidRDefault="00261351" w:rsidP="00E82ECD">
      <w:pPr>
        <w:sectPr w:rsidR="00261351" w:rsidRPr="00C66550" w:rsidSect="00030167">
          <w:headerReference w:type="default" r:id="rId16"/>
          <w:footerReference w:type="default" r:id="rId17"/>
          <w:headerReference w:type="first" r:id="rId18"/>
          <w:footerReference w:type="first" r:id="rId19"/>
          <w:pgSz w:w="11907" w:h="16840" w:code="9"/>
          <w:pgMar w:top="1928" w:right="1077" w:bottom="1559" w:left="1474" w:header="709" w:footer="709" w:gutter="0"/>
          <w:pgNumType w:start="0"/>
          <w:cols w:space="708"/>
          <w:docGrid w:linePitch="360"/>
        </w:sectPr>
      </w:pPr>
    </w:p>
    <w:p w:rsidR="005046D3" w:rsidRPr="00C66550" w:rsidRDefault="005046D3" w:rsidP="00F810CB">
      <w:pPr>
        <w:pStyle w:val="Contentsheader"/>
      </w:pPr>
      <w:bookmarkStart w:id="4" w:name="_Toc333863319"/>
      <w:r w:rsidRPr="00C66550">
        <w:lastRenderedPageBreak/>
        <w:t>CONTENTS</w:t>
      </w:r>
    </w:p>
    <w:bookmarkStart w:id="5" w:name="TOC"/>
    <w:p w:rsidR="00D93050" w:rsidRDefault="0062001A">
      <w:pPr>
        <w:pStyle w:val="TOC1"/>
        <w:rPr>
          <w:rFonts w:asciiTheme="minorHAnsi" w:eastAsiaTheme="minorEastAsia" w:hAnsiTheme="minorHAnsi" w:cstheme="minorBidi"/>
          <w:b w:val="0"/>
          <w:bCs w:val="0"/>
          <w:color w:val="auto"/>
          <w:sz w:val="22"/>
          <w:szCs w:val="22"/>
          <w:lang w:eastAsia="en-AU"/>
        </w:rPr>
      </w:pPr>
      <w:r w:rsidRPr="0062001A">
        <w:rPr>
          <w:rFonts w:cs="Arial"/>
          <w:caps/>
          <w:sz w:val="28"/>
        </w:rPr>
        <w:fldChar w:fldCharType="begin"/>
      </w:r>
      <w:r w:rsidR="005046D3" w:rsidRPr="00C66550">
        <w:rPr>
          <w:rFonts w:cs="Arial"/>
          <w:caps/>
        </w:rPr>
        <w:instrText xml:space="preserve"> TOC \o "2-2" \h \z \t "Heading 1,1,Header 1,1" </w:instrText>
      </w:r>
      <w:r w:rsidRPr="0062001A">
        <w:rPr>
          <w:rFonts w:cs="Arial"/>
          <w:caps/>
          <w:sz w:val="28"/>
        </w:rPr>
        <w:fldChar w:fldCharType="separate"/>
      </w:r>
      <w:hyperlink w:anchor="_Toc379466337" w:history="1">
        <w:r w:rsidR="00D93050" w:rsidRPr="0076770A">
          <w:rPr>
            <w:rStyle w:val="Hyperlink"/>
          </w:rPr>
          <w:t>Executive summary</w:t>
        </w:r>
        <w:r w:rsidR="00D93050">
          <w:rPr>
            <w:webHidden/>
          </w:rPr>
          <w:tab/>
        </w:r>
        <w:r>
          <w:rPr>
            <w:webHidden/>
          </w:rPr>
          <w:fldChar w:fldCharType="begin"/>
        </w:r>
        <w:r w:rsidR="00D93050">
          <w:rPr>
            <w:webHidden/>
          </w:rPr>
          <w:instrText xml:space="preserve"> PAGEREF _Toc379466337 \h </w:instrText>
        </w:r>
        <w:r>
          <w:rPr>
            <w:webHidden/>
          </w:rPr>
        </w:r>
        <w:r>
          <w:rPr>
            <w:webHidden/>
          </w:rPr>
          <w:fldChar w:fldCharType="separate"/>
        </w:r>
        <w:r w:rsidR="00D93050">
          <w:rPr>
            <w:webHidden/>
          </w:rPr>
          <w:t>vii</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38" w:history="1">
        <w:r w:rsidR="00D93050" w:rsidRPr="0076770A">
          <w:rPr>
            <w:rStyle w:val="Hyperlink"/>
          </w:rPr>
          <w:t>E1</w:t>
        </w:r>
        <w:r w:rsidR="00D93050">
          <w:rPr>
            <w:rFonts w:asciiTheme="minorHAnsi" w:eastAsiaTheme="minorEastAsia" w:hAnsiTheme="minorHAnsi" w:cstheme="minorBidi"/>
            <w:color w:val="auto"/>
            <w:szCs w:val="22"/>
            <w:lang w:eastAsia="en-AU"/>
          </w:rPr>
          <w:tab/>
        </w:r>
        <w:r w:rsidR="00D93050" w:rsidRPr="0076770A">
          <w:rPr>
            <w:rStyle w:val="Hyperlink"/>
          </w:rPr>
          <w:t>Summary 2010/2011 data</w:t>
        </w:r>
        <w:r w:rsidR="00D93050">
          <w:rPr>
            <w:webHidden/>
          </w:rPr>
          <w:tab/>
        </w:r>
        <w:r>
          <w:rPr>
            <w:webHidden/>
          </w:rPr>
          <w:fldChar w:fldCharType="begin"/>
        </w:r>
        <w:r w:rsidR="00D93050">
          <w:rPr>
            <w:webHidden/>
          </w:rPr>
          <w:instrText xml:space="preserve"> PAGEREF _Toc379466338 \h </w:instrText>
        </w:r>
        <w:r>
          <w:rPr>
            <w:webHidden/>
          </w:rPr>
        </w:r>
        <w:r>
          <w:rPr>
            <w:webHidden/>
          </w:rPr>
          <w:fldChar w:fldCharType="separate"/>
        </w:r>
        <w:r w:rsidR="00D93050">
          <w:rPr>
            <w:webHidden/>
          </w:rPr>
          <w:t>vii</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39" w:history="1">
        <w:r w:rsidR="00D93050" w:rsidRPr="0076770A">
          <w:rPr>
            <w:rStyle w:val="Hyperlink"/>
          </w:rPr>
          <w:t>E2</w:t>
        </w:r>
        <w:r w:rsidR="00D93050">
          <w:rPr>
            <w:rFonts w:asciiTheme="minorHAnsi" w:eastAsiaTheme="minorEastAsia" w:hAnsiTheme="minorHAnsi" w:cstheme="minorBidi"/>
            <w:color w:val="auto"/>
            <w:szCs w:val="22"/>
            <w:lang w:eastAsia="en-AU"/>
          </w:rPr>
          <w:tab/>
        </w:r>
        <w:r w:rsidR="00D93050" w:rsidRPr="0076770A">
          <w:rPr>
            <w:rStyle w:val="Hyperlink"/>
          </w:rPr>
          <w:t>Summary of the trends, 2006/07 to 2010/11</w:t>
        </w:r>
        <w:r w:rsidR="00D93050">
          <w:rPr>
            <w:webHidden/>
          </w:rPr>
          <w:tab/>
        </w:r>
        <w:r>
          <w:rPr>
            <w:webHidden/>
          </w:rPr>
          <w:fldChar w:fldCharType="begin"/>
        </w:r>
        <w:r w:rsidR="00D93050">
          <w:rPr>
            <w:webHidden/>
          </w:rPr>
          <w:instrText xml:space="preserve"> PAGEREF _Toc379466339 \h </w:instrText>
        </w:r>
        <w:r>
          <w:rPr>
            <w:webHidden/>
          </w:rPr>
        </w:r>
        <w:r>
          <w:rPr>
            <w:webHidden/>
          </w:rPr>
          <w:fldChar w:fldCharType="separate"/>
        </w:r>
        <w:r w:rsidR="00D93050">
          <w:rPr>
            <w:webHidden/>
          </w:rPr>
          <w:t>x</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40" w:history="1">
        <w:r w:rsidR="00D93050" w:rsidRPr="0076770A">
          <w:rPr>
            <w:rStyle w:val="Hyperlink"/>
          </w:rPr>
          <w:t>E3</w:t>
        </w:r>
        <w:r w:rsidR="00D93050">
          <w:rPr>
            <w:rFonts w:asciiTheme="minorHAnsi" w:eastAsiaTheme="minorEastAsia" w:hAnsiTheme="minorHAnsi" w:cstheme="minorBidi"/>
            <w:color w:val="auto"/>
            <w:szCs w:val="22"/>
            <w:lang w:eastAsia="en-AU"/>
          </w:rPr>
          <w:tab/>
        </w:r>
        <w:r w:rsidR="00D93050" w:rsidRPr="0076770A">
          <w:rPr>
            <w:rStyle w:val="Hyperlink"/>
          </w:rPr>
          <w:t>Organic wastes summary</w:t>
        </w:r>
        <w:r w:rsidR="00D93050">
          <w:rPr>
            <w:webHidden/>
          </w:rPr>
          <w:tab/>
        </w:r>
        <w:r>
          <w:rPr>
            <w:webHidden/>
          </w:rPr>
          <w:fldChar w:fldCharType="begin"/>
        </w:r>
        <w:r w:rsidR="00D93050">
          <w:rPr>
            <w:webHidden/>
          </w:rPr>
          <w:instrText xml:space="preserve"> PAGEREF _Toc379466340 \h </w:instrText>
        </w:r>
        <w:r>
          <w:rPr>
            <w:webHidden/>
          </w:rPr>
        </w:r>
        <w:r>
          <w:rPr>
            <w:webHidden/>
          </w:rPr>
          <w:fldChar w:fldCharType="separate"/>
        </w:r>
        <w:r w:rsidR="00D93050">
          <w:rPr>
            <w:webHidden/>
          </w:rPr>
          <w:t>xi</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41" w:history="1">
        <w:r w:rsidR="00D93050" w:rsidRPr="0076770A">
          <w:rPr>
            <w:rStyle w:val="Hyperlink"/>
          </w:rPr>
          <w:t>E4</w:t>
        </w:r>
        <w:r w:rsidR="00D93050">
          <w:rPr>
            <w:rFonts w:asciiTheme="minorHAnsi" w:eastAsiaTheme="minorEastAsia" w:hAnsiTheme="minorHAnsi" w:cstheme="minorBidi"/>
            <w:color w:val="auto"/>
            <w:szCs w:val="22"/>
            <w:lang w:eastAsia="en-AU"/>
          </w:rPr>
          <w:tab/>
        </w:r>
        <w:r w:rsidR="00D93050" w:rsidRPr="0076770A">
          <w:rPr>
            <w:rStyle w:val="Hyperlink"/>
          </w:rPr>
          <w:t>Policy frameworks, barriers and opportunities</w:t>
        </w:r>
        <w:r w:rsidR="00D93050">
          <w:rPr>
            <w:webHidden/>
          </w:rPr>
          <w:tab/>
        </w:r>
        <w:r>
          <w:rPr>
            <w:webHidden/>
          </w:rPr>
          <w:fldChar w:fldCharType="begin"/>
        </w:r>
        <w:r w:rsidR="00D93050">
          <w:rPr>
            <w:webHidden/>
          </w:rPr>
          <w:instrText xml:space="preserve"> PAGEREF _Toc379466341 \h </w:instrText>
        </w:r>
        <w:r>
          <w:rPr>
            <w:webHidden/>
          </w:rPr>
        </w:r>
        <w:r>
          <w:rPr>
            <w:webHidden/>
          </w:rPr>
          <w:fldChar w:fldCharType="separate"/>
        </w:r>
        <w:r w:rsidR="00D93050">
          <w:rPr>
            <w:webHidden/>
          </w:rPr>
          <w:t>xii</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42" w:history="1">
        <w:r w:rsidR="00D93050" w:rsidRPr="0076770A">
          <w:rPr>
            <w:rStyle w:val="Hyperlink"/>
          </w:rPr>
          <w:t>E5</w:t>
        </w:r>
        <w:r w:rsidR="00D93050">
          <w:rPr>
            <w:rFonts w:asciiTheme="minorHAnsi" w:eastAsiaTheme="minorEastAsia" w:hAnsiTheme="minorHAnsi" w:cstheme="minorBidi"/>
            <w:color w:val="auto"/>
            <w:szCs w:val="22"/>
            <w:lang w:eastAsia="en-AU"/>
          </w:rPr>
          <w:tab/>
        </w:r>
        <w:r w:rsidR="00D93050" w:rsidRPr="0076770A">
          <w:rPr>
            <w:rStyle w:val="Hyperlink"/>
          </w:rPr>
          <w:t>Data reliability</w:t>
        </w:r>
        <w:r w:rsidR="00D93050">
          <w:rPr>
            <w:webHidden/>
          </w:rPr>
          <w:tab/>
        </w:r>
        <w:r>
          <w:rPr>
            <w:webHidden/>
          </w:rPr>
          <w:fldChar w:fldCharType="begin"/>
        </w:r>
        <w:r w:rsidR="00D93050">
          <w:rPr>
            <w:webHidden/>
          </w:rPr>
          <w:instrText xml:space="preserve"> PAGEREF _Toc379466342 \h </w:instrText>
        </w:r>
        <w:r>
          <w:rPr>
            <w:webHidden/>
          </w:rPr>
        </w:r>
        <w:r>
          <w:rPr>
            <w:webHidden/>
          </w:rPr>
          <w:fldChar w:fldCharType="separate"/>
        </w:r>
        <w:r w:rsidR="00D93050">
          <w:rPr>
            <w:webHidden/>
          </w:rPr>
          <w:t>xiii</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43" w:history="1">
        <w:r w:rsidR="00D93050" w:rsidRPr="0076770A">
          <w:rPr>
            <w:rStyle w:val="Hyperlink"/>
          </w:rPr>
          <w:t>1.</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Introduction</w:t>
        </w:r>
        <w:r w:rsidR="00D93050">
          <w:rPr>
            <w:webHidden/>
          </w:rPr>
          <w:tab/>
        </w:r>
        <w:r>
          <w:rPr>
            <w:webHidden/>
          </w:rPr>
          <w:fldChar w:fldCharType="begin"/>
        </w:r>
        <w:r w:rsidR="00D93050">
          <w:rPr>
            <w:webHidden/>
          </w:rPr>
          <w:instrText xml:space="preserve"> PAGEREF _Toc379466343 \h </w:instrText>
        </w:r>
        <w:r>
          <w:rPr>
            <w:webHidden/>
          </w:rPr>
        </w:r>
        <w:r>
          <w:rPr>
            <w:webHidden/>
          </w:rPr>
          <w:fldChar w:fldCharType="separate"/>
        </w:r>
        <w:r w:rsidR="00D93050">
          <w:rPr>
            <w:webHidden/>
          </w:rPr>
          <w:t>1</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44" w:history="1">
        <w:r w:rsidR="00D93050" w:rsidRPr="0076770A">
          <w:rPr>
            <w:rStyle w:val="Hyperlink"/>
          </w:rPr>
          <w:t>1.1</w:t>
        </w:r>
        <w:r w:rsidR="00D93050">
          <w:rPr>
            <w:rFonts w:asciiTheme="minorHAnsi" w:eastAsiaTheme="minorEastAsia" w:hAnsiTheme="minorHAnsi" w:cstheme="minorBidi"/>
            <w:color w:val="auto"/>
            <w:szCs w:val="22"/>
            <w:lang w:eastAsia="en-AU"/>
          </w:rPr>
          <w:tab/>
        </w:r>
        <w:r w:rsidR="00D93050" w:rsidRPr="0076770A">
          <w:rPr>
            <w:rStyle w:val="Hyperlink"/>
          </w:rPr>
          <w:t>Report structure</w:t>
        </w:r>
        <w:r w:rsidR="00D93050">
          <w:rPr>
            <w:webHidden/>
          </w:rPr>
          <w:tab/>
        </w:r>
        <w:r>
          <w:rPr>
            <w:webHidden/>
          </w:rPr>
          <w:fldChar w:fldCharType="begin"/>
        </w:r>
        <w:r w:rsidR="00D93050">
          <w:rPr>
            <w:webHidden/>
          </w:rPr>
          <w:instrText xml:space="preserve"> PAGEREF _Toc379466344 \h </w:instrText>
        </w:r>
        <w:r>
          <w:rPr>
            <w:webHidden/>
          </w:rPr>
        </w:r>
        <w:r>
          <w:rPr>
            <w:webHidden/>
          </w:rPr>
          <w:fldChar w:fldCharType="separate"/>
        </w:r>
        <w:r w:rsidR="00D93050">
          <w:rPr>
            <w:webHidden/>
          </w:rPr>
          <w:t>1</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45" w:history="1">
        <w:r w:rsidR="00D93050" w:rsidRPr="0076770A">
          <w:rPr>
            <w:rStyle w:val="Hyperlink"/>
          </w:rPr>
          <w:t>1.2</w:t>
        </w:r>
        <w:r w:rsidR="00D93050">
          <w:rPr>
            <w:rFonts w:asciiTheme="minorHAnsi" w:eastAsiaTheme="minorEastAsia" w:hAnsiTheme="minorHAnsi" w:cstheme="minorBidi"/>
            <w:color w:val="auto"/>
            <w:szCs w:val="22"/>
            <w:lang w:eastAsia="en-AU"/>
          </w:rPr>
          <w:tab/>
        </w:r>
        <w:r w:rsidR="00D93050" w:rsidRPr="0076770A">
          <w:rPr>
            <w:rStyle w:val="Hyperlink"/>
          </w:rPr>
          <w:t>Data layout</w:t>
        </w:r>
        <w:r w:rsidR="00D93050">
          <w:rPr>
            <w:webHidden/>
          </w:rPr>
          <w:tab/>
        </w:r>
        <w:r>
          <w:rPr>
            <w:webHidden/>
          </w:rPr>
          <w:fldChar w:fldCharType="begin"/>
        </w:r>
        <w:r w:rsidR="00D93050">
          <w:rPr>
            <w:webHidden/>
          </w:rPr>
          <w:instrText xml:space="preserve"> PAGEREF _Toc379466345 \h </w:instrText>
        </w:r>
        <w:r>
          <w:rPr>
            <w:webHidden/>
          </w:rPr>
        </w:r>
        <w:r>
          <w:rPr>
            <w:webHidden/>
          </w:rPr>
          <w:fldChar w:fldCharType="separate"/>
        </w:r>
        <w:r w:rsidR="00D93050">
          <w:rPr>
            <w:webHidden/>
          </w:rPr>
          <w:t>2</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46" w:history="1">
        <w:r w:rsidR="00D93050" w:rsidRPr="0076770A">
          <w:rPr>
            <w:rStyle w:val="Hyperlink"/>
          </w:rPr>
          <w:t>1.3</w:t>
        </w:r>
        <w:r w:rsidR="00D93050">
          <w:rPr>
            <w:rFonts w:asciiTheme="minorHAnsi" w:eastAsiaTheme="minorEastAsia" w:hAnsiTheme="minorHAnsi" w:cstheme="minorBidi"/>
            <w:color w:val="auto"/>
            <w:szCs w:val="22"/>
            <w:lang w:eastAsia="en-AU"/>
          </w:rPr>
          <w:tab/>
        </w:r>
        <w:r w:rsidR="00D93050" w:rsidRPr="0076770A">
          <w:rPr>
            <w:rStyle w:val="Hyperlink"/>
          </w:rPr>
          <w:t>Data reliability</w:t>
        </w:r>
        <w:r w:rsidR="00D93050">
          <w:rPr>
            <w:webHidden/>
          </w:rPr>
          <w:tab/>
        </w:r>
        <w:r>
          <w:rPr>
            <w:webHidden/>
          </w:rPr>
          <w:fldChar w:fldCharType="begin"/>
        </w:r>
        <w:r w:rsidR="00D93050">
          <w:rPr>
            <w:webHidden/>
          </w:rPr>
          <w:instrText xml:space="preserve"> PAGEREF _Toc379466346 \h </w:instrText>
        </w:r>
        <w:r>
          <w:rPr>
            <w:webHidden/>
          </w:rPr>
        </w:r>
        <w:r>
          <w:rPr>
            <w:webHidden/>
          </w:rPr>
          <w:fldChar w:fldCharType="separate"/>
        </w:r>
        <w:r w:rsidR="00D93050">
          <w:rPr>
            <w:webHidden/>
          </w:rPr>
          <w:t>2</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47" w:history="1">
        <w:r w:rsidR="00D93050" w:rsidRPr="0076770A">
          <w:rPr>
            <w:rStyle w:val="Hyperlink"/>
          </w:rPr>
          <w:t>1.4</w:t>
        </w:r>
        <w:r w:rsidR="00D93050">
          <w:rPr>
            <w:rFonts w:asciiTheme="minorHAnsi" w:eastAsiaTheme="minorEastAsia" w:hAnsiTheme="minorHAnsi" w:cstheme="minorBidi"/>
            <w:color w:val="auto"/>
            <w:szCs w:val="22"/>
            <w:lang w:eastAsia="en-AU"/>
          </w:rPr>
          <w:tab/>
        </w:r>
        <w:r w:rsidR="00D93050" w:rsidRPr="0076770A">
          <w:rPr>
            <w:rStyle w:val="Hyperlink"/>
          </w:rPr>
          <w:t>Other notes on the data</w:t>
        </w:r>
        <w:r w:rsidR="00D93050">
          <w:rPr>
            <w:webHidden/>
          </w:rPr>
          <w:tab/>
        </w:r>
        <w:r>
          <w:rPr>
            <w:webHidden/>
          </w:rPr>
          <w:fldChar w:fldCharType="begin"/>
        </w:r>
        <w:r w:rsidR="00D93050">
          <w:rPr>
            <w:webHidden/>
          </w:rPr>
          <w:instrText xml:space="preserve"> PAGEREF _Toc379466347 \h </w:instrText>
        </w:r>
        <w:r>
          <w:rPr>
            <w:webHidden/>
          </w:rPr>
        </w:r>
        <w:r>
          <w:rPr>
            <w:webHidden/>
          </w:rPr>
          <w:fldChar w:fldCharType="separate"/>
        </w:r>
        <w:r w:rsidR="00D93050">
          <w:rPr>
            <w:webHidden/>
          </w:rPr>
          <w:t>3</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48" w:history="1">
        <w:r w:rsidR="00D93050" w:rsidRPr="0076770A">
          <w:rPr>
            <w:rStyle w:val="Hyperlink"/>
          </w:rPr>
          <w:t>2.</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Waste data context</w:t>
        </w:r>
        <w:r w:rsidR="00D93050">
          <w:rPr>
            <w:webHidden/>
          </w:rPr>
          <w:tab/>
        </w:r>
        <w:r>
          <w:rPr>
            <w:webHidden/>
          </w:rPr>
          <w:fldChar w:fldCharType="begin"/>
        </w:r>
        <w:r w:rsidR="00D93050">
          <w:rPr>
            <w:webHidden/>
          </w:rPr>
          <w:instrText xml:space="preserve"> PAGEREF _Toc379466348 \h </w:instrText>
        </w:r>
        <w:r>
          <w:rPr>
            <w:webHidden/>
          </w:rPr>
        </w:r>
        <w:r>
          <w:rPr>
            <w:webHidden/>
          </w:rPr>
          <w:fldChar w:fldCharType="separate"/>
        </w:r>
        <w:r w:rsidR="00D93050">
          <w:rPr>
            <w:webHidden/>
          </w:rPr>
          <w:t>3</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49" w:history="1">
        <w:r w:rsidR="00D93050" w:rsidRPr="0076770A">
          <w:rPr>
            <w:rStyle w:val="Hyperlink"/>
          </w:rPr>
          <w:t>2.1</w:t>
        </w:r>
        <w:r w:rsidR="00D93050">
          <w:rPr>
            <w:rFonts w:asciiTheme="minorHAnsi" w:eastAsiaTheme="minorEastAsia" w:hAnsiTheme="minorHAnsi" w:cstheme="minorBidi"/>
            <w:color w:val="auto"/>
            <w:szCs w:val="22"/>
            <w:lang w:eastAsia="en-AU"/>
          </w:rPr>
          <w:tab/>
        </w:r>
        <w:r w:rsidR="00D93050" w:rsidRPr="0076770A">
          <w:rPr>
            <w:rStyle w:val="Hyperlink"/>
          </w:rPr>
          <w:t>Population</w:t>
        </w:r>
        <w:r w:rsidR="00D93050">
          <w:rPr>
            <w:webHidden/>
          </w:rPr>
          <w:tab/>
        </w:r>
        <w:r>
          <w:rPr>
            <w:webHidden/>
          </w:rPr>
          <w:fldChar w:fldCharType="begin"/>
        </w:r>
        <w:r w:rsidR="00D93050">
          <w:rPr>
            <w:webHidden/>
          </w:rPr>
          <w:instrText xml:space="preserve"> PAGEREF _Toc379466349 \h </w:instrText>
        </w:r>
        <w:r>
          <w:rPr>
            <w:webHidden/>
          </w:rPr>
        </w:r>
        <w:r>
          <w:rPr>
            <w:webHidden/>
          </w:rPr>
          <w:fldChar w:fldCharType="separate"/>
        </w:r>
        <w:r w:rsidR="00D93050">
          <w:rPr>
            <w:webHidden/>
          </w:rPr>
          <w:t>4</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50" w:history="1">
        <w:r w:rsidR="00D93050" w:rsidRPr="0076770A">
          <w:rPr>
            <w:rStyle w:val="Hyperlink"/>
          </w:rPr>
          <w:t>2.2</w:t>
        </w:r>
        <w:r w:rsidR="00D93050">
          <w:rPr>
            <w:rFonts w:asciiTheme="minorHAnsi" w:eastAsiaTheme="minorEastAsia" w:hAnsiTheme="minorHAnsi" w:cstheme="minorBidi"/>
            <w:color w:val="auto"/>
            <w:szCs w:val="22"/>
            <w:lang w:eastAsia="en-AU"/>
          </w:rPr>
          <w:tab/>
        </w:r>
        <w:r w:rsidR="00D93050" w:rsidRPr="0076770A">
          <w:rPr>
            <w:rStyle w:val="Hyperlink"/>
          </w:rPr>
          <w:t>Economic activity — gross state product</w:t>
        </w:r>
        <w:r w:rsidR="00D93050">
          <w:rPr>
            <w:webHidden/>
          </w:rPr>
          <w:tab/>
        </w:r>
        <w:r>
          <w:rPr>
            <w:webHidden/>
          </w:rPr>
          <w:fldChar w:fldCharType="begin"/>
        </w:r>
        <w:r w:rsidR="00D93050">
          <w:rPr>
            <w:webHidden/>
          </w:rPr>
          <w:instrText xml:space="preserve"> PAGEREF _Toc379466350 \h </w:instrText>
        </w:r>
        <w:r>
          <w:rPr>
            <w:webHidden/>
          </w:rPr>
        </w:r>
        <w:r>
          <w:rPr>
            <w:webHidden/>
          </w:rPr>
          <w:fldChar w:fldCharType="separate"/>
        </w:r>
        <w:r w:rsidR="00D93050">
          <w:rPr>
            <w:webHidden/>
          </w:rPr>
          <w:t>5</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51" w:history="1">
        <w:r w:rsidR="00D93050" w:rsidRPr="0076770A">
          <w:rPr>
            <w:rStyle w:val="Hyperlink"/>
          </w:rPr>
          <w:t>2.3</w:t>
        </w:r>
        <w:r w:rsidR="00D93050">
          <w:rPr>
            <w:rFonts w:asciiTheme="minorHAnsi" w:eastAsiaTheme="minorEastAsia" w:hAnsiTheme="minorHAnsi" w:cstheme="minorBidi"/>
            <w:color w:val="auto"/>
            <w:szCs w:val="22"/>
            <w:lang w:eastAsia="en-AU"/>
          </w:rPr>
          <w:tab/>
        </w:r>
        <w:r w:rsidR="00D93050" w:rsidRPr="0076770A">
          <w:rPr>
            <w:rStyle w:val="Hyperlink"/>
          </w:rPr>
          <w:t>Average income per capita</w:t>
        </w:r>
        <w:r w:rsidR="00D93050">
          <w:rPr>
            <w:webHidden/>
          </w:rPr>
          <w:tab/>
        </w:r>
        <w:r>
          <w:rPr>
            <w:webHidden/>
          </w:rPr>
          <w:fldChar w:fldCharType="begin"/>
        </w:r>
        <w:r w:rsidR="00D93050">
          <w:rPr>
            <w:webHidden/>
          </w:rPr>
          <w:instrText xml:space="preserve"> PAGEREF _Toc379466351 \h </w:instrText>
        </w:r>
        <w:r>
          <w:rPr>
            <w:webHidden/>
          </w:rPr>
        </w:r>
        <w:r>
          <w:rPr>
            <w:webHidden/>
          </w:rPr>
          <w:fldChar w:fldCharType="separate"/>
        </w:r>
        <w:r w:rsidR="00D93050">
          <w:rPr>
            <w:webHidden/>
          </w:rPr>
          <w:t>6</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52" w:history="1">
        <w:r w:rsidR="00D93050" w:rsidRPr="0076770A">
          <w:rPr>
            <w:rStyle w:val="Hyperlink"/>
          </w:rPr>
          <w:t>2.4</w:t>
        </w:r>
        <w:r w:rsidR="00D93050">
          <w:rPr>
            <w:rFonts w:asciiTheme="minorHAnsi" w:eastAsiaTheme="minorEastAsia" w:hAnsiTheme="minorHAnsi" w:cstheme="minorBidi"/>
            <w:color w:val="auto"/>
            <w:szCs w:val="22"/>
            <w:lang w:eastAsia="en-AU"/>
          </w:rPr>
          <w:tab/>
        </w:r>
        <w:r w:rsidR="00D93050" w:rsidRPr="0076770A">
          <w:rPr>
            <w:rStyle w:val="Hyperlink"/>
          </w:rPr>
          <w:t>Urbanisation</w:t>
        </w:r>
        <w:r w:rsidR="00D93050">
          <w:rPr>
            <w:webHidden/>
          </w:rPr>
          <w:tab/>
        </w:r>
        <w:r>
          <w:rPr>
            <w:webHidden/>
          </w:rPr>
          <w:fldChar w:fldCharType="begin"/>
        </w:r>
        <w:r w:rsidR="00D93050">
          <w:rPr>
            <w:webHidden/>
          </w:rPr>
          <w:instrText xml:space="preserve"> PAGEREF _Toc379466352 \h </w:instrText>
        </w:r>
        <w:r>
          <w:rPr>
            <w:webHidden/>
          </w:rPr>
        </w:r>
        <w:r>
          <w:rPr>
            <w:webHidden/>
          </w:rPr>
          <w:fldChar w:fldCharType="separate"/>
        </w:r>
        <w:r w:rsidR="00D93050">
          <w:rPr>
            <w:webHidden/>
          </w:rPr>
          <w:t>7</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53" w:history="1">
        <w:r w:rsidR="00D93050" w:rsidRPr="0076770A">
          <w:rPr>
            <w:rStyle w:val="Hyperlink"/>
          </w:rPr>
          <w:t>3.</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Australia 2010/11</w:t>
        </w:r>
        <w:r w:rsidR="00D93050">
          <w:rPr>
            <w:webHidden/>
          </w:rPr>
          <w:tab/>
        </w:r>
        <w:r>
          <w:rPr>
            <w:webHidden/>
          </w:rPr>
          <w:fldChar w:fldCharType="begin"/>
        </w:r>
        <w:r w:rsidR="00D93050">
          <w:rPr>
            <w:webHidden/>
          </w:rPr>
          <w:instrText xml:space="preserve"> PAGEREF _Toc379466353 \h </w:instrText>
        </w:r>
        <w:r>
          <w:rPr>
            <w:webHidden/>
          </w:rPr>
        </w:r>
        <w:r>
          <w:rPr>
            <w:webHidden/>
          </w:rPr>
          <w:fldChar w:fldCharType="separate"/>
        </w:r>
        <w:r w:rsidR="00D93050">
          <w:rPr>
            <w:webHidden/>
          </w:rPr>
          <w:t>8</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54" w:history="1">
        <w:r w:rsidR="00D93050" w:rsidRPr="0076770A">
          <w:rPr>
            <w:rStyle w:val="Hyperlink"/>
          </w:rPr>
          <w:t>3.1</w:t>
        </w:r>
        <w:r w:rsidR="00D93050">
          <w:rPr>
            <w:rFonts w:asciiTheme="minorHAnsi" w:eastAsiaTheme="minorEastAsia" w:hAnsiTheme="minorHAnsi" w:cstheme="minorBidi"/>
            <w:color w:val="auto"/>
            <w:szCs w:val="22"/>
            <w:lang w:eastAsia="en-AU"/>
          </w:rPr>
          <w:tab/>
        </w:r>
        <w:r w:rsidR="00D93050" w:rsidRPr="0076770A">
          <w:rPr>
            <w:rStyle w:val="Hyperlink"/>
          </w:rPr>
          <w:t>Australia 2010/11 total and per capita tonnage and resource recovery rate</w:t>
        </w:r>
        <w:r w:rsidR="00D93050">
          <w:rPr>
            <w:webHidden/>
          </w:rPr>
          <w:tab/>
        </w:r>
        <w:r>
          <w:rPr>
            <w:webHidden/>
          </w:rPr>
          <w:fldChar w:fldCharType="begin"/>
        </w:r>
        <w:r w:rsidR="00D93050">
          <w:rPr>
            <w:webHidden/>
          </w:rPr>
          <w:instrText xml:space="preserve"> PAGEREF _Toc379466354 \h </w:instrText>
        </w:r>
        <w:r>
          <w:rPr>
            <w:webHidden/>
          </w:rPr>
        </w:r>
        <w:r>
          <w:rPr>
            <w:webHidden/>
          </w:rPr>
          <w:fldChar w:fldCharType="separate"/>
        </w:r>
        <w:r w:rsidR="00D93050">
          <w:rPr>
            <w:webHidden/>
          </w:rPr>
          <w:t>8</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55" w:history="1">
        <w:r w:rsidR="00D93050" w:rsidRPr="0076770A">
          <w:rPr>
            <w:rStyle w:val="Hyperlink"/>
          </w:rPr>
          <w:t>3.2</w:t>
        </w:r>
        <w:r w:rsidR="00D93050">
          <w:rPr>
            <w:rFonts w:asciiTheme="minorHAnsi" w:eastAsiaTheme="minorEastAsia" w:hAnsiTheme="minorHAnsi" w:cstheme="minorBidi"/>
            <w:color w:val="auto"/>
            <w:szCs w:val="22"/>
            <w:lang w:eastAsia="en-AU"/>
          </w:rPr>
          <w:tab/>
        </w:r>
        <w:r w:rsidR="00D93050" w:rsidRPr="0076770A">
          <w:rPr>
            <w:rStyle w:val="Hyperlink"/>
          </w:rPr>
          <w:t>Australia 2010/11 waste stream data</w:t>
        </w:r>
        <w:r w:rsidR="00D93050">
          <w:rPr>
            <w:webHidden/>
          </w:rPr>
          <w:tab/>
        </w:r>
        <w:r>
          <w:rPr>
            <w:webHidden/>
          </w:rPr>
          <w:fldChar w:fldCharType="begin"/>
        </w:r>
        <w:r w:rsidR="00D93050">
          <w:rPr>
            <w:webHidden/>
          </w:rPr>
          <w:instrText xml:space="preserve"> PAGEREF _Toc379466355 \h </w:instrText>
        </w:r>
        <w:r>
          <w:rPr>
            <w:webHidden/>
          </w:rPr>
        </w:r>
        <w:r>
          <w:rPr>
            <w:webHidden/>
          </w:rPr>
          <w:fldChar w:fldCharType="separate"/>
        </w:r>
        <w:r w:rsidR="00D93050">
          <w:rPr>
            <w:webHidden/>
          </w:rPr>
          <w:t>10</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56" w:history="1">
        <w:r w:rsidR="00D93050" w:rsidRPr="0076770A">
          <w:rPr>
            <w:rStyle w:val="Hyperlink"/>
          </w:rPr>
          <w:t>3.3</w:t>
        </w:r>
        <w:r w:rsidR="00D93050">
          <w:rPr>
            <w:rFonts w:asciiTheme="minorHAnsi" w:eastAsiaTheme="minorEastAsia" w:hAnsiTheme="minorHAnsi" w:cstheme="minorBidi"/>
            <w:color w:val="auto"/>
            <w:szCs w:val="22"/>
            <w:lang w:eastAsia="en-AU"/>
          </w:rPr>
          <w:tab/>
        </w:r>
        <w:r w:rsidR="00D93050" w:rsidRPr="0076770A">
          <w:rPr>
            <w:rStyle w:val="Hyperlink"/>
          </w:rPr>
          <w:t>Australia 2010/11 data by material category</w:t>
        </w:r>
        <w:r w:rsidR="00D93050">
          <w:rPr>
            <w:webHidden/>
          </w:rPr>
          <w:tab/>
        </w:r>
        <w:r>
          <w:rPr>
            <w:webHidden/>
          </w:rPr>
          <w:fldChar w:fldCharType="begin"/>
        </w:r>
        <w:r w:rsidR="00D93050">
          <w:rPr>
            <w:webHidden/>
          </w:rPr>
          <w:instrText xml:space="preserve"> PAGEREF _Toc379466356 \h </w:instrText>
        </w:r>
        <w:r>
          <w:rPr>
            <w:webHidden/>
          </w:rPr>
        </w:r>
        <w:r>
          <w:rPr>
            <w:webHidden/>
          </w:rPr>
          <w:fldChar w:fldCharType="separate"/>
        </w:r>
        <w:r w:rsidR="00D93050">
          <w:rPr>
            <w:webHidden/>
          </w:rPr>
          <w:t>13</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57" w:history="1">
        <w:r w:rsidR="00D93050" w:rsidRPr="0076770A">
          <w:rPr>
            <w:rStyle w:val="Hyperlink"/>
          </w:rPr>
          <w:t>4.</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National trends, 2006/07 to 2010/11</w:t>
        </w:r>
        <w:r w:rsidR="00D93050">
          <w:rPr>
            <w:webHidden/>
          </w:rPr>
          <w:tab/>
        </w:r>
        <w:r>
          <w:rPr>
            <w:webHidden/>
          </w:rPr>
          <w:fldChar w:fldCharType="begin"/>
        </w:r>
        <w:r w:rsidR="00D93050">
          <w:rPr>
            <w:webHidden/>
          </w:rPr>
          <w:instrText xml:space="preserve"> PAGEREF _Toc379466357 \h </w:instrText>
        </w:r>
        <w:r>
          <w:rPr>
            <w:webHidden/>
          </w:rPr>
        </w:r>
        <w:r>
          <w:rPr>
            <w:webHidden/>
          </w:rPr>
          <w:fldChar w:fldCharType="separate"/>
        </w:r>
        <w:r w:rsidR="00D93050">
          <w:rPr>
            <w:webHidden/>
          </w:rPr>
          <w:t>15</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58" w:history="1">
        <w:r w:rsidR="00D93050" w:rsidRPr="0076770A">
          <w:rPr>
            <w:rStyle w:val="Hyperlink"/>
          </w:rPr>
          <w:t>5.</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International data comparison</w:t>
        </w:r>
        <w:r w:rsidR="00D93050">
          <w:rPr>
            <w:webHidden/>
          </w:rPr>
          <w:tab/>
        </w:r>
        <w:r>
          <w:rPr>
            <w:webHidden/>
          </w:rPr>
          <w:fldChar w:fldCharType="begin"/>
        </w:r>
        <w:r w:rsidR="00D93050">
          <w:rPr>
            <w:webHidden/>
          </w:rPr>
          <w:instrText xml:space="preserve"> PAGEREF _Toc379466358 \h </w:instrText>
        </w:r>
        <w:r>
          <w:rPr>
            <w:webHidden/>
          </w:rPr>
        </w:r>
        <w:r>
          <w:rPr>
            <w:webHidden/>
          </w:rPr>
          <w:fldChar w:fldCharType="separate"/>
        </w:r>
        <w:r w:rsidR="00D93050">
          <w:rPr>
            <w:webHidden/>
          </w:rPr>
          <w:t>18</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59" w:history="1">
        <w:r w:rsidR="00D93050" w:rsidRPr="0076770A">
          <w:rPr>
            <w:rStyle w:val="Hyperlink"/>
            <w:rFonts w:eastAsiaTheme="minorHAnsi"/>
          </w:rPr>
          <w:t>5.1</w:t>
        </w:r>
        <w:r w:rsidR="00D93050">
          <w:rPr>
            <w:rFonts w:asciiTheme="minorHAnsi" w:eastAsiaTheme="minorEastAsia" w:hAnsiTheme="minorHAnsi" w:cstheme="minorBidi"/>
            <w:color w:val="auto"/>
            <w:szCs w:val="22"/>
            <w:lang w:eastAsia="en-AU"/>
          </w:rPr>
          <w:tab/>
        </w:r>
        <w:r w:rsidR="00D93050" w:rsidRPr="0076770A">
          <w:rPr>
            <w:rStyle w:val="Hyperlink"/>
            <w:rFonts w:eastAsiaTheme="minorHAnsi"/>
          </w:rPr>
          <w:t>Waste generation</w:t>
        </w:r>
        <w:r w:rsidR="00D93050">
          <w:rPr>
            <w:webHidden/>
          </w:rPr>
          <w:tab/>
        </w:r>
        <w:r>
          <w:rPr>
            <w:webHidden/>
          </w:rPr>
          <w:fldChar w:fldCharType="begin"/>
        </w:r>
        <w:r w:rsidR="00D93050">
          <w:rPr>
            <w:webHidden/>
          </w:rPr>
          <w:instrText xml:space="preserve"> PAGEREF _Toc379466359 \h </w:instrText>
        </w:r>
        <w:r>
          <w:rPr>
            <w:webHidden/>
          </w:rPr>
        </w:r>
        <w:r>
          <w:rPr>
            <w:webHidden/>
          </w:rPr>
          <w:fldChar w:fldCharType="separate"/>
        </w:r>
        <w:r w:rsidR="00D93050">
          <w:rPr>
            <w:webHidden/>
          </w:rPr>
          <w:t>18</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60" w:history="1">
        <w:r w:rsidR="00D93050" w:rsidRPr="0076770A">
          <w:rPr>
            <w:rStyle w:val="Hyperlink"/>
          </w:rPr>
          <w:t>5.2</w:t>
        </w:r>
        <w:r w:rsidR="00D93050">
          <w:rPr>
            <w:rFonts w:asciiTheme="minorHAnsi" w:eastAsiaTheme="minorEastAsia" w:hAnsiTheme="minorHAnsi" w:cstheme="minorBidi"/>
            <w:color w:val="auto"/>
            <w:szCs w:val="22"/>
            <w:lang w:eastAsia="en-AU"/>
          </w:rPr>
          <w:tab/>
        </w:r>
        <w:r w:rsidR="00D93050" w:rsidRPr="0076770A">
          <w:rPr>
            <w:rStyle w:val="Hyperlink"/>
          </w:rPr>
          <w:t>Municipal solid waste trends</w:t>
        </w:r>
        <w:r w:rsidR="00D93050">
          <w:rPr>
            <w:webHidden/>
          </w:rPr>
          <w:tab/>
        </w:r>
        <w:r>
          <w:rPr>
            <w:webHidden/>
          </w:rPr>
          <w:fldChar w:fldCharType="begin"/>
        </w:r>
        <w:r w:rsidR="00D93050">
          <w:rPr>
            <w:webHidden/>
          </w:rPr>
          <w:instrText xml:space="preserve"> PAGEREF _Toc379466360 \h </w:instrText>
        </w:r>
        <w:r>
          <w:rPr>
            <w:webHidden/>
          </w:rPr>
        </w:r>
        <w:r>
          <w:rPr>
            <w:webHidden/>
          </w:rPr>
          <w:fldChar w:fldCharType="separate"/>
        </w:r>
        <w:r w:rsidR="00D93050">
          <w:rPr>
            <w:webHidden/>
          </w:rPr>
          <w:t>20</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61" w:history="1">
        <w:r w:rsidR="00D93050" w:rsidRPr="0076770A">
          <w:rPr>
            <w:rStyle w:val="Hyperlink"/>
          </w:rPr>
          <w:t>6.</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Australian Capital Territory</w:t>
        </w:r>
        <w:r w:rsidR="00D93050">
          <w:rPr>
            <w:webHidden/>
          </w:rPr>
          <w:tab/>
        </w:r>
        <w:r>
          <w:rPr>
            <w:webHidden/>
          </w:rPr>
          <w:fldChar w:fldCharType="begin"/>
        </w:r>
        <w:r w:rsidR="00D93050">
          <w:rPr>
            <w:webHidden/>
          </w:rPr>
          <w:instrText xml:space="preserve"> PAGEREF _Toc379466361 \h </w:instrText>
        </w:r>
        <w:r>
          <w:rPr>
            <w:webHidden/>
          </w:rPr>
        </w:r>
        <w:r>
          <w:rPr>
            <w:webHidden/>
          </w:rPr>
          <w:fldChar w:fldCharType="separate"/>
        </w:r>
        <w:r w:rsidR="00D93050">
          <w:rPr>
            <w:webHidden/>
          </w:rPr>
          <w:t>25</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62" w:history="1">
        <w:r w:rsidR="00D93050" w:rsidRPr="0076770A">
          <w:rPr>
            <w:rStyle w:val="Hyperlink"/>
          </w:rPr>
          <w:t>6.1</w:t>
        </w:r>
        <w:r w:rsidR="00D93050">
          <w:rPr>
            <w:rFonts w:asciiTheme="minorHAnsi" w:eastAsiaTheme="minorEastAsia" w:hAnsiTheme="minorHAnsi" w:cstheme="minorBidi"/>
            <w:color w:val="auto"/>
            <w:szCs w:val="22"/>
            <w:lang w:eastAsia="en-AU"/>
          </w:rPr>
          <w:tab/>
        </w:r>
        <w:r w:rsidR="00D93050" w:rsidRPr="0076770A">
          <w:rPr>
            <w:rStyle w:val="Hyperlink"/>
          </w:rPr>
          <w:t>ACT 2010/11</w:t>
        </w:r>
        <w:r w:rsidR="00D93050">
          <w:rPr>
            <w:webHidden/>
          </w:rPr>
          <w:tab/>
        </w:r>
        <w:r>
          <w:rPr>
            <w:webHidden/>
          </w:rPr>
          <w:fldChar w:fldCharType="begin"/>
        </w:r>
        <w:r w:rsidR="00D93050">
          <w:rPr>
            <w:webHidden/>
          </w:rPr>
          <w:instrText xml:space="preserve"> PAGEREF _Toc379466362 \h </w:instrText>
        </w:r>
        <w:r>
          <w:rPr>
            <w:webHidden/>
          </w:rPr>
        </w:r>
        <w:r>
          <w:rPr>
            <w:webHidden/>
          </w:rPr>
          <w:fldChar w:fldCharType="separate"/>
        </w:r>
        <w:r w:rsidR="00D93050">
          <w:rPr>
            <w:webHidden/>
          </w:rPr>
          <w:t>25</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63" w:history="1">
        <w:r w:rsidR="00D93050" w:rsidRPr="0076770A">
          <w:rPr>
            <w:rStyle w:val="Hyperlink"/>
          </w:rPr>
          <w:t>6.2</w:t>
        </w:r>
        <w:r w:rsidR="00D93050">
          <w:rPr>
            <w:rFonts w:asciiTheme="minorHAnsi" w:eastAsiaTheme="minorEastAsia" w:hAnsiTheme="minorHAnsi" w:cstheme="minorBidi"/>
            <w:color w:val="auto"/>
            <w:szCs w:val="22"/>
            <w:lang w:eastAsia="en-AU"/>
          </w:rPr>
          <w:tab/>
        </w:r>
        <w:r w:rsidR="00D93050" w:rsidRPr="0076770A">
          <w:rPr>
            <w:rStyle w:val="Hyperlink"/>
          </w:rPr>
          <w:t>ACT trends 2006/07 to 2010/11</w:t>
        </w:r>
        <w:r w:rsidR="00D93050">
          <w:rPr>
            <w:webHidden/>
          </w:rPr>
          <w:tab/>
        </w:r>
        <w:r>
          <w:rPr>
            <w:webHidden/>
          </w:rPr>
          <w:fldChar w:fldCharType="begin"/>
        </w:r>
        <w:r w:rsidR="00D93050">
          <w:rPr>
            <w:webHidden/>
          </w:rPr>
          <w:instrText xml:space="preserve"> PAGEREF _Toc379466363 \h </w:instrText>
        </w:r>
        <w:r>
          <w:rPr>
            <w:webHidden/>
          </w:rPr>
        </w:r>
        <w:r>
          <w:rPr>
            <w:webHidden/>
          </w:rPr>
          <w:fldChar w:fldCharType="separate"/>
        </w:r>
        <w:r w:rsidR="00D93050">
          <w:rPr>
            <w:webHidden/>
          </w:rPr>
          <w:t>27</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64" w:history="1">
        <w:r w:rsidR="00D93050" w:rsidRPr="0076770A">
          <w:rPr>
            <w:rStyle w:val="Hyperlink"/>
          </w:rPr>
          <w:t>7.</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New South Wales</w:t>
        </w:r>
        <w:r w:rsidR="00D93050">
          <w:rPr>
            <w:webHidden/>
          </w:rPr>
          <w:tab/>
        </w:r>
        <w:r>
          <w:rPr>
            <w:webHidden/>
          </w:rPr>
          <w:fldChar w:fldCharType="begin"/>
        </w:r>
        <w:r w:rsidR="00D93050">
          <w:rPr>
            <w:webHidden/>
          </w:rPr>
          <w:instrText xml:space="preserve"> PAGEREF _Toc379466364 \h </w:instrText>
        </w:r>
        <w:r>
          <w:rPr>
            <w:webHidden/>
          </w:rPr>
        </w:r>
        <w:r>
          <w:rPr>
            <w:webHidden/>
          </w:rPr>
          <w:fldChar w:fldCharType="separate"/>
        </w:r>
        <w:r w:rsidR="00D93050">
          <w:rPr>
            <w:webHidden/>
          </w:rPr>
          <w:t>29</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65" w:history="1">
        <w:r w:rsidR="00D93050" w:rsidRPr="0076770A">
          <w:rPr>
            <w:rStyle w:val="Hyperlink"/>
          </w:rPr>
          <w:t>7.1</w:t>
        </w:r>
        <w:r w:rsidR="00D93050">
          <w:rPr>
            <w:rFonts w:asciiTheme="minorHAnsi" w:eastAsiaTheme="minorEastAsia" w:hAnsiTheme="minorHAnsi" w:cstheme="minorBidi"/>
            <w:color w:val="auto"/>
            <w:szCs w:val="22"/>
            <w:lang w:eastAsia="en-AU"/>
          </w:rPr>
          <w:tab/>
        </w:r>
        <w:r w:rsidR="00D93050" w:rsidRPr="0076770A">
          <w:rPr>
            <w:rStyle w:val="Hyperlink"/>
          </w:rPr>
          <w:t>NSW 2010/11</w:t>
        </w:r>
        <w:r w:rsidR="00D93050">
          <w:rPr>
            <w:webHidden/>
          </w:rPr>
          <w:tab/>
        </w:r>
        <w:r>
          <w:rPr>
            <w:webHidden/>
          </w:rPr>
          <w:fldChar w:fldCharType="begin"/>
        </w:r>
        <w:r w:rsidR="00D93050">
          <w:rPr>
            <w:webHidden/>
          </w:rPr>
          <w:instrText xml:space="preserve"> PAGEREF _Toc379466365 \h </w:instrText>
        </w:r>
        <w:r>
          <w:rPr>
            <w:webHidden/>
          </w:rPr>
        </w:r>
        <w:r>
          <w:rPr>
            <w:webHidden/>
          </w:rPr>
          <w:fldChar w:fldCharType="separate"/>
        </w:r>
        <w:r w:rsidR="00D93050">
          <w:rPr>
            <w:webHidden/>
          </w:rPr>
          <w:t>29</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66" w:history="1">
        <w:r w:rsidR="00D93050" w:rsidRPr="0076770A">
          <w:rPr>
            <w:rStyle w:val="Hyperlink"/>
          </w:rPr>
          <w:t>7.2</w:t>
        </w:r>
        <w:r w:rsidR="00D93050">
          <w:rPr>
            <w:rFonts w:asciiTheme="minorHAnsi" w:eastAsiaTheme="minorEastAsia" w:hAnsiTheme="minorHAnsi" w:cstheme="minorBidi"/>
            <w:color w:val="auto"/>
            <w:szCs w:val="22"/>
            <w:lang w:eastAsia="en-AU"/>
          </w:rPr>
          <w:tab/>
        </w:r>
        <w:r w:rsidR="00D93050" w:rsidRPr="0076770A">
          <w:rPr>
            <w:rStyle w:val="Hyperlink"/>
          </w:rPr>
          <w:t>NSW trends 2006/07 to 2010/11</w:t>
        </w:r>
        <w:r w:rsidR="00D93050">
          <w:rPr>
            <w:webHidden/>
          </w:rPr>
          <w:tab/>
        </w:r>
        <w:r>
          <w:rPr>
            <w:webHidden/>
          </w:rPr>
          <w:fldChar w:fldCharType="begin"/>
        </w:r>
        <w:r w:rsidR="00D93050">
          <w:rPr>
            <w:webHidden/>
          </w:rPr>
          <w:instrText xml:space="preserve"> PAGEREF _Toc379466366 \h </w:instrText>
        </w:r>
        <w:r>
          <w:rPr>
            <w:webHidden/>
          </w:rPr>
        </w:r>
        <w:r>
          <w:rPr>
            <w:webHidden/>
          </w:rPr>
          <w:fldChar w:fldCharType="separate"/>
        </w:r>
        <w:r w:rsidR="00D93050">
          <w:rPr>
            <w:webHidden/>
          </w:rPr>
          <w:t>31</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67" w:history="1">
        <w:r w:rsidR="00D93050" w:rsidRPr="0076770A">
          <w:rPr>
            <w:rStyle w:val="Hyperlink"/>
          </w:rPr>
          <w:t>8.</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Northern Territory</w:t>
        </w:r>
        <w:r w:rsidR="00D93050">
          <w:rPr>
            <w:webHidden/>
          </w:rPr>
          <w:tab/>
        </w:r>
        <w:r>
          <w:rPr>
            <w:webHidden/>
          </w:rPr>
          <w:fldChar w:fldCharType="begin"/>
        </w:r>
        <w:r w:rsidR="00D93050">
          <w:rPr>
            <w:webHidden/>
          </w:rPr>
          <w:instrText xml:space="preserve"> PAGEREF _Toc379466367 \h </w:instrText>
        </w:r>
        <w:r>
          <w:rPr>
            <w:webHidden/>
          </w:rPr>
        </w:r>
        <w:r>
          <w:rPr>
            <w:webHidden/>
          </w:rPr>
          <w:fldChar w:fldCharType="separate"/>
        </w:r>
        <w:r w:rsidR="00D93050">
          <w:rPr>
            <w:webHidden/>
          </w:rPr>
          <w:t>33</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68" w:history="1">
        <w:r w:rsidR="00D93050" w:rsidRPr="0076770A">
          <w:rPr>
            <w:rStyle w:val="Hyperlink"/>
          </w:rPr>
          <w:t>8.1</w:t>
        </w:r>
        <w:r w:rsidR="00D93050">
          <w:rPr>
            <w:rFonts w:asciiTheme="minorHAnsi" w:eastAsiaTheme="minorEastAsia" w:hAnsiTheme="minorHAnsi" w:cstheme="minorBidi"/>
            <w:color w:val="auto"/>
            <w:szCs w:val="22"/>
            <w:lang w:eastAsia="en-AU"/>
          </w:rPr>
          <w:tab/>
        </w:r>
        <w:r w:rsidR="00D93050" w:rsidRPr="0076770A">
          <w:rPr>
            <w:rStyle w:val="Hyperlink"/>
          </w:rPr>
          <w:t>NT 2010/11</w:t>
        </w:r>
        <w:r w:rsidR="00D93050">
          <w:rPr>
            <w:webHidden/>
          </w:rPr>
          <w:tab/>
        </w:r>
        <w:r>
          <w:rPr>
            <w:webHidden/>
          </w:rPr>
          <w:fldChar w:fldCharType="begin"/>
        </w:r>
        <w:r w:rsidR="00D93050">
          <w:rPr>
            <w:webHidden/>
          </w:rPr>
          <w:instrText xml:space="preserve"> PAGEREF _Toc379466368 \h </w:instrText>
        </w:r>
        <w:r>
          <w:rPr>
            <w:webHidden/>
          </w:rPr>
        </w:r>
        <w:r>
          <w:rPr>
            <w:webHidden/>
          </w:rPr>
          <w:fldChar w:fldCharType="separate"/>
        </w:r>
        <w:r w:rsidR="00D93050">
          <w:rPr>
            <w:webHidden/>
          </w:rPr>
          <w:t>33</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69" w:history="1">
        <w:r w:rsidR="00D93050" w:rsidRPr="0076770A">
          <w:rPr>
            <w:rStyle w:val="Hyperlink"/>
          </w:rPr>
          <w:t>8.2</w:t>
        </w:r>
        <w:r w:rsidR="00D93050">
          <w:rPr>
            <w:rFonts w:asciiTheme="minorHAnsi" w:eastAsiaTheme="minorEastAsia" w:hAnsiTheme="minorHAnsi" w:cstheme="minorBidi"/>
            <w:color w:val="auto"/>
            <w:szCs w:val="22"/>
            <w:lang w:eastAsia="en-AU"/>
          </w:rPr>
          <w:tab/>
        </w:r>
        <w:r w:rsidR="00D93050" w:rsidRPr="0076770A">
          <w:rPr>
            <w:rStyle w:val="Hyperlink"/>
          </w:rPr>
          <w:t>NT trends 2006 – 10</w:t>
        </w:r>
        <w:r w:rsidR="00D93050">
          <w:rPr>
            <w:webHidden/>
          </w:rPr>
          <w:tab/>
        </w:r>
        <w:r>
          <w:rPr>
            <w:webHidden/>
          </w:rPr>
          <w:fldChar w:fldCharType="begin"/>
        </w:r>
        <w:r w:rsidR="00D93050">
          <w:rPr>
            <w:webHidden/>
          </w:rPr>
          <w:instrText xml:space="preserve"> PAGEREF _Toc379466369 \h </w:instrText>
        </w:r>
        <w:r>
          <w:rPr>
            <w:webHidden/>
          </w:rPr>
        </w:r>
        <w:r>
          <w:rPr>
            <w:webHidden/>
          </w:rPr>
          <w:fldChar w:fldCharType="separate"/>
        </w:r>
        <w:r w:rsidR="00D93050">
          <w:rPr>
            <w:webHidden/>
          </w:rPr>
          <w:t>33</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70" w:history="1">
        <w:r w:rsidR="00D93050" w:rsidRPr="0076770A">
          <w:rPr>
            <w:rStyle w:val="Hyperlink"/>
          </w:rPr>
          <w:t>9.</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Queensland</w:t>
        </w:r>
        <w:r w:rsidR="00D93050">
          <w:rPr>
            <w:webHidden/>
          </w:rPr>
          <w:tab/>
        </w:r>
        <w:r>
          <w:rPr>
            <w:webHidden/>
          </w:rPr>
          <w:fldChar w:fldCharType="begin"/>
        </w:r>
        <w:r w:rsidR="00D93050">
          <w:rPr>
            <w:webHidden/>
          </w:rPr>
          <w:instrText xml:space="preserve"> PAGEREF _Toc379466370 \h </w:instrText>
        </w:r>
        <w:r>
          <w:rPr>
            <w:webHidden/>
          </w:rPr>
        </w:r>
        <w:r>
          <w:rPr>
            <w:webHidden/>
          </w:rPr>
          <w:fldChar w:fldCharType="separate"/>
        </w:r>
        <w:r w:rsidR="00D93050">
          <w:rPr>
            <w:webHidden/>
          </w:rPr>
          <w:t>34</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71" w:history="1">
        <w:r w:rsidR="00D93050" w:rsidRPr="0076770A">
          <w:rPr>
            <w:rStyle w:val="Hyperlink"/>
          </w:rPr>
          <w:t>9.1</w:t>
        </w:r>
        <w:r w:rsidR="00D93050">
          <w:rPr>
            <w:rFonts w:asciiTheme="minorHAnsi" w:eastAsiaTheme="minorEastAsia" w:hAnsiTheme="minorHAnsi" w:cstheme="minorBidi"/>
            <w:color w:val="auto"/>
            <w:szCs w:val="22"/>
            <w:lang w:eastAsia="en-AU"/>
          </w:rPr>
          <w:tab/>
        </w:r>
        <w:r w:rsidR="00D93050" w:rsidRPr="0076770A">
          <w:rPr>
            <w:rStyle w:val="Hyperlink"/>
          </w:rPr>
          <w:t>Qld 2010/11</w:t>
        </w:r>
        <w:r w:rsidR="00D93050">
          <w:rPr>
            <w:webHidden/>
          </w:rPr>
          <w:tab/>
        </w:r>
        <w:r>
          <w:rPr>
            <w:webHidden/>
          </w:rPr>
          <w:fldChar w:fldCharType="begin"/>
        </w:r>
        <w:r w:rsidR="00D93050">
          <w:rPr>
            <w:webHidden/>
          </w:rPr>
          <w:instrText xml:space="preserve"> PAGEREF _Toc379466371 \h </w:instrText>
        </w:r>
        <w:r>
          <w:rPr>
            <w:webHidden/>
          </w:rPr>
        </w:r>
        <w:r>
          <w:rPr>
            <w:webHidden/>
          </w:rPr>
          <w:fldChar w:fldCharType="separate"/>
        </w:r>
        <w:r w:rsidR="00D93050">
          <w:rPr>
            <w:webHidden/>
          </w:rPr>
          <w:t>35</w:t>
        </w:r>
        <w:r>
          <w:rPr>
            <w:webHidden/>
          </w:rPr>
          <w:fldChar w:fldCharType="end"/>
        </w:r>
      </w:hyperlink>
    </w:p>
    <w:p w:rsidR="00D93050" w:rsidRDefault="0062001A">
      <w:pPr>
        <w:pStyle w:val="TOC2"/>
        <w:tabs>
          <w:tab w:val="left" w:pos="1134"/>
        </w:tabs>
        <w:rPr>
          <w:rFonts w:asciiTheme="minorHAnsi" w:eastAsiaTheme="minorEastAsia" w:hAnsiTheme="minorHAnsi" w:cstheme="minorBidi"/>
          <w:color w:val="auto"/>
          <w:szCs w:val="22"/>
          <w:lang w:eastAsia="en-AU"/>
        </w:rPr>
      </w:pPr>
      <w:hyperlink w:anchor="_Toc379466372" w:history="1">
        <w:r w:rsidR="00D93050" w:rsidRPr="0076770A">
          <w:rPr>
            <w:rStyle w:val="Hyperlink"/>
          </w:rPr>
          <w:t>9.2</w:t>
        </w:r>
        <w:r w:rsidR="00D93050">
          <w:rPr>
            <w:rFonts w:asciiTheme="minorHAnsi" w:eastAsiaTheme="minorEastAsia" w:hAnsiTheme="minorHAnsi" w:cstheme="minorBidi"/>
            <w:color w:val="auto"/>
            <w:szCs w:val="22"/>
            <w:lang w:eastAsia="en-AU"/>
          </w:rPr>
          <w:tab/>
        </w:r>
        <w:r w:rsidR="00D93050" w:rsidRPr="0076770A">
          <w:rPr>
            <w:rStyle w:val="Hyperlink"/>
          </w:rPr>
          <w:t>Qld trends 2008/09 to 2011/12</w:t>
        </w:r>
        <w:r w:rsidR="00D93050">
          <w:rPr>
            <w:webHidden/>
          </w:rPr>
          <w:tab/>
        </w:r>
        <w:r>
          <w:rPr>
            <w:webHidden/>
          </w:rPr>
          <w:fldChar w:fldCharType="begin"/>
        </w:r>
        <w:r w:rsidR="00D93050">
          <w:rPr>
            <w:webHidden/>
          </w:rPr>
          <w:instrText xml:space="preserve"> PAGEREF _Toc379466372 \h </w:instrText>
        </w:r>
        <w:r>
          <w:rPr>
            <w:webHidden/>
          </w:rPr>
        </w:r>
        <w:r>
          <w:rPr>
            <w:webHidden/>
          </w:rPr>
          <w:fldChar w:fldCharType="separate"/>
        </w:r>
        <w:r w:rsidR="00D93050">
          <w:rPr>
            <w:webHidden/>
          </w:rPr>
          <w:t>37</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73" w:history="1">
        <w:r w:rsidR="00D93050" w:rsidRPr="0076770A">
          <w:rPr>
            <w:rStyle w:val="Hyperlink"/>
          </w:rPr>
          <w:t>10.</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South Australia</w:t>
        </w:r>
        <w:r w:rsidR="00D93050">
          <w:rPr>
            <w:webHidden/>
          </w:rPr>
          <w:tab/>
        </w:r>
        <w:r>
          <w:rPr>
            <w:webHidden/>
          </w:rPr>
          <w:fldChar w:fldCharType="begin"/>
        </w:r>
        <w:r w:rsidR="00D93050">
          <w:rPr>
            <w:webHidden/>
          </w:rPr>
          <w:instrText xml:space="preserve"> PAGEREF _Toc379466373 \h </w:instrText>
        </w:r>
        <w:r>
          <w:rPr>
            <w:webHidden/>
          </w:rPr>
        </w:r>
        <w:r>
          <w:rPr>
            <w:webHidden/>
          </w:rPr>
          <w:fldChar w:fldCharType="separate"/>
        </w:r>
        <w:r w:rsidR="00D93050">
          <w:rPr>
            <w:webHidden/>
          </w:rPr>
          <w:t>39</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74" w:history="1">
        <w:r w:rsidR="00D93050" w:rsidRPr="0076770A">
          <w:rPr>
            <w:rStyle w:val="Hyperlink"/>
          </w:rPr>
          <w:t>10.1</w:t>
        </w:r>
        <w:r w:rsidR="00D93050">
          <w:rPr>
            <w:rFonts w:asciiTheme="minorHAnsi" w:eastAsiaTheme="minorEastAsia" w:hAnsiTheme="minorHAnsi" w:cstheme="minorBidi"/>
            <w:color w:val="auto"/>
            <w:szCs w:val="22"/>
            <w:lang w:eastAsia="en-AU"/>
          </w:rPr>
          <w:tab/>
        </w:r>
        <w:r w:rsidR="00D93050" w:rsidRPr="0076770A">
          <w:rPr>
            <w:rStyle w:val="Hyperlink"/>
          </w:rPr>
          <w:t>SA 2010/11</w:t>
        </w:r>
        <w:r w:rsidR="00D93050">
          <w:rPr>
            <w:webHidden/>
          </w:rPr>
          <w:tab/>
        </w:r>
        <w:r>
          <w:rPr>
            <w:webHidden/>
          </w:rPr>
          <w:fldChar w:fldCharType="begin"/>
        </w:r>
        <w:r w:rsidR="00D93050">
          <w:rPr>
            <w:webHidden/>
          </w:rPr>
          <w:instrText xml:space="preserve"> PAGEREF _Toc379466374 \h </w:instrText>
        </w:r>
        <w:r>
          <w:rPr>
            <w:webHidden/>
          </w:rPr>
        </w:r>
        <w:r>
          <w:rPr>
            <w:webHidden/>
          </w:rPr>
          <w:fldChar w:fldCharType="separate"/>
        </w:r>
        <w:r w:rsidR="00D93050">
          <w:rPr>
            <w:webHidden/>
          </w:rPr>
          <w:t>39</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75" w:history="1">
        <w:r w:rsidR="00D93050" w:rsidRPr="0076770A">
          <w:rPr>
            <w:rStyle w:val="Hyperlink"/>
          </w:rPr>
          <w:t>10.2</w:t>
        </w:r>
        <w:r w:rsidR="00D93050">
          <w:rPr>
            <w:rFonts w:asciiTheme="minorHAnsi" w:eastAsiaTheme="minorEastAsia" w:hAnsiTheme="minorHAnsi" w:cstheme="minorBidi"/>
            <w:color w:val="auto"/>
            <w:szCs w:val="22"/>
            <w:lang w:eastAsia="en-AU"/>
          </w:rPr>
          <w:tab/>
        </w:r>
        <w:r w:rsidR="00D93050" w:rsidRPr="0076770A">
          <w:rPr>
            <w:rStyle w:val="Hyperlink"/>
          </w:rPr>
          <w:t>SA trends 2006/07 to 2010/11</w:t>
        </w:r>
        <w:r w:rsidR="00D93050">
          <w:rPr>
            <w:webHidden/>
          </w:rPr>
          <w:tab/>
        </w:r>
        <w:r>
          <w:rPr>
            <w:webHidden/>
          </w:rPr>
          <w:fldChar w:fldCharType="begin"/>
        </w:r>
        <w:r w:rsidR="00D93050">
          <w:rPr>
            <w:webHidden/>
          </w:rPr>
          <w:instrText xml:space="preserve"> PAGEREF _Toc379466375 \h </w:instrText>
        </w:r>
        <w:r>
          <w:rPr>
            <w:webHidden/>
          </w:rPr>
        </w:r>
        <w:r>
          <w:rPr>
            <w:webHidden/>
          </w:rPr>
          <w:fldChar w:fldCharType="separate"/>
        </w:r>
        <w:r w:rsidR="00D93050">
          <w:rPr>
            <w:webHidden/>
          </w:rPr>
          <w:t>41</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76" w:history="1">
        <w:r w:rsidR="00D93050" w:rsidRPr="0076770A">
          <w:rPr>
            <w:rStyle w:val="Hyperlink"/>
          </w:rPr>
          <w:t>11.</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Tasmania</w:t>
        </w:r>
        <w:r w:rsidR="00D93050">
          <w:rPr>
            <w:webHidden/>
          </w:rPr>
          <w:tab/>
        </w:r>
        <w:r>
          <w:rPr>
            <w:webHidden/>
          </w:rPr>
          <w:fldChar w:fldCharType="begin"/>
        </w:r>
        <w:r w:rsidR="00D93050">
          <w:rPr>
            <w:webHidden/>
          </w:rPr>
          <w:instrText xml:space="preserve"> PAGEREF _Toc379466376 \h </w:instrText>
        </w:r>
        <w:r>
          <w:rPr>
            <w:webHidden/>
          </w:rPr>
        </w:r>
        <w:r>
          <w:rPr>
            <w:webHidden/>
          </w:rPr>
          <w:fldChar w:fldCharType="separate"/>
        </w:r>
        <w:r w:rsidR="00D93050">
          <w:rPr>
            <w:webHidden/>
          </w:rPr>
          <w:t>43</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77" w:history="1">
        <w:r w:rsidR="00D93050" w:rsidRPr="0076770A">
          <w:rPr>
            <w:rStyle w:val="Hyperlink"/>
          </w:rPr>
          <w:t>11.1</w:t>
        </w:r>
        <w:r w:rsidR="00D93050">
          <w:rPr>
            <w:rFonts w:asciiTheme="minorHAnsi" w:eastAsiaTheme="minorEastAsia" w:hAnsiTheme="minorHAnsi" w:cstheme="minorBidi"/>
            <w:color w:val="auto"/>
            <w:szCs w:val="22"/>
            <w:lang w:eastAsia="en-AU"/>
          </w:rPr>
          <w:tab/>
        </w:r>
        <w:r w:rsidR="00D93050" w:rsidRPr="0076770A">
          <w:rPr>
            <w:rStyle w:val="Hyperlink"/>
          </w:rPr>
          <w:t>Tas 2010/11</w:t>
        </w:r>
        <w:r w:rsidR="00D93050">
          <w:rPr>
            <w:webHidden/>
          </w:rPr>
          <w:tab/>
        </w:r>
        <w:r>
          <w:rPr>
            <w:webHidden/>
          </w:rPr>
          <w:fldChar w:fldCharType="begin"/>
        </w:r>
        <w:r w:rsidR="00D93050">
          <w:rPr>
            <w:webHidden/>
          </w:rPr>
          <w:instrText xml:space="preserve"> PAGEREF _Toc379466377 \h </w:instrText>
        </w:r>
        <w:r>
          <w:rPr>
            <w:webHidden/>
          </w:rPr>
        </w:r>
        <w:r>
          <w:rPr>
            <w:webHidden/>
          </w:rPr>
          <w:fldChar w:fldCharType="separate"/>
        </w:r>
        <w:r w:rsidR="00D93050">
          <w:rPr>
            <w:webHidden/>
          </w:rPr>
          <w:t>43</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78" w:history="1">
        <w:r w:rsidR="00D93050" w:rsidRPr="0076770A">
          <w:rPr>
            <w:rStyle w:val="Hyperlink"/>
          </w:rPr>
          <w:t>11.2</w:t>
        </w:r>
        <w:r w:rsidR="00D93050">
          <w:rPr>
            <w:rFonts w:asciiTheme="minorHAnsi" w:eastAsiaTheme="minorEastAsia" w:hAnsiTheme="minorHAnsi" w:cstheme="minorBidi"/>
            <w:color w:val="auto"/>
            <w:szCs w:val="22"/>
            <w:lang w:eastAsia="en-AU"/>
          </w:rPr>
          <w:tab/>
        </w:r>
        <w:r w:rsidR="00D93050" w:rsidRPr="0076770A">
          <w:rPr>
            <w:rStyle w:val="Hyperlink"/>
          </w:rPr>
          <w:t>Tas trends 2006/07 to 2010/11</w:t>
        </w:r>
        <w:r w:rsidR="00D93050">
          <w:rPr>
            <w:webHidden/>
          </w:rPr>
          <w:tab/>
        </w:r>
        <w:r>
          <w:rPr>
            <w:webHidden/>
          </w:rPr>
          <w:fldChar w:fldCharType="begin"/>
        </w:r>
        <w:r w:rsidR="00D93050">
          <w:rPr>
            <w:webHidden/>
          </w:rPr>
          <w:instrText xml:space="preserve"> PAGEREF _Toc379466378 \h </w:instrText>
        </w:r>
        <w:r>
          <w:rPr>
            <w:webHidden/>
          </w:rPr>
        </w:r>
        <w:r>
          <w:rPr>
            <w:webHidden/>
          </w:rPr>
          <w:fldChar w:fldCharType="separate"/>
        </w:r>
        <w:r w:rsidR="00D93050">
          <w:rPr>
            <w:webHidden/>
          </w:rPr>
          <w:t>44</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79" w:history="1">
        <w:r w:rsidR="00D93050" w:rsidRPr="0076770A">
          <w:rPr>
            <w:rStyle w:val="Hyperlink"/>
          </w:rPr>
          <w:t>12.</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Victoria</w:t>
        </w:r>
        <w:r w:rsidR="00D93050">
          <w:rPr>
            <w:webHidden/>
          </w:rPr>
          <w:tab/>
        </w:r>
        <w:r>
          <w:rPr>
            <w:webHidden/>
          </w:rPr>
          <w:fldChar w:fldCharType="begin"/>
        </w:r>
        <w:r w:rsidR="00D93050">
          <w:rPr>
            <w:webHidden/>
          </w:rPr>
          <w:instrText xml:space="preserve"> PAGEREF _Toc379466379 \h </w:instrText>
        </w:r>
        <w:r>
          <w:rPr>
            <w:webHidden/>
          </w:rPr>
        </w:r>
        <w:r>
          <w:rPr>
            <w:webHidden/>
          </w:rPr>
          <w:fldChar w:fldCharType="separate"/>
        </w:r>
        <w:r w:rsidR="00D93050">
          <w:rPr>
            <w:webHidden/>
          </w:rPr>
          <w:t>47</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80" w:history="1">
        <w:r w:rsidR="00D93050" w:rsidRPr="0076770A">
          <w:rPr>
            <w:rStyle w:val="Hyperlink"/>
          </w:rPr>
          <w:t>12.1</w:t>
        </w:r>
        <w:r w:rsidR="00D93050">
          <w:rPr>
            <w:rFonts w:asciiTheme="minorHAnsi" w:eastAsiaTheme="minorEastAsia" w:hAnsiTheme="minorHAnsi" w:cstheme="minorBidi"/>
            <w:color w:val="auto"/>
            <w:szCs w:val="22"/>
            <w:lang w:eastAsia="en-AU"/>
          </w:rPr>
          <w:tab/>
        </w:r>
        <w:r w:rsidR="00D93050" w:rsidRPr="0076770A">
          <w:rPr>
            <w:rStyle w:val="Hyperlink"/>
          </w:rPr>
          <w:t>Vic 2010/11</w:t>
        </w:r>
        <w:r w:rsidR="00D93050">
          <w:rPr>
            <w:webHidden/>
          </w:rPr>
          <w:tab/>
        </w:r>
        <w:r>
          <w:rPr>
            <w:webHidden/>
          </w:rPr>
          <w:fldChar w:fldCharType="begin"/>
        </w:r>
        <w:r w:rsidR="00D93050">
          <w:rPr>
            <w:webHidden/>
          </w:rPr>
          <w:instrText xml:space="preserve"> PAGEREF _Toc379466380 \h </w:instrText>
        </w:r>
        <w:r>
          <w:rPr>
            <w:webHidden/>
          </w:rPr>
        </w:r>
        <w:r>
          <w:rPr>
            <w:webHidden/>
          </w:rPr>
          <w:fldChar w:fldCharType="separate"/>
        </w:r>
        <w:r w:rsidR="00D93050">
          <w:rPr>
            <w:webHidden/>
          </w:rPr>
          <w:t>47</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81" w:history="1">
        <w:r w:rsidR="00D93050" w:rsidRPr="0076770A">
          <w:rPr>
            <w:rStyle w:val="Hyperlink"/>
          </w:rPr>
          <w:t>12.2</w:t>
        </w:r>
        <w:r w:rsidR="00D93050">
          <w:rPr>
            <w:rFonts w:asciiTheme="minorHAnsi" w:eastAsiaTheme="minorEastAsia" w:hAnsiTheme="minorHAnsi" w:cstheme="minorBidi"/>
            <w:color w:val="auto"/>
            <w:szCs w:val="22"/>
            <w:lang w:eastAsia="en-AU"/>
          </w:rPr>
          <w:tab/>
        </w:r>
        <w:r w:rsidR="00D93050" w:rsidRPr="0076770A">
          <w:rPr>
            <w:rStyle w:val="Hyperlink"/>
          </w:rPr>
          <w:t>Vic trends 2006/07 to 2010/11</w:t>
        </w:r>
        <w:r w:rsidR="00D93050">
          <w:rPr>
            <w:webHidden/>
          </w:rPr>
          <w:tab/>
        </w:r>
        <w:r>
          <w:rPr>
            <w:webHidden/>
          </w:rPr>
          <w:fldChar w:fldCharType="begin"/>
        </w:r>
        <w:r w:rsidR="00D93050">
          <w:rPr>
            <w:webHidden/>
          </w:rPr>
          <w:instrText xml:space="preserve"> PAGEREF _Toc379466381 \h </w:instrText>
        </w:r>
        <w:r>
          <w:rPr>
            <w:webHidden/>
          </w:rPr>
        </w:r>
        <w:r>
          <w:rPr>
            <w:webHidden/>
          </w:rPr>
          <w:fldChar w:fldCharType="separate"/>
        </w:r>
        <w:r w:rsidR="00D93050">
          <w:rPr>
            <w:webHidden/>
          </w:rPr>
          <w:t>49</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82" w:history="1">
        <w:r w:rsidR="00D93050" w:rsidRPr="0076770A">
          <w:rPr>
            <w:rStyle w:val="Hyperlink"/>
          </w:rPr>
          <w:t>13.</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Western Australia</w:t>
        </w:r>
        <w:r w:rsidR="00D93050">
          <w:rPr>
            <w:webHidden/>
          </w:rPr>
          <w:tab/>
        </w:r>
        <w:r>
          <w:rPr>
            <w:webHidden/>
          </w:rPr>
          <w:fldChar w:fldCharType="begin"/>
        </w:r>
        <w:r w:rsidR="00D93050">
          <w:rPr>
            <w:webHidden/>
          </w:rPr>
          <w:instrText xml:space="preserve"> PAGEREF _Toc379466382 \h </w:instrText>
        </w:r>
        <w:r>
          <w:rPr>
            <w:webHidden/>
          </w:rPr>
        </w:r>
        <w:r>
          <w:rPr>
            <w:webHidden/>
          </w:rPr>
          <w:fldChar w:fldCharType="separate"/>
        </w:r>
        <w:r w:rsidR="00D93050">
          <w:rPr>
            <w:webHidden/>
          </w:rPr>
          <w:t>51</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83" w:history="1">
        <w:r w:rsidR="00D93050" w:rsidRPr="0076770A">
          <w:rPr>
            <w:rStyle w:val="Hyperlink"/>
          </w:rPr>
          <w:t>13.1</w:t>
        </w:r>
        <w:r w:rsidR="00D93050">
          <w:rPr>
            <w:rFonts w:asciiTheme="minorHAnsi" w:eastAsiaTheme="minorEastAsia" w:hAnsiTheme="minorHAnsi" w:cstheme="minorBidi"/>
            <w:color w:val="auto"/>
            <w:szCs w:val="22"/>
            <w:lang w:eastAsia="en-AU"/>
          </w:rPr>
          <w:tab/>
        </w:r>
        <w:r w:rsidR="00D93050" w:rsidRPr="0076770A">
          <w:rPr>
            <w:rStyle w:val="Hyperlink"/>
          </w:rPr>
          <w:t>WA 2010/11</w:t>
        </w:r>
        <w:r w:rsidR="00D93050">
          <w:rPr>
            <w:webHidden/>
          </w:rPr>
          <w:tab/>
        </w:r>
        <w:r>
          <w:rPr>
            <w:webHidden/>
          </w:rPr>
          <w:fldChar w:fldCharType="begin"/>
        </w:r>
        <w:r w:rsidR="00D93050">
          <w:rPr>
            <w:webHidden/>
          </w:rPr>
          <w:instrText xml:space="preserve"> PAGEREF _Toc379466383 \h </w:instrText>
        </w:r>
        <w:r>
          <w:rPr>
            <w:webHidden/>
          </w:rPr>
        </w:r>
        <w:r>
          <w:rPr>
            <w:webHidden/>
          </w:rPr>
          <w:fldChar w:fldCharType="separate"/>
        </w:r>
        <w:r w:rsidR="00D93050">
          <w:rPr>
            <w:webHidden/>
          </w:rPr>
          <w:t>51</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84" w:history="1">
        <w:r w:rsidR="00D93050" w:rsidRPr="0076770A">
          <w:rPr>
            <w:rStyle w:val="Hyperlink"/>
          </w:rPr>
          <w:t>13.2</w:t>
        </w:r>
        <w:r w:rsidR="00D93050">
          <w:rPr>
            <w:rFonts w:asciiTheme="minorHAnsi" w:eastAsiaTheme="minorEastAsia" w:hAnsiTheme="minorHAnsi" w:cstheme="minorBidi"/>
            <w:color w:val="auto"/>
            <w:szCs w:val="22"/>
            <w:lang w:eastAsia="en-AU"/>
          </w:rPr>
          <w:tab/>
        </w:r>
        <w:r w:rsidR="00D93050" w:rsidRPr="0076770A">
          <w:rPr>
            <w:rStyle w:val="Hyperlink"/>
          </w:rPr>
          <w:t>WA trends 2006/07 to 2010/11</w:t>
        </w:r>
        <w:r w:rsidR="00D93050">
          <w:rPr>
            <w:webHidden/>
          </w:rPr>
          <w:tab/>
        </w:r>
        <w:r>
          <w:rPr>
            <w:webHidden/>
          </w:rPr>
          <w:fldChar w:fldCharType="begin"/>
        </w:r>
        <w:r w:rsidR="00D93050">
          <w:rPr>
            <w:webHidden/>
          </w:rPr>
          <w:instrText xml:space="preserve"> PAGEREF _Toc379466384 \h </w:instrText>
        </w:r>
        <w:r>
          <w:rPr>
            <w:webHidden/>
          </w:rPr>
        </w:r>
        <w:r>
          <w:rPr>
            <w:webHidden/>
          </w:rPr>
          <w:fldChar w:fldCharType="separate"/>
        </w:r>
        <w:r w:rsidR="00D93050">
          <w:rPr>
            <w:webHidden/>
          </w:rPr>
          <w:t>52</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85" w:history="1">
        <w:r w:rsidR="00D93050" w:rsidRPr="0076770A">
          <w:rPr>
            <w:rStyle w:val="Hyperlink"/>
          </w:rPr>
          <w:t>14.</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Data summary tables (2010/11)</w:t>
        </w:r>
        <w:r w:rsidR="00D93050">
          <w:rPr>
            <w:webHidden/>
          </w:rPr>
          <w:tab/>
        </w:r>
        <w:r>
          <w:rPr>
            <w:webHidden/>
          </w:rPr>
          <w:fldChar w:fldCharType="begin"/>
        </w:r>
        <w:r w:rsidR="00D93050">
          <w:rPr>
            <w:webHidden/>
          </w:rPr>
          <w:instrText xml:space="preserve"> PAGEREF _Toc379466385 \h </w:instrText>
        </w:r>
        <w:r>
          <w:rPr>
            <w:webHidden/>
          </w:rPr>
        </w:r>
        <w:r>
          <w:rPr>
            <w:webHidden/>
          </w:rPr>
          <w:fldChar w:fldCharType="separate"/>
        </w:r>
        <w:r w:rsidR="00D93050">
          <w:rPr>
            <w:webHidden/>
          </w:rPr>
          <w:t>55</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86" w:history="1">
        <w:r w:rsidR="00D93050" w:rsidRPr="0076770A">
          <w:rPr>
            <w:rStyle w:val="Hyperlink"/>
            <w:lang w:eastAsia="en-AU"/>
          </w:rPr>
          <w:t>14.1</w:t>
        </w:r>
        <w:r w:rsidR="00D93050">
          <w:rPr>
            <w:rFonts w:asciiTheme="minorHAnsi" w:eastAsiaTheme="minorEastAsia" w:hAnsiTheme="minorHAnsi" w:cstheme="minorBidi"/>
            <w:color w:val="auto"/>
            <w:szCs w:val="22"/>
            <w:lang w:eastAsia="en-AU"/>
          </w:rPr>
          <w:tab/>
        </w:r>
        <w:r w:rsidR="00D93050" w:rsidRPr="0076770A">
          <w:rPr>
            <w:rStyle w:val="Hyperlink"/>
            <w:lang w:eastAsia="en-AU"/>
          </w:rPr>
          <w:t>Data sources for jurisdictions’ data sections 6 – 14</w:t>
        </w:r>
        <w:r w:rsidR="00D93050">
          <w:rPr>
            <w:webHidden/>
          </w:rPr>
          <w:tab/>
        </w:r>
        <w:r>
          <w:rPr>
            <w:webHidden/>
          </w:rPr>
          <w:fldChar w:fldCharType="begin"/>
        </w:r>
        <w:r w:rsidR="00D93050">
          <w:rPr>
            <w:webHidden/>
          </w:rPr>
          <w:instrText xml:space="preserve"> PAGEREF _Toc379466386 \h </w:instrText>
        </w:r>
        <w:r>
          <w:rPr>
            <w:webHidden/>
          </w:rPr>
        </w:r>
        <w:r>
          <w:rPr>
            <w:webHidden/>
          </w:rPr>
          <w:fldChar w:fldCharType="separate"/>
        </w:r>
        <w:r w:rsidR="00D93050">
          <w:rPr>
            <w:webHidden/>
          </w:rPr>
          <w:t>64</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87" w:history="1">
        <w:r w:rsidR="00D93050" w:rsidRPr="0076770A">
          <w:rPr>
            <w:rStyle w:val="Hyperlink"/>
          </w:rPr>
          <w:t>15.</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Organic waste data analysis</w:t>
        </w:r>
        <w:r w:rsidR="00D93050">
          <w:rPr>
            <w:webHidden/>
          </w:rPr>
          <w:tab/>
        </w:r>
        <w:r>
          <w:rPr>
            <w:webHidden/>
          </w:rPr>
          <w:fldChar w:fldCharType="begin"/>
        </w:r>
        <w:r w:rsidR="00D93050">
          <w:rPr>
            <w:webHidden/>
          </w:rPr>
          <w:instrText xml:space="preserve"> PAGEREF _Toc379466387 \h </w:instrText>
        </w:r>
        <w:r>
          <w:rPr>
            <w:webHidden/>
          </w:rPr>
        </w:r>
        <w:r>
          <w:rPr>
            <w:webHidden/>
          </w:rPr>
          <w:fldChar w:fldCharType="separate"/>
        </w:r>
        <w:r w:rsidR="00D93050">
          <w:rPr>
            <w:webHidden/>
          </w:rPr>
          <w:t>65</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88" w:history="1">
        <w:r w:rsidR="00D93050" w:rsidRPr="0076770A">
          <w:rPr>
            <w:rStyle w:val="Hyperlink"/>
          </w:rPr>
          <w:t>15.1</w:t>
        </w:r>
        <w:r w:rsidR="00D93050">
          <w:rPr>
            <w:rFonts w:asciiTheme="minorHAnsi" w:eastAsiaTheme="minorEastAsia" w:hAnsiTheme="minorHAnsi" w:cstheme="minorBidi"/>
            <w:color w:val="auto"/>
            <w:szCs w:val="22"/>
            <w:lang w:eastAsia="en-AU"/>
          </w:rPr>
          <w:tab/>
        </w:r>
        <w:r w:rsidR="00D93050" w:rsidRPr="0076770A">
          <w:rPr>
            <w:rStyle w:val="Hyperlink"/>
          </w:rPr>
          <w:t>National and jurisdictional recovery</w:t>
        </w:r>
        <w:r w:rsidR="00D93050">
          <w:rPr>
            <w:webHidden/>
          </w:rPr>
          <w:tab/>
        </w:r>
        <w:r>
          <w:rPr>
            <w:webHidden/>
          </w:rPr>
          <w:fldChar w:fldCharType="begin"/>
        </w:r>
        <w:r w:rsidR="00D93050">
          <w:rPr>
            <w:webHidden/>
          </w:rPr>
          <w:instrText xml:space="preserve"> PAGEREF _Toc379466388 \h </w:instrText>
        </w:r>
        <w:r>
          <w:rPr>
            <w:webHidden/>
          </w:rPr>
        </w:r>
        <w:r>
          <w:rPr>
            <w:webHidden/>
          </w:rPr>
          <w:fldChar w:fldCharType="separate"/>
        </w:r>
        <w:r w:rsidR="00D93050">
          <w:rPr>
            <w:webHidden/>
          </w:rPr>
          <w:t>66</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89" w:history="1">
        <w:r w:rsidR="00D93050" w:rsidRPr="0076770A">
          <w:rPr>
            <w:rStyle w:val="Hyperlink"/>
          </w:rPr>
          <w:t>15.2</w:t>
        </w:r>
        <w:r w:rsidR="00D93050">
          <w:rPr>
            <w:rFonts w:asciiTheme="minorHAnsi" w:eastAsiaTheme="minorEastAsia" w:hAnsiTheme="minorHAnsi" w:cstheme="minorBidi"/>
            <w:color w:val="auto"/>
            <w:szCs w:val="22"/>
            <w:lang w:eastAsia="en-AU"/>
          </w:rPr>
          <w:tab/>
        </w:r>
        <w:r w:rsidR="00D93050" w:rsidRPr="0076770A">
          <w:rPr>
            <w:rStyle w:val="Hyperlink"/>
          </w:rPr>
          <w:t>Recovery trends</w:t>
        </w:r>
        <w:r w:rsidR="00D93050">
          <w:rPr>
            <w:webHidden/>
          </w:rPr>
          <w:tab/>
        </w:r>
        <w:r>
          <w:rPr>
            <w:webHidden/>
          </w:rPr>
          <w:fldChar w:fldCharType="begin"/>
        </w:r>
        <w:r w:rsidR="00D93050">
          <w:rPr>
            <w:webHidden/>
          </w:rPr>
          <w:instrText xml:space="preserve"> PAGEREF _Toc379466389 \h </w:instrText>
        </w:r>
        <w:r>
          <w:rPr>
            <w:webHidden/>
          </w:rPr>
        </w:r>
        <w:r>
          <w:rPr>
            <w:webHidden/>
          </w:rPr>
          <w:fldChar w:fldCharType="separate"/>
        </w:r>
        <w:r w:rsidR="00D93050">
          <w:rPr>
            <w:webHidden/>
          </w:rPr>
          <w:t>68</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90" w:history="1">
        <w:r w:rsidR="00D93050" w:rsidRPr="0076770A">
          <w:rPr>
            <w:rStyle w:val="Hyperlink"/>
          </w:rPr>
          <w:t>15.3</w:t>
        </w:r>
        <w:r w:rsidR="00D93050">
          <w:rPr>
            <w:rFonts w:asciiTheme="minorHAnsi" w:eastAsiaTheme="minorEastAsia" w:hAnsiTheme="minorHAnsi" w:cstheme="minorBidi"/>
            <w:color w:val="auto"/>
            <w:szCs w:val="22"/>
            <w:lang w:eastAsia="en-AU"/>
          </w:rPr>
          <w:tab/>
        </w:r>
        <w:r w:rsidR="00D93050" w:rsidRPr="0076770A">
          <w:rPr>
            <w:rStyle w:val="Hyperlink"/>
          </w:rPr>
          <w:t>Trends by jurisdiction</w:t>
        </w:r>
        <w:r w:rsidR="00D93050">
          <w:rPr>
            <w:webHidden/>
          </w:rPr>
          <w:tab/>
        </w:r>
        <w:r>
          <w:rPr>
            <w:webHidden/>
          </w:rPr>
          <w:fldChar w:fldCharType="begin"/>
        </w:r>
        <w:r w:rsidR="00D93050">
          <w:rPr>
            <w:webHidden/>
          </w:rPr>
          <w:instrText xml:space="preserve"> PAGEREF _Toc379466390 \h </w:instrText>
        </w:r>
        <w:r>
          <w:rPr>
            <w:webHidden/>
          </w:rPr>
        </w:r>
        <w:r>
          <w:rPr>
            <w:webHidden/>
          </w:rPr>
          <w:fldChar w:fldCharType="separate"/>
        </w:r>
        <w:r w:rsidR="00D93050">
          <w:rPr>
            <w:webHidden/>
          </w:rPr>
          <w:t>69</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91" w:history="1">
        <w:r w:rsidR="00D93050" w:rsidRPr="0076770A">
          <w:rPr>
            <w:rStyle w:val="Hyperlink"/>
          </w:rPr>
          <w:t>15.4</w:t>
        </w:r>
        <w:r w:rsidR="00D93050">
          <w:rPr>
            <w:rFonts w:asciiTheme="minorHAnsi" w:eastAsiaTheme="minorEastAsia" w:hAnsiTheme="minorHAnsi" w:cstheme="minorBidi"/>
            <w:color w:val="auto"/>
            <w:szCs w:val="22"/>
            <w:lang w:eastAsia="en-AU"/>
          </w:rPr>
          <w:tab/>
        </w:r>
        <w:r w:rsidR="00D93050" w:rsidRPr="0076770A">
          <w:rPr>
            <w:rStyle w:val="Hyperlink"/>
          </w:rPr>
          <w:t>Products and markets</w:t>
        </w:r>
        <w:r w:rsidR="00D93050">
          <w:rPr>
            <w:webHidden/>
          </w:rPr>
          <w:tab/>
        </w:r>
        <w:r>
          <w:rPr>
            <w:webHidden/>
          </w:rPr>
          <w:fldChar w:fldCharType="begin"/>
        </w:r>
        <w:r w:rsidR="00D93050">
          <w:rPr>
            <w:webHidden/>
          </w:rPr>
          <w:instrText xml:space="preserve"> PAGEREF _Toc379466391 \h </w:instrText>
        </w:r>
        <w:r>
          <w:rPr>
            <w:webHidden/>
          </w:rPr>
        </w:r>
        <w:r>
          <w:rPr>
            <w:webHidden/>
          </w:rPr>
          <w:fldChar w:fldCharType="separate"/>
        </w:r>
        <w:r w:rsidR="00D93050">
          <w:rPr>
            <w:webHidden/>
          </w:rPr>
          <w:t>70</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92" w:history="1">
        <w:r w:rsidR="00D93050" w:rsidRPr="0076770A">
          <w:rPr>
            <w:rStyle w:val="Hyperlink"/>
          </w:rPr>
          <w:t>16.</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Product-specific (product stewardship) data</w:t>
        </w:r>
        <w:r w:rsidR="00D93050">
          <w:rPr>
            <w:webHidden/>
          </w:rPr>
          <w:tab/>
        </w:r>
        <w:r>
          <w:rPr>
            <w:webHidden/>
          </w:rPr>
          <w:fldChar w:fldCharType="begin"/>
        </w:r>
        <w:r w:rsidR="00D93050">
          <w:rPr>
            <w:webHidden/>
          </w:rPr>
          <w:instrText xml:space="preserve"> PAGEREF _Toc379466392 \h </w:instrText>
        </w:r>
        <w:r>
          <w:rPr>
            <w:webHidden/>
          </w:rPr>
        </w:r>
        <w:r>
          <w:rPr>
            <w:webHidden/>
          </w:rPr>
          <w:fldChar w:fldCharType="separate"/>
        </w:r>
        <w:r w:rsidR="00D93050">
          <w:rPr>
            <w:webHidden/>
          </w:rPr>
          <w:t>74</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93" w:history="1">
        <w:r w:rsidR="00D93050" w:rsidRPr="0076770A">
          <w:rPr>
            <w:rStyle w:val="Hyperlink"/>
          </w:rPr>
          <w:t>16.1</w:t>
        </w:r>
        <w:r w:rsidR="00D93050">
          <w:rPr>
            <w:rFonts w:asciiTheme="minorHAnsi" w:eastAsiaTheme="minorEastAsia" w:hAnsiTheme="minorHAnsi" w:cstheme="minorBidi"/>
            <w:color w:val="auto"/>
            <w:szCs w:val="22"/>
            <w:lang w:eastAsia="en-AU"/>
          </w:rPr>
          <w:tab/>
        </w:r>
        <w:r w:rsidR="00D93050" w:rsidRPr="0076770A">
          <w:rPr>
            <w:rStyle w:val="Hyperlink"/>
          </w:rPr>
          <w:t>TVs and computers recycling scheme</w:t>
        </w:r>
        <w:r w:rsidR="00D93050">
          <w:rPr>
            <w:webHidden/>
          </w:rPr>
          <w:tab/>
        </w:r>
        <w:r>
          <w:rPr>
            <w:webHidden/>
          </w:rPr>
          <w:fldChar w:fldCharType="begin"/>
        </w:r>
        <w:r w:rsidR="00D93050">
          <w:rPr>
            <w:webHidden/>
          </w:rPr>
          <w:instrText xml:space="preserve"> PAGEREF _Toc379466393 \h </w:instrText>
        </w:r>
        <w:r>
          <w:rPr>
            <w:webHidden/>
          </w:rPr>
        </w:r>
        <w:r>
          <w:rPr>
            <w:webHidden/>
          </w:rPr>
          <w:fldChar w:fldCharType="separate"/>
        </w:r>
        <w:r w:rsidR="00D93050">
          <w:rPr>
            <w:webHidden/>
          </w:rPr>
          <w:t>74</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94" w:history="1">
        <w:r w:rsidR="00D93050" w:rsidRPr="0076770A">
          <w:rPr>
            <w:rStyle w:val="Hyperlink"/>
          </w:rPr>
          <w:t>16.2</w:t>
        </w:r>
        <w:r w:rsidR="00D93050">
          <w:rPr>
            <w:rFonts w:asciiTheme="minorHAnsi" w:eastAsiaTheme="minorEastAsia" w:hAnsiTheme="minorHAnsi" w:cstheme="minorBidi"/>
            <w:color w:val="auto"/>
            <w:szCs w:val="22"/>
            <w:lang w:eastAsia="en-AU"/>
          </w:rPr>
          <w:tab/>
        </w:r>
        <w:r w:rsidR="00D93050" w:rsidRPr="0076770A">
          <w:rPr>
            <w:rStyle w:val="Hyperlink"/>
          </w:rPr>
          <w:t>MobileMuster (mobile phones)</w:t>
        </w:r>
        <w:r w:rsidR="00D93050">
          <w:rPr>
            <w:webHidden/>
          </w:rPr>
          <w:tab/>
        </w:r>
        <w:r>
          <w:rPr>
            <w:webHidden/>
          </w:rPr>
          <w:fldChar w:fldCharType="begin"/>
        </w:r>
        <w:r w:rsidR="00D93050">
          <w:rPr>
            <w:webHidden/>
          </w:rPr>
          <w:instrText xml:space="preserve"> PAGEREF _Toc379466394 \h </w:instrText>
        </w:r>
        <w:r>
          <w:rPr>
            <w:webHidden/>
          </w:rPr>
        </w:r>
        <w:r>
          <w:rPr>
            <w:webHidden/>
          </w:rPr>
          <w:fldChar w:fldCharType="separate"/>
        </w:r>
        <w:r w:rsidR="00D93050">
          <w:rPr>
            <w:webHidden/>
          </w:rPr>
          <w:t>75</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95" w:history="1">
        <w:r w:rsidR="00D93050" w:rsidRPr="0076770A">
          <w:rPr>
            <w:rStyle w:val="Hyperlink"/>
          </w:rPr>
          <w:t>16.3</w:t>
        </w:r>
        <w:r w:rsidR="00D93050">
          <w:rPr>
            <w:rFonts w:asciiTheme="minorHAnsi" w:eastAsiaTheme="minorEastAsia" w:hAnsiTheme="minorHAnsi" w:cstheme="minorBidi"/>
            <w:color w:val="auto"/>
            <w:szCs w:val="22"/>
            <w:lang w:eastAsia="en-AU"/>
          </w:rPr>
          <w:tab/>
        </w:r>
        <w:r w:rsidR="00D93050" w:rsidRPr="0076770A">
          <w:rPr>
            <w:rStyle w:val="Hyperlink"/>
          </w:rPr>
          <w:t>FluoroCycle (mercury-containing lamps)</w:t>
        </w:r>
        <w:r w:rsidR="00D93050">
          <w:rPr>
            <w:webHidden/>
          </w:rPr>
          <w:tab/>
        </w:r>
        <w:r>
          <w:rPr>
            <w:webHidden/>
          </w:rPr>
          <w:fldChar w:fldCharType="begin"/>
        </w:r>
        <w:r w:rsidR="00D93050">
          <w:rPr>
            <w:webHidden/>
          </w:rPr>
          <w:instrText xml:space="preserve"> PAGEREF _Toc379466395 \h </w:instrText>
        </w:r>
        <w:r>
          <w:rPr>
            <w:webHidden/>
          </w:rPr>
        </w:r>
        <w:r>
          <w:rPr>
            <w:webHidden/>
          </w:rPr>
          <w:fldChar w:fldCharType="separate"/>
        </w:r>
        <w:r w:rsidR="00D93050">
          <w:rPr>
            <w:webHidden/>
          </w:rPr>
          <w:t>76</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96" w:history="1">
        <w:r w:rsidR="00D93050" w:rsidRPr="0076770A">
          <w:rPr>
            <w:rStyle w:val="Hyperlink"/>
          </w:rPr>
          <w:t>16.4</w:t>
        </w:r>
        <w:r w:rsidR="00D93050">
          <w:rPr>
            <w:rFonts w:asciiTheme="minorHAnsi" w:eastAsiaTheme="minorEastAsia" w:hAnsiTheme="minorHAnsi" w:cstheme="minorBidi"/>
            <w:color w:val="auto"/>
            <w:szCs w:val="22"/>
            <w:lang w:eastAsia="en-AU"/>
          </w:rPr>
          <w:tab/>
        </w:r>
        <w:r w:rsidR="00D93050" w:rsidRPr="0076770A">
          <w:rPr>
            <w:rStyle w:val="Hyperlink"/>
          </w:rPr>
          <w:t>Australian Packaging Covenant</w:t>
        </w:r>
        <w:r w:rsidR="00D93050">
          <w:rPr>
            <w:webHidden/>
          </w:rPr>
          <w:tab/>
        </w:r>
        <w:r>
          <w:rPr>
            <w:webHidden/>
          </w:rPr>
          <w:fldChar w:fldCharType="begin"/>
        </w:r>
        <w:r w:rsidR="00D93050">
          <w:rPr>
            <w:webHidden/>
          </w:rPr>
          <w:instrText xml:space="preserve"> PAGEREF _Toc379466396 \h </w:instrText>
        </w:r>
        <w:r>
          <w:rPr>
            <w:webHidden/>
          </w:rPr>
        </w:r>
        <w:r>
          <w:rPr>
            <w:webHidden/>
          </w:rPr>
          <w:fldChar w:fldCharType="separate"/>
        </w:r>
        <w:r w:rsidR="00D93050">
          <w:rPr>
            <w:webHidden/>
          </w:rPr>
          <w:t>76</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397" w:history="1">
        <w:r w:rsidR="00D93050" w:rsidRPr="0076770A">
          <w:rPr>
            <w:rStyle w:val="Hyperlink"/>
          </w:rPr>
          <w:t>16.5</w:t>
        </w:r>
        <w:r w:rsidR="00D93050">
          <w:rPr>
            <w:rFonts w:asciiTheme="minorHAnsi" w:eastAsiaTheme="minorEastAsia" w:hAnsiTheme="minorHAnsi" w:cstheme="minorBidi"/>
            <w:color w:val="auto"/>
            <w:szCs w:val="22"/>
            <w:lang w:eastAsia="en-AU"/>
          </w:rPr>
          <w:tab/>
        </w:r>
        <w:r w:rsidR="00D93050" w:rsidRPr="0076770A">
          <w:rPr>
            <w:rStyle w:val="Hyperlink"/>
          </w:rPr>
          <w:t>Product stewardship for end-of-life tyres</w:t>
        </w:r>
        <w:r w:rsidR="00D93050">
          <w:rPr>
            <w:webHidden/>
          </w:rPr>
          <w:tab/>
        </w:r>
        <w:r>
          <w:rPr>
            <w:webHidden/>
          </w:rPr>
          <w:fldChar w:fldCharType="begin"/>
        </w:r>
        <w:r w:rsidR="00D93050">
          <w:rPr>
            <w:webHidden/>
          </w:rPr>
          <w:instrText xml:space="preserve"> PAGEREF _Toc379466397 \h </w:instrText>
        </w:r>
        <w:r>
          <w:rPr>
            <w:webHidden/>
          </w:rPr>
        </w:r>
        <w:r>
          <w:rPr>
            <w:webHidden/>
          </w:rPr>
          <w:fldChar w:fldCharType="separate"/>
        </w:r>
        <w:r w:rsidR="00D93050">
          <w:rPr>
            <w:webHidden/>
          </w:rPr>
          <w:t>77</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98" w:history="1">
        <w:r w:rsidR="00D93050" w:rsidRPr="0076770A">
          <w:rPr>
            <w:rStyle w:val="Hyperlink"/>
          </w:rPr>
          <w:t>17.</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Local government data</w:t>
        </w:r>
        <w:r w:rsidR="00D93050">
          <w:rPr>
            <w:webHidden/>
          </w:rPr>
          <w:tab/>
        </w:r>
        <w:r>
          <w:rPr>
            <w:webHidden/>
          </w:rPr>
          <w:fldChar w:fldCharType="begin"/>
        </w:r>
        <w:r w:rsidR="00D93050">
          <w:rPr>
            <w:webHidden/>
          </w:rPr>
          <w:instrText xml:space="preserve"> PAGEREF _Toc379466398 \h </w:instrText>
        </w:r>
        <w:r>
          <w:rPr>
            <w:webHidden/>
          </w:rPr>
        </w:r>
        <w:r>
          <w:rPr>
            <w:webHidden/>
          </w:rPr>
          <w:fldChar w:fldCharType="separate"/>
        </w:r>
        <w:r w:rsidR="00D93050">
          <w:rPr>
            <w:webHidden/>
          </w:rPr>
          <w:t>79</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399" w:history="1">
        <w:r w:rsidR="00D93050" w:rsidRPr="0076770A">
          <w:rPr>
            <w:rStyle w:val="Hyperlink"/>
          </w:rPr>
          <w:t>18.</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Waste management frameworks (strategies, policies and targets)</w:t>
        </w:r>
        <w:r w:rsidR="00D93050">
          <w:rPr>
            <w:webHidden/>
          </w:rPr>
          <w:tab/>
        </w:r>
        <w:r>
          <w:rPr>
            <w:webHidden/>
          </w:rPr>
          <w:fldChar w:fldCharType="begin"/>
        </w:r>
        <w:r w:rsidR="00D93050">
          <w:rPr>
            <w:webHidden/>
          </w:rPr>
          <w:instrText xml:space="preserve"> PAGEREF _Toc379466399 \h </w:instrText>
        </w:r>
        <w:r>
          <w:rPr>
            <w:webHidden/>
          </w:rPr>
        </w:r>
        <w:r>
          <w:rPr>
            <w:webHidden/>
          </w:rPr>
          <w:fldChar w:fldCharType="separate"/>
        </w:r>
        <w:r w:rsidR="00D93050">
          <w:rPr>
            <w:webHidden/>
          </w:rPr>
          <w:t>80</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400" w:history="1">
        <w:r w:rsidR="00D93050" w:rsidRPr="0076770A">
          <w:rPr>
            <w:rStyle w:val="Hyperlink"/>
          </w:rPr>
          <w:t>19.</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Barriers to resource recovery</w:t>
        </w:r>
        <w:r w:rsidR="00D93050">
          <w:rPr>
            <w:webHidden/>
          </w:rPr>
          <w:tab/>
        </w:r>
        <w:r>
          <w:rPr>
            <w:webHidden/>
          </w:rPr>
          <w:fldChar w:fldCharType="begin"/>
        </w:r>
        <w:r w:rsidR="00D93050">
          <w:rPr>
            <w:webHidden/>
          </w:rPr>
          <w:instrText xml:space="preserve"> PAGEREF _Toc379466400 \h </w:instrText>
        </w:r>
        <w:r>
          <w:rPr>
            <w:webHidden/>
          </w:rPr>
        </w:r>
        <w:r>
          <w:rPr>
            <w:webHidden/>
          </w:rPr>
          <w:fldChar w:fldCharType="separate"/>
        </w:r>
        <w:r w:rsidR="00D93050">
          <w:rPr>
            <w:webHidden/>
          </w:rPr>
          <w:t>90</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401" w:history="1">
        <w:r w:rsidR="00D93050" w:rsidRPr="0076770A">
          <w:rPr>
            <w:rStyle w:val="Hyperlink"/>
          </w:rPr>
          <w:t>20.</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The environmental impacts of waste management</w:t>
        </w:r>
        <w:r w:rsidR="00D93050">
          <w:rPr>
            <w:webHidden/>
          </w:rPr>
          <w:tab/>
        </w:r>
        <w:r>
          <w:rPr>
            <w:webHidden/>
          </w:rPr>
          <w:fldChar w:fldCharType="begin"/>
        </w:r>
        <w:r w:rsidR="00D93050">
          <w:rPr>
            <w:webHidden/>
          </w:rPr>
          <w:instrText xml:space="preserve"> PAGEREF _Toc379466401 \h </w:instrText>
        </w:r>
        <w:r>
          <w:rPr>
            <w:webHidden/>
          </w:rPr>
        </w:r>
        <w:r>
          <w:rPr>
            <w:webHidden/>
          </w:rPr>
          <w:fldChar w:fldCharType="separate"/>
        </w:r>
        <w:r w:rsidR="00D93050">
          <w:rPr>
            <w:webHidden/>
          </w:rPr>
          <w:t>93</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02" w:history="1">
        <w:r w:rsidR="00D93050" w:rsidRPr="0076770A">
          <w:rPr>
            <w:rStyle w:val="Hyperlink"/>
          </w:rPr>
          <w:t>20.1</w:t>
        </w:r>
        <w:r w:rsidR="00D93050">
          <w:rPr>
            <w:rFonts w:asciiTheme="minorHAnsi" w:eastAsiaTheme="minorEastAsia" w:hAnsiTheme="minorHAnsi" w:cstheme="minorBidi"/>
            <w:color w:val="auto"/>
            <w:szCs w:val="22"/>
            <w:lang w:eastAsia="en-AU"/>
          </w:rPr>
          <w:tab/>
        </w:r>
        <w:r w:rsidR="00D93050" w:rsidRPr="0076770A">
          <w:rPr>
            <w:rStyle w:val="Hyperlink"/>
          </w:rPr>
          <w:t>The environmental impact of landfills</w:t>
        </w:r>
        <w:r w:rsidR="00D93050">
          <w:rPr>
            <w:webHidden/>
          </w:rPr>
          <w:tab/>
        </w:r>
        <w:r>
          <w:rPr>
            <w:webHidden/>
          </w:rPr>
          <w:fldChar w:fldCharType="begin"/>
        </w:r>
        <w:r w:rsidR="00D93050">
          <w:rPr>
            <w:webHidden/>
          </w:rPr>
          <w:instrText xml:space="preserve"> PAGEREF _Toc379466402 \h </w:instrText>
        </w:r>
        <w:r>
          <w:rPr>
            <w:webHidden/>
          </w:rPr>
        </w:r>
        <w:r>
          <w:rPr>
            <w:webHidden/>
          </w:rPr>
          <w:fldChar w:fldCharType="separate"/>
        </w:r>
        <w:r w:rsidR="00D93050">
          <w:rPr>
            <w:webHidden/>
          </w:rPr>
          <w:t>93</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03" w:history="1">
        <w:r w:rsidR="00D93050" w:rsidRPr="0076770A">
          <w:rPr>
            <w:rStyle w:val="Hyperlink"/>
          </w:rPr>
          <w:t>20.2</w:t>
        </w:r>
        <w:r w:rsidR="00D93050">
          <w:rPr>
            <w:rFonts w:asciiTheme="minorHAnsi" w:eastAsiaTheme="minorEastAsia" w:hAnsiTheme="minorHAnsi" w:cstheme="minorBidi"/>
            <w:color w:val="auto"/>
            <w:szCs w:val="22"/>
            <w:lang w:eastAsia="en-AU"/>
          </w:rPr>
          <w:tab/>
        </w:r>
        <w:r w:rsidR="00D93050" w:rsidRPr="0076770A">
          <w:rPr>
            <w:rStyle w:val="Hyperlink"/>
          </w:rPr>
          <w:t>The environmental impacts of other waste operations</w:t>
        </w:r>
        <w:r w:rsidR="00D93050">
          <w:rPr>
            <w:webHidden/>
          </w:rPr>
          <w:tab/>
        </w:r>
        <w:r>
          <w:rPr>
            <w:webHidden/>
          </w:rPr>
          <w:fldChar w:fldCharType="begin"/>
        </w:r>
        <w:r w:rsidR="00D93050">
          <w:rPr>
            <w:webHidden/>
          </w:rPr>
          <w:instrText xml:space="preserve"> PAGEREF _Toc379466403 \h </w:instrText>
        </w:r>
        <w:r>
          <w:rPr>
            <w:webHidden/>
          </w:rPr>
        </w:r>
        <w:r>
          <w:rPr>
            <w:webHidden/>
          </w:rPr>
          <w:fldChar w:fldCharType="separate"/>
        </w:r>
        <w:r w:rsidR="00D93050">
          <w:rPr>
            <w:webHidden/>
          </w:rPr>
          <w:t>97</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04" w:history="1">
        <w:r w:rsidR="00D93050" w:rsidRPr="0076770A">
          <w:rPr>
            <w:rStyle w:val="Hyperlink"/>
          </w:rPr>
          <w:t>20.3</w:t>
        </w:r>
        <w:r w:rsidR="00D93050">
          <w:rPr>
            <w:rFonts w:asciiTheme="minorHAnsi" w:eastAsiaTheme="minorEastAsia" w:hAnsiTheme="minorHAnsi" w:cstheme="minorBidi"/>
            <w:color w:val="auto"/>
            <w:szCs w:val="22"/>
            <w:lang w:eastAsia="en-AU"/>
          </w:rPr>
          <w:tab/>
        </w:r>
        <w:r w:rsidR="00D93050" w:rsidRPr="0076770A">
          <w:rPr>
            <w:rStyle w:val="Hyperlink"/>
          </w:rPr>
          <w:t>Environmental impacts of waste electrical and electronic equipment</w:t>
        </w:r>
        <w:r w:rsidR="00D93050">
          <w:rPr>
            <w:webHidden/>
          </w:rPr>
          <w:tab/>
        </w:r>
        <w:r>
          <w:rPr>
            <w:webHidden/>
          </w:rPr>
          <w:fldChar w:fldCharType="begin"/>
        </w:r>
        <w:r w:rsidR="00D93050">
          <w:rPr>
            <w:webHidden/>
          </w:rPr>
          <w:instrText xml:space="preserve"> PAGEREF _Toc379466404 \h </w:instrText>
        </w:r>
        <w:r>
          <w:rPr>
            <w:webHidden/>
          </w:rPr>
        </w:r>
        <w:r>
          <w:rPr>
            <w:webHidden/>
          </w:rPr>
          <w:fldChar w:fldCharType="separate"/>
        </w:r>
        <w:r w:rsidR="00D93050">
          <w:rPr>
            <w:webHidden/>
          </w:rPr>
          <w:t>98</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05" w:history="1">
        <w:r w:rsidR="00D93050" w:rsidRPr="0076770A">
          <w:rPr>
            <w:rStyle w:val="Hyperlink"/>
          </w:rPr>
          <w:t>20.4</w:t>
        </w:r>
        <w:r w:rsidR="00D93050">
          <w:rPr>
            <w:rFonts w:asciiTheme="minorHAnsi" w:eastAsiaTheme="minorEastAsia" w:hAnsiTheme="minorHAnsi" w:cstheme="minorBidi"/>
            <w:color w:val="auto"/>
            <w:szCs w:val="22"/>
            <w:lang w:eastAsia="en-AU"/>
          </w:rPr>
          <w:tab/>
        </w:r>
        <w:r w:rsidR="00D93050" w:rsidRPr="0076770A">
          <w:rPr>
            <w:rStyle w:val="Hyperlink"/>
          </w:rPr>
          <w:t>Dumping and littering</w:t>
        </w:r>
        <w:r w:rsidR="00D93050">
          <w:rPr>
            <w:webHidden/>
          </w:rPr>
          <w:tab/>
        </w:r>
        <w:r>
          <w:rPr>
            <w:webHidden/>
          </w:rPr>
          <w:fldChar w:fldCharType="begin"/>
        </w:r>
        <w:r w:rsidR="00D93050">
          <w:rPr>
            <w:webHidden/>
          </w:rPr>
          <w:instrText xml:space="preserve"> PAGEREF _Toc379466405 \h </w:instrText>
        </w:r>
        <w:r>
          <w:rPr>
            <w:webHidden/>
          </w:rPr>
        </w:r>
        <w:r>
          <w:rPr>
            <w:webHidden/>
          </w:rPr>
          <w:fldChar w:fldCharType="separate"/>
        </w:r>
        <w:r w:rsidR="00D93050">
          <w:rPr>
            <w:webHidden/>
          </w:rPr>
          <w:t>100</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06" w:history="1">
        <w:r w:rsidR="00D93050" w:rsidRPr="0076770A">
          <w:rPr>
            <w:rStyle w:val="Hyperlink"/>
          </w:rPr>
          <w:t>20.5</w:t>
        </w:r>
        <w:r w:rsidR="00D93050">
          <w:rPr>
            <w:rFonts w:asciiTheme="minorHAnsi" w:eastAsiaTheme="minorEastAsia" w:hAnsiTheme="minorHAnsi" w:cstheme="minorBidi"/>
            <w:color w:val="auto"/>
            <w:szCs w:val="22"/>
            <w:lang w:eastAsia="en-AU"/>
          </w:rPr>
          <w:tab/>
        </w:r>
        <w:r w:rsidR="00D93050" w:rsidRPr="0076770A">
          <w:rPr>
            <w:rStyle w:val="Hyperlink"/>
          </w:rPr>
          <w:t>The environmental benefits of resource recovery</w:t>
        </w:r>
        <w:r w:rsidR="00D93050">
          <w:rPr>
            <w:webHidden/>
          </w:rPr>
          <w:tab/>
        </w:r>
        <w:r>
          <w:rPr>
            <w:webHidden/>
          </w:rPr>
          <w:fldChar w:fldCharType="begin"/>
        </w:r>
        <w:r w:rsidR="00D93050">
          <w:rPr>
            <w:webHidden/>
          </w:rPr>
          <w:instrText xml:space="preserve"> PAGEREF _Toc379466406 \h </w:instrText>
        </w:r>
        <w:r>
          <w:rPr>
            <w:webHidden/>
          </w:rPr>
        </w:r>
        <w:r>
          <w:rPr>
            <w:webHidden/>
          </w:rPr>
          <w:fldChar w:fldCharType="separate"/>
        </w:r>
        <w:r w:rsidR="00D93050">
          <w:rPr>
            <w:webHidden/>
          </w:rPr>
          <w:t>100</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407" w:history="1">
        <w:r w:rsidR="00D93050" w:rsidRPr="0076770A">
          <w:rPr>
            <w:rStyle w:val="Hyperlink"/>
          </w:rPr>
          <w:t>21.</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Waste data collation definitions</w:t>
        </w:r>
        <w:r w:rsidR="00D93050">
          <w:rPr>
            <w:webHidden/>
          </w:rPr>
          <w:tab/>
        </w:r>
        <w:r>
          <w:rPr>
            <w:webHidden/>
          </w:rPr>
          <w:fldChar w:fldCharType="begin"/>
        </w:r>
        <w:r w:rsidR="00D93050">
          <w:rPr>
            <w:webHidden/>
          </w:rPr>
          <w:instrText xml:space="preserve"> PAGEREF _Toc379466407 \h </w:instrText>
        </w:r>
        <w:r>
          <w:rPr>
            <w:webHidden/>
          </w:rPr>
        </w:r>
        <w:r>
          <w:rPr>
            <w:webHidden/>
          </w:rPr>
          <w:fldChar w:fldCharType="separate"/>
        </w:r>
        <w:r w:rsidR="00D93050">
          <w:rPr>
            <w:webHidden/>
          </w:rPr>
          <w:t>102</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08" w:history="1">
        <w:r w:rsidR="00D93050" w:rsidRPr="0076770A">
          <w:rPr>
            <w:rStyle w:val="Hyperlink"/>
          </w:rPr>
          <w:t>21.1</w:t>
        </w:r>
        <w:r w:rsidR="00D93050">
          <w:rPr>
            <w:rFonts w:asciiTheme="minorHAnsi" w:eastAsiaTheme="minorEastAsia" w:hAnsiTheme="minorHAnsi" w:cstheme="minorBidi"/>
            <w:color w:val="auto"/>
            <w:szCs w:val="22"/>
            <w:lang w:eastAsia="en-AU"/>
          </w:rPr>
          <w:tab/>
        </w:r>
        <w:r w:rsidR="00D93050" w:rsidRPr="0076770A">
          <w:rPr>
            <w:rStyle w:val="Hyperlink"/>
          </w:rPr>
          <w:t>Materials consumption</w:t>
        </w:r>
        <w:r w:rsidR="00D93050">
          <w:rPr>
            <w:webHidden/>
          </w:rPr>
          <w:tab/>
        </w:r>
        <w:r>
          <w:rPr>
            <w:webHidden/>
          </w:rPr>
          <w:fldChar w:fldCharType="begin"/>
        </w:r>
        <w:r w:rsidR="00D93050">
          <w:rPr>
            <w:webHidden/>
          </w:rPr>
          <w:instrText xml:space="preserve"> PAGEREF _Toc379466408 \h </w:instrText>
        </w:r>
        <w:r>
          <w:rPr>
            <w:webHidden/>
          </w:rPr>
        </w:r>
        <w:r>
          <w:rPr>
            <w:webHidden/>
          </w:rPr>
          <w:fldChar w:fldCharType="separate"/>
        </w:r>
        <w:r w:rsidR="00D93050">
          <w:rPr>
            <w:webHidden/>
          </w:rPr>
          <w:t>102</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09" w:history="1">
        <w:r w:rsidR="00D93050" w:rsidRPr="0076770A">
          <w:rPr>
            <w:rStyle w:val="Hyperlink"/>
          </w:rPr>
          <w:t>21.2</w:t>
        </w:r>
        <w:r w:rsidR="00D93050">
          <w:rPr>
            <w:rFonts w:asciiTheme="minorHAnsi" w:eastAsiaTheme="minorEastAsia" w:hAnsiTheme="minorHAnsi" w:cstheme="minorBidi"/>
            <w:color w:val="auto"/>
            <w:szCs w:val="22"/>
            <w:lang w:eastAsia="en-AU"/>
          </w:rPr>
          <w:tab/>
        </w:r>
        <w:r w:rsidR="00D93050" w:rsidRPr="0076770A">
          <w:rPr>
            <w:rStyle w:val="Hyperlink"/>
          </w:rPr>
          <w:t>Waste</w:t>
        </w:r>
        <w:r w:rsidR="00D93050">
          <w:rPr>
            <w:webHidden/>
          </w:rPr>
          <w:tab/>
        </w:r>
        <w:r>
          <w:rPr>
            <w:webHidden/>
          </w:rPr>
          <w:fldChar w:fldCharType="begin"/>
        </w:r>
        <w:r w:rsidR="00D93050">
          <w:rPr>
            <w:webHidden/>
          </w:rPr>
          <w:instrText xml:space="preserve"> PAGEREF _Toc379466409 \h </w:instrText>
        </w:r>
        <w:r>
          <w:rPr>
            <w:webHidden/>
          </w:rPr>
        </w:r>
        <w:r>
          <w:rPr>
            <w:webHidden/>
          </w:rPr>
          <w:fldChar w:fldCharType="separate"/>
        </w:r>
        <w:r w:rsidR="00D93050">
          <w:rPr>
            <w:webHidden/>
          </w:rPr>
          <w:t>103</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10" w:history="1">
        <w:r w:rsidR="00D93050" w:rsidRPr="0076770A">
          <w:rPr>
            <w:rStyle w:val="Hyperlink"/>
          </w:rPr>
          <w:t>21.3</w:t>
        </w:r>
        <w:r w:rsidR="00D93050">
          <w:rPr>
            <w:rFonts w:asciiTheme="minorHAnsi" w:eastAsiaTheme="minorEastAsia" w:hAnsiTheme="minorHAnsi" w:cstheme="minorBidi"/>
            <w:color w:val="auto"/>
            <w:szCs w:val="22"/>
            <w:lang w:eastAsia="en-AU"/>
          </w:rPr>
          <w:tab/>
        </w:r>
        <w:r w:rsidR="00D93050" w:rsidRPr="0076770A">
          <w:rPr>
            <w:rStyle w:val="Hyperlink"/>
          </w:rPr>
          <w:t>Waste avoidance</w:t>
        </w:r>
        <w:r w:rsidR="00D93050">
          <w:rPr>
            <w:webHidden/>
          </w:rPr>
          <w:tab/>
        </w:r>
        <w:r>
          <w:rPr>
            <w:webHidden/>
          </w:rPr>
          <w:fldChar w:fldCharType="begin"/>
        </w:r>
        <w:r w:rsidR="00D93050">
          <w:rPr>
            <w:webHidden/>
          </w:rPr>
          <w:instrText xml:space="preserve"> PAGEREF _Toc379466410 \h </w:instrText>
        </w:r>
        <w:r>
          <w:rPr>
            <w:webHidden/>
          </w:rPr>
        </w:r>
        <w:r>
          <w:rPr>
            <w:webHidden/>
          </w:rPr>
          <w:fldChar w:fldCharType="separate"/>
        </w:r>
        <w:r w:rsidR="00D93050">
          <w:rPr>
            <w:webHidden/>
          </w:rPr>
          <w:t>105</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11" w:history="1">
        <w:r w:rsidR="00D93050" w:rsidRPr="0076770A">
          <w:rPr>
            <w:rStyle w:val="Hyperlink"/>
          </w:rPr>
          <w:t>21.4</w:t>
        </w:r>
        <w:r w:rsidR="00D93050">
          <w:rPr>
            <w:rFonts w:asciiTheme="minorHAnsi" w:eastAsiaTheme="minorEastAsia" w:hAnsiTheme="minorHAnsi" w:cstheme="minorBidi"/>
            <w:color w:val="auto"/>
            <w:szCs w:val="22"/>
            <w:lang w:eastAsia="en-AU"/>
          </w:rPr>
          <w:tab/>
        </w:r>
        <w:r w:rsidR="00D93050" w:rsidRPr="0076770A">
          <w:rPr>
            <w:rStyle w:val="Hyperlink"/>
          </w:rPr>
          <w:t>Reuse</w:t>
        </w:r>
        <w:r w:rsidR="00D93050">
          <w:rPr>
            <w:webHidden/>
          </w:rPr>
          <w:tab/>
        </w:r>
        <w:r>
          <w:rPr>
            <w:webHidden/>
          </w:rPr>
          <w:fldChar w:fldCharType="begin"/>
        </w:r>
        <w:r w:rsidR="00D93050">
          <w:rPr>
            <w:webHidden/>
          </w:rPr>
          <w:instrText xml:space="preserve"> PAGEREF _Toc379466411 \h </w:instrText>
        </w:r>
        <w:r>
          <w:rPr>
            <w:webHidden/>
          </w:rPr>
        </w:r>
        <w:r>
          <w:rPr>
            <w:webHidden/>
          </w:rPr>
          <w:fldChar w:fldCharType="separate"/>
        </w:r>
        <w:r w:rsidR="00D93050">
          <w:rPr>
            <w:webHidden/>
          </w:rPr>
          <w:t>105</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12" w:history="1">
        <w:r w:rsidR="00D93050" w:rsidRPr="0076770A">
          <w:rPr>
            <w:rStyle w:val="Hyperlink"/>
          </w:rPr>
          <w:t>21.5</w:t>
        </w:r>
        <w:r w:rsidR="00D93050">
          <w:rPr>
            <w:rFonts w:asciiTheme="minorHAnsi" w:eastAsiaTheme="minorEastAsia" w:hAnsiTheme="minorHAnsi" w:cstheme="minorBidi"/>
            <w:color w:val="auto"/>
            <w:szCs w:val="22"/>
            <w:lang w:eastAsia="en-AU"/>
          </w:rPr>
          <w:tab/>
        </w:r>
        <w:r w:rsidR="00D93050" w:rsidRPr="0076770A">
          <w:rPr>
            <w:rStyle w:val="Hyperlink"/>
          </w:rPr>
          <w:t>Recycling</w:t>
        </w:r>
        <w:r w:rsidR="00D93050">
          <w:rPr>
            <w:webHidden/>
          </w:rPr>
          <w:tab/>
        </w:r>
        <w:r>
          <w:rPr>
            <w:webHidden/>
          </w:rPr>
          <w:fldChar w:fldCharType="begin"/>
        </w:r>
        <w:r w:rsidR="00D93050">
          <w:rPr>
            <w:webHidden/>
          </w:rPr>
          <w:instrText xml:space="preserve"> PAGEREF _Toc379466412 \h </w:instrText>
        </w:r>
        <w:r>
          <w:rPr>
            <w:webHidden/>
          </w:rPr>
        </w:r>
        <w:r>
          <w:rPr>
            <w:webHidden/>
          </w:rPr>
          <w:fldChar w:fldCharType="separate"/>
        </w:r>
        <w:r w:rsidR="00D93050">
          <w:rPr>
            <w:webHidden/>
          </w:rPr>
          <w:t>106</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13" w:history="1">
        <w:r w:rsidR="00D93050" w:rsidRPr="0076770A">
          <w:rPr>
            <w:rStyle w:val="Hyperlink"/>
          </w:rPr>
          <w:t>21.6</w:t>
        </w:r>
        <w:r w:rsidR="00D93050">
          <w:rPr>
            <w:rFonts w:asciiTheme="minorHAnsi" w:eastAsiaTheme="minorEastAsia" w:hAnsiTheme="minorHAnsi" w:cstheme="minorBidi"/>
            <w:color w:val="auto"/>
            <w:szCs w:val="22"/>
            <w:lang w:eastAsia="en-AU"/>
          </w:rPr>
          <w:tab/>
        </w:r>
        <w:r w:rsidR="00D93050" w:rsidRPr="0076770A">
          <w:rPr>
            <w:rStyle w:val="Hyperlink"/>
          </w:rPr>
          <w:t>Energy recovery</w:t>
        </w:r>
        <w:r w:rsidR="00D93050">
          <w:rPr>
            <w:webHidden/>
          </w:rPr>
          <w:tab/>
        </w:r>
        <w:r>
          <w:rPr>
            <w:webHidden/>
          </w:rPr>
          <w:fldChar w:fldCharType="begin"/>
        </w:r>
        <w:r w:rsidR="00D93050">
          <w:rPr>
            <w:webHidden/>
          </w:rPr>
          <w:instrText xml:space="preserve"> PAGEREF _Toc379466413 \h </w:instrText>
        </w:r>
        <w:r>
          <w:rPr>
            <w:webHidden/>
          </w:rPr>
        </w:r>
        <w:r>
          <w:rPr>
            <w:webHidden/>
          </w:rPr>
          <w:fldChar w:fldCharType="separate"/>
        </w:r>
        <w:r w:rsidR="00D93050">
          <w:rPr>
            <w:webHidden/>
          </w:rPr>
          <w:t>107</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14" w:history="1">
        <w:r w:rsidR="00D93050" w:rsidRPr="0076770A">
          <w:rPr>
            <w:rStyle w:val="Hyperlink"/>
          </w:rPr>
          <w:t>21.7</w:t>
        </w:r>
        <w:r w:rsidR="00D93050">
          <w:rPr>
            <w:rFonts w:asciiTheme="minorHAnsi" w:eastAsiaTheme="minorEastAsia" w:hAnsiTheme="minorHAnsi" w:cstheme="minorBidi"/>
            <w:color w:val="auto"/>
            <w:szCs w:val="22"/>
            <w:lang w:eastAsia="en-AU"/>
          </w:rPr>
          <w:tab/>
        </w:r>
        <w:r w:rsidR="00D93050" w:rsidRPr="0076770A">
          <w:rPr>
            <w:rStyle w:val="Hyperlink"/>
          </w:rPr>
          <w:t>Treatment</w:t>
        </w:r>
        <w:r w:rsidR="00D93050">
          <w:rPr>
            <w:webHidden/>
          </w:rPr>
          <w:tab/>
        </w:r>
        <w:r>
          <w:rPr>
            <w:webHidden/>
          </w:rPr>
          <w:fldChar w:fldCharType="begin"/>
        </w:r>
        <w:r w:rsidR="00D93050">
          <w:rPr>
            <w:webHidden/>
          </w:rPr>
          <w:instrText xml:space="preserve"> PAGEREF _Toc379466414 \h </w:instrText>
        </w:r>
        <w:r>
          <w:rPr>
            <w:webHidden/>
          </w:rPr>
        </w:r>
        <w:r>
          <w:rPr>
            <w:webHidden/>
          </w:rPr>
          <w:fldChar w:fldCharType="separate"/>
        </w:r>
        <w:r w:rsidR="00D93050">
          <w:rPr>
            <w:webHidden/>
          </w:rPr>
          <w:t>107</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15" w:history="1">
        <w:r w:rsidR="00D93050" w:rsidRPr="0076770A">
          <w:rPr>
            <w:rStyle w:val="Hyperlink"/>
          </w:rPr>
          <w:t>21.8</w:t>
        </w:r>
        <w:r w:rsidR="00D93050">
          <w:rPr>
            <w:rFonts w:asciiTheme="minorHAnsi" w:eastAsiaTheme="minorEastAsia" w:hAnsiTheme="minorHAnsi" w:cstheme="minorBidi"/>
            <w:color w:val="auto"/>
            <w:szCs w:val="22"/>
            <w:lang w:eastAsia="en-AU"/>
          </w:rPr>
          <w:tab/>
        </w:r>
        <w:r w:rsidR="00D93050" w:rsidRPr="0076770A">
          <w:rPr>
            <w:rStyle w:val="Hyperlink"/>
          </w:rPr>
          <w:t>Disposal</w:t>
        </w:r>
        <w:r w:rsidR="00D93050">
          <w:rPr>
            <w:webHidden/>
          </w:rPr>
          <w:tab/>
        </w:r>
        <w:r>
          <w:rPr>
            <w:webHidden/>
          </w:rPr>
          <w:fldChar w:fldCharType="begin"/>
        </w:r>
        <w:r w:rsidR="00D93050">
          <w:rPr>
            <w:webHidden/>
          </w:rPr>
          <w:instrText xml:space="preserve"> PAGEREF _Toc379466415 \h </w:instrText>
        </w:r>
        <w:r>
          <w:rPr>
            <w:webHidden/>
          </w:rPr>
        </w:r>
        <w:r>
          <w:rPr>
            <w:webHidden/>
          </w:rPr>
          <w:fldChar w:fldCharType="separate"/>
        </w:r>
        <w:r w:rsidR="00D93050">
          <w:rPr>
            <w:webHidden/>
          </w:rPr>
          <w:t>107</w:t>
        </w:r>
        <w:r>
          <w:rPr>
            <w:webHidden/>
          </w:rPr>
          <w:fldChar w:fldCharType="end"/>
        </w:r>
      </w:hyperlink>
    </w:p>
    <w:p w:rsidR="00D93050" w:rsidRDefault="0062001A">
      <w:pPr>
        <w:pStyle w:val="TOC2"/>
        <w:tabs>
          <w:tab w:val="left" w:pos="1200"/>
        </w:tabs>
        <w:rPr>
          <w:rFonts w:asciiTheme="minorHAnsi" w:eastAsiaTheme="minorEastAsia" w:hAnsiTheme="minorHAnsi" w:cstheme="minorBidi"/>
          <w:color w:val="auto"/>
          <w:szCs w:val="22"/>
          <w:lang w:eastAsia="en-AU"/>
        </w:rPr>
      </w:pPr>
      <w:hyperlink w:anchor="_Toc379466416" w:history="1">
        <w:r w:rsidR="00D93050" w:rsidRPr="0076770A">
          <w:rPr>
            <w:rStyle w:val="Hyperlink"/>
          </w:rPr>
          <w:t>21.9</w:t>
        </w:r>
        <w:r w:rsidR="00D93050">
          <w:rPr>
            <w:rFonts w:asciiTheme="minorHAnsi" w:eastAsiaTheme="minorEastAsia" w:hAnsiTheme="minorHAnsi" w:cstheme="minorBidi"/>
            <w:color w:val="auto"/>
            <w:szCs w:val="22"/>
            <w:lang w:eastAsia="en-AU"/>
          </w:rPr>
          <w:tab/>
        </w:r>
        <w:r w:rsidR="00D93050" w:rsidRPr="0076770A">
          <w:rPr>
            <w:rStyle w:val="Hyperlink"/>
          </w:rPr>
          <w:t>Waste generation</w:t>
        </w:r>
        <w:r w:rsidR="00D93050">
          <w:rPr>
            <w:webHidden/>
          </w:rPr>
          <w:tab/>
        </w:r>
        <w:r>
          <w:rPr>
            <w:webHidden/>
          </w:rPr>
          <w:fldChar w:fldCharType="begin"/>
        </w:r>
        <w:r w:rsidR="00D93050">
          <w:rPr>
            <w:webHidden/>
          </w:rPr>
          <w:instrText xml:space="preserve"> PAGEREF _Toc379466416 \h </w:instrText>
        </w:r>
        <w:r>
          <w:rPr>
            <w:webHidden/>
          </w:rPr>
        </w:r>
        <w:r>
          <w:rPr>
            <w:webHidden/>
          </w:rPr>
          <w:fldChar w:fldCharType="separate"/>
        </w:r>
        <w:r w:rsidR="00D93050">
          <w:rPr>
            <w:webHidden/>
          </w:rPr>
          <w:t>108</w:t>
        </w:r>
        <w:r>
          <w:rPr>
            <w:webHidden/>
          </w:rPr>
          <w:fldChar w:fldCharType="end"/>
        </w:r>
      </w:hyperlink>
    </w:p>
    <w:p w:rsidR="00D93050" w:rsidRDefault="0062001A">
      <w:pPr>
        <w:pStyle w:val="TOC2"/>
        <w:tabs>
          <w:tab w:val="left" w:pos="1440"/>
        </w:tabs>
        <w:rPr>
          <w:rFonts w:asciiTheme="minorHAnsi" w:eastAsiaTheme="minorEastAsia" w:hAnsiTheme="minorHAnsi" w:cstheme="minorBidi"/>
          <w:color w:val="auto"/>
          <w:szCs w:val="22"/>
          <w:lang w:eastAsia="en-AU"/>
        </w:rPr>
      </w:pPr>
      <w:hyperlink w:anchor="_Toc379466417" w:history="1">
        <w:r w:rsidR="00D93050" w:rsidRPr="0076770A">
          <w:rPr>
            <w:rStyle w:val="Hyperlink"/>
          </w:rPr>
          <w:t>21.10</w:t>
        </w:r>
        <w:r w:rsidR="00D93050">
          <w:rPr>
            <w:rFonts w:asciiTheme="minorHAnsi" w:eastAsiaTheme="minorEastAsia" w:hAnsiTheme="minorHAnsi" w:cstheme="minorBidi"/>
            <w:color w:val="auto"/>
            <w:szCs w:val="22"/>
            <w:lang w:eastAsia="en-AU"/>
          </w:rPr>
          <w:tab/>
        </w:r>
        <w:r w:rsidR="00D93050" w:rsidRPr="0076770A">
          <w:rPr>
            <w:rStyle w:val="Hyperlink"/>
          </w:rPr>
          <w:t>Resource recovery</w:t>
        </w:r>
        <w:r w:rsidR="00D93050">
          <w:rPr>
            <w:webHidden/>
          </w:rPr>
          <w:tab/>
        </w:r>
        <w:r>
          <w:rPr>
            <w:webHidden/>
          </w:rPr>
          <w:fldChar w:fldCharType="begin"/>
        </w:r>
        <w:r w:rsidR="00D93050">
          <w:rPr>
            <w:webHidden/>
          </w:rPr>
          <w:instrText xml:space="preserve"> PAGEREF _Toc379466417 \h </w:instrText>
        </w:r>
        <w:r>
          <w:rPr>
            <w:webHidden/>
          </w:rPr>
        </w:r>
        <w:r>
          <w:rPr>
            <w:webHidden/>
          </w:rPr>
          <w:fldChar w:fldCharType="separate"/>
        </w:r>
        <w:r w:rsidR="00D93050">
          <w:rPr>
            <w:webHidden/>
          </w:rPr>
          <w:t>108</w:t>
        </w:r>
        <w:r>
          <w:rPr>
            <w:webHidden/>
          </w:rPr>
          <w:fldChar w:fldCharType="end"/>
        </w:r>
      </w:hyperlink>
    </w:p>
    <w:p w:rsidR="00D93050" w:rsidRDefault="0062001A">
      <w:pPr>
        <w:pStyle w:val="TOC2"/>
        <w:tabs>
          <w:tab w:val="left" w:pos="1440"/>
        </w:tabs>
        <w:rPr>
          <w:rFonts w:asciiTheme="minorHAnsi" w:eastAsiaTheme="minorEastAsia" w:hAnsiTheme="minorHAnsi" w:cstheme="minorBidi"/>
          <w:color w:val="auto"/>
          <w:szCs w:val="22"/>
          <w:lang w:eastAsia="en-AU"/>
        </w:rPr>
      </w:pPr>
      <w:hyperlink w:anchor="_Toc379466418" w:history="1">
        <w:r w:rsidR="00D93050" w:rsidRPr="0076770A">
          <w:rPr>
            <w:rStyle w:val="Hyperlink"/>
          </w:rPr>
          <w:t>21.11</w:t>
        </w:r>
        <w:r w:rsidR="00D93050">
          <w:rPr>
            <w:rFonts w:asciiTheme="minorHAnsi" w:eastAsiaTheme="minorEastAsia" w:hAnsiTheme="minorHAnsi" w:cstheme="minorBidi"/>
            <w:color w:val="auto"/>
            <w:szCs w:val="22"/>
            <w:lang w:eastAsia="en-AU"/>
          </w:rPr>
          <w:tab/>
        </w:r>
        <w:r w:rsidR="00D93050" w:rsidRPr="0076770A">
          <w:rPr>
            <w:rStyle w:val="Hyperlink"/>
          </w:rPr>
          <w:t>Resource recovery rate</w:t>
        </w:r>
        <w:r w:rsidR="00D93050">
          <w:rPr>
            <w:webHidden/>
          </w:rPr>
          <w:tab/>
        </w:r>
        <w:r>
          <w:rPr>
            <w:webHidden/>
          </w:rPr>
          <w:fldChar w:fldCharType="begin"/>
        </w:r>
        <w:r w:rsidR="00D93050">
          <w:rPr>
            <w:webHidden/>
          </w:rPr>
          <w:instrText xml:space="preserve"> PAGEREF _Toc379466418 \h </w:instrText>
        </w:r>
        <w:r>
          <w:rPr>
            <w:webHidden/>
          </w:rPr>
        </w:r>
        <w:r>
          <w:rPr>
            <w:webHidden/>
          </w:rPr>
          <w:fldChar w:fldCharType="separate"/>
        </w:r>
        <w:r w:rsidR="00D93050">
          <w:rPr>
            <w:webHidden/>
          </w:rPr>
          <w:t>109</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419" w:history="1">
        <w:r w:rsidR="00D93050" w:rsidRPr="0076770A">
          <w:rPr>
            <w:rStyle w:val="Hyperlink"/>
          </w:rPr>
          <w:t>22.</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Scope and method of data reporting</w:t>
        </w:r>
        <w:r w:rsidR="00D93050">
          <w:rPr>
            <w:webHidden/>
          </w:rPr>
          <w:tab/>
        </w:r>
        <w:r>
          <w:rPr>
            <w:webHidden/>
          </w:rPr>
          <w:fldChar w:fldCharType="begin"/>
        </w:r>
        <w:r w:rsidR="00D93050">
          <w:rPr>
            <w:webHidden/>
          </w:rPr>
          <w:instrText xml:space="preserve"> PAGEREF _Toc379466419 \h </w:instrText>
        </w:r>
        <w:r>
          <w:rPr>
            <w:webHidden/>
          </w:rPr>
        </w:r>
        <w:r>
          <w:rPr>
            <w:webHidden/>
          </w:rPr>
          <w:fldChar w:fldCharType="separate"/>
        </w:r>
        <w:r w:rsidR="00D93050">
          <w:rPr>
            <w:webHidden/>
          </w:rPr>
          <w:t>111</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420" w:history="1">
        <w:r w:rsidR="00D93050" w:rsidRPr="0076770A">
          <w:rPr>
            <w:rStyle w:val="Hyperlink"/>
          </w:rPr>
          <w:t>23.</w:t>
        </w:r>
        <w:r w:rsidR="00D93050">
          <w:rPr>
            <w:rFonts w:asciiTheme="minorHAnsi" w:eastAsiaTheme="minorEastAsia" w:hAnsiTheme="minorHAnsi" w:cstheme="minorBidi"/>
            <w:b w:val="0"/>
            <w:bCs w:val="0"/>
            <w:color w:val="auto"/>
            <w:sz w:val="22"/>
            <w:szCs w:val="22"/>
            <w:lang w:eastAsia="en-AU"/>
          </w:rPr>
          <w:tab/>
        </w:r>
        <w:r w:rsidR="00D93050" w:rsidRPr="0076770A">
          <w:rPr>
            <w:rStyle w:val="Hyperlink"/>
          </w:rPr>
          <w:t>Data sources and assumptions</w:t>
        </w:r>
        <w:r w:rsidR="00D93050">
          <w:rPr>
            <w:webHidden/>
          </w:rPr>
          <w:tab/>
        </w:r>
        <w:r>
          <w:rPr>
            <w:webHidden/>
          </w:rPr>
          <w:fldChar w:fldCharType="begin"/>
        </w:r>
        <w:r w:rsidR="00D93050">
          <w:rPr>
            <w:webHidden/>
          </w:rPr>
          <w:instrText xml:space="preserve"> PAGEREF _Toc379466420 \h </w:instrText>
        </w:r>
        <w:r>
          <w:rPr>
            <w:webHidden/>
          </w:rPr>
        </w:r>
        <w:r>
          <w:rPr>
            <w:webHidden/>
          </w:rPr>
          <w:fldChar w:fldCharType="separate"/>
        </w:r>
        <w:r w:rsidR="00D93050">
          <w:rPr>
            <w:webHidden/>
          </w:rPr>
          <w:t>114</w:t>
        </w:r>
        <w:r>
          <w:rPr>
            <w:webHidden/>
          </w:rPr>
          <w:fldChar w:fldCharType="end"/>
        </w:r>
      </w:hyperlink>
    </w:p>
    <w:p w:rsidR="00D93050" w:rsidRDefault="0062001A">
      <w:pPr>
        <w:pStyle w:val="TOC1"/>
        <w:rPr>
          <w:rFonts w:asciiTheme="minorHAnsi" w:eastAsiaTheme="minorEastAsia" w:hAnsiTheme="minorHAnsi" w:cstheme="minorBidi"/>
          <w:b w:val="0"/>
          <w:bCs w:val="0"/>
          <w:color w:val="auto"/>
          <w:sz w:val="22"/>
          <w:szCs w:val="22"/>
          <w:lang w:eastAsia="en-AU"/>
        </w:rPr>
      </w:pPr>
      <w:hyperlink w:anchor="_Toc379466421" w:history="1">
        <w:r w:rsidR="00D93050" w:rsidRPr="0076770A">
          <w:rPr>
            <w:rStyle w:val="Hyperlink"/>
          </w:rPr>
          <w:t>References (from report &amp; associated workbooks)</w:t>
        </w:r>
        <w:r w:rsidR="00D93050">
          <w:rPr>
            <w:webHidden/>
          </w:rPr>
          <w:tab/>
        </w:r>
        <w:r>
          <w:rPr>
            <w:webHidden/>
          </w:rPr>
          <w:fldChar w:fldCharType="begin"/>
        </w:r>
        <w:r w:rsidR="00D93050">
          <w:rPr>
            <w:webHidden/>
          </w:rPr>
          <w:instrText xml:space="preserve"> PAGEREF _Toc379466421 \h </w:instrText>
        </w:r>
        <w:r>
          <w:rPr>
            <w:webHidden/>
          </w:rPr>
        </w:r>
        <w:r>
          <w:rPr>
            <w:webHidden/>
          </w:rPr>
          <w:fldChar w:fldCharType="separate"/>
        </w:r>
        <w:r w:rsidR="00D93050">
          <w:rPr>
            <w:webHidden/>
          </w:rPr>
          <w:t>116</w:t>
        </w:r>
        <w:r>
          <w:rPr>
            <w:webHidden/>
          </w:rPr>
          <w:fldChar w:fldCharType="end"/>
        </w:r>
      </w:hyperlink>
    </w:p>
    <w:p w:rsidR="0092426E" w:rsidRPr="00C66550" w:rsidRDefault="0062001A" w:rsidP="00F810CB">
      <w:pPr>
        <w:rPr>
          <w:noProof/>
        </w:rPr>
      </w:pPr>
      <w:r w:rsidRPr="00C66550">
        <w:rPr>
          <w:noProof/>
        </w:rPr>
        <w:fldChar w:fldCharType="end"/>
      </w:r>
      <w:bookmarkEnd w:id="5"/>
    </w:p>
    <w:p w:rsidR="000841D2" w:rsidRPr="00C66550" w:rsidRDefault="000841D2" w:rsidP="00F810CB">
      <w:pPr>
        <w:rPr>
          <w:noProof/>
        </w:rPr>
      </w:pPr>
    </w:p>
    <w:p w:rsidR="006D535E" w:rsidRPr="00C66550" w:rsidRDefault="006D535E" w:rsidP="006D535E">
      <w:pPr>
        <w:pStyle w:val="TOCHeadings"/>
        <w:rPr>
          <w:noProof/>
        </w:rPr>
      </w:pPr>
      <w:bookmarkStart w:id="6" w:name="TOA"/>
      <w:r w:rsidRPr="00C66550">
        <w:rPr>
          <w:noProof/>
        </w:rPr>
        <w:t>Appendices</w:t>
      </w:r>
    </w:p>
    <w:p w:rsidR="00C548DF" w:rsidRDefault="0062001A">
      <w:pPr>
        <w:pStyle w:val="TOC2"/>
        <w:tabs>
          <w:tab w:val="left" w:pos="1134"/>
        </w:tabs>
        <w:rPr>
          <w:rFonts w:asciiTheme="minorHAnsi" w:eastAsiaTheme="minorEastAsia" w:hAnsiTheme="minorHAnsi" w:cstheme="minorBidi"/>
          <w:color w:val="auto"/>
          <w:szCs w:val="22"/>
          <w:lang w:eastAsia="en-AU"/>
        </w:rPr>
      </w:pPr>
      <w:r w:rsidRPr="0062001A">
        <w:rPr>
          <w:b/>
          <w:bCs/>
          <w:noProof w:val="0"/>
          <w:sz w:val="28"/>
        </w:rPr>
        <w:fldChar w:fldCharType="begin"/>
      </w:r>
      <w:r w:rsidR="006D535E" w:rsidRPr="00C66550">
        <w:rPr>
          <w:b/>
          <w:bCs/>
          <w:sz w:val="28"/>
        </w:rPr>
        <w:instrText xml:space="preserve"> TOC \h \z \t "Appendix Heading 1,2" </w:instrText>
      </w:r>
      <w:r w:rsidRPr="0062001A">
        <w:rPr>
          <w:b/>
          <w:bCs/>
          <w:noProof w:val="0"/>
          <w:sz w:val="28"/>
        </w:rPr>
        <w:fldChar w:fldCharType="separate"/>
      </w:r>
      <w:hyperlink w:anchor="_Toc362259598" w:history="1">
        <w:r w:rsidR="00C548DF" w:rsidRPr="001744EF">
          <w:rPr>
            <w:rStyle w:val="Hyperlink"/>
          </w:rPr>
          <w:t>A</w:t>
        </w:r>
        <w:r w:rsidR="00C548DF">
          <w:rPr>
            <w:rFonts w:asciiTheme="minorHAnsi" w:eastAsiaTheme="minorEastAsia" w:hAnsiTheme="minorHAnsi" w:cstheme="minorBidi"/>
            <w:color w:val="auto"/>
            <w:szCs w:val="22"/>
            <w:lang w:eastAsia="en-AU"/>
          </w:rPr>
          <w:tab/>
        </w:r>
        <w:r w:rsidR="00C548DF" w:rsidRPr="001744EF">
          <w:rPr>
            <w:rStyle w:val="Hyperlink"/>
          </w:rPr>
          <w:t>NSW data quality declaration</w:t>
        </w:r>
        <w:r w:rsidR="00C548DF">
          <w:rPr>
            <w:webHidden/>
          </w:rPr>
          <w:tab/>
        </w:r>
        <w:r>
          <w:rPr>
            <w:webHidden/>
          </w:rPr>
          <w:fldChar w:fldCharType="begin"/>
        </w:r>
        <w:r w:rsidR="00C548DF">
          <w:rPr>
            <w:webHidden/>
          </w:rPr>
          <w:instrText xml:space="preserve"> PAGEREF _Toc362259598 \h </w:instrText>
        </w:r>
        <w:r>
          <w:rPr>
            <w:webHidden/>
          </w:rPr>
        </w:r>
        <w:r>
          <w:rPr>
            <w:webHidden/>
          </w:rPr>
          <w:fldChar w:fldCharType="separate"/>
        </w:r>
        <w:r w:rsidR="00D96003">
          <w:rPr>
            <w:webHidden/>
          </w:rPr>
          <w:t>122</w:t>
        </w:r>
        <w:r>
          <w:rPr>
            <w:webHidden/>
          </w:rPr>
          <w:fldChar w:fldCharType="end"/>
        </w:r>
      </w:hyperlink>
    </w:p>
    <w:p w:rsidR="006D535E" w:rsidRPr="00C66550" w:rsidRDefault="0062001A" w:rsidP="00F810CB">
      <w:pPr>
        <w:rPr>
          <w:noProof/>
        </w:rPr>
      </w:pPr>
      <w:r w:rsidRPr="00C66550">
        <w:rPr>
          <w:noProof/>
        </w:rPr>
        <w:fldChar w:fldCharType="end"/>
      </w:r>
      <w:bookmarkEnd w:id="6"/>
    </w:p>
    <w:p w:rsidR="000841D2" w:rsidRPr="00C66550" w:rsidRDefault="000841D2" w:rsidP="00F810CB">
      <w:pPr>
        <w:rPr>
          <w:noProof/>
        </w:rPr>
      </w:pPr>
    </w:p>
    <w:p w:rsidR="0092426E" w:rsidRPr="00C66550" w:rsidRDefault="0092426E" w:rsidP="0092426E">
      <w:pPr>
        <w:pStyle w:val="TOCHeadings"/>
        <w:rPr>
          <w:noProof/>
        </w:rPr>
      </w:pPr>
      <w:bookmarkStart w:id="7" w:name="TOT"/>
      <w:r w:rsidRPr="00C66550">
        <w:rPr>
          <w:noProof/>
        </w:rPr>
        <w:t>Tables</w:t>
      </w:r>
    </w:p>
    <w:p w:rsidR="00ED1F2A" w:rsidRDefault="0062001A">
      <w:pPr>
        <w:pStyle w:val="TableofFigures"/>
        <w:rPr>
          <w:rFonts w:eastAsiaTheme="minorEastAsia" w:cstheme="minorBidi"/>
          <w:color w:val="auto"/>
          <w:szCs w:val="22"/>
          <w:lang w:eastAsia="en-AU"/>
        </w:rPr>
      </w:pPr>
      <w:r w:rsidRPr="0062001A">
        <w:rPr>
          <w:sz w:val="18"/>
        </w:rPr>
        <w:fldChar w:fldCharType="begin"/>
      </w:r>
      <w:r w:rsidR="0092426E" w:rsidRPr="00C66550">
        <w:instrText xml:space="preserve"> TOC \h \z \c "Table" </w:instrText>
      </w:r>
      <w:r w:rsidRPr="0062001A">
        <w:rPr>
          <w:sz w:val="18"/>
        </w:rPr>
        <w:fldChar w:fldCharType="separate"/>
      </w:r>
      <w:hyperlink w:anchor="_Toc365038845" w:history="1">
        <w:r w:rsidR="00ED1F2A" w:rsidRPr="002E4B1A">
          <w:rPr>
            <w:rStyle w:val="Hyperlink"/>
          </w:rPr>
          <w:t>Table 1:</w:t>
        </w:r>
        <w:r w:rsidR="00ED1F2A">
          <w:rPr>
            <w:rFonts w:eastAsiaTheme="minorEastAsia" w:cstheme="minorBidi"/>
            <w:color w:val="auto"/>
            <w:szCs w:val="22"/>
            <w:lang w:eastAsia="en-AU"/>
          </w:rPr>
          <w:tab/>
        </w:r>
        <w:r w:rsidR="00ED1F2A" w:rsidRPr="002E4B1A">
          <w:rPr>
            <w:rStyle w:val="Hyperlink"/>
          </w:rPr>
          <w:t>Assessment of the data reliability in this report by jurisdiction</w:t>
        </w:r>
        <w:r w:rsidR="00ED1F2A">
          <w:rPr>
            <w:webHidden/>
          </w:rPr>
          <w:tab/>
        </w:r>
        <w:r>
          <w:rPr>
            <w:webHidden/>
          </w:rPr>
          <w:fldChar w:fldCharType="begin"/>
        </w:r>
        <w:r w:rsidR="00ED1F2A">
          <w:rPr>
            <w:webHidden/>
          </w:rPr>
          <w:instrText xml:space="preserve"> PAGEREF _Toc365038845 \h </w:instrText>
        </w:r>
        <w:r>
          <w:rPr>
            <w:webHidden/>
          </w:rPr>
        </w:r>
        <w:r>
          <w:rPr>
            <w:webHidden/>
          </w:rPr>
          <w:fldChar w:fldCharType="separate"/>
        </w:r>
        <w:r w:rsidR="00D96003">
          <w:rPr>
            <w:webHidden/>
          </w:rPr>
          <w:t>3</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46" w:history="1">
        <w:r w:rsidR="00ED1F2A" w:rsidRPr="002E4B1A">
          <w:rPr>
            <w:rStyle w:val="Hyperlink"/>
          </w:rPr>
          <w:t xml:space="preserve">Table 2: </w:t>
        </w:r>
        <w:r w:rsidR="00ED1F2A">
          <w:rPr>
            <w:rFonts w:eastAsiaTheme="minorEastAsia" w:cstheme="minorBidi"/>
            <w:color w:val="auto"/>
            <w:szCs w:val="22"/>
            <w:lang w:eastAsia="en-AU"/>
          </w:rPr>
          <w:tab/>
        </w:r>
        <w:r w:rsidR="00ED1F2A" w:rsidRPr="002E4B1A">
          <w:rPr>
            <w:rStyle w:val="Hyperlink"/>
          </w:rPr>
          <w:t>Change in per capita data by jurisdiction over the reporting period (excluding fly ash)</w:t>
        </w:r>
        <w:r w:rsidR="00ED1F2A">
          <w:rPr>
            <w:webHidden/>
          </w:rPr>
          <w:tab/>
        </w:r>
        <w:r>
          <w:rPr>
            <w:webHidden/>
          </w:rPr>
          <w:fldChar w:fldCharType="begin"/>
        </w:r>
        <w:r w:rsidR="00ED1F2A">
          <w:rPr>
            <w:webHidden/>
          </w:rPr>
          <w:instrText xml:space="preserve"> PAGEREF _Toc365038846 \h </w:instrText>
        </w:r>
        <w:r>
          <w:rPr>
            <w:webHidden/>
          </w:rPr>
        </w:r>
        <w:r>
          <w:rPr>
            <w:webHidden/>
          </w:rPr>
          <w:fldChar w:fldCharType="separate"/>
        </w:r>
        <w:r w:rsidR="00D96003">
          <w:rPr>
            <w:webHidden/>
          </w:rPr>
          <w:t>17</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47" w:history="1">
        <w:r w:rsidR="00ED1F2A" w:rsidRPr="002E4B1A">
          <w:rPr>
            <w:rStyle w:val="Hyperlink"/>
          </w:rPr>
          <w:t>Table 3:</w:t>
        </w:r>
        <w:r w:rsidR="00ED1F2A">
          <w:rPr>
            <w:rFonts w:eastAsiaTheme="minorEastAsia" w:cstheme="minorBidi"/>
            <w:color w:val="auto"/>
            <w:szCs w:val="22"/>
            <w:lang w:eastAsia="en-AU"/>
          </w:rPr>
          <w:tab/>
        </w:r>
        <w:r w:rsidR="00ED1F2A" w:rsidRPr="002E4B1A">
          <w:rPr>
            <w:rStyle w:val="Hyperlink"/>
          </w:rPr>
          <w:t>Comparison of per capita solid waste generation, disposal and recovery in selected OECD nations</w:t>
        </w:r>
        <w:r w:rsidR="00ED1F2A">
          <w:rPr>
            <w:webHidden/>
          </w:rPr>
          <w:tab/>
        </w:r>
        <w:r>
          <w:rPr>
            <w:webHidden/>
          </w:rPr>
          <w:fldChar w:fldCharType="begin"/>
        </w:r>
        <w:r w:rsidR="00ED1F2A">
          <w:rPr>
            <w:webHidden/>
          </w:rPr>
          <w:instrText xml:space="preserve"> PAGEREF _Toc365038847 \h </w:instrText>
        </w:r>
        <w:r>
          <w:rPr>
            <w:webHidden/>
          </w:rPr>
        </w:r>
        <w:r>
          <w:rPr>
            <w:webHidden/>
          </w:rPr>
          <w:fldChar w:fldCharType="separate"/>
        </w:r>
        <w:r w:rsidR="00D96003">
          <w:rPr>
            <w:webHidden/>
          </w:rPr>
          <w:t>18</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48" w:history="1">
        <w:r w:rsidR="00ED1F2A" w:rsidRPr="002E4B1A">
          <w:rPr>
            <w:rStyle w:val="Hyperlink"/>
          </w:rPr>
          <w:t>Table 4:</w:t>
        </w:r>
        <w:r w:rsidR="00ED1F2A">
          <w:rPr>
            <w:rFonts w:eastAsiaTheme="minorEastAsia" w:cstheme="minorBidi"/>
            <w:color w:val="auto"/>
            <w:szCs w:val="22"/>
            <w:lang w:eastAsia="en-AU"/>
          </w:rPr>
          <w:tab/>
        </w:r>
        <w:r w:rsidR="00ED1F2A" w:rsidRPr="002E4B1A">
          <w:rPr>
            <w:rStyle w:val="Hyperlink"/>
          </w:rPr>
          <w:t>Comparison of total solid waste generation, disposal and recovery in selected  OECD nations</w:t>
        </w:r>
        <w:r w:rsidR="00ED1F2A">
          <w:rPr>
            <w:webHidden/>
          </w:rPr>
          <w:tab/>
        </w:r>
        <w:r>
          <w:rPr>
            <w:webHidden/>
          </w:rPr>
          <w:fldChar w:fldCharType="begin"/>
        </w:r>
        <w:r w:rsidR="00ED1F2A">
          <w:rPr>
            <w:webHidden/>
          </w:rPr>
          <w:instrText xml:space="preserve"> PAGEREF _Toc365038848 \h </w:instrText>
        </w:r>
        <w:r>
          <w:rPr>
            <w:webHidden/>
          </w:rPr>
        </w:r>
        <w:r>
          <w:rPr>
            <w:webHidden/>
          </w:rPr>
          <w:fldChar w:fldCharType="separate"/>
        </w:r>
        <w:r w:rsidR="00D96003">
          <w:rPr>
            <w:webHidden/>
          </w:rPr>
          <w:t>19</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49" w:history="1">
        <w:r w:rsidR="00ED1F2A" w:rsidRPr="002E4B1A">
          <w:rPr>
            <w:rStyle w:val="Hyperlink"/>
          </w:rPr>
          <w:t>Table 5:</w:t>
        </w:r>
        <w:r w:rsidR="00ED1F2A">
          <w:rPr>
            <w:rFonts w:eastAsiaTheme="minorEastAsia" w:cstheme="minorBidi"/>
            <w:color w:val="auto"/>
            <w:szCs w:val="22"/>
            <w:lang w:eastAsia="en-AU"/>
          </w:rPr>
          <w:tab/>
        </w:r>
        <w:r w:rsidR="00ED1F2A" w:rsidRPr="002E4B1A">
          <w:rPr>
            <w:rStyle w:val="Hyperlink"/>
          </w:rPr>
          <w:t>Comparison of Australian total MSW generation, disposal and recycling performance with other selected OECD nations</w:t>
        </w:r>
        <w:r w:rsidR="00ED1F2A">
          <w:rPr>
            <w:webHidden/>
          </w:rPr>
          <w:tab/>
        </w:r>
        <w:r>
          <w:rPr>
            <w:webHidden/>
          </w:rPr>
          <w:fldChar w:fldCharType="begin"/>
        </w:r>
        <w:r w:rsidR="00ED1F2A">
          <w:rPr>
            <w:webHidden/>
          </w:rPr>
          <w:instrText xml:space="preserve"> PAGEREF _Toc365038849 \h </w:instrText>
        </w:r>
        <w:r>
          <w:rPr>
            <w:webHidden/>
          </w:rPr>
        </w:r>
        <w:r>
          <w:rPr>
            <w:webHidden/>
          </w:rPr>
          <w:fldChar w:fldCharType="separate"/>
        </w:r>
        <w:r w:rsidR="00D96003">
          <w:rPr>
            <w:webHidden/>
          </w:rPr>
          <w:t>20</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0" w:history="1">
        <w:r w:rsidR="00ED1F2A" w:rsidRPr="002E4B1A">
          <w:rPr>
            <w:rStyle w:val="Hyperlink"/>
          </w:rPr>
          <w:t xml:space="preserve">Table 6: </w:t>
        </w:r>
        <w:r w:rsidR="00ED1F2A">
          <w:rPr>
            <w:rFonts w:eastAsiaTheme="minorEastAsia" w:cstheme="minorBidi"/>
            <w:color w:val="auto"/>
            <w:szCs w:val="22"/>
            <w:lang w:eastAsia="en-AU"/>
          </w:rPr>
          <w:tab/>
        </w:r>
        <w:r w:rsidR="00ED1F2A" w:rsidRPr="002E4B1A">
          <w:rPr>
            <w:rStyle w:val="Hyperlink"/>
          </w:rPr>
          <w:t>Comparison of per capita MSW generated, disposed and recycled per year between Australia and other selected OECD nations</w:t>
        </w:r>
        <w:r w:rsidR="00ED1F2A">
          <w:rPr>
            <w:webHidden/>
          </w:rPr>
          <w:tab/>
        </w:r>
        <w:r>
          <w:rPr>
            <w:webHidden/>
          </w:rPr>
          <w:fldChar w:fldCharType="begin"/>
        </w:r>
        <w:r w:rsidR="00ED1F2A">
          <w:rPr>
            <w:webHidden/>
          </w:rPr>
          <w:instrText xml:space="preserve"> PAGEREF _Toc365038850 \h </w:instrText>
        </w:r>
        <w:r>
          <w:rPr>
            <w:webHidden/>
          </w:rPr>
        </w:r>
        <w:r>
          <w:rPr>
            <w:webHidden/>
          </w:rPr>
          <w:fldChar w:fldCharType="separate"/>
        </w:r>
        <w:r w:rsidR="00D96003">
          <w:rPr>
            <w:webHidden/>
          </w:rPr>
          <w:t>21</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1" w:history="1">
        <w:r w:rsidR="00ED1F2A" w:rsidRPr="002E4B1A">
          <w:rPr>
            <w:rStyle w:val="Hyperlink"/>
          </w:rPr>
          <w:t xml:space="preserve">Table 7: </w:t>
        </w:r>
        <w:r w:rsidR="00ED1F2A">
          <w:rPr>
            <w:rFonts w:eastAsiaTheme="minorEastAsia" w:cstheme="minorBidi"/>
            <w:color w:val="auto"/>
            <w:szCs w:val="22"/>
            <w:lang w:eastAsia="en-AU"/>
          </w:rPr>
          <w:tab/>
        </w:r>
        <w:r w:rsidR="00ED1F2A" w:rsidRPr="002E4B1A">
          <w:rPr>
            <w:rStyle w:val="Hyperlink"/>
          </w:rPr>
          <w:t>Comparison of MSW management methods in selected OECD nations</w:t>
        </w:r>
        <w:r w:rsidR="00ED1F2A">
          <w:rPr>
            <w:webHidden/>
          </w:rPr>
          <w:tab/>
        </w:r>
        <w:r>
          <w:rPr>
            <w:webHidden/>
          </w:rPr>
          <w:fldChar w:fldCharType="begin"/>
        </w:r>
        <w:r w:rsidR="00ED1F2A">
          <w:rPr>
            <w:webHidden/>
          </w:rPr>
          <w:instrText xml:space="preserve"> PAGEREF _Toc365038851 \h </w:instrText>
        </w:r>
        <w:r>
          <w:rPr>
            <w:webHidden/>
          </w:rPr>
        </w:r>
        <w:r>
          <w:rPr>
            <w:webHidden/>
          </w:rPr>
          <w:fldChar w:fldCharType="separate"/>
        </w:r>
        <w:r w:rsidR="00D96003">
          <w:rPr>
            <w:webHidden/>
          </w:rPr>
          <w:t>21</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2" w:history="1">
        <w:r w:rsidR="00ED1F2A" w:rsidRPr="002E4B1A">
          <w:rPr>
            <w:rStyle w:val="Hyperlink"/>
          </w:rPr>
          <w:t>Table 8:</w:t>
        </w:r>
        <w:r w:rsidR="00ED1F2A">
          <w:rPr>
            <w:rFonts w:eastAsiaTheme="minorEastAsia" w:cstheme="minorBidi"/>
            <w:color w:val="auto"/>
            <w:szCs w:val="22"/>
            <w:lang w:eastAsia="en-AU"/>
          </w:rPr>
          <w:tab/>
        </w:r>
        <w:r w:rsidR="00ED1F2A" w:rsidRPr="002E4B1A">
          <w:rPr>
            <w:rStyle w:val="Hyperlink"/>
          </w:rPr>
          <w:t>ACT waste reuse data</w:t>
        </w:r>
        <w:r w:rsidR="00ED1F2A">
          <w:rPr>
            <w:webHidden/>
          </w:rPr>
          <w:tab/>
        </w:r>
        <w:r>
          <w:rPr>
            <w:webHidden/>
          </w:rPr>
          <w:fldChar w:fldCharType="begin"/>
        </w:r>
        <w:r w:rsidR="00ED1F2A">
          <w:rPr>
            <w:webHidden/>
          </w:rPr>
          <w:instrText xml:space="preserve"> PAGEREF _Toc365038852 \h </w:instrText>
        </w:r>
        <w:r>
          <w:rPr>
            <w:webHidden/>
          </w:rPr>
        </w:r>
        <w:r>
          <w:rPr>
            <w:webHidden/>
          </w:rPr>
          <w:fldChar w:fldCharType="separate"/>
        </w:r>
        <w:r w:rsidR="00D96003">
          <w:rPr>
            <w:webHidden/>
          </w:rPr>
          <w:t>28</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3" w:history="1">
        <w:r w:rsidR="00ED1F2A" w:rsidRPr="002E4B1A">
          <w:rPr>
            <w:rStyle w:val="Hyperlink"/>
          </w:rPr>
          <w:t>Table 9:</w:t>
        </w:r>
        <w:r w:rsidR="00ED1F2A">
          <w:rPr>
            <w:rFonts w:eastAsiaTheme="minorEastAsia" w:cstheme="minorBidi"/>
            <w:color w:val="auto"/>
            <w:szCs w:val="22"/>
            <w:lang w:eastAsia="en-AU"/>
          </w:rPr>
          <w:tab/>
        </w:r>
        <w:r w:rsidR="00ED1F2A" w:rsidRPr="002E4B1A">
          <w:rPr>
            <w:rStyle w:val="Hyperlink"/>
          </w:rPr>
          <w:t>Summary of collated data regarding recovery of organics, 2010/11</w:t>
        </w:r>
        <w:r w:rsidR="00ED1F2A">
          <w:rPr>
            <w:webHidden/>
          </w:rPr>
          <w:tab/>
        </w:r>
        <w:r>
          <w:rPr>
            <w:webHidden/>
          </w:rPr>
          <w:fldChar w:fldCharType="begin"/>
        </w:r>
        <w:r w:rsidR="00ED1F2A">
          <w:rPr>
            <w:webHidden/>
          </w:rPr>
          <w:instrText xml:space="preserve"> PAGEREF _Toc365038853 \h </w:instrText>
        </w:r>
        <w:r>
          <w:rPr>
            <w:webHidden/>
          </w:rPr>
        </w:r>
        <w:r>
          <w:rPr>
            <w:webHidden/>
          </w:rPr>
          <w:fldChar w:fldCharType="separate"/>
        </w:r>
        <w:r w:rsidR="00D96003">
          <w:rPr>
            <w:webHidden/>
          </w:rPr>
          <w:t>67</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4" w:history="1">
        <w:r w:rsidR="00ED1F2A" w:rsidRPr="002E4B1A">
          <w:rPr>
            <w:rStyle w:val="Hyperlink"/>
          </w:rPr>
          <w:t>Table 10:</w:t>
        </w:r>
        <w:r w:rsidR="00ED1F2A">
          <w:rPr>
            <w:rFonts w:eastAsiaTheme="minorEastAsia" w:cstheme="minorBidi"/>
            <w:color w:val="auto"/>
            <w:szCs w:val="22"/>
            <w:lang w:eastAsia="en-AU"/>
          </w:rPr>
          <w:tab/>
        </w:r>
        <w:r w:rsidR="00ED1F2A" w:rsidRPr="002E4B1A">
          <w:rPr>
            <w:rStyle w:val="Hyperlink"/>
          </w:rPr>
          <w:t>Trends in organics recovery reported by ROU survey respondents</w:t>
        </w:r>
        <w:r w:rsidR="00ED1F2A">
          <w:rPr>
            <w:webHidden/>
          </w:rPr>
          <w:tab/>
        </w:r>
        <w:r>
          <w:rPr>
            <w:webHidden/>
          </w:rPr>
          <w:fldChar w:fldCharType="begin"/>
        </w:r>
        <w:r w:rsidR="00ED1F2A">
          <w:rPr>
            <w:webHidden/>
          </w:rPr>
          <w:instrText xml:space="preserve"> PAGEREF _Toc365038854 \h </w:instrText>
        </w:r>
        <w:r>
          <w:rPr>
            <w:webHidden/>
          </w:rPr>
        </w:r>
        <w:r>
          <w:rPr>
            <w:webHidden/>
          </w:rPr>
          <w:fldChar w:fldCharType="separate"/>
        </w:r>
        <w:r w:rsidR="00D96003">
          <w:rPr>
            <w:webHidden/>
          </w:rPr>
          <w:t>68</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5" w:history="1">
        <w:r w:rsidR="00ED1F2A" w:rsidRPr="002E4B1A">
          <w:rPr>
            <w:rStyle w:val="Hyperlink"/>
          </w:rPr>
          <w:t>Table 11:</w:t>
        </w:r>
        <w:r w:rsidR="00ED1F2A">
          <w:rPr>
            <w:rFonts w:eastAsiaTheme="minorEastAsia" w:cstheme="minorBidi"/>
            <w:color w:val="auto"/>
            <w:szCs w:val="22"/>
            <w:lang w:eastAsia="en-AU"/>
          </w:rPr>
          <w:tab/>
        </w:r>
        <w:r w:rsidR="00ED1F2A" w:rsidRPr="002E4B1A">
          <w:rPr>
            <w:rStyle w:val="Hyperlink"/>
          </w:rPr>
          <w:t>Trends in organics recovery based on ROU surveys, 2005/06 to 2010/11</w:t>
        </w:r>
        <w:r w:rsidR="00ED1F2A">
          <w:rPr>
            <w:webHidden/>
          </w:rPr>
          <w:tab/>
        </w:r>
        <w:r>
          <w:rPr>
            <w:webHidden/>
          </w:rPr>
          <w:fldChar w:fldCharType="begin"/>
        </w:r>
        <w:r w:rsidR="00ED1F2A">
          <w:rPr>
            <w:webHidden/>
          </w:rPr>
          <w:instrText xml:space="preserve"> PAGEREF _Toc365038855 \h </w:instrText>
        </w:r>
        <w:r>
          <w:rPr>
            <w:webHidden/>
          </w:rPr>
        </w:r>
        <w:r>
          <w:rPr>
            <w:webHidden/>
          </w:rPr>
          <w:fldChar w:fldCharType="separate"/>
        </w:r>
        <w:r w:rsidR="00D96003">
          <w:rPr>
            <w:webHidden/>
          </w:rPr>
          <w:t>69</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6" w:history="1">
        <w:r w:rsidR="00ED1F2A" w:rsidRPr="002E4B1A">
          <w:rPr>
            <w:rStyle w:val="Hyperlink"/>
          </w:rPr>
          <w:t>Table 12:</w:t>
        </w:r>
        <w:r w:rsidR="00ED1F2A">
          <w:rPr>
            <w:rFonts w:eastAsiaTheme="minorEastAsia" w:cstheme="minorBidi"/>
            <w:color w:val="auto"/>
            <w:szCs w:val="22"/>
            <w:lang w:eastAsia="en-AU"/>
          </w:rPr>
          <w:tab/>
        </w:r>
        <w:r w:rsidR="00ED1F2A" w:rsidRPr="002E4B1A">
          <w:rPr>
            <w:rStyle w:val="Hyperlink"/>
          </w:rPr>
          <w:t>MobileMuster data, 2005/06 to 2010/11</w:t>
        </w:r>
        <w:r w:rsidR="00ED1F2A">
          <w:rPr>
            <w:webHidden/>
          </w:rPr>
          <w:tab/>
        </w:r>
        <w:r>
          <w:rPr>
            <w:webHidden/>
          </w:rPr>
          <w:fldChar w:fldCharType="begin"/>
        </w:r>
        <w:r w:rsidR="00ED1F2A">
          <w:rPr>
            <w:webHidden/>
          </w:rPr>
          <w:instrText xml:space="preserve"> PAGEREF _Toc365038856 \h </w:instrText>
        </w:r>
        <w:r>
          <w:rPr>
            <w:webHidden/>
          </w:rPr>
        </w:r>
        <w:r>
          <w:rPr>
            <w:webHidden/>
          </w:rPr>
          <w:fldChar w:fldCharType="separate"/>
        </w:r>
        <w:r w:rsidR="00D96003">
          <w:rPr>
            <w:webHidden/>
          </w:rPr>
          <w:t>75</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7" w:history="1">
        <w:r w:rsidR="00ED1F2A" w:rsidRPr="002E4B1A">
          <w:rPr>
            <w:rStyle w:val="Hyperlink"/>
          </w:rPr>
          <w:t>Table 13:</w:t>
        </w:r>
        <w:r w:rsidR="00ED1F2A">
          <w:rPr>
            <w:rFonts w:eastAsiaTheme="minorEastAsia" w:cstheme="minorBidi"/>
            <w:color w:val="auto"/>
            <w:szCs w:val="22"/>
            <w:lang w:eastAsia="en-AU"/>
          </w:rPr>
          <w:tab/>
        </w:r>
        <w:r w:rsidR="00ED1F2A" w:rsidRPr="002E4B1A">
          <w:rPr>
            <w:rStyle w:val="Hyperlink"/>
          </w:rPr>
          <w:t>Packaging consumption and recycling rates, 2011</w:t>
        </w:r>
        <w:r w:rsidR="00ED1F2A">
          <w:rPr>
            <w:webHidden/>
          </w:rPr>
          <w:tab/>
        </w:r>
        <w:r>
          <w:rPr>
            <w:webHidden/>
          </w:rPr>
          <w:fldChar w:fldCharType="begin"/>
        </w:r>
        <w:r w:rsidR="00ED1F2A">
          <w:rPr>
            <w:webHidden/>
          </w:rPr>
          <w:instrText xml:space="preserve"> PAGEREF _Toc365038857 \h </w:instrText>
        </w:r>
        <w:r>
          <w:rPr>
            <w:webHidden/>
          </w:rPr>
        </w:r>
        <w:r>
          <w:rPr>
            <w:webHidden/>
          </w:rPr>
          <w:fldChar w:fldCharType="separate"/>
        </w:r>
        <w:r w:rsidR="00D96003">
          <w:rPr>
            <w:webHidden/>
          </w:rPr>
          <w:t>77</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8" w:history="1">
        <w:r w:rsidR="00ED1F2A" w:rsidRPr="002E4B1A">
          <w:rPr>
            <w:rStyle w:val="Hyperlink"/>
          </w:rPr>
          <w:t>Table 14:</w:t>
        </w:r>
        <w:r w:rsidR="00ED1F2A">
          <w:rPr>
            <w:rFonts w:eastAsiaTheme="minorEastAsia" w:cstheme="minorBidi"/>
            <w:color w:val="auto"/>
            <w:szCs w:val="22"/>
            <w:lang w:eastAsia="en-AU"/>
          </w:rPr>
          <w:tab/>
        </w:r>
        <w:r w:rsidR="00ED1F2A" w:rsidRPr="002E4B1A">
          <w:rPr>
            <w:rStyle w:val="Hyperlink"/>
          </w:rPr>
          <w:t>Fate of end-of-life tyres by equivalent passenger units, 2009/10</w:t>
        </w:r>
        <w:r w:rsidR="00ED1F2A">
          <w:rPr>
            <w:webHidden/>
          </w:rPr>
          <w:tab/>
        </w:r>
        <w:r>
          <w:rPr>
            <w:webHidden/>
          </w:rPr>
          <w:fldChar w:fldCharType="begin"/>
        </w:r>
        <w:r w:rsidR="00ED1F2A">
          <w:rPr>
            <w:webHidden/>
          </w:rPr>
          <w:instrText xml:space="preserve"> PAGEREF _Toc365038858 \h </w:instrText>
        </w:r>
        <w:r>
          <w:rPr>
            <w:webHidden/>
          </w:rPr>
        </w:r>
        <w:r>
          <w:rPr>
            <w:webHidden/>
          </w:rPr>
          <w:fldChar w:fldCharType="separate"/>
        </w:r>
        <w:r w:rsidR="00D96003">
          <w:rPr>
            <w:webHidden/>
          </w:rPr>
          <w:t>78</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59" w:history="1">
        <w:r w:rsidR="00ED1F2A" w:rsidRPr="002E4B1A">
          <w:rPr>
            <w:rStyle w:val="Hyperlink"/>
          </w:rPr>
          <w:t>Table 15:</w:t>
        </w:r>
        <w:r w:rsidR="00ED1F2A">
          <w:rPr>
            <w:rFonts w:eastAsiaTheme="minorEastAsia" w:cstheme="minorBidi"/>
            <w:color w:val="auto"/>
            <w:szCs w:val="22"/>
            <w:lang w:eastAsia="en-AU"/>
          </w:rPr>
          <w:tab/>
        </w:r>
        <w:r w:rsidR="00ED1F2A" w:rsidRPr="002E4B1A">
          <w:rPr>
            <w:rStyle w:val="Hyperlink"/>
          </w:rPr>
          <w:t>Local government kerbside collection data by jurisdiction</w:t>
        </w:r>
        <w:r w:rsidR="00ED1F2A">
          <w:rPr>
            <w:webHidden/>
          </w:rPr>
          <w:tab/>
        </w:r>
        <w:r>
          <w:rPr>
            <w:webHidden/>
          </w:rPr>
          <w:fldChar w:fldCharType="begin"/>
        </w:r>
        <w:r w:rsidR="00ED1F2A">
          <w:rPr>
            <w:webHidden/>
          </w:rPr>
          <w:instrText xml:space="preserve"> PAGEREF _Toc365038859 \h </w:instrText>
        </w:r>
        <w:r>
          <w:rPr>
            <w:webHidden/>
          </w:rPr>
        </w:r>
        <w:r>
          <w:rPr>
            <w:webHidden/>
          </w:rPr>
          <w:fldChar w:fldCharType="separate"/>
        </w:r>
        <w:r w:rsidR="00D96003">
          <w:rPr>
            <w:webHidden/>
          </w:rPr>
          <w:t>79</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0" w:history="1">
        <w:r w:rsidR="00ED1F2A" w:rsidRPr="002E4B1A">
          <w:rPr>
            <w:rStyle w:val="Hyperlink"/>
          </w:rPr>
          <w:t>Table 16:</w:t>
        </w:r>
        <w:r w:rsidR="00ED1F2A">
          <w:rPr>
            <w:rFonts w:eastAsiaTheme="minorEastAsia" w:cstheme="minorBidi"/>
            <w:color w:val="auto"/>
            <w:szCs w:val="22"/>
            <w:lang w:eastAsia="en-AU"/>
          </w:rPr>
          <w:tab/>
        </w:r>
        <w:r w:rsidR="00ED1F2A" w:rsidRPr="002E4B1A">
          <w:rPr>
            <w:rStyle w:val="Hyperlink"/>
          </w:rPr>
          <w:t>Summary table of key elements of each jurisdictions waste strategies, policies</w:t>
        </w:r>
        <w:r w:rsidR="00ED1F2A">
          <w:rPr>
            <w:webHidden/>
          </w:rPr>
          <w:tab/>
        </w:r>
        <w:r>
          <w:rPr>
            <w:webHidden/>
          </w:rPr>
          <w:fldChar w:fldCharType="begin"/>
        </w:r>
        <w:r w:rsidR="00ED1F2A">
          <w:rPr>
            <w:webHidden/>
          </w:rPr>
          <w:instrText xml:space="preserve"> PAGEREF _Toc365038860 \h </w:instrText>
        </w:r>
        <w:r>
          <w:rPr>
            <w:webHidden/>
          </w:rPr>
        </w:r>
        <w:r>
          <w:rPr>
            <w:webHidden/>
          </w:rPr>
          <w:fldChar w:fldCharType="separate"/>
        </w:r>
        <w:r w:rsidR="00D96003">
          <w:rPr>
            <w:webHidden/>
          </w:rPr>
          <w:t>81</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1" w:history="1">
        <w:r w:rsidR="00ED1F2A" w:rsidRPr="002E4B1A">
          <w:rPr>
            <w:rStyle w:val="Hyperlink"/>
          </w:rPr>
          <w:t>Table 17:</w:t>
        </w:r>
        <w:r w:rsidR="00ED1F2A">
          <w:rPr>
            <w:rFonts w:eastAsiaTheme="minorEastAsia" w:cstheme="minorBidi"/>
            <w:color w:val="auto"/>
            <w:szCs w:val="22"/>
            <w:lang w:eastAsia="en-AU"/>
          </w:rPr>
          <w:tab/>
        </w:r>
        <w:r w:rsidR="00ED1F2A" w:rsidRPr="002E4B1A">
          <w:rPr>
            <w:rStyle w:val="Hyperlink"/>
          </w:rPr>
          <w:t>Assessment of Australia’s implementation of key elements of high resource recovery frameworks during the data reporting period</w:t>
        </w:r>
        <w:r w:rsidR="00ED1F2A">
          <w:rPr>
            <w:webHidden/>
          </w:rPr>
          <w:tab/>
        </w:r>
        <w:r>
          <w:rPr>
            <w:webHidden/>
          </w:rPr>
          <w:fldChar w:fldCharType="begin"/>
        </w:r>
        <w:r w:rsidR="00ED1F2A">
          <w:rPr>
            <w:webHidden/>
          </w:rPr>
          <w:instrText xml:space="preserve"> PAGEREF _Toc365038861 \h </w:instrText>
        </w:r>
        <w:r>
          <w:rPr>
            <w:webHidden/>
          </w:rPr>
        </w:r>
        <w:r>
          <w:rPr>
            <w:webHidden/>
          </w:rPr>
          <w:fldChar w:fldCharType="separate"/>
        </w:r>
        <w:r w:rsidR="00D96003">
          <w:rPr>
            <w:webHidden/>
          </w:rPr>
          <w:t>90</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2" w:history="1">
        <w:r w:rsidR="00ED1F2A" w:rsidRPr="002E4B1A">
          <w:rPr>
            <w:rStyle w:val="Hyperlink"/>
          </w:rPr>
          <w:t>Table 18:</w:t>
        </w:r>
        <w:r w:rsidR="00ED1F2A">
          <w:rPr>
            <w:rFonts w:eastAsiaTheme="minorEastAsia" w:cstheme="minorBidi"/>
            <w:color w:val="auto"/>
            <w:szCs w:val="22"/>
            <w:lang w:eastAsia="en-AU"/>
          </w:rPr>
          <w:tab/>
        </w:r>
        <w:r w:rsidR="00ED1F2A" w:rsidRPr="002E4B1A">
          <w:rPr>
            <w:rStyle w:val="Hyperlink"/>
          </w:rPr>
          <w:t>Barriers to resource recovery suggested by jurisdictions</w:t>
        </w:r>
        <w:r w:rsidR="00ED1F2A">
          <w:rPr>
            <w:webHidden/>
          </w:rPr>
          <w:tab/>
        </w:r>
        <w:r>
          <w:rPr>
            <w:webHidden/>
          </w:rPr>
          <w:fldChar w:fldCharType="begin"/>
        </w:r>
        <w:r w:rsidR="00ED1F2A">
          <w:rPr>
            <w:webHidden/>
          </w:rPr>
          <w:instrText xml:space="preserve"> PAGEREF _Toc365038862 \h </w:instrText>
        </w:r>
        <w:r>
          <w:rPr>
            <w:webHidden/>
          </w:rPr>
        </w:r>
        <w:r>
          <w:rPr>
            <w:webHidden/>
          </w:rPr>
          <w:fldChar w:fldCharType="separate"/>
        </w:r>
        <w:r w:rsidR="00D96003">
          <w:rPr>
            <w:webHidden/>
          </w:rPr>
          <w:t>91</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3" w:history="1">
        <w:r w:rsidR="00ED1F2A" w:rsidRPr="002E4B1A">
          <w:rPr>
            <w:rStyle w:val="Hyperlink"/>
          </w:rPr>
          <w:t>Table 19:</w:t>
        </w:r>
        <w:r w:rsidR="00ED1F2A">
          <w:rPr>
            <w:rFonts w:eastAsiaTheme="minorEastAsia" w:cstheme="minorBidi"/>
            <w:color w:val="auto"/>
            <w:szCs w:val="22"/>
            <w:lang w:eastAsia="en-AU"/>
          </w:rPr>
          <w:tab/>
        </w:r>
        <w:r w:rsidR="00ED1F2A" w:rsidRPr="002E4B1A">
          <w:rPr>
            <w:rStyle w:val="Hyperlink"/>
          </w:rPr>
          <w:t>AWT maximum listed capacity compared to waste generation and disposal tonnages</w:t>
        </w:r>
        <w:r w:rsidR="00ED1F2A">
          <w:rPr>
            <w:webHidden/>
          </w:rPr>
          <w:tab/>
        </w:r>
        <w:r>
          <w:rPr>
            <w:webHidden/>
          </w:rPr>
          <w:fldChar w:fldCharType="begin"/>
        </w:r>
        <w:r w:rsidR="00ED1F2A">
          <w:rPr>
            <w:webHidden/>
          </w:rPr>
          <w:instrText xml:space="preserve"> PAGEREF _Toc365038863 \h </w:instrText>
        </w:r>
        <w:r>
          <w:rPr>
            <w:webHidden/>
          </w:rPr>
        </w:r>
        <w:r>
          <w:rPr>
            <w:webHidden/>
          </w:rPr>
          <w:fldChar w:fldCharType="separate"/>
        </w:r>
        <w:r w:rsidR="00D96003">
          <w:rPr>
            <w:webHidden/>
          </w:rPr>
          <w:t>92</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4" w:history="1">
        <w:r w:rsidR="00ED1F2A" w:rsidRPr="002E4B1A">
          <w:rPr>
            <w:rStyle w:val="Hyperlink"/>
          </w:rPr>
          <w:t>Table 20:</w:t>
        </w:r>
        <w:r w:rsidR="00ED1F2A">
          <w:rPr>
            <w:rFonts w:eastAsiaTheme="minorEastAsia" w:cstheme="minorBidi"/>
            <w:color w:val="auto"/>
            <w:szCs w:val="22"/>
            <w:lang w:eastAsia="en-AU"/>
          </w:rPr>
          <w:tab/>
        </w:r>
        <w:r w:rsidR="00ED1F2A" w:rsidRPr="002E4B1A">
          <w:rPr>
            <w:rStyle w:val="Hyperlink"/>
          </w:rPr>
          <w:t>Landfill types and wastes received</w:t>
        </w:r>
        <w:r w:rsidR="00ED1F2A">
          <w:rPr>
            <w:webHidden/>
          </w:rPr>
          <w:tab/>
        </w:r>
        <w:r>
          <w:rPr>
            <w:webHidden/>
          </w:rPr>
          <w:fldChar w:fldCharType="begin"/>
        </w:r>
        <w:r w:rsidR="00ED1F2A">
          <w:rPr>
            <w:webHidden/>
          </w:rPr>
          <w:instrText xml:space="preserve"> PAGEREF _Toc365038864 \h </w:instrText>
        </w:r>
        <w:r>
          <w:rPr>
            <w:webHidden/>
          </w:rPr>
        </w:r>
        <w:r>
          <w:rPr>
            <w:webHidden/>
          </w:rPr>
          <w:fldChar w:fldCharType="separate"/>
        </w:r>
        <w:r w:rsidR="00D96003">
          <w:rPr>
            <w:webHidden/>
          </w:rPr>
          <w:t>93</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5" w:history="1">
        <w:r w:rsidR="00ED1F2A" w:rsidRPr="002E4B1A">
          <w:rPr>
            <w:rStyle w:val="Hyperlink"/>
          </w:rPr>
          <w:t xml:space="preserve">Table 21: </w:t>
        </w:r>
        <w:r w:rsidR="00ED1F2A">
          <w:rPr>
            <w:rFonts w:eastAsiaTheme="minorEastAsia" w:cstheme="minorBidi"/>
            <w:color w:val="auto"/>
            <w:szCs w:val="22"/>
            <w:lang w:eastAsia="en-AU"/>
          </w:rPr>
          <w:tab/>
        </w:r>
        <w:r w:rsidR="00ED1F2A" w:rsidRPr="002E4B1A">
          <w:rPr>
            <w:rStyle w:val="Hyperlink"/>
          </w:rPr>
          <w:t>Landfill methane emissions by jurisdiction, 2009/10</w:t>
        </w:r>
        <w:r w:rsidR="00ED1F2A">
          <w:rPr>
            <w:webHidden/>
          </w:rPr>
          <w:tab/>
        </w:r>
        <w:r>
          <w:rPr>
            <w:webHidden/>
          </w:rPr>
          <w:fldChar w:fldCharType="begin"/>
        </w:r>
        <w:r w:rsidR="00ED1F2A">
          <w:rPr>
            <w:webHidden/>
          </w:rPr>
          <w:instrText xml:space="preserve"> PAGEREF _Toc365038865 \h </w:instrText>
        </w:r>
        <w:r>
          <w:rPr>
            <w:webHidden/>
          </w:rPr>
        </w:r>
        <w:r>
          <w:rPr>
            <w:webHidden/>
          </w:rPr>
          <w:fldChar w:fldCharType="separate"/>
        </w:r>
        <w:r w:rsidR="00D96003">
          <w:rPr>
            <w:webHidden/>
          </w:rPr>
          <w:t>96</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6" w:history="1">
        <w:r w:rsidR="00ED1F2A" w:rsidRPr="002E4B1A">
          <w:rPr>
            <w:rStyle w:val="Hyperlink"/>
          </w:rPr>
          <w:t xml:space="preserve">Table 22: </w:t>
        </w:r>
        <w:r w:rsidR="00ED1F2A">
          <w:rPr>
            <w:rFonts w:eastAsiaTheme="minorEastAsia" w:cstheme="minorBidi"/>
            <w:color w:val="auto"/>
            <w:szCs w:val="22"/>
            <w:lang w:eastAsia="en-AU"/>
          </w:rPr>
          <w:tab/>
        </w:r>
        <w:r w:rsidR="00ED1F2A" w:rsidRPr="002E4B1A">
          <w:rPr>
            <w:rStyle w:val="Hyperlink"/>
          </w:rPr>
          <w:t>Global demand and EEE* demand for certain metals, 2006</w:t>
        </w:r>
        <w:r w:rsidR="00ED1F2A">
          <w:rPr>
            <w:webHidden/>
          </w:rPr>
          <w:tab/>
        </w:r>
        <w:r>
          <w:rPr>
            <w:webHidden/>
          </w:rPr>
          <w:fldChar w:fldCharType="begin"/>
        </w:r>
        <w:r w:rsidR="00ED1F2A">
          <w:rPr>
            <w:webHidden/>
          </w:rPr>
          <w:instrText xml:space="preserve"> PAGEREF _Toc365038866 \h </w:instrText>
        </w:r>
        <w:r>
          <w:rPr>
            <w:webHidden/>
          </w:rPr>
        </w:r>
        <w:r>
          <w:rPr>
            <w:webHidden/>
          </w:rPr>
          <w:fldChar w:fldCharType="separate"/>
        </w:r>
        <w:r w:rsidR="00D96003">
          <w:rPr>
            <w:webHidden/>
          </w:rPr>
          <w:t>99</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7" w:history="1">
        <w:r w:rsidR="00ED1F2A" w:rsidRPr="002E4B1A">
          <w:rPr>
            <w:rStyle w:val="Hyperlink"/>
          </w:rPr>
          <w:t>Table 23:</w:t>
        </w:r>
        <w:r w:rsidR="00ED1F2A">
          <w:rPr>
            <w:rFonts w:eastAsiaTheme="minorEastAsia" w:cstheme="minorBidi"/>
            <w:color w:val="auto"/>
            <w:szCs w:val="22"/>
            <w:lang w:eastAsia="en-AU"/>
          </w:rPr>
          <w:tab/>
        </w:r>
        <w:r w:rsidR="00ED1F2A" w:rsidRPr="002E4B1A">
          <w:rPr>
            <w:rStyle w:val="Hyperlink"/>
          </w:rPr>
          <w:t>Details of scope and data collation method applied in WGRRA</w:t>
        </w:r>
        <w:r w:rsidR="00ED1F2A">
          <w:rPr>
            <w:webHidden/>
          </w:rPr>
          <w:tab/>
        </w:r>
        <w:r>
          <w:rPr>
            <w:webHidden/>
          </w:rPr>
          <w:fldChar w:fldCharType="begin"/>
        </w:r>
        <w:r w:rsidR="00ED1F2A">
          <w:rPr>
            <w:webHidden/>
          </w:rPr>
          <w:instrText xml:space="preserve"> PAGEREF _Toc365038867 \h </w:instrText>
        </w:r>
        <w:r>
          <w:rPr>
            <w:webHidden/>
          </w:rPr>
        </w:r>
        <w:r>
          <w:rPr>
            <w:webHidden/>
          </w:rPr>
          <w:fldChar w:fldCharType="separate"/>
        </w:r>
        <w:r w:rsidR="00D96003">
          <w:rPr>
            <w:webHidden/>
          </w:rPr>
          <w:t>112</w:t>
        </w:r>
        <w:r>
          <w:rPr>
            <w:webHidden/>
          </w:rPr>
          <w:fldChar w:fldCharType="end"/>
        </w:r>
      </w:hyperlink>
    </w:p>
    <w:p w:rsidR="00ED1F2A" w:rsidRDefault="0062001A">
      <w:pPr>
        <w:pStyle w:val="TableofFigures"/>
        <w:rPr>
          <w:rFonts w:eastAsiaTheme="minorEastAsia" w:cstheme="minorBidi"/>
          <w:color w:val="auto"/>
          <w:szCs w:val="22"/>
          <w:lang w:eastAsia="en-AU"/>
        </w:rPr>
      </w:pPr>
      <w:hyperlink w:anchor="_Toc365038868" w:history="1">
        <w:r w:rsidR="00ED1F2A" w:rsidRPr="002E4B1A">
          <w:rPr>
            <w:rStyle w:val="Hyperlink"/>
          </w:rPr>
          <w:t>Table 24:</w:t>
        </w:r>
        <w:r w:rsidR="00ED1F2A">
          <w:rPr>
            <w:rFonts w:eastAsiaTheme="minorEastAsia" w:cstheme="minorBidi"/>
            <w:color w:val="auto"/>
            <w:szCs w:val="22"/>
            <w:lang w:eastAsia="en-AU"/>
          </w:rPr>
          <w:tab/>
        </w:r>
        <w:r w:rsidR="00ED1F2A" w:rsidRPr="002E4B1A">
          <w:rPr>
            <w:rStyle w:val="Hyperlink"/>
          </w:rPr>
          <w:t>Major assumptions used in compiling the data for WGRRA</w:t>
        </w:r>
        <w:r w:rsidR="00ED1F2A">
          <w:rPr>
            <w:webHidden/>
          </w:rPr>
          <w:tab/>
        </w:r>
        <w:r>
          <w:rPr>
            <w:webHidden/>
          </w:rPr>
          <w:fldChar w:fldCharType="begin"/>
        </w:r>
        <w:r w:rsidR="00ED1F2A">
          <w:rPr>
            <w:webHidden/>
          </w:rPr>
          <w:instrText xml:space="preserve"> PAGEREF _Toc365038868 \h </w:instrText>
        </w:r>
        <w:r>
          <w:rPr>
            <w:webHidden/>
          </w:rPr>
        </w:r>
        <w:r>
          <w:rPr>
            <w:webHidden/>
          </w:rPr>
          <w:fldChar w:fldCharType="separate"/>
        </w:r>
        <w:r w:rsidR="00D96003">
          <w:rPr>
            <w:webHidden/>
          </w:rPr>
          <w:t>115</w:t>
        </w:r>
        <w:r>
          <w:rPr>
            <w:webHidden/>
          </w:rPr>
          <w:fldChar w:fldCharType="end"/>
        </w:r>
      </w:hyperlink>
    </w:p>
    <w:p w:rsidR="0092426E" w:rsidRDefault="0062001A" w:rsidP="0092426E">
      <w:pPr>
        <w:rPr>
          <w:noProof/>
        </w:rPr>
      </w:pPr>
      <w:r w:rsidRPr="00C66550">
        <w:rPr>
          <w:noProof/>
        </w:rPr>
        <w:fldChar w:fldCharType="end"/>
      </w:r>
      <w:bookmarkEnd w:id="7"/>
    </w:p>
    <w:p w:rsidR="000D7C2B" w:rsidRDefault="000D7C2B" w:rsidP="0092426E">
      <w:pPr>
        <w:rPr>
          <w:noProof/>
        </w:rPr>
      </w:pPr>
    </w:p>
    <w:p w:rsidR="00606915" w:rsidRPr="00C66550" w:rsidRDefault="00606915" w:rsidP="0092426E">
      <w:pPr>
        <w:rPr>
          <w:noProof/>
        </w:rPr>
      </w:pPr>
    </w:p>
    <w:p w:rsidR="00686A70" w:rsidRDefault="00686A70">
      <w:pPr>
        <w:spacing w:line="240" w:lineRule="auto"/>
        <w:rPr>
          <w:rFonts w:ascii="Arial Rounded MT Bold" w:hAnsi="Arial Rounded MT Bold" w:cs="Arial"/>
          <w:b/>
          <w:noProof/>
          <w:color w:val="0000FF"/>
        </w:rPr>
      </w:pPr>
      <w:bookmarkStart w:id="8" w:name="TOF"/>
      <w:r>
        <w:rPr>
          <w:noProof/>
        </w:rPr>
        <w:br w:type="page"/>
      </w:r>
    </w:p>
    <w:p w:rsidR="0092426E" w:rsidRPr="00C66550" w:rsidRDefault="0092426E" w:rsidP="0092426E">
      <w:pPr>
        <w:pStyle w:val="TOCHeadings"/>
        <w:rPr>
          <w:noProof/>
        </w:rPr>
      </w:pPr>
      <w:r w:rsidRPr="00C66550">
        <w:rPr>
          <w:noProof/>
        </w:rPr>
        <w:lastRenderedPageBreak/>
        <w:t>Figures</w:t>
      </w:r>
    </w:p>
    <w:p w:rsidR="00AC62E0" w:rsidRDefault="0062001A">
      <w:pPr>
        <w:pStyle w:val="TableofFigures"/>
        <w:rPr>
          <w:rFonts w:eastAsiaTheme="minorEastAsia" w:cstheme="minorBidi"/>
          <w:color w:val="auto"/>
          <w:szCs w:val="22"/>
          <w:lang w:eastAsia="en-AU"/>
        </w:rPr>
      </w:pPr>
      <w:r w:rsidRPr="0062001A">
        <w:rPr>
          <w:sz w:val="18"/>
        </w:rPr>
        <w:fldChar w:fldCharType="begin"/>
      </w:r>
      <w:r w:rsidR="0092426E" w:rsidRPr="00C66550">
        <w:instrText xml:space="preserve"> TOC \h \z \c "Figure" </w:instrText>
      </w:r>
      <w:r w:rsidRPr="0062001A">
        <w:rPr>
          <w:sz w:val="18"/>
        </w:rPr>
        <w:fldChar w:fldCharType="separate"/>
      </w:r>
      <w:hyperlink w:anchor="_Toc365385010" w:history="1">
        <w:r w:rsidR="00AC62E0" w:rsidRPr="007806AC">
          <w:rPr>
            <w:rStyle w:val="Hyperlink"/>
          </w:rPr>
          <w:t>Figure 1:</w:t>
        </w:r>
        <w:r w:rsidR="00AC62E0">
          <w:rPr>
            <w:rFonts w:eastAsiaTheme="minorEastAsia" w:cstheme="minorBidi"/>
            <w:color w:val="auto"/>
            <w:szCs w:val="22"/>
            <w:lang w:eastAsia="en-AU"/>
          </w:rPr>
          <w:tab/>
        </w:r>
        <w:r w:rsidR="00AC62E0" w:rsidRPr="007806AC">
          <w:rPr>
            <w:rStyle w:val="Hyperlink"/>
          </w:rPr>
          <w:t xml:space="preserve">Population growth by jurisdiction </w:t>
        </w:r>
        <w:r w:rsidR="00AC62E0">
          <w:rPr>
            <w:webHidden/>
          </w:rPr>
          <w:tab/>
        </w:r>
        <w:r>
          <w:rPr>
            <w:webHidden/>
          </w:rPr>
          <w:fldChar w:fldCharType="begin"/>
        </w:r>
        <w:r w:rsidR="00AC62E0">
          <w:rPr>
            <w:webHidden/>
          </w:rPr>
          <w:instrText xml:space="preserve"> PAGEREF _Toc365385010 \h </w:instrText>
        </w:r>
        <w:r>
          <w:rPr>
            <w:webHidden/>
          </w:rPr>
        </w:r>
        <w:r>
          <w:rPr>
            <w:webHidden/>
          </w:rPr>
          <w:fldChar w:fldCharType="separate"/>
        </w:r>
        <w:r w:rsidR="00D96003">
          <w:rPr>
            <w:webHidden/>
          </w:rPr>
          <w:t>4</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1" w:history="1">
        <w:r w:rsidR="00AC62E0" w:rsidRPr="007806AC">
          <w:rPr>
            <w:rStyle w:val="Hyperlink"/>
          </w:rPr>
          <w:t>Figure 2:</w:t>
        </w:r>
        <w:r w:rsidR="00AC62E0">
          <w:rPr>
            <w:rFonts w:eastAsiaTheme="minorEastAsia" w:cstheme="minorBidi"/>
            <w:color w:val="auto"/>
            <w:szCs w:val="22"/>
            <w:lang w:eastAsia="en-AU"/>
          </w:rPr>
          <w:tab/>
        </w:r>
        <w:r w:rsidR="00AC62E0" w:rsidRPr="007806AC">
          <w:rPr>
            <w:rStyle w:val="Hyperlink"/>
          </w:rPr>
          <w:t>GSP growth by jurisdiction</w:t>
        </w:r>
        <w:r w:rsidR="00AC62E0">
          <w:rPr>
            <w:webHidden/>
          </w:rPr>
          <w:tab/>
        </w:r>
        <w:r>
          <w:rPr>
            <w:webHidden/>
          </w:rPr>
          <w:fldChar w:fldCharType="begin"/>
        </w:r>
        <w:r w:rsidR="00AC62E0">
          <w:rPr>
            <w:webHidden/>
          </w:rPr>
          <w:instrText xml:space="preserve"> PAGEREF _Toc365385011 \h </w:instrText>
        </w:r>
        <w:r>
          <w:rPr>
            <w:webHidden/>
          </w:rPr>
        </w:r>
        <w:r>
          <w:rPr>
            <w:webHidden/>
          </w:rPr>
          <w:fldChar w:fldCharType="separate"/>
        </w:r>
        <w:r w:rsidR="00D96003">
          <w:rPr>
            <w:webHidden/>
          </w:rPr>
          <w:t>5</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2" w:history="1">
        <w:r w:rsidR="00AC62E0" w:rsidRPr="007806AC">
          <w:rPr>
            <w:rStyle w:val="Hyperlink"/>
          </w:rPr>
          <w:t>Figure 3:</w:t>
        </w:r>
        <w:r w:rsidR="00AC62E0">
          <w:rPr>
            <w:rFonts w:eastAsiaTheme="minorEastAsia" w:cstheme="minorBidi"/>
            <w:color w:val="auto"/>
            <w:szCs w:val="22"/>
            <w:lang w:eastAsia="en-AU"/>
          </w:rPr>
          <w:tab/>
        </w:r>
        <w:r w:rsidR="00AC62E0" w:rsidRPr="007806AC">
          <w:rPr>
            <w:rStyle w:val="Hyperlink"/>
          </w:rPr>
          <w:t>Average weekly incomes per capita by jurisdiction (gross), 2011</w:t>
        </w:r>
        <w:r w:rsidR="00AC62E0">
          <w:rPr>
            <w:webHidden/>
          </w:rPr>
          <w:tab/>
        </w:r>
        <w:r>
          <w:rPr>
            <w:webHidden/>
          </w:rPr>
          <w:fldChar w:fldCharType="begin"/>
        </w:r>
        <w:r w:rsidR="00AC62E0">
          <w:rPr>
            <w:webHidden/>
          </w:rPr>
          <w:instrText xml:space="preserve"> PAGEREF _Toc365385012 \h </w:instrText>
        </w:r>
        <w:r>
          <w:rPr>
            <w:webHidden/>
          </w:rPr>
        </w:r>
        <w:r>
          <w:rPr>
            <w:webHidden/>
          </w:rPr>
          <w:fldChar w:fldCharType="separate"/>
        </w:r>
        <w:r w:rsidR="00D96003">
          <w:rPr>
            <w:webHidden/>
          </w:rPr>
          <w:t>6</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3" w:history="1">
        <w:r w:rsidR="00AC62E0" w:rsidRPr="007806AC">
          <w:rPr>
            <w:rStyle w:val="Hyperlink"/>
          </w:rPr>
          <w:t>Figure 4:</w:t>
        </w:r>
        <w:r w:rsidR="00AC62E0">
          <w:rPr>
            <w:rFonts w:eastAsiaTheme="minorEastAsia" w:cstheme="minorBidi"/>
            <w:color w:val="auto"/>
            <w:szCs w:val="22"/>
            <w:lang w:eastAsia="en-AU"/>
          </w:rPr>
          <w:tab/>
        </w:r>
        <w:r w:rsidR="00AC62E0" w:rsidRPr="007806AC">
          <w:rPr>
            <w:rStyle w:val="Hyperlink"/>
          </w:rPr>
          <w:t>Percentage of population living in metropolitan or inner regional areas by jurisdiction</w:t>
        </w:r>
        <w:r w:rsidR="00AC62E0">
          <w:rPr>
            <w:webHidden/>
          </w:rPr>
          <w:tab/>
        </w:r>
        <w:r>
          <w:rPr>
            <w:webHidden/>
          </w:rPr>
          <w:fldChar w:fldCharType="begin"/>
        </w:r>
        <w:r w:rsidR="00AC62E0">
          <w:rPr>
            <w:webHidden/>
          </w:rPr>
          <w:instrText xml:space="preserve"> PAGEREF _Toc365385013 \h </w:instrText>
        </w:r>
        <w:r>
          <w:rPr>
            <w:webHidden/>
          </w:rPr>
        </w:r>
        <w:r>
          <w:rPr>
            <w:webHidden/>
          </w:rPr>
          <w:fldChar w:fldCharType="separate"/>
        </w:r>
        <w:r w:rsidR="00D96003">
          <w:rPr>
            <w:webHidden/>
          </w:rPr>
          <w:t>7</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4" w:history="1">
        <w:r w:rsidR="00AC62E0" w:rsidRPr="007806AC">
          <w:rPr>
            <w:rStyle w:val="Hyperlink"/>
          </w:rPr>
          <w:t>Figure 5:</w:t>
        </w:r>
        <w:r w:rsidR="00AC62E0">
          <w:rPr>
            <w:rFonts w:eastAsiaTheme="minorEastAsia" w:cstheme="minorBidi"/>
            <w:color w:val="auto"/>
            <w:szCs w:val="22"/>
            <w:lang w:eastAsia="en-AU"/>
          </w:rPr>
          <w:tab/>
        </w:r>
        <w:r w:rsidR="00AC62E0" w:rsidRPr="007806AC">
          <w:rPr>
            <w:rStyle w:val="Hyperlink"/>
          </w:rPr>
          <w:t>Australia 2010/11, per capita and total waste generation by management</w:t>
        </w:r>
        <w:r w:rsidR="00AC62E0">
          <w:rPr>
            <w:webHidden/>
          </w:rPr>
          <w:tab/>
        </w:r>
        <w:r>
          <w:rPr>
            <w:webHidden/>
          </w:rPr>
          <w:fldChar w:fldCharType="begin"/>
        </w:r>
        <w:r w:rsidR="00AC62E0">
          <w:rPr>
            <w:webHidden/>
          </w:rPr>
          <w:instrText xml:space="preserve"> PAGEREF _Toc365385014 \h </w:instrText>
        </w:r>
        <w:r>
          <w:rPr>
            <w:webHidden/>
          </w:rPr>
        </w:r>
        <w:r>
          <w:rPr>
            <w:webHidden/>
          </w:rPr>
          <w:fldChar w:fldCharType="separate"/>
        </w:r>
        <w:r w:rsidR="00D96003">
          <w:rPr>
            <w:webHidden/>
          </w:rPr>
          <w:t>8</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5" w:history="1">
        <w:r w:rsidR="00AC62E0" w:rsidRPr="007806AC">
          <w:rPr>
            <w:rStyle w:val="Hyperlink"/>
          </w:rPr>
          <w:t>Figure 6:</w:t>
        </w:r>
        <w:r w:rsidR="00AC62E0">
          <w:rPr>
            <w:rFonts w:eastAsiaTheme="minorEastAsia" w:cstheme="minorBidi"/>
            <w:color w:val="auto"/>
            <w:szCs w:val="22"/>
            <w:lang w:eastAsia="en-AU"/>
          </w:rPr>
          <w:tab/>
        </w:r>
        <w:r w:rsidR="00AC62E0" w:rsidRPr="007806AC">
          <w:rPr>
            <w:rStyle w:val="Hyperlink"/>
          </w:rPr>
          <w:t>Australia 2010/11, per capita and total waste generation by management by jurisdiction</w:t>
        </w:r>
        <w:r w:rsidR="00AC62E0">
          <w:rPr>
            <w:webHidden/>
          </w:rPr>
          <w:tab/>
        </w:r>
        <w:r>
          <w:rPr>
            <w:webHidden/>
          </w:rPr>
          <w:fldChar w:fldCharType="begin"/>
        </w:r>
        <w:r w:rsidR="00AC62E0">
          <w:rPr>
            <w:webHidden/>
          </w:rPr>
          <w:instrText xml:space="preserve"> PAGEREF _Toc365385015 \h </w:instrText>
        </w:r>
        <w:r>
          <w:rPr>
            <w:webHidden/>
          </w:rPr>
        </w:r>
        <w:r>
          <w:rPr>
            <w:webHidden/>
          </w:rPr>
          <w:fldChar w:fldCharType="separate"/>
        </w:r>
        <w:r w:rsidR="00D96003">
          <w:rPr>
            <w:webHidden/>
          </w:rPr>
          <w:t>9</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6" w:history="1">
        <w:r w:rsidR="00AC62E0" w:rsidRPr="007806AC">
          <w:rPr>
            <w:rStyle w:val="Hyperlink"/>
          </w:rPr>
          <w:t>Figure 7:</w:t>
        </w:r>
        <w:r w:rsidR="00AC62E0">
          <w:rPr>
            <w:rFonts w:eastAsiaTheme="minorEastAsia" w:cstheme="minorBidi"/>
            <w:color w:val="auto"/>
            <w:szCs w:val="22"/>
            <w:lang w:eastAsia="en-AU"/>
          </w:rPr>
          <w:tab/>
        </w:r>
        <w:r w:rsidR="00AC62E0" w:rsidRPr="007806AC">
          <w:rPr>
            <w:rStyle w:val="Hyperlink"/>
          </w:rPr>
          <w:t>Australia 2010/11, total waste generation by waste stream and management (excluding ACT)</w:t>
        </w:r>
        <w:r w:rsidR="00AC62E0">
          <w:rPr>
            <w:webHidden/>
          </w:rPr>
          <w:tab/>
        </w:r>
        <w:r>
          <w:rPr>
            <w:webHidden/>
          </w:rPr>
          <w:fldChar w:fldCharType="begin"/>
        </w:r>
        <w:r w:rsidR="00AC62E0">
          <w:rPr>
            <w:webHidden/>
          </w:rPr>
          <w:instrText xml:space="preserve"> PAGEREF _Toc365385016 \h </w:instrText>
        </w:r>
        <w:r>
          <w:rPr>
            <w:webHidden/>
          </w:rPr>
        </w:r>
        <w:r>
          <w:rPr>
            <w:webHidden/>
          </w:rPr>
          <w:fldChar w:fldCharType="separate"/>
        </w:r>
        <w:r w:rsidR="00D96003">
          <w:rPr>
            <w:webHidden/>
          </w:rPr>
          <w:t>10</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7" w:history="1">
        <w:r w:rsidR="00AC62E0" w:rsidRPr="007806AC">
          <w:rPr>
            <w:rStyle w:val="Hyperlink"/>
          </w:rPr>
          <w:t>Figure 8:</w:t>
        </w:r>
        <w:r w:rsidR="00AC62E0">
          <w:rPr>
            <w:rFonts w:eastAsiaTheme="minorEastAsia" w:cstheme="minorBidi"/>
            <w:color w:val="auto"/>
            <w:szCs w:val="22"/>
            <w:lang w:eastAsia="en-AU"/>
          </w:rPr>
          <w:tab/>
        </w:r>
        <w:r w:rsidR="00AC62E0" w:rsidRPr="007806AC">
          <w:rPr>
            <w:rStyle w:val="Hyperlink"/>
          </w:rPr>
          <w:t>Australia 2010/11, per capita waste generation by waste stream, management, and jurisdiction (excluding ACT)</w:t>
        </w:r>
        <w:r w:rsidR="00AC62E0">
          <w:rPr>
            <w:webHidden/>
          </w:rPr>
          <w:tab/>
        </w:r>
        <w:r>
          <w:rPr>
            <w:webHidden/>
          </w:rPr>
          <w:fldChar w:fldCharType="begin"/>
        </w:r>
        <w:r w:rsidR="00AC62E0">
          <w:rPr>
            <w:webHidden/>
          </w:rPr>
          <w:instrText xml:space="preserve"> PAGEREF _Toc365385017 \h </w:instrText>
        </w:r>
        <w:r>
          <w:rPr>
            <w:webHidden/>
          </w:rPr>
        </w:r>
        <w:r>
          <w:rPr>
            <w:webHidden/>
          </w:rPr>
          <w:fldChar w:fldCharType="separate"/>
        </w:r>
        <w:r w:rsidR="00D96003">
          <w:rPr>
            <w:webHidden/>
          </w:rPr>
          <w:t>11</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8" w:history="1">
        <w:r w:rsidR="00AC62E0" w:rsidRPr="007806AC">
          <w:rPr>
            <w:rStyle w:val="Hyperlink"/>
          </w:rPr>
          <w:t>Figure 9:</w:t>
        </w:r>
        <w:r w:rsidR="00AC62E0">
          <w:rPr>
            <w:rFonts w:eastAsiaTheme="minorEastAsia" w:cstheme="minorBidi"/>
            <w:color w:val="auto"/>
            <w:szCs w:val="22"/>
            <w:lang w:eastAsia="en-AU"/>
          </w:rPr>
          <w:tab/>
        </w:r>
        <w:r w:rsidR="00AC62E0" w:rsidRPr="007806AC">
          <w:rPr>
            <w:rStyle w:val="Hyperlink"/>
          </w:rPr>
          <w:t>Australia 2010/11, total waste generation by waste stream and management (excluding ACT)</w:t>
        </w:r>
        <w:r w:rsidR="00AC62E0">
          <w:rPr>
            <w:webHidden/>
          </w:rPr>
          <w:tab/>
        </w:r>
        <w:r>
          <w:rPr>
            <w:webHidden/>
          </w:rPr>
          <w:fldChar w:fldCharType="begin"/>
        </w:r>
        <w:r w:rsidR="00AC62E0">
          <w:rPr>
            <w:webHidden/>
          </w:rPr>
          <w:instrText xml:space="preserve"> PAGEREF _Toc365385018 \h </w:instrText>
        </w:r>
        <w:r>
          <w:rPr>
            <w:webHidden/>
          </w:rPr>
        </w:r>
        <w:r>
          <w:rPr>
            <w:webHidden/>
          </w:rPr>
          <w:fldChar w:fldCharType="separate"/>
        </w:r>
        <w:r w:rsidR="00D96003">
          <w:rPr>
            <w:webHidden/>
          </w:rPr>
          <w:t>12</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19" w:history="1">
        <w:r w:rsidR="00AC62E0" w:rsidRPr="007806AC">
          <w:rPr>
            <w:rStyle w:val="Hyperlink"/>
          </w:rPr>
          <w:t>Figure 10:</w:t>
        </w:r>
        <w:r w:rsidR="00AC62E0">
          <w:rPr>
            <w:rFonts w:eastAsiaTheme="minorEastAsia" w:cstheme="minorBidi"/>
            <w:color w:val="auto"/>
            <w:szCs w:val="22"/>
            <w:lang w:eastAsia="en-AU"/>
          </w:rPr>
          <w:tab/>
        </w:r>
        <w:r w:rsidR="00AC62E0" w:rsidRPr="007806AC">
          <w:rPr>
            <w:rStyle w:val="Hyperlink"/>
          </w:rPr>
          <w:t>Australia 2010/11, total waste generation by material category and management</w:t>
        </w:r>
        <w:r w:rsidR="00AC62E0">
          <w:rPr>
            <w:webHidden/>
          </w:rPr>
          <w:tab/>
        </w:r>
        <w:r>
          <w:rPr>
            <w:webHidden/>
          </w:rPr>
          <w:fldChar w:fldCharType="begin"/>
        </w:r>
        <w:r w:rsidR="00AC62E0">
          <w:rPr>
            <w:webHidden/>
          </w:rPr>
          <w:instrText xml:space="preserve"> PAGEREF _Toc365385019 \h </w:instrText>
        </w:r>
        <w:r>
          <w:rPr>
            <w:webHidden/>
          </w:rPr>
        </w:r>
        <w:r>
          <w:rPr>
            <w:webHidden/>
          </w:rPr>
          <w:fldChar w:fldCharType="separate"/>
        </w:r>
        <w:r w:rsidR="00D96003">
          <w:rPr>
            <w:webHidden/>
          </w:rPr>
          <w:t>13</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0" w:history="1">
        <w:r w:rsidR="00AC62E0" w:rsidRPr="007806AC">
          <w:rPr>
            <w:rStyle w:val="Hyperlink"/>
          </w:rPr>
          <w:t>Figure 11:</w:t>
        </w:r>
        <w:r w:rsidR="00AC62E0">
          <w:rPr>
            <w:rFonts w:eastAsiaTheme="minorEastAsia" w:cstheme="minorBidi"/>
            <w:color w:val="auto"/>
            <w:szCs w:val="22"/>
            <w:lang w:eastAsia="en-AU"/>
          </w:rPr>
          <w:tab/>
        </w:r>
        <w:r w:rsidR="00AC62E0" w:rsidRPr="007806AC">
          <w:rPr>
            <w:rStyle w:val="Hyperlink"/>
          </w:rPr>
          <w:t>Trends in per capita waste generation and management, Australia 2006/07 to 2010/11</w:t>
        </w:r>
        <w:r w:rsidR="00AC62E0">
          <w:rPr>
            <w:webHidden/>
          </w:rPr>
          <w:tab/>
        </w:r>
        <w:r>
          <w:rPr>
            <w:webHidden/>
          </w:rPr>
          <w:fldChar w:fldCharType="begin"/>
        </w:r>
        <w:r w:rsidR="00AC62E0">
          <w:rPr>
            <w:webHidden/>
          </w:rPr>
          <w:instrText xml:space="preserve"> PAGEREF _Toc365385020 \h </w:instrText>
        </w:r>
        <w:r>
          <w:rPr>
            <w:webHidden/>
          </w:rPr>
        </w:r>
        <w:r>
          <w:rPr>
            <w:webHidden/>
          </w:rPr>
          <w:fldChar w:fldCharType="separate"/>
        </w:r>
        <w:r w:rsidR="00D96003">
          <w:rPr>
            <w:webHidden/>
          </w:rPr>
          <w:t>15</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1" w:history="1">
        <w:r w:rsidR="00AC62E0" w:rsidRPr="007806AC">
          <w:rPr>
            <w:rStyle w:val="Hyperlink"/>
          </w:rPr>
          <w:t>Figure 12</w:t>
        </w:r>
        <w:r w:rsidR="00AC62E0">
          <w:rPr>
            <w:rFonts w:eastAsiaTheme="minorEastAsia" w:cstheme="minorBidi"/>
            <w:color w:val="auto"/>
            <w:szCs w:val="22"/>
            <w:lang w:eastAsia="en-AU"/>
          </w:rPr>
          <w:tab/>
        </w:r>
        <w:r w:rsidR="00AC62E0" w:rsidRPr="007806AC">
          <w:rPr>
            <w:rStyle w:val="Hyperlink"/>
          </w:rPr>
          <w:t>Trends in total waste generation and management, Australia 2006/07 to 2010/11</w:t>
        </w:r>
        <w:r w:rsidR="00AC62E0">
          <w:rPr>
            <w:webHidden/>
          </w:rPr>
          <w:tab/>
        </w:r>
        <w:r>
          <w:rPr>
            <w:webHidden/>
          </w:rPr>
          <w:fldChar w:fldCharType="begin"/>
        </w:r>
        <w:r w:rsidR="00AC62E0">
          <w:rPr>
            <w:webHidden/>
          </w:rPr>
          <w:instrText xml:space="preserve"> PAGEREF _Toc365385021 \h </w:instrText>
        </w:r>
        <w:r>
          <w:rPr>
            <w:webHidden/>
          </w:rPr>
        </w:r>
        <w:r>
          <w:rPr>
            <w:webHidden/>
          </w:rPr>
          <w:fldChar w:fldCharType="separate"/>
        </w:r>
        <w:r w:rsidR="00D96003">
          <w:rPr>
            <w:webHidden/>
          </w:rPr>
          <w:t>16</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2" w:history="1">
        <w:r w:rsidR="00AC62E0" w:rsidRPr="007806AC">
          <w:rPr>
            <w:rStyle w:val="Hyperlink"/>
          </w:rPr>
          <w:t>Figure 13:</w:t>
        </w:r>
        <w:r w:rsidR="00AC62E0">
          <w:rPr>
            <w:rFonts w:eastAsiaTheme="minorEastAsia" w:cstheme="minorBidi"/>
            <w:color w:val="auto"/>
            <w:szCs w:val="22"/>
            <w:lang w:eastAsia="en-AU"/>
          </w:rPr>
          <w:tab/>
        </w:r>
        <w:r w:rsidR="00AC62E0" w:rsidRPr="007806AC">
          <w:rPr>
            <w:rStyle w:val="Hyperlink"/>
          </w:rPr>
          <w:t>Trends in per capita waste generation by jurisdiction over the reporting period</w:t>
        </w:r>
        <w:r w:rsidR="00AC62E0">
          <w:rPr>
            <w:webHidden/>
          </w:rPr>
          <w:tab/>
        </w:r>
        <w:r>
          <w:rPr>
            <w:webHidden/>
          </w:rPr>
          <w:fldChar w:fldCharType="begin"/>
        </w:r>
        <w:r w:rsidR="00AC62E0">
          <w:rPr>
            <w:webHidden/>
          </w:rPr>
          <w:instrText xml:space="preserve"> PAGEREF _Toc365385022 \h </w:instrText>
        </w:r>
        <w:r>
          <w:rPr>
            <w:webHidden/>
          </w:rPr>
        </w:r>
        <w:r>
          <w:rPr>
            <w:webHidden/>
          </w:rPr>
          <w:fldChar w:fldCharType="separate"/>
        </w:r>
        <w:r w:rsidR="00D96003">
          <w:rPr>
            <w:webHidden/>
          </w:rPr>
          <w:t>17</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3" w:history="1">
        <w:r w:rsidR="00AC62E0" w:rsidRPr="007806AC">
          <w:rPr>
            <w:rStyle w:val="Hyperlink"/>
            <w:lang w:eastAsia="en-AU"/>
          </w:rPr>
          <w:t>Figure 14:</w:t>
        </w:r>
        <w:r w:rsidR="00AC62E0">
          <w:rPr>
            <w:rFonts w:eastAsiaTheme="minorEastAsia" w:cstheme="minorBidi"/>
            <w:color w:val="auto"/>
            <w:szCs w:val="22"/>
            <w:lang w:eastAsia="en-AU"/>
          </w:rPr>
          <w:tab/>
        </w:r>
        <w:r w:rsidR="00AC62E0" w:rsidRPr="007806AC">
          <w:rPr>
            <w:rStyle w:val="Hyperlink"/>
            <w:lang w:eastAsia="en-AU"/>
          </w:rPr>
          <w:t>Comparison of total MSW generation in selected nations (kt/year)</w:t>
        </w:r>
        <w:r w:rsidR="00AC62E0">
          <w:rPr>
            <w:webHidden/>
          </w:rPr>
          <w:tab/>
        </w:r>
        <w:r>
          <w:rPr>
            <w:webHidden/>
          </w:rPr>
          <w:fldChar w:fldCharType="begin"/>
        </w:r>
        <w:r w:rsidR="00AC62E0">
          <w:rPr>
            <w:webHidden/>
          </w:rPr>
          <w:instrText xml:space="preserve"> PAGEREF _Toc365385023 \h </w:instrText>
        </w:r>
        <w:r>
          <w:rPr>
            <w:webHidden/>
          </w:rPr>
        </w:r>
        <w:r>
          <w:rPr>
            <w:webHidden/>
          </w:rPr>
          <w:fldChar w:fldCharType="separate"/>
        </w:r>
        <w:r w:rsidR="00D96003">
          <w:rPr>
            <w:webHidden/>
          </w:rPr>
          <w:t>22</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4" w:history="1">
        <w:r w:rsidR="00AC62E0" w:rsidRPr="007806AC">
          <w:rPr>
            <w:rStyle w:val="Hyperlink"/>
            <w:lang w:eastAsia="en-AU"/>
          </w:rPr>
          <w:t xml:space="preserve">Figure 15: </w:t>
        </w:r>
        <w:r w:rsidR="00AC62E0">
          <w:rPr>
            <w:rFonts w:eastAsiaTheme="minorEastAsia" w:cstheme="minorBidi"/>
            <w:color w:val="auto"/>
            <w:szCs w:val="22"/>
            <w:lang w:eastAsia="en-AU"/>
          </w:rPr>
          <w:tab/>
        </w:r>
        <w:r w:rsidR="00AC62E0" w:rsidRPr="007806AC">
          <w:rPr>
            <w:rStyle w:val="Hyperlink"/>
            <w:lang w:eastAsia="en-AU"/>
          </w:rPr>
          <w:t>Comparison of MSW generation per capita in selected nations (kg/capita/year)</w:t>
        </w:r>
        <w:r w:rsidR="00AC62E0">
          <w:rPr>
            <w:webHidden/>
          </w:rPr>
          <w:tab/>
        </w:r>
        <w:r>
          <w:rPr>
            <w:webHidden/>
          </w:rPr>
          <w:fldChar w:fldCharType="begin"/>
        </w:r>
        <w:r w:rsidR="00AC62E0">
          <w:rPr>
            <w:webHidden/>
          </w:rPr>
          <w:instrText xml:space="preserve"> PAGEREF _Toc365385024 \h </w:instrText>
        </w:r>
        <w:r>
          <w:rPr>
            <w:webHidden/>
          </w:rPr>
        </w:r>
        <w:r>
          <w:rPr>
            <w:webHidden/>
          </w:rPr>
          <w:fldChar w:fldCharType="separate"/>
        </w:r>
        <w:r w:rsidR="00D96003">
          <w:rPr>
            <w:webHidden/>
          </w:rPr>
          <w:t>23</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5" w:history="1">
        <w:r w:rsidR="00AC62E0" w:rsidRPr="007806AC">
          <w:rPr>
            <w:rStyle w:val="Hyperlink"/>
            <w:lang w:eastAsia="en-AU"/>
          </w:rPr>
          <w:t xml:space="preserve">Figure 16: </w:t>
        </w:r>
        <w:r w:rsidR="00AC62E0">
          <w:rPr>
            <w:rFonts w:eastAsiaTheme="minorEastAsia" w:cstheme="minorBidi"/>
            <w:color w:val="auto"/>
            <w:szCs w:val="22"/>
            <w:lang w:eastAsia="en-AU"/>
          </w:rPr>
          <w:tab/>
        </w:r>
        <w:r w:rsidR="00AC62E0" w:rsidRPr="007806AC">
          <w:rPr>
            <w:rStyle w:val="Hyperlink"/>
            <w:lang w:eastAsia="en-AU"/>
          </w:rPr>
          <w:t>Comparison of quantities of MSW disposed (i.e. not recovered) via diffent methods in selected nations (kg/capita/year)</w:t>
        </w:r>
        <w:r w:rsidR="00AC62E0">
          <w:rPr>
            <w:webHidden/>
          </w:rPr>
          <w:tab/>
        </w:r>
        <w:r>
          <w:rPr>
            <w:webHidden/>
          </w:rPr>
          <w:fldChar w:fldCharType="begin"/>
        </w:r>
        <w:r w:rsidR="00AC62E0">
          <w:rPr>
            <w:webHidden/>
          </w:rPr>
          <w:instrText xml:space="preserve"> PAGEREF _Toc365385025 \h </w:instrText>
        </w:r>
        <w:r>
          <w:rPr>
            <w:webHidden/>
          </w:rPr>
        </w:r>
        <w:r>
          <w:rPr>
            <w:webHidden/>
          </w:rPr>
          <w:fldChar w:fldCharType="separate"/>
        </w:r>
        <w:r w:rsidR="00D96003">
          <w:rPr>
            <w:webHidden/>
          </w:rPr>
          <w:t>23</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6" w:history="1">
        <w:r w:rsidR="00AC62E0" w:rsidRPr="007806AC">
          <w:rPr>
            <w:rStyle w:val="Hyperlink"/>
            <w:lang w:eastAsia="en-AU"/>
          </w:rPr>
          <w:t xml:space="preserve">Figure 17: </w:t>
        </w:r>
        <w:r w:rsidR="00AC62E0">
          <w:rPr>
            <w:rFonts w:eastAsiaTheme="minorEastAsia" w:cstheme="minorBidi"/>
            <w:color w:val="auto"/>
            <w:szCs w:val="22"/>
            <w:lang w:eastAsia="en-AU"/>
          </w:rPr>
          <w:tab/>
        </w:r>
        <w:r w:rsidR="00AC62E0" w:rsidRPr="007806AC">
          <w:rPr>
            <w:rStyle w:val="Hyperlink"/>
            <w:lang w:eastAsia="en-AU"/>
          </w:rPr>
          <w:t>Comparison of recovery rates for MSW in selected nations (% by weight)</w:t>
        </w:r>
        <w:r w:rsidR="00AC62E0">
          <w:rPr>
            <w:webHidden/>
          </w:rPr>
          <w:tab/>
        </w:r>
        <w:r>
          <w:rPr>
            <w:webHidden/>
          </w:rPr>
          <w:fldChar w:fldCharType="begin"/>
        </w:r>
        <w:r w:rsidR="00AC62E0">
          <w:rPr>
            <w:webHidden/>
          </w:rPr>
          <w:instrText xml:space="preserve"> PAGEREF _Toc365385026 \h </w:instrText>
        </w:r>
        <w:r>
          <w:rPr>
            <w:webHidden/>
          </w:rPr>
        </w:r>
        <w:r>
          <w:rPr>
            <w:webHidden/>
          </w:rPr>
          <w:fldChar w:fldCharType="separate"/>
        </w:r>
        <w:r w:rsidR="00D96003">
          <w:rPr>
            <w:webHidden/>
          </w:rPr>
          <w:t>24</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7" w:history="1">
        <w:r w:rsidR="00AC62E0" w:rsidRPr="007806AC">
          <w:rPr>
            <w:rStyle w:val="Hyperlink"/>
            <w:lang w:eastAsia="en-AU"/>
          </w:rPr>
          <w:t xml:space="preserve">Figure 18: </w:t>
        </w:r>
        <w:r w:rsidR="00AC62E0">
          <w:rPr>
            <w:rFonts w:eastAsiaTheme="minorEastAsia" w:cstheme="minorBidi"/>
            <w:color w:val="auto"/>
            <w:szCs w:val="22"/>
            <w:lang w:eastAsia="en-AU"/>
          </w:rPr>
          <w:tab/>
        </w:r>
        <w:r w:rsidR="00AC62E0" w:rsidRPr="007806AC">
          <w:rPr>
            <w:rStyle w:val="Hyperlink"/>
            <w:lang w:eastAsia="en-AU"/>
          </w:rPr>
          <w:t>Comparison of the per capita quantities of MSW resource recovery in selected nations (kg/capita/year)</w:t>
        </w:r>
        <w:r w:rsidR="00AC62E0">
          <w:rPr>
            <w:webHidden/>
          </w:rPr>
          <w:tab/>
        </w:r>
        <w:r>
          <w:rPr>
            <w:webHidden/>
          </w:rPr>
          <w:fldChar w:fldCharType="begin"/>
        </w:r>
        <w:r w:rsidR="00AC62E0">
          <w:rPr>
            <w:webHidden/>
          </w:rPr>
          <w:instrText xml:space="preserve"> PAGEREF _Toc365385027 \h </w:instrText>
        </w:r>
        <w:r>
          <w:rPr>
            <w:webHidden/>
          </w:rPr>
        </w:r>
        <w:r>
          <w:rPr>
            <w:webHidden/>
          </w:rPr>
          <w:fldChar w:fldCharType="separate"/>
        </w:r>
        <w:r w:rsidR="00D96003">
          <w:rPr>
            <w:webHidden/>
          </w:rPr>
          <w:t>24</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8" w:history="1">
        <w:r w:rsidR="00AC62E0" w:rsidRPr="007806AC">
          <w:rPr>
            <w:rStyle w:val="Hyperlink"/>
          </w:rPr>
          <w:t>Figure 19:</w:t>
        </w:r>
        <w:r w:rsidR="00AC62E0">
          <w:rPr>
            <w:rFonts w:eastAsiaTheme="minorEastAsia" w:cstheme="minorBidi"/>
            <w:color w:val="auto"/>
            <w:szCs w:val="22"/>
            <w:lang w:eastAsia="en-AU"/>
          </w:rPr>
          <w:tab/>
        </w:r>
        <w:r w:rsidR="00AC62E0" w:rsidRPr="007806AC">
          <w:rPr>
            <w:rStyle w:val="Hyperlink"/>
          </w:rPr>
          <w:t>ACT 2010/11, total waste generation by (a) management and (b) material category and management</w:t>
        </w:r>
        <w:r w:rsidR="00AC62E0">
          <w:rPr>
            <w:webHidden/>
          </w:rPr>
          <w:tab/>
        </w:r>
        <w:r>
          <w:rPr>
            <w:webHidden/>
          </w:rPr>
          <w:fldChar w:fldCharType="begin"/>
        </w:r>
        <w:r w:rsidR="00AC62E0">
          <w:rPr>
            <w:webHidden/>
          </w:rPr>
          <w:instrText xml:space="preserve"> PAGEREF _Toc365385028 \h </w:instrText>
        </w:r>
        <w:r>
          <w:rPr>
            <w:webHidden/>
          </w:rPr>
        </w:r>
        <w:r>
          <w:rPr>
            <w:webHidden/>
          </w:rPr>
          <w:fldChar w:fldCharType="separate"/>
        </w:r>
        <w:r w:rsidR="00D96003">
          <w:rPr>
            <w:webHidden/>
          </w:rPr>
          <w:t>26</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29" w:history="1">
        <w:r w:rsidR="00AC62E0" w:rsidRPr="007806AC">
          <w:rPr>
            <w:rStyle w:val="Hyperlink"/>
          </w:rPr>
          <w:t>Figure 20:</w:t>
        </w:r>
        <w:r w:rsidR="00AC62E0">
          <w:rPr>
            <w:rFonts w:eastAsiaTheme="minorEastAsia" w:cstheme="minorBidi"/>
            <w:color w:val="auto"/>
            <w:szCs w:val="22"/>
            <w:lang w:eastAsia="en-AU"/>
          </w:rPr>
          <w:tab/>
        </w:r>
        <w:r w:rsidR="00AC62E0" w:rsidRPr="007806AC">
          <w:rPr>
            <w:rStyle w:val="Hyperlink"/>
          </w:rPr>
          <w:t>Trends in per capita waste generation and management, ACT 2006/07 to 2010/11</w:t>
        </w:r>
        <w:r w:rsidR="00AC62E0">
          <w:rPr>
            <w:webHidden/>
          </w:rPr>
          <w:tab/>
        </w:r>
        <w:r>
          <w:rPr>
            <w:webHidden/>
          </w:rPr>
          <w:fldChar w:fldCharType="begin"/>
        </w:r>
        <w:r w:rsidR="00AC62E0">
          <w:rPr>
            <w:webHidden/>
          </w:rPr>
          <w:instrText xml:space="preserve"> PAGEREF _Toc365385029 \h </w:instrText>
        </w:r>
        <w:r>
          <w:rPr>
            <w:webHidden/>
          </w:rPr>
        </w:r>
        <w:r>
          <w:rPr>
            <w:webHidden/>
          </w:rPr>
          <w:fldChar w:fldCharType="separate"/>
        </w:r>
        <w:r w:rsidR="00D96003">
          <w:rPr>
            <w:webHidden/>
          </w:rPr>
          <w:t>27</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0" w:history="1">
        <w:r w:rsidR="00AC62E0" w:rsidRPr="007806AC">
          <w:rPr>
            <w:rStyle w:val="Hyperlink"/>
          </w:rPr>
          <w:t>Figure 21:</w:t>
        </w:r>
        <w:r w:rsidR="00AC62E0">
          <w:rPr>
            <w:rFonts w:eastAsiaTheme="minorEastAsia" w:cstheme="minorBidi"/>
            <w:color w:val="auto"/>
            <w:szCs w:val="22"/>
            <w:lang w:eastAsia="en-AU"/>
          </w:rPr>
          <w:tab/>
        </w:r>
        <w:r w:rsidR="00AC62E0" w:rsidRPr="007806AC">
          <w:rPr>
            <w:rStyle w:val="Hyperlink"/>
          </w:rPr>
          <w:t>Trends in total waste generation and management, ACT 2006/07 to 2010/11</w:t>
        </w:r>
        <w:r w:rsidR="00AC62E0">
          <w:rPr>
            <w:webHidden/>
          </w:rPr>
          <w:tab/>
        </w:r>
        <w:r>
          <w:rPr>
            <w:webHidden/>
          </w:rPr>
          <w:fldChar w:fldCharType="begin"/>
        </w:r>
        <w:r w:rsidR="00AC62E0">
          <w:rPr>
            <w:webHidden/>
          </w:rPr>
          <w:instrText xml:space="preserve"> PAGEREF _Toc365385030 \h </w:instrText>
        </w:r>
        <w:r>
          <w:rPr>
            <w:webHidden/>
          </w:rPr>
        </w:r>
        <w:r>
          <w:rPr>
            <w:webHidden/>
          </w:rPr>
          <w:fldChar w:fldCharType="separate"/>
        </w:r>
        <w:r w:rsidR="00D96003">
          <w:rPr>
            <w:webHidden/>
          </w:rPr>
          <w:t>28</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1" w:history="1">
        <w:r w:rsidR="00AC62E0" w:rsidRPr="007806AC">
          <w:rPr>
            <w:rStyle w:val="Hyperlink"/>
          </w:rPr>
          <w:t>Figure 22:</w:t>
        </w:r>
        <w:r w:rsidR="00AC62E0">
          <w:rPr>
            <w:rFonts w:eastAsiaTheme="minorEastAsia" w:cstheme="minorBidi"/>
            <w:color w:val="auto"/>
            <w:szCs w:val="22"/>
            <w:lang w:eastAsia="en-AU"/>
          </w:rPr>
          <w:tab/>
        </w:r>
        <w:r w:rsidR="00AC62E0" w:rsidRPr="007806AC">
          <w:rPr>
            <w:rStyle w:val="Hyperlink"/>
          </w:rPr>
          <w:t>NSW 2010/11, total waste generation by: (a) management (b) waste stream and management (c) material category and management</w:t>
        </w:r>
        <w:r w:rsidR="00AC62E0">
          <w:rPr>
            <w:webHidden/>
          </w:rPr>
          <w:tab/>
        </w:r>
        <w:r>
          <w:rPr>
            <w:webHidden/>
          </w:rPr>
          <w:fldChar w:fldCharType="begin"/>
        </w:r>
        <w:r w:rsidR="00AC62E0">
          <w:rPr>
            <w:webHidden/>
          </w:rPr>
          <w:instrText xml:space="preserve"> PAGEREF _Toc365385031 \h </w:instrText>
        </w:r>
        <w:r>
          <w:rPr>
            <w:webHidden/>
          </w:rPr>
        </w:r>
        <w:r>
          <w:rPr>
            <w:webHidden/>
          </w:rPr>
          <w:fldChar w:fldCharType="separate"/>
        </w:r>
        <w:r w:rsidR="00D96003">
          <w:rPr>
            <w:webHidden/>
          </w:rPr>
          <w:t>30</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2" w:history="1">
        <w:r w:rsidR="00AC62E0" w:rsidRPr="007806AC">
          <w:rPr>
            <w:rStyle w:val="Hyperlink"/>
          </w:rPr>
          <w:t>Figure 23:</w:t>
        </w:r>
        <w:r w:rsidR="00AC62E0">
          <w:rPr>
            <w:rFonts w:eastAsiaTheme="minorEastAsia" w:cstheme="minorBidi"/>
            <w:color w:val="auto"/>
            <w:szCs w:val="22"/>
            <w:lang w:eastAsia="en-AU"/>
          </w:rPr>
          <w:tab/>
        </w:r>
        <w:r w:rsidR="00AC62E0" w:rsidRPr="007806AC">
          <w:rPr>
            <w:rStyle w:val="Hyperlink"/>
          </w:rPr>
          <w:t>Trends in per capita waste generation and management, NSW 2006/07 to 2010/11</w:t>
        </w:r>
        <w:r w:rsidR="00AC62E0">
          <w:rPr>
            <w:webHidden/>
          </w:rPr>
          <w:tab/>
        </w:r>
        <w:r>
          <w:rPr>
            <w:webHidden/>
          </w:rPr>
          <w:fldChar w:fldCharType="begin"/>
        </w:r>
        <w:r w:rsidR="00AC62E0">
          <w:rPr>
            <w:webHidden/>
          </w:rPr>
          <w:instrText xml:space="preserve"> PAGEREF _Toc365385032 \h </w:instrText>
        </w:r>
        <w:r>
          <w:rPr>
            <w:webHidden/>
          </w:rPr>
        </w:r>
        <w:r>
          <w:rPr>
            <w:webHidden/>
          </w:rPr>
          <w:fldChar w:fldCharType="separate"/>
        </w:r>
        <w:r w:rsidR="00D96003">
          <w:rPr>
            <w:webHidden/>
          </w:rPr>
          <w:t>31</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3" w:history="1">
        <w:r w:rsidR="00AC62E0" w:rsidRPr="007806AC">
          <w:rPr>
            <w:rStyle w:val="Hyperlink"/>
          </w:rPr>
          <w:t>Figure 24:</w:t>
        </w:r>
        <w:r w:rsidR="00AC62E0">
          <w:rPr>
            <w:rFonts w:eastAsiaTheme="minorEastAsia" w:cstheme="minorBidi"/>
            <w:color w:val="auto"/>
            <w:szCs w:val="22"/>
            <w:lang w:eastAsia="en-AU"/>
          </w:rPr>
          <w:tab/>
        </w:r>
        <w:r w:rsidR="00AC62E0" w:rsidRPr="007806AC">
          <w:rPr>
            <w:rStyle w:val="Hyperlink"/>
          </w:rPr>
          <w:t>Trends in total waste generation and management, NSW 2006/07 to 2010/11</w:t>
        </w:r>
        <w:r w:rsidR="00AC62E0">
          <w:rPr>
            <w:webHidden/>
          </w:rPr>
          <w:tab/>
        </w:r>
        <w:r>
          <w:rPr>
            <w:webHidden/>
          </w:rPr>
          <w:fldChar w:fldCharType="begin"/>
        </w:r>
        <w:r w:rsidR="00AC62E0">
          <w:rPr>
            <w:webHidden/>
          </w:rPr>
          <w:instrText xml:space="preserve"> PAGEREF _Toc365385033 \h </w:instrText>
        </w:r>
        <w:r>
          <w:rPr>
            <w:webHidden/>
          </w:rPr>
        </w:r>
        <w:r>
          <w:rPr>
            <w:webHidden/>
          </w:rPr>
          <w:fldChar w:fldCharType="separate"/>
        </w:r>
        <w:r w:rsidR="00D96003">
          <w:rPr>
            <w:webHidden/>
          </w:rPr>
          <w:t>32</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4" w:history="1">
        <w:r w:rsidR="00AC62E0" w:rsidRPr="007806AC">
          <w:rPr>
            <w:rStyle w:val="Hyperlink"/>
          </w:rPr>
          <w:t>Figure 25:</w:t>
        </w:r>
        <w:r w:rsidR="00AC62E0">
          <w:rPr>
            <w:rFonts w:eastAsiaTheme="minorEastAsia" w:cstheme="minorBidi"/>
            <w:color w:val="auto"/>
            <w:szCs w:val="22"/>
            <w:lang w:eastAsia="en-AU"/>
          </w:rPr>
          <w:tab/>
        </w:r>
        <w:r w:rsidR="00AC62E0" w:rsidRPr="007806AC">
          <w:rPr>
            <w:rStyle w:val="Hyperlink"/>
          </w:rPr>
          <w:t>NT 2010/11, total waste generation by (a) management (b) waste stream and management (c) material category and management</w:t>
        </w:r>
        <w:r w:rsidR="00AC62E0">
          <w:rPr>
            <w:webHidden/>
          </w:rPr>
          <w:tab/>
        </w:r>
        <w:r>
          <w:rPr>
            <w:webHidden/>
          </w:rPr>
          <w:fldChar w:fldCharType="begin"/>
        </w:r>
        <w:r w:rsidR="00AC62E0">
          <w:rPr>
            <w:webHidden/>
          </w:rPr>
          <w:instrText xml:space="preserve"> PAGEREF _Toc365385034 \h </w:instrText>
        </w:r>
        <w:r>
          <w:rPr>
            <w:webHidden/>
          </w:rPr>
        </w:r>
        <w:r>
          <w:rPr>
            <w:webHidden/>
          </w:rPr>
          <w:fldChar w:fldCharType="separate"/>
        </w:r>
        <w:r w:rsidR="00D96003">
          <w:rPr>
            <w:webHidden/>
          </w:rPr>
          <w:t>34</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5" w:history="1">
        <w:r w:rsidR="00AC62E0" w:rsidRPr="007806AC">
          <w:rPr>
            <w:rStyle w:val="Hyperlink"/>
          </w:rPr>
          <w:t>Figure 26:</w:t>
        </w:r>
        <w:r w:rsidR="00AC62E0">
          <w:rPr>
            <w:rFonts w:eastAsiaTheme="minorEastAsia" w:cstheme="minorBidi"/>
            <w:color w:val="auto"/>
            <w:szCs w:val="22"/>
            <w:lang w:eastAsia="en-AU"/>
          </w:rPr>
          <w:tab/>
        </w:r>
        <w:r w:rsidR="00AC62E0" w:rsidRPr="007806AC">
          <w:rPr>
            <w:rStyle w:val="Hyperlink"/>
          </w:rPr>
          <w:t>Qld 2010/11, total waste generation by: (a) management (b) waste stream and management (c) material category and management</w:t>
        </w:r>
        <w:r w:rsidR="00AC62E0">
          <w:rPr>
            <w:webHidden/>
          </w:rPr>
          <w:tab/>
        </w:r>
        <w:r>
          <w:rPr>
            <w:webHidden/>
          </w:rPr>
          <w:fldChar w:fldCharType="begin"/>
        </w:r>
        <w:r w:rsidR="00AC62E0">
          <w:rPr>
            <w:webHidden/>
          </w:rPr>
          <w:instrText xml:space="preserve"> PAGEREF _Toc365385035 \h </w:instrText>
        </w:r>
        <w:r>
          <w:rPr>
            <w:webHidden/>
          </w:rPr>
        </w:r>
        <w:r>
          <w:rPr>
            <w:webHidden/>
          </w:rPr>
          <w:fldChar w:fldCharType="separate"/>
        </w:r>
        <w:r w:rsidR="00D96003">
          <w:rPr>
            <w:webHidden/>
          </w:rPr>
          <w:t>36</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6" w:history="1">
        <w:r w:rsidR="00AC62E0" w:rsidRPr="007806AC">
          <w:rPr>
            <w:rStyle w:val="Hyperlink"/>
          </w:rPr>
          <w:t>Figure 27:</w:t>
        </w:r>
        <w:r w:rsidR="00AC62E0">
          <w:rPr>
            <w:rFonts w:eastAsiaTheme="minorEastAsia" w:cstheme="minorBidi"/>
            <w:color w:val="auto"/>
            <w:szCs w:val="22"/>
            <w:lang w:eastAsia="en-AU"/>
          </w:rPr>
          <w:tab/>
        </w:r>
        <w:r w:rsidR="00AC62E0" w:rsidRPr="007806AC">
          <w:rPr>
            <w:rStyle w:val="Hyperlink"/>
          </w:rPr>
          <w:t>Trends in per capita waste generation and management, Qld 2008/09 to 2011/12</w:t>
        </w:r>
        <w:r w:rsidR="00AC62E0">
          <w:rPr>
            <w:webHidden/>
          </w:rPr>
          <w:tab/>
        </w:r>
        <w:r>
          <w:rPr>
            <w:webHidden/>
          </w:rPr>
          <w:fldChar w:fldCharType="begin"/>
        </w:r>
        <w:r w:rsidR="00AC62E0">
          <w:rPr>
            <w:webHidden/>
          </w:rPr>
          <w:instrText xml:space="preserve"> PAGEREF _Toc365385036 \h </w:instrText>
        </w:r>
        <w:r>
          <w:rPr>
            <w:webHidden/>
          </w:rPr>
        </w:r>
        <w:r>
          <w:rPr>
            <w:webHidden/>
          </w:rPr>
          <w:fldChar w:fldCharType="separate"/>
        </w:r>
        <w:r w:rsidR="00D96003">
          <w:rPr>
            <w:webHidden/>
          </w:rPr>
          <w:t>37</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7" w:history="1">
        <w:r w:rsidR="00AC62E0" w:rsidRPr="007806AC">
          <w:rPr>
            <w:rStyle w:val="Hyperlink"/>
          </w:rPr>
          <w:t>Figure 28:</w:t>
        </w:r>
        <w:r w:rsidR="00AC62E0">
          <w:rPr>
            <w:rFonts w:eastAsiaTheme="minorEastAsia" w:cstheme="minorBidi"/>
            <w:color w:val="auto"/>
            <w:szCs w:val="22"/>
            <w:lang w:eastAsia="en-AU"/>
          </w:rPr>
          <w:tab/>
        </w:r>
        <w:r w:rsidR="00AC62E0" w:rsidRPr="007806AC">
          <w:rPr>
            <w:rStyle w:val="Hyperlink"/>
          </w:rPr>
          <w:t>Trends in total waste generation and management, Qld 2008/09 to 2011/12</w:t>
        </w:r>
        <w:r w:rsidR="00AC62E0">
          <w:rPr>
            <w:webHidden/>
          </w:rPr>
          <w:tab/>
        </w:r>
        <w:r>
          <w:rPr>
            <w:webHidden/>
          </w:rPr>
          <w:fldChar w:fldCharType="begin"/>
        </w:r>
        <w:r w:rsidR="00AC62E0">
          <w:rPr>
            <w:webHidden/>
          </w:rPr>
          <w:instrText xml:space="preserve"> PAGEREF _Toc365385037 \h </w:instrText>
        </w:r>
        <w:r>
          <w:rPr>
            <w:webHidden/>
          </w:rPr>
        </w:r>
        <w:r>
          <w:rPr>
            <w:webHidden/>
          </w:rPr>
          <w:fldChar w:fldCharType="separate"/>
        </w:r>
        <w:r w:rsidR="00D96003">
          <w:rPr>
            <w:webHidden/>
          </w:rPr>
          <w:t>38</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8" w:history="1">
        <w:r w:rsidR="00AC62E0" w:rsidRPr="007806AC">
          <w:rPr>
            <w:rStyle w:val="Hyperlink"/>
          </w:rPr>
          <w:t>Figure 29:</w:t>
        </w:r>
        <w:r w:rsidR="00AC62E0">
          <w:rPr>
            <w:rFonts w:eastAsiaTheme="minorEastAsia" w:cstheme="minorBidi"/>
            <w:color w:val="auto"/>
            <w:szCs w:val="22"/>
            <w:lang w:eastAsia="en-AU"/>
          </w:rPr>
          <w:tab/>
        </w:r>
        <w:r w:rsidR="00AC62E0" w:rsidRPr="007806AC">
          <w:rPr>
            <w:rStyle w:val="Hyperlink"/>
          </w:rPr>
          <w:t>SA 2010/11, total waste generation by: (a) management (b) waste stream and management (c) material category and management</w:t>
        </w:r>
        <w:r w:rsidR="00AC62E0">
          <w:rPr>
            <w:webHidden/>
          </w:rPr>
          <w:tab/>
        </w:r>
        <w:r>
          <w:rPr>
            <w:webHidden/>
          </w:rPr>
          <w:fldChar w:fldCharType="begin"/>
        </w:r>
        <w:r w:rsidR="00AC62E0">
          <w:rPr>
            <w:webHidden/>
          </w:rPr>
          <w:instrText xml:space="preserve"> PAGEREF _Toc365385038 \h </w:instrText>
        </w:r>
        <w:r>
          <w:rPr>
            <w:webHidden/>
          </w:rPr>
        </w:r>
        <w:r>
          <w:rPr>
            <w:webHidden/>
          </w:rPr>
          <w:fldChar w:fldCharType="separate"/>
        </w:r>
        <w:r w:rsidR="00D96003">
          <w:rPr>
            <w:webHidden/>
          </w:rPr>
          <w:t>40</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39" w:history="1">
        <w:r w:rsidR="00AC62E0" w:rsidRPr="007806AC">
          <w:rPr>
            <w:rStyle w:val="Hyperlink"/>
          </w:rPr>
          <w:t>Figure 30:</w:t>
        </w:r>
        <w:r w:rsidR="00AC62E0">
          <w:rPr>
            <w:rFonts w:eastAsiaTheme="minorEastAsia" w:cstheme="minorBidi"/>
            <w:color w:val="auto"/>
            <w:szCs w:val="22"/>
            <w:lang w:eastAsia="en-AU"/>
          </w:rPr>
          <w:tab/>
        </w:r>
        <w:r w:rsidR="00AC62E0" w:rsidRPr="007806AC">
          <w:rPr>
            <w:rStyle w:val="Hyperlink"/>
          </w:rPr>
          <w:t>Trends in per capita waste generation and management, SA 2006/07 to 2010/11</w:t>
        </w:r>
        <w:r w:rsidR="00AC62E0">
          <w:rPr>
            <w:webHidden/>
          </w:rPr>
          <w:tab/>
        </w:r>
        <w:r>
          <w:rPr>
            <w:webHidden/>
          </w:rPr>
          <w:fldChar w:fldCharType="begin"/>
        </w:r>
        <w:r w:rsidR="00AC62E0">
          <w:rPr>
            <w:webHidden/>
          </w:rPr>
          <w:instrText xml:space="preserve"> PAGEREF _Toc365385039 \h </w:instrText>
        </w:r>
        <w:r>
          <w:rPr>
            <w:webHidden/>
          </w:rPr>
        </w:r>
        <w:r>
          <w:rPr>
            <w:webHidden/>
          </w:rPr>
          <w:fldChar w:fldCharType="separate"/>
        </w:r>
        <w:r w:rsidR="00D96003">
          <w:rPr>
            <w:webHidden/>
          </w:rPr>
          <w:t>41</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0" w:history="1">
        <w:r w:rsidR="00AC62E0" w:rsidRPr="007806AC">
          <w:rPr>
            <w:rStyle w:val="Hyperlink"/>
          </w:rPr>
          <w:t>Figure 31:</w:t>
        </w:r>
        <w:r w:rsidR="00AC62E0">
          <w:rPr>
            <w:rFonts w:eastAsiaTheme="minorEastAsia" w:cstheme="minorBidi"/>
            <w:color w:val="auto"/>
            <w:szCs w:val="22"/>
            <w:lang w:eastAsia="en-AU"/>
          </w:rPr>
          <w:tab/>
        </w:r>
        <w:r w:rsidR="00AC62E0" w:rsidRPr="007806AC">
          <w:rPr>
            <w:rStyle w:val="Hyperlink"/>
          </w:rPr>
          <w:t>Trends in total waste generation and management, SA 2006/07 to 2010/11</w:t>
        </w:r>
        <w:r w:rsidR="00AC62E0">
          <w:rPr>
            <w:webHidden/>
          </w:rPr>
          <w:tab/>
        </w:r>
        <w:r>
          <w:rPr>
            <w:webHidden/>
          </w:rPr>
          <w:fldChar w:fldCharType="begin"/>
        </w:r>
        <w:r w:rsidR="00AC62E0">
          <w:rPr>
            <w:webHidden/>
          </w:rPr>
          <w:instrText xml:space="preserve"> PAGEREF _Toc365385040 \h </w:instrText>
        </w:r>
        <w:r>
          <w:rPr>
            <w:webHidden/>
          </w:rPr>
        </w:r>
        <w:r>
          <w:rPr>
            <w:webHidden/>
          </w:rPr>
          <w:fldChar w:fldCharType="separate"/>
        </w:r>
        <w:r w:rsidR="00D96003">
          <w:rPr>
            <w:webHidden/>
          </w:rPr>
          <w:t>42</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1" w:history="1">
        <w:r w:rsidR="00AC62E0" w:rsidRPr="007806AC">
          <w:rPr>
            <w:rStyle w:val="Hyperlink"/>
          </w:rPr>
          <w:t>Figure 32:</w:t>
        </w:r>
        <w:r w:rsidR="00AC62E0">
          <w:rPr>
            <w:rFonts w:eastAsiaTheme="minorEastAsia" w:cstheme="minorBidi"/>
            <w:color w:val="auto"/>
            <w:szCs w:val="22"/>
            <w:lang w:eastAsia="en-AU"/>
          </w:rPr>
          <w:tab/>
        </w:r>
        <w:r w:rsidR="00AC62E0" w:rsidRPr="007806AC">
          <w:rPr>
            <w:rStyle w:val="Hyperlink"/>
          </w:rPr>
          <w:t>Tas 2010/11, total waste generation by: (a) management (b) waste stream and management (c) material category and management</w:t>
        </w:r>
        <w:r w:rsidR="00AC62E0">
          <w:rPr>
            <w:webHidden/>
          </w:rPr>
          <w:tab/>
        </w:r>
        <w:r>
          <w:rPr>
            <w:webHidden/>
          </w:rPr>
          <w:fldChar w:fldCharType="begin"/>
        </w:r>
        <w:r w:rsidR="00AC62E0">
          <w:rPr>
            <w:webHidden/>
          </w:rPr>
          <w:instrText xml:space="preserve"> PAGEREF _Toc365385041 \h </w:instrText>
        </w:r>
        <w:r>
          <w:rPr>
            <w:webHidden/>
          </w:rPr>
        </w:r>
        <w:r>
          <w:rPr>
            <w:webHidden/>
          </w:rPr>
          <w:fldChar w:fldCharType="separate"/>
        </w:r>
        <w:r w:rsidR="00D96003">
          <w:rPr>
            <w:webHidden/>
          </w:rPr>
          <w:t>44</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2" w:history="1">
        <w:r w:rsidR="00AC62E0" w:rsidRPr="007806AC">
          <w:rPr>
            <w:rStyle w:val="Hyperlink"/>
          </w:rPr>
          <w:t>Figure 33:</w:t>
        </w:r>
        <w:r w:rsidR="00AC62E0">
          <w:rPr>
            <w:rFonts w:eastAsiaTheme="minorEastAsia" w:cstheme="minorBidi"/>
            <w:color w:val="auto"/>
            <w:szCs w:val="22"/>
            <w:lang w:eastAsia="en-AU"/>
          </w:rPr>
          <w:tab/>
        </w:r>
        <w:r w:rsidR="00AC62E0" w:rsidRPr="007806AC">
          <w:rPr>
            <w:rStyle w:val="Hyperlink"/>
          </w:rPr>
          <w:t>Trends in per capita waste generation and management, Tas 2006/07 to 2010/11</w:t>
        </w:r>
        <w:r w:rsidR="00AC62E0">
          <w:rPr>
            <w:webHidden/>
          </w:rPr>
          <w:tab/>
        </w:r>
        <w:r>
          <w:rPr>
            <w:webHidden/>
          </w:rPr>
          <w:fldChar w:fldCharType="begin"/>
        </w:r>
        <w:r w:rsidR="00AC62E0">
          <w:rPr>
            <w:webHidden/>
          </w:rPr>
          <w:instrText xml:space="preserve"> PAGEREF _Toc365385042 \h </w:instrText>
        </w:r>
        <w:r>
          <w:rPr>
            <w:webHidden/>
          </w:rPr>
        </w:r>
        <w:r>
          <w:rPr>
            <w:webHidden/>
          </w:rPr>
          <w:fldChar w:fldCharType="separate"/>
        </w:r>
        <w:r w:rsidR="00D96003">
          <w:rPr>
            <w:webHidden/>
          </w:rPr>
          <w:t>45</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3" w:history="1">
        <w:r w:rsidR="00AC62E0" w:rsidRPr="007806AC">
          <w:rPr>
            <w:rStyle w:val="Hyperlink"/>
          </w:rPr>
          <w:t>Figure 34:</w:t>
        </w:r>
        <w:r w:rsidR="00AC62E0">
          <w:rPr>
            <w:rFonts w:eastAsiaTheme="minorEastAsia" w:cstheme="minorBidi"/>
            <w:color w:val="auto"/>
            <w:szCs w:val="22"/>
            <w:lang w:eastAsia="en-AU"/>
          </w:rPr>
          <w:tab/>
        </w:r>
        <w:r w:rsidR="00AC62E0" w:rsidRPr="007806AC">
          <w:rPr>
            <w:rStyle w:val="Hyperlink"/>
          </w:rPr>
          <w:t>Trends in total waste generation and management, Tas 2006/07 to 2010/11</w:t>
        </w:r>
        <w:r w:rsidR="00AC62E0">
          <w:rPr>
            <w:webHidden/>
          </w:rPr>
          <w:tab/>
        </w:r>
        <w:r>
          <w:rPr>
            <w:webHidden/>
          </w:rPr>
          <w:fldChar w:fldCharType="begin"/>
        </w:r>
        <w:r w:rsidR="00AC62E0">
          <w:rPr>
            <w:webHidden/>
          </w:rPr>
          <w:instrText xml:space="preserve"> PAGEREF _Toc365385043 \h </w:instrText>
        </w:r>
        <w:r>
          <w:rPr>
            <w:webHidden/>
          </w:rPr>
        </w:r>
        <w:r>
          <w:rPr>
            <w:webHidden/>
          </w:rPr>
          <w:fldChar w:fldCharType="separate"/>
        </w:r>
        <w:r w:rsidR="00D96003">
          <w:rPr>
            <w:webHidden/>
          </w:rPr>
          <w:t>46</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4" w:history="1">
        <w:r w:rsidR="00AC62E0" w:rsidRPr="007806AC">
          <w:rPr>
            <w:rStyle w:val="Hyperlink"/>
          </w:rPr>
          <w:t>Figure 35:</w:t>
        </w:r>
        <w:r w:rsidR="00AC62E0">
          <w:rPr>
            <w:rFonts w:eastAsiaTheme="minorEastAsia" w:cstheme="minorBidi"/>
            <w:color w:val="auto"/>
            <w:szCs w:val="22"/>
            <w:lang w:eastAsia="en-AU"/>
          </w:rPr>
          <w:tab/>
        </w:r>
        <w:r w:rsidR="00AC62E0" w:rsidRPr="007806AC">
          <w:rPr>
            <w:rStyle w:val="Hyperlink"/>
          </w:rPr>
          <w:t>Vic 2010/11, total waste generation by: (a) management (b) waste stream and management (c) material category and management</w:t>
        </w:r>
        <w:r w:rsidR="00AC62E0">
          <w:rPr>
            <w:webHidden/>
          </w:rPr>
          <w:tab/>
        </w:r>
        <w:r>
          <w:rPr>
            <w:webHidden/>
          </w:rPr>
          <w:fldChar w:fldCharType="begin"/>
        </w:r>
        <w:r w:rsidR="00AC62E0">
          <w:rPr>
            <w:webHidden/>
          </w:rPr>
          <w:instrText xml:space="preserve"> PAGEREF _Toc365385044 \h </w:instrText>
        </w:r>
        <w:r>
          <w:rPr>
            <w:webHidden/>
          </w:rPr>
        </w:r>
        <w:r>
          <w:rPr>
            <w:webHidden/>
          </w:rPr>
          <w:fldChar w:fldCharType="separate"/>
        </w:r>
        <w:r w:rsidR="00D96003">
          <w:rPr>
            <w:webHidden/>
          </w:rPr>
          <w:t>48</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5" w:history="1">
        <w:r w:rsidR="00AC62E0" w:rsidRPr="007806AC">
          <w:rPr>
            <w:rStyle w:val="Hyperlink"/>
          </w:rPr>
          <w:t>Figure 36:</w:t>
        </w:r>
        <w:r w:rsidR="00AC62E0">
          <w:rPr>
            <w:rFonts w:eastAsiaTheme="minorEastAsia" w:cstheme="minorBidi"/>
            <w:color w:val="auto"/>
            <w:szCs w:val="22"/>
            <w:lang w:eastAsia="en-AU"/>
          </w:rPr>
          <w:tab/>
        </w:r>
        <w:r w:rsidR="00AC62E0" w:rsidRPr="007806AC">
          <w:rPr>
            <w:rStyle w:val="Hyperlink"/>
          </w:rPr>
          <w:t>Trends in per capita waste generation and management, Vic 2006/07 to 2010/11</w:t>
        </w:r>
        <w:r w:rsidR="00AC62E0">
          <w:rPr>
            <w:webHidden/>
          </w:rPr>
          <w:tab/>
        </w:r>
        <w:r>
          <w:rPr>
            <w:webHidden/>
          </w:rPr>
          <w:fldChar w:fldCharType="begin"/>
        </w:r>
        <w:r w:rsidR="00AC62E0">
          <w:rPr>
            <w:webHidden/>
          </w:rPr>
          <w:instrText xml:space="preserve"> PAGEREF _Toc365385045 \h </w:instrText>
        </w:r>
        <w:r>
          <w:rPr>
            <w:webHidden/>
          </w:rPr>
        </w:r>
        <w:r>
          <w:rPr>
            <w:webHidden/>
          </w:rPr>
          <w:fldChar w:fldCharType="separate"/>
        </w:r>
        <w:r w:rsidR="00D96003">
          <w:rPr>
            <w:webHidden/>
          </w:rPr>
          <w:t>49</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6" w:history="1">
        <w:r w:rsidR="00AC62E0" w:rsidRPr="007806AC">
          <w:rPr>
            <w:rStyle w:val="Hyperlink"/>
          </w:rPr>
          <w:t>Figure 37:</w:t>
        </w:r>
        <w:r w:rsidR="00AC62E0">
          <w:rPr>
            <w:rFonts w:eastAsiaTheme="minorEastAsia" w:cstheme="minorBidi"/>
            <w:color w:val="auto"/>
            <w:szCs w:val="22"/>
            <w:lang w:eastAsia="en-AU"/>
          </w:rPr>
          <w:tab/>
        </w:r>
        <w:r w:rsidR="00AC62E0" w:rsidRPr="007806AC">
          <w:rPr>
            <w:rStyle w:val="Hyperlink"/>
          </w:rPr>
          <w:t>Trends in total waste generation and management, Vic 2006/07 to 2010/11</w:t>
        </w:r>
        <w:r w:rsidR="00AC62E0">
          <w:rPr>
            <w:webHidden/>
          </w:rPr>
          <w:tab/>
        </w:r>
        <w:r>
          <w:rPr>
            <w:webHidden/>
          </w:rPr>
          <w:fldChar w:fldCharType="begin"/>
        </w:r>
        <w:r w:rsidR="00AC62E0">
          <w:rPr>
            <w:webHidden/>
          </w:rPr>
          <w:instrText xml:space="preserve"> PAGEREF _Toc365385046 \h </w:instrText>
        </w:r>
        <w:r>
          <w:rPr>
            <w:webHidden/>
          </w:rPr>
        </w:r>
        <w:r>
          <w:rPr>
            <w:webHidden/>
          </w:rPr>
          <w:fldChar w:fldCharType="separate"/>
        </w:r>
        <w:r w:rsidR="00D96003">
          <w:rPr>
            <w:webHidden/>
          </w:rPr>
          <w:t>50</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7" w:history="1">
        <w:r w:rsidR="00AC62E0" w:rsidRPr="007806AC">
          <w:rPr>
            <w:rStyle w:val="Hyperlink"/>
          </w:rPr>
          <w:t>Figure 38:</w:t>
        </w:r>
        <w:r w:rsidR="00AC62E0">
          <w:rPr>
            <w:rFonts w:eastAsiaTheme="minorEastAsia" w:cstheme="minorBidi"/>
            <w:color w:val="auto"/>
            <w:szCs w:val="22"/>
            <w:lang w:eastAsia="en-AU"/>
          </w:rPr>
          <w:tab/>
        </w:r>
        <w:r w:rsidR="00AC62E0" w:rsidRPr="007806AC">
          <w:rPr>
            <w:rStyle w:val="Hyperlink"/>
          </w:rPr>
          <w:t>WA 2010/11, total waste generation by: (a) management (b) waste stream and management (c) material category and management</w:t>
        </w:r>
        <w:r w:rsidR="00AC62E0">
          <w:rPr>
            <w:webHidden/>
          </w:rPr>
          <w:tab/>
        </w:r>
        <w:r>
          <w:rPr>
            <w:webHidden/>
          </w:rPr>
          <w:fldChar w:fldCharType="begin"/>
        </w:r>
        <w:r w:rsidR="00AC62E0">
          <w:rPr>
            <w:webHidden/>
          </w:rPr>
          <w:instrText xml:space="preserve"> PAGEREF _Toc365385047 \h </w:instrText>
        </w:r>
        <w:r>
          <w:rPr>
            <w:webHidden/>
          </w:rPr>
        </w:r>
        <w:r>
          <w:rPr>
            <w:webHidden/>
          </w:rPr>
          <w:fldChar w:fldCharType="separate"/>
        </w:r>
        <w:r w:rsidR="00D96003">
          <w:rPr>
            <w:webHidden/>
          </w:rPr>
          <w:t>52</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8" w:history="1">
        <w:r w:rsidR="00AC62E0" w:rsidRPr="007806AC">
          <w:rPr>
            <w:rStyle w:val="Hyperlink"/>
          </w:rPr>
          <w:t>Figure 39:</w:t>
        </w:r>
        <w:r w:rsidR="00AC62E0">
          <w:rPr>
            <w:rFonts w:eastAsiaTheme="minorEastAsia" w:cstheme="minorBidi"/>
            <w:color w:val="auto"/>
            <w:szCs w:val="22"/>
            <w:lang w:eastAsia="en-AU"/>
          </w:rPr>
          <w:tab/>
        </w:r>
        <w:r w:rsidR="00AC62E0" w:rsidRPr="007806AC">
          <w:rPr>
            <w:rStyle w:val="Hyperlink"/>
          </w:rPr>
          <w:t>Trends in per capita waste generation and management, WA 2006/07 to 2010/11</w:t>
        </w:r>
        <w:r w:rsidR="00AC62E0">
          <w:rPr>
            <w:webHidden/>
          </w:rPr>
          <w:tab/>
        </w:r>
        <w:r>
          <w:rPr>
            <w:webHidden/>
          </w:rPr>
          <w:fldChar w:fldCharType="begin"/>
        </w:r>
        <w:r w:rsidR="00AC62E0">
          <w:rPr>
            <w:webHidden/>
          </w:rPr>
          <w:instrText xml:space="preserve"> PAGEREF _Toc365385048 \h </w:instrText>
        </w:r>
        <w:r>
          <w:rPr>
            <w:webHidden/>
          </w:rPr>
        </w:r>
        <w:r>
          <w:rPr>
            <w:webHidden/>
          </w:rPr>
          <w:fldChar w:fldCharType="separate"/>
        </w:r>
        <w:r w:rsidR="00D96003">
          <w:rPr>
            <w:webHidden/>
          </w:rPr>
          <w:t>53</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49" w:history="1">
        <w:r w:rsidR="00AC62E0" w:rsidRPr="007806AC">
          <w:rPr>
            <w:rStyle w:val="Hyperlink"/>
          </w:rPr>
          <w:t>Figure 40:</w:t>
        </w:r>
        <w:r w:rsidR="00AC62E0">
          <w:rPr>
            <w:rFonts w:eastAsiaTheme="minorEastAsia" w:cstheme="minorBidi"/>
            <w:color w:val="auto"/>
            <w:szCs w:val="22"/>
            <w:lang w:eastAsia="en-AU"/>
          </w:rPr>
          <w:tab/>
        </w:r>
        <w:r w:rsidR="00AC62E0" w:rsidRPr="007806AC">
          <w:rPr>
            <w:rStyle w:val="Hyperlink"/>
          </w:rPr>
          <w:t>Trends in total waste generation and management, WA 2006/07 to 2010/11</w:t>
        </w:r>
        <w:r w:rsidR="00AC62E0">
          <w:rPr>
            <w:webHidden/>
          </w:rPr>
          <w:tab/>
        </w:r>
        <w:r>
          <w:rPr>
            <w:webHidden/>
          </w:rPr>
          <w:fldChar w:fldCharType="begin"/>
        </w:r>
        <w:r w:rsidR="00AC62E0">
          <w:rPr>
            <w:webHidden/>
          </w:rPr>
          <w:instrText xml:space="preserve"> PAGEREF _Toc365385049 \h </w:instrText>
        </w:r>
        <w:r>
          <w:rPr>
            <w:webHidden/>
          </w:rPr>
        </w:r>
        <w:r>
          <w:rPr>
            <w:webHidden/>
          </w:rPr>
          <w:fldChar w:fldCharType="separate"/>
        </w:r>
        <w:r w:rsidR="00D96003">
          <w:rPr>
            <w:webHidden/>
          </w:rPr>
          <w:t>54</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0" w:history="1">
        <w:r w:rsidR="00AC62E0" w:rsidRPr="007806AC">
          <w:rPr>
            <w:rStyle w:val="Hyperlink"/>
          </w:rPr>
          <w:t xml:space="preserve">Figure 41: </w:t>
        </w:r>
        <w:r w:rsidR="00AC62E0">
          <w:rPr>
            <w:rFonts w:eastAsiaTheme="minorEastAsia" w:cstheme="minorBidi"/>
            <w:color w:val="auto"/>
            <w:szCs w:val="22"/>
            <w:lang w:eastAsia="en-AU"/>
          </w:rPr>
          <w:tab/>
        </w:r>
        <w:r w:rsidR="00AC62E0" w:rsidRPr="007806AC">
          <w:rPr>
            <w:rStyle w:val="Hyperlink"/>
          </w:rPr>
          <w:t>Production and sales of recycled organics products (2009/10)</w:t>
        </w:r>
        <w:r w:rsidR="00AC62E0">
          <w:rPr>
            <w:webHidden/>
          </w:rPr>
          <w:tab/>
        </w:r>
        <w:r>
          <w:rPr>
            <w:webHidden/>
          </w:rPr>
          <w:fldChar w:fldCharType="begin"/>
        </w:r>
        <w:r w:rsidR="00AC62E0">
          <w:rPr>
            <w:webHidden/>
          </w:rPr>
          <w:instrText xml:space="preserve"> PAGEREF _Toc365385050 \h </w:instrText>
        </w:r>
        <w:r>
          <w:rPr>
            <w:webHidden/>
          </w:rPr>
        </w:r>
        <w:r>
          <w:rPr>
            <w:webHidden/>
          </w:rPr>
          <w:fldChar w:fldCharType="separate"/>
        </w:r>
        <w:r w:rsidR="00D96003">
          <w:rPr>
            <w:webHidden/>
          </w:rPr>
          <w:t>70</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1" w:history="1">
        <w:r w:rsidR="00AC62E0" w:rsidRPr="007806AC">
          <w:rPr>
            <w:rStyle w:val="Hyperlink"/>
          </w:rPr>
          <w:t>Figure 42:</w:t>
        </w:r>
        <w:r w:rsidR="00AC62E0">
          <w:rPr>
            <w:rFonts w:eastAsiaTheme="minorEastAsia" w:cstheme="minorBidi"/>
            <w:color w:val="auto"/>
            <w:szCs w:val="22"/>
            <w:lang w:eastAsia="en-AU"/>
          </w:rPr>
          <w:tab/>
        </w:r>
        <w:r w:rsidR="00AC62E0" w:rsidRPr="007806AC">
          <w:rPr>
            <w:rStyle w:val="Hyperlink"/>
          </w:rPr>
          <w:t>Breakdown of products made from recovered organics (excluding manures and direct application to land)</w:t>
        </w:r>
        <w:r w:rsidR="00AC62E0">
          <w:rPr>
            <w:webHidden/>
          </w:rPr>
          <w:tab/>
        </w:r>
        <w:r>
          <w:rPr>
            <w:webHidden/>
          </w:rPr>
          <w:fldChar w:fldCharType="begin"/>
        </w:r>
        <w:r w:rsidR="00AC62E0">
          <w:rPr>
            <w:webHidden/>
          </w:rPr>
          <w:instrText xml:space="preserve"> PAGEREF _Toc365385051 \h </w:instrText>
        </w:r>
        <w:r>
          <w:rPr>
            <w:webHidden/>
          </w:rPr>
        </w:r>
        <w:r>
          <w:rPr>
            <w:webHidden/>
          </w:rPr>
          <w:fldChar w:fldCharType="separate"/>
        </w:r>
        <w:r w:rsidR="00D96003">
          <w:rPr>
            <w:webHidden/>
          </w:rPr>
          <w:t>72</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2" w:history="1">
        <w:r w:rsidR="00AC62E0" w:rsidRPr="007806AC">
          <w:rPr>
            <w:rStyle w:val="Hyperlink"/>
          </w:rPr>
          <w:t>Figure 43:</w:t>
        </w:r>
        <w:r w:rsidR="00AC62E0">
          <w:rPr>
            <w:rFonts w:eastAsiaTheme="minorEastAsia" w:cstheme="minorBidi"/>
            <w:color w:val="auto"/>
            <w:szCs w:val="22"/>
            <w:lang w:eastAsia="en-AU"/>
          </w:rPr>
          <w:tab/>
        </w:r>
        <w:r w:rsidR="00AC62E0" w:rsidRPr="007806AC">
          <w:rPr>
            <w:rStyle w:val="Hyperlink"/>
          </w:rPr>
          <w:t>Breakdown of markets for recycled organic products (excluding manures and direct application to land)</w:t>
        </w:r>
        <w:r w:rsidR="00AC62E0">
          <w:rPr>
            <w:webHidden/>
          </w:rPr>
          <w:tab/>
        </w:r>
        <w:r>
          <w:rPr>
            <w:webHidden/>
          </w:rPr>
          <w:fldChar w:fldCharType="begin"/>
        </w:r>
        <w:r w:rsidR="00AC62E0">
          <w:rPr>
            <w:webHidden/>
          </w:rPr>
          <w:instrText xml:space="preserve"> PAGEREF _Toc365385052 \h </w:instrText>
        </w:r>
        <w:r>
          <w:rPr>
            <w:webHidden/>
          </w:rPr>
        </w:r>
        <w:r>
          <w:rPr>
            <w:webHidden/>
          </w:rPr>
          <w:fldChar w:fldCharType="separate"/>
        </w:r>
        <w:r w:rsidR="00D96003">
          <w:rPr>
            <w:webHidden/>
          </w:rPr>
          <w:t>72</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3" w:history="1">
        <w:r w:rsidR="00AC62E0" w:rsidRPr="007806AC">
          <w:rPr>
            <w:rStyle w:val="Hyperlink"/>
          </w:rPr>
          <w:t>Figure 44:</w:t>
        </w:r>
        <w:r w:rsidR="00AC62E0">
          <w:rPr>
            <w:rFonts w:eastAsiaTheme="minorEastAsia" w:cstheme="minorBidi"/>
            <w:color w:val="auto"/>
            <w:szCs w:val="22"/>
            <w:lang w:eastAsia="en-AU"/>
          </w:rPr>
          <w:tab/>
        </w:r>
        <w:r w:rsidR="00AC62E0" w:rsidRPr="007806AC">
          <w:rPr>
            <w:rStyle w:val="Hyperlink"/>
          </w:rPr>
          <w:t>Landfill sizes and receipts in Australia</w:t>
        </w:r>
        <w:r w:rsidR="00AC62E0">
          <w:rPr>
            <w:webHidden/>
          </w:rPr>
          <w:tab/>
        </w:r>
        <w:r>
          <w:rPr>
            <w:webHidden/>
          </w:rPr>
          <w:fldChar w:fldCharType="begin"/>
        </w:r>
        <w:r w:rsidR="00AC62E0">
          <w:rPr>
            <w:webHidden/>
          </w:rPr>
          <w:instrText xml:space="preserve"> PAGEREF _Toc365385053 \h </w:instrText>
        </w:r>
        <w:r>
          <w:rPr>
            <w:webHidden/>
          </w:rPr>
        </w:r>
        <w:r>
          <w:rPr>
            <w:webHidden/>
          </w:rPr>
          <w:fldChar w:fldCharType="separate"/>
        </w:r>
        <w:r w:rsidR="00D96003">
          <w:rPr>
            <w:webHidden/>
          </w:rPr>
          <w:t>94</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4" w:history="1">
        <w:r w:rsidR="00AC62E0" w:rsidRPr="007806AC">
          <w:rPr>
            <w:rStyle w:val="Hyperlink"/>
          </w:rPr>
          <w:t>Figure 45:</w:t>
        </w:r>
        <w:r w:rsidR="00AC62E0">
          <w:rPr>
            <w:rFonts w:eastAsiaTheme="minorEastAsia" w:cstheme="minorBidi"/>
            <w:color w:val="auto"/>
            <w:szCs w:val="22"/>
            <w:lang w:eastAsia="en-AU"/>
          </w:rPr>
          <w:tab/>
        </w:r>
        <w:r w:rsidR="00AC62E0" w:rsidRPr="007806AC">
          <w:rPr>
            <w:rStyle w:val="Hyperlink"/>
          </w:rPr>
          <w:t>The trend in landfill methane emissions and capture</w:t>
        </w:r>
        <w:r w:rsidR="00AC62E0">
          <w:rPr>
            <w:webHidden/>
          </w:rPr>
          <w:tab/>
        </w:r>
        <w:r>
          <w:rPr>
            <w:webHidden/>
          </w:rPr>
          <w:fldChar w:fldCharType="begin"/>
        </w:r>
        <w:r w:rsidR="00AC62E0">
          <w:rPr>
            <w:webHidden/>
          </w:rPr>
          <w:instrText xml:space="preserve"> PAGEREF _Toc365385054 \h </w:instrText>
        </w:r>
        <w:r>
          <w:rPr>
            <w:webHidden/>
          </w:rPr>
        </w:r>
        <w:r>
          <w:rPr>
            <w:webHidden/>
          </w:rPr>
          <w:fldChar w:fldCharType="separate"/>
        </w:r>
        <w:r w:rsidR="00D96003">
          <w:rPr>
            <w:webHidden/>
          </w:rPr>
          <w:t>96</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5" w:history="1">
        <w:r w:rsidR="00AC62E0" w:rsidRPr="007806AC">
          <w:rPr>
            <w:rStyle w:val="Hyperlink"/>
          </w:rPr>
          <w:t xml:space="preserve">Figure 46: </w:t>
        </w:r>
        <w:r w:rsidR="00AC62E0">
          <w:rPr>
            <w:rFonts w:eastAsiaTheme="minorEastAsia" w:cstheme="minorBidi"/>
            <w:color w:val="auto"/>
            <w:szCs w:val="22"/>
            <w:lang w:eastAsia="en-AU"/>
          </w:rPr>
          <w:tab/>
        </w:r>
        <w:r w:rsidR="00AC62E0" w:rsidRPr="007806AC">
          <w:rPr>
            <w:rStyle w:val="Hyperlink"/>
          </w:rPr>
          <w:t>Materials giving rise to Australia’s landfill methane emissions, based on NGERS defaults</w:t>
        </w:r>
        <w:r w:rsidR="00AC62E0">
          <w:rPr>
            <w:webHidden/>
          </w:rPr>
          <w:tab/>
        </w:r>
        <w:r>
          <w:rPr>
            <w:webHidden/>
          </w:rPr>
          <w:fldChar w:fldCharType="begin"/>
        </w:r>
        <w:r w:rsidR="00AC62E0">
          <w:rPr>
            <w:webHidden/>
          </w:rPr>
          <w:instrText xml:space="preserve"> PAGEREF _Toc365385055 \h </w:instrText>
        </w:r>
        <w:r>
          <w:rPr>
            <w:webHidden/>
          </w:rPr>
        </w:r>
        <w:r>
          <w:rPr>
            <w:webHidden/>
          </w:rPr>
          <w:fldChar w:fldCharType="separate"/>
        </w:r>
        <w:r w:rsidR="00D96003">
          <w:rPr>
            <w:webHidden/>
          </w:rPr>
          <w:t>97</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6" w:history="1">
        <w:r w:rsidR="00AC62E0" w:rsidRPr="007806AC">
          <w:rPr>
            <w:rStyle w:val="Hyperlink"/>
          </w:rPr>
          <w:t xml:space="preserve">Figure 47: </w:t>
        </w:r>
        <w:r w:rsidR="00AC62E0">
          <w:rPr>
            <w:rFonts w:eastAsiaTheme="minorEastAsia" w:cstheme="minorBidi"/>
            <w:color w:val="auto"/>
            <w:szCs w:val="22"/>
            <w:lang w:eastAsia="en-AU"/>
          </w:rPr>
          <w:tab/>
        </w:r>
        <w:r w:rsidR="00AC62E0" w:rsidRPr="007806AC">
          <w:rPr>
            <w:rStyle w:val="Hyperlink"/>
          </w:rPr>
          <w:t>Typical composition of WEEE</w:t>
        </w:r>
        <w:r w:rsidR="00AC62E0">
          <w:rPr>
            <w:webHidden/>
          </w:rPr>
          <w:tab/>
        </w:r>
        <w:r>
          <w:rPr>
            <w:webHidden/>
          </w:rPr>
          <w:fldChar w:fldCharType="begin"/>
        </w:r>
        <w:r w:rsidR="00AC62E0">
          <w:rPr>
            <w:webHidden/>
          </w:rPr>
          <w:instrText xml:space="preserve"> PAGEREF _Toc365385056 \h </w:instrText>
        </w:r>
        <w:r>
          <w:rPr>
            <w:webHidden/>
          </w:rPr>
        </w:r>
        <w:r>
          <w:rPr>
            <w:webHidden/>
          </w:rPr>
          <w:fldChar w:fldCharType="separate"/>
        </w:r>
        <w:r w:rsidR="00D96003">
          <w:rPr>
            <w:webHidden/>
          </w:rPr>
          <w:t>98</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7" w:history="1">
        <w:r w:rsidR="00AC62E0" w:rsidRPr="007806AC">
          <w:rPr>
            <w:rStyle w:val="Hyperlink"/>
          </w:rPr>
          <w:t xml:space="preserve">Figure 48: </w:t>
        </w:r>
        <w:r w:rsidR="00AC62E0">
          <w:rPr>
            <w:rFonts w:eastAsiaTheme="minorEastAsia" w:cstheme="minorBidi"/>
            <w:color w:val="auto"/>
            <w:szCs w:val="22"/>
            <w:lang w:eastAsia="en-AU"/>
          </w:rPr>
          <w:tab/>
        </w:r>
        <w:r w:rsidR="00AC62E0" w:rsidRPr="007806AC">
          <w:rPr>
            <w:rStyle w:val="Hyperlink"/>
          </w:rPr>
          <w:t>The greenhouse benefits of recycling by material type</w:t>
        </w:r>
        <w:r w:rsidR="00AC62E0">
          <w:rPr>
            <w:webHidden/>
          </w:rPr>
          <w:tab/>
        </w:r>
        <w:r>
          <w:rPr>
            <w:webHidden/>
          </w:rPr>
          <w:fldChar w:fldCharType="begin"/>
        </w:r>
        <w:r w:rsidR="00AC62E0">
          <w:rPr>
            <w:webHidden/>
          </w:rPr>
          <w:instrText xml:space="preserve"> PAGEREF _Toc365385057 \h </w:instrText>
        </w:r>
        <w:r>
          <w:rPr>
            <w:webHidden/>
          </w:rPr>
        </w:r>
        <w:r>
          <w:rPr>
            <w:webHidden/>
          </w:rPr>
          <w:fldChar w:fldCharType="separate"/>
        </w:r>
        <w:r w:rsidR="00D96003">
          <w:rPr>
            <w:webHidden/>
          </w:rPr>
          <w:t>100</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8" w:history="1">
        <w:r w:rsidR="00AC62E0" w:rsidRPr="007806AC">
          <w:rPr>
            <w:rStyle w:val="Hyperlink"/>
          </w:rPr>
          <w:t xml:space="preserve">Figure 49: </w:t>
        </w:r>
        <w:r w:rsidR="00AC62E0">
          <w:rPr>
            <w:rFonts w:eastAsiaTheme="minorEastAsia" w:cstheme="minorBidi"/>
            <w:color w:val="auto"/>
            <w:szCs w:val="22"/>
            <w:lang w:eastAsia="en-AU"/>
          </w:rPr>
          <w:tab/>
        </w:r>
        <w:r w:rsidR="00AC62E0" w:rsidRPr="007806AC">
          <w:rPr>
            <w:rStyle w:val="Hyperlink"/>
          </w:rPr>
          <w:t>The ‘embodied greenhouse gas emissions’ of key wastes sent to landfill in Australia in 2010/11</w:t>
        </w:r>
        <w:r w:rsidR="00AC62E0">
          <w:rPr>
            <w:webHidden/>
          </w:rPr>
          <w:tab/>
        </w:r>
        <w:r>
          <w:rPr>
            <w:webHidden/>
          </w:rPr>
          <w:fldChar w:fldCharType="begin"/>
        </w:r>
        <w:r w:rsidR="00AC62E0">
          <w:rPr>
            <w:webHidden/>
          </w:rPr>
          <w:instrText xml:space="preserve"> PAGEREF _Toc365385058 \h </w:instrText>
        </w:r>
        <w:r>
          <w:rPr>
            <w:webHidden/>
          </w:rPr>
        </w:r>
        <w:r>
          <w:rPr>
            <w:webHidden/>
          </w:rPr>
          <w:fldChar w:fldCharType="separate"/>
        </w:r>
        <w:r w:rsidR="00D96003">
          <w:rPr>
            <w:webHidden/>
          </w:rPr>
          <w:t>101</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59" w:history="1">
        <w:r w:rsidR="00AC62E0" w:rsidRPr="007806AC">
          <w:rPr>
            <w:rStyle w:val="Hyperlink"/>
          </w:rPr>
          <w:t xml:space="preserve">Figure 50: </w:t>
        </w:r>
        <w:r w:rsidR="00AC62E0">
          <w:rPr>
            <w:rFonts w:eastAsiaTheme="minorEastAsia" w:cstheme="minorBidi"/>
            <w:color w:val="auto"/>
            <w:szCs w:val="22"/>
            <w:lang w:eastAsia="en-AU"/>
          </w:rPr>
          <w:tab/>
        </w:r>
        <w:r w:rsidR="00AC62E0" w:rsidRPr="007806AC">
          <w:rPr>
            <w:rStyle w:val="Hyperlink"/>
          </w:rPr>
          <w:t>The waste hierarchy</w:t>
        </w:r>
        <w:r w:rsidR="00AC62E0">
          <w:rPr>
            <w:webHidden/>
          </w:rPr>
          <w:tab/>
        </w:r>
        <w:r>
          <w:rPr>
            <w:webHidden/>
          </w:rPr>
          <w:fldChar w:fldCharType="begin"/>
        </w:r>
        <w:r w:rsidR="00AC62E0">
          <w:rPr>
            <w:webHidden/>
          </w:rPr>
          <w:instrText xml:space="preserve"> PAGEREF _Toc365385059 \h </w:instrText>
        </w:r>
        <w:r>
          <w:rPr>
            <w:webHidden/>
          </w:rPr>
        </w:r>
        <w:r>
          <w:rPr>
            <w:webHidden/>
          </w:rPr>
          <w:fldChar w:fldCharType="separate"/>
        </w:r>
        <w:r w:rsidR="00D96003">
          <w:rPr>
            <w:webHidden/>
          </w:rPr>
          <w:t>102</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60" w:history="1">
        <w:r w:rsidR="00AC62E0" w:rsidRPr="007806AC">
          <w:rPr>
            <w:rStyle w:val="Hyperlink"/>
          </w:rPr>
          <w:t>Figure 51:</w:t>
        </w:r>
        <w:r w:rsidR="00AC62E0">
          <w:rPr>
            <w:rFonts w:eastAsiaTheme="minorEastAsia" w:cstheme="minorBidi"/>
            <w:color w:val="auto"/>
            <w:szCs w:val="22"/>
            <w:lang w:eastAsia="en-AU"/>
          </w:rPr>
          <w:tab/>
        </w:r>
        <w:r w:rsidR="00AC62E0" w:rsidRPr="007806AC">
          <w:rPr>
            <w:rStyle w:val="Hyperlink"/>
          </w:rPr>
          <w:t>EU illustration of the definition of waste</w:t>
        </w:r>
        <w:r w:rsidR="00AC62E0">
          <w:rPr>
            <w:webHidden/>
          </w:rPr>
          <w:tab/>
        </w:r>
        <w:r>
          <w:rPr>
            <w:webHidden/>
          </w:rPr>
          <w:fldChar w:fldCharType="begin"/>
        </w:r>
        <w:r w:rsidR="00AC62E0">
          <w:rPr>
            <w:webHidden/>
          </w:rPr>
          <w:instrText xml:space="preserve"> PAGEREF _Toc365385060 \h </w:instrText>
        </w:r>
        <w:r>
          <w:rPr>
            <w:webHidden/>
          </w:rPr>
        </w:r>
        <w:r>
          <w:rPr>
            <w:webHidden/>
          </w:rPr>
          <w:fldChar w:fldCharType="separate"/>
        </w:r>
        <w:r w:rsidR="00D96003">
          <w:rPr>
            <w:webHidden/>
          </w:rPr>
          <w:t>104</w:t>
        </w:r>
        <w:r>
          <w:rPr>
            <w:webHidden/>
          </w:rPr>
          <w:fldChar w:fldCharType="end"/>
        </w:r>
      </w:hyperlink>
    </w:p>
    <w:p w:rsidR="00AC62E0" w:rsidRDefault="0062001A">
      <w:pPr>
        <w:pStyle w:val="TableofFigures"/>
        <w:rPr>
          <w:rFonts w:eastAsiaTheme="minorEastAsia" w:cstheme="minorBidi"/>
          <w:color w:val="auto"/>
          <w:szCs w:val="22"/>
          <w:lang w:eastAsia="en-AU"/>
        </w:rPr>
      </w:pPr>
      <w:hyperlink w:anchor="_Toc365385061" w:history="1">
        <w:r w:rsidR="00AC62E0" w:rsidRPr="007806AC">
          <w:rPr>
            <w:rStyle w:val="Hyperlink"/>
          </w:rPr>
          <w:t>Figure 52:</w:t>
        </w:r>
        <w:r w:rsidR="00AC62E0">
          <w:rPr>
            <w:rFonts w:eastAsiaTheme="minorEastAsia" w:cstheme="minorBidi"/>
            <w:color w:val="auto"/>
            <w:szCs w:val="22"/>
            <w:lang w:eastAsia="en-AU"/>
          </w:rPr>
          <w:tab/>
        </w:r>
        <w:r w:rsidR="00AC62E0" w:rsidRPr="007806AC">
          <w:rPr>
            <w:rStyle w:val="Hyperlink"/>
          </w:rPr>
          <w:t>Illustration of the definitions and scope of reporting in WGGRA</w:t>
        </w:r>
        <w:r w:rsidR="00AC62E0">
          <w:rPr>
            <w:webHidden/>
          </w:rPr>
          <w:tab/>
        </w:r>
        <w:r>
          <w:rPr>
            <w:webHidden/>
          </w:rPr>
          <w:fldChar w:fldCharType="begin"/>
        </w:r>
        <w:r w:rsidR="00AC62E0">
          <w:rPr>
            <w:webHidden/>
          </w:rPr>
          <w:instrText xml:space="preserve"> PAGEREF _Toc365385061 \h </w:instrText>
        </w:r>
        <w:r>
          <w:rPr>
            <w:webHidden/>
          </w:rPr>
        </w:r>
        <w:r>
          <w:rPr>
            <w:webHidden/>
          </w:rPr>
          <w:fldChar w:fldCharType="separate"/>
        </w:r>
        <w:r w:rsidR="00D96003">
          <w:rPr>
            <w:webHidden/>
          </w:rPr>
          <w:t>110</w:t>
        </w:r>
        <w:r>
          <w:rPr>
            <w:webHidden/>
          </w:rPr>
          <w:fldChar w:fldCharType="end"/>
        </w:r>
      </w:hyperlink>
    </w:p>
    <w:p w:rsidR="0092426E" w:rsidRPr="00C66550" w:rsidRDefault="0062001A" w:rsidP="0092426E">
      <w:pPr>
        <w:rPr>
          <w:noProof/>
        </w:rPr>
      </w:pPr>
      <w:r w:rsidRPr="00C66550">
        <w:rPr>
          <w:noProof/>
        </w:rPr>
        <w:fldChar w:fldCharType="end"/>
      </w:r>
      <w:bookmarkEnd w:id="8"/>
    </w:p>
    <w:p w:rsidR="000841D2" w:rsidRDefault="000841D2" w:rsidP="0092426E">
      <w:pPr>
        <w:rPr>
          <w:noProof/>
        </w:rPr>
      </w:pPr>
    </w:p>
    <w:p w:rsidR="00DF4FB7" w:rsidRPr="00C66550" w:rsidRDefault="00DF4FB7" w:rsidP="00DF4FB7">
      <w:pPr>
        <w:pStyle w:val="TOCHeadings"/>
        <w:rPr>
          <w:noProof/>
        </w:rPr>
      </w:pPr>
      <w:r>
        <w:rPr>
          <w:noProof/>
        </w:rPr>
        <w:t>Abbreviations</w:t>
      </w:r>
    </w:p>
    <w:tbl>
      <w:tblPr>
        <w:tblW w:w="9371" w:type="dxa"/>
        <w:tblInd w:w="93" w:type="dxa"/>
        <w:tblLook w:val="04A0"/>
      </w:tblPr>
      <w:tblGrid>
        <w:gridCol w:w="1202"/>
        <w:gridCol w:w="8169"/>
      </w:tblGrid>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 xml:space="preserve">ABS </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Australian Bureau of Statistics</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ACOR</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Australian Council of Recycling</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ACT</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Australian Capital Territory</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ADAA</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Ash Development Association of Australia</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APC</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Australian Packaging Covenant</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AWT</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advanced waste treatment</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C&amp;D</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construction and demolition</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C&amp;I</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commercial and industrial</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CH</w:t>
            </w:r>
            <w:r w:rsidRPr="00C66550">
              <w:rPr>
                <w:rFonts w:cs="Times New Roman"/>
                <w:color w:val="000000"/>
                <w:sz w:val="22"/>
                <w:vertAlign w:val="subscript"/>
                <w:lang w:eastAsia="en-AU"/>
              </w:rPr>
              <w:t>4</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methane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CO</w:t>
            </w:r>
            <w:r w:rsidRPr="00C66550">
              <w:rPr>
                <w:rFonts w:cs="Times New Roman"/>
                <w:color w:val="000000"/>
                <w:sz w:val="22"/>
                <w:vertAlign w:val="subscript"/>
                <w:lang w:eastAsia="en-AU"/>
              </w:rPr>
              <w:t>2</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carbon dioxide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DCCEE</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Department of Climate Change and Energy Efficiency</w:t>
            </w:r>
            <w:r w:rsidR="00650663" w:rsidRPr="00C66550">
              <w:rPr>
                <w:rFonts w:cs="Times New Roman"/>
                <w:color w:val="000000"/>
                <w:sz w:val="22"/>
                <w:lang w:eastAsia="en-AU"/>
              </w:rPr>
              <w:t xml:space="preserve"> (predecessor of DIICCSRTE)</w:t>
            </w:r>
          </w:p>
        </w:tc>
      </w:tr>
      <w:tr w:rsidR="008C6864" w:rsidRPr="00C66550" w:rsidTr="00C32723">
        <w:tc>
          <w:tcPr>
            <w:tcW w:w="1202" w:type="dxa"/>
            <w:shd w:val="clear" w:color="auto" w:fill="auto"/>
            <w:noWrap/>
          </w:tcPr>
          <w:p w:rsidR="008C6864" w:rsidRPr="00C66550" w:rsidRDefault="008C6864" w:rsidP="006F5654">
            <w:pPr>
              <w:spacing w:line="240" w:lineRule="auto"/>
              <w:rPr>
                <w:rFonts w:cs="Times New Roman"/>
                <w:color w:val="000000"/>
                <w:sz w:val="22"/>
                <w:lang w:eastAsia="en-AU"/>
              </w:rPr>
            </w:pPr>
            <w:r w:rsidRPr="00C66550">
              <w:rPr>
                <w:color w:val="080808"/>
                <w:spacing w:val="3"/>
                <w:sz w:val="22"/>
              </w:rPr>
              <w:t>DIICCSRTE</w:t>
            </w:r>
          </w:p>
        </w:tc>
        <w:tc>
          <w:tcPr>
            <w:tcW w:w="8169" w:type="dxa"/>
            <w:shd w:val="clear" w:color="auto" w:fill="auto"/>
            <w:noWrap/>
          </w:tcPr>
          <w:p w:rsidR="008C6864" w:rsidRPr="00C66550" w:rsidRDefault="008C6864" w:rsidP="00C32723">
            <w:pPr>
              <w:spacing w:line="240" w:lineRule="auto"/>
              <w:rPr>
                <w:rFonts w:cs="Times New Roman"/>
                <w:color w:val="000000"/>
                <w:sz w:val="22"/>
                <w:lang w:eastAsia="en-AU"/>
              </w:rPr>
            </w:pPr>
            <w:r w:rsidRPr="00C66550">
              <w:rPr>
                <w:color w:val="080808"/>
                <w:spacing w:val="3"/>
                <w:sz w:val="22"/>
              </w:rPr>
              <w:t>Dep</w:t>
            </w:r>
            <w:r w:rsidR="00C32723">
              <w:rPr>
                <w:color w:val="080808"/>
                <w:spacing w:val="3"/>
                <w:sz w:val="22"/>
              </w:rPr>
              <w:t>ar</w:t>
            </w:r>
            <w:r w:rsidRPr="00C66550">
              <w:rPr>
                <w:color w:val="080808"/>
                <w:spacing w:val="3"/>
                <w:sz w:val="22"/>
              </w:rPr>
              <w:t>t</w:t>
            </w:r>
            <w:r w:rsidR="00C32723">
              <w:rPr>
                <w:color w:val="080808"/>
                <w:spacing w:val="3"/>
                <w:sz w:val="22"/>
              </w:rPr>
              <w:t>ment</w:t>
            </w:r>
            <w:r w:rsidRPr="00C66550">
              <w:rPr>
                <w:color w:val="080808"/>
                <w:spacing w:val="3"/>
                <w:sz w:val="22"/>
              </w:rPr>
              <w:t xml:space="preserve"> of Industry, Innovation, Climate Change, Science, Research &amp; Tertiary Education</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DSEWPaC</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Department of Sustainability, Environment, Water, Population and Communities</w:t>
            </w:r>
          </w:p>
        </w:tc>
      </w:tr>
      <w:tr w:rsidR="00FD2C88" w:rsidRPr="00C66550" w:rsidTr="008C6864">
        <w:tc>
          <w:tcPr>
            <w:tcW w:w="1202" w:type="dxa"/>
            <w:shd w:val="clear" w:color="auto" w:fill="auto"/>
            <w:noWrap/>
            <w:vAlign w:val="bottom"/>
          </w:tcPr>
          <w:p w:rsidR="00FD2C88" w:rsidRPr="00C66550" w:rsidRDefault="00FD2C88" w:rsidP="006F5654">
            <w:pPr>
              <w:spacing w:line="240" w:lineRule="auto"/>
              <w:rPr>
                <w:rFonts w:cs="Times New Roman"/>
                <w:color w:val="000000"/>
                <w:sz w:val="22"/>
                <w:lang w:eastAsia="en-AU"/>
              </w:rPr>
            </w:pPr>
            <w:r>
              <w:rPr>
                <w:rFonts w:cs="Times New Roman"/>
                <w:color w:val="000000"/>
                <w:sz w:val="22"/>
                <w:lang w:eastAsia="en-AU"/>
              </w:rPr>
              <w:t>EEE</w:t>
            </w:r>
          </w:p>
        </w:tc>
        <w:tc>
          <w:tcPr>
            <w:tcW w:w="8169" w:type="dxa"/>
            <w:shd w:val="clear" w:color="auto" w:fill="auto"/>
            <w:noWrap/>
            <w:vAlign w:val="bottom"/>
          </w:tcPr>
          <w:p w:rsidR="00FD2C88" w:rsidRPr="00C66550" w:rsidRDefault="00FD2C88" w:rsidP="006F5654">
            <w:pPr>
              <w:spacing w:line="240" w:lineRule="auto"/>
              <w:rPr>
                <w:rFonts w:cs="Times New Roman"/>
                <w:color w:val="000000"/>
                <w:sz w:val="22"/>
                <w:lang w:eastAsia="en-AU"/>
              </w:rPr>
            </w:pPr>
            <w:r w:rsidRPr="00C66550">
              <w:rPr>
                <w:rFonts w:cs="Times New Roman"/>
                <w:color w:val="000000"/>
                <w:sz w:val="22"/>
                <w:lang w:eastAsia="en-AU"/>
              </w:rPr>
              <w:t>electrical and electronic equipment</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EfW</w:t>
            </w:r>
          </w:p>
        </w:tc>
        <w:tc>
          <w:tcPr>
            <w:tcW w:w="8169" w:type="dxa"/>
            <w:shd w:val="clear" w:color="auto" w:fill="auto"/>
            <w:noWrap/>
            <w:vAlign w:val="bottom"/>
            <w:hideMark/>
          </w:tcPr>
          <w:p w:rsidR="00076F68" w:rsidRPr="00C66550" w:rsidRDefault="005F79D5" w:rsidP="006F5654">
            <w:pPr>
              <w:spacing w:line="240" w:lineRule="auto"/>
              <w:rPr>
                <w:rFonts w:cs="Times New Roman"/>
                <w:color w:val="000000"/>
                <w:sz w:val="22"/>
                <w:lang w:eastAsia="en-AU"/>
              </w:rPr>
            </w:pPr>
            <w:r w:rsidRPr="00C66550">
              <w:rPr>
                <w:rFonts w:cs="Times New Roman"/>
                <w:color w:val="000000"/>
                <w:sz w:val="22"/>
                <w:lang w:eastAsia="en-AU"/>
              </w:rPr>
              <w:t xml:space="preserve">energy </w:t>
            </w:r>
            <w:r w:rsidR="00076F68" w:rsidRPr="00C66550">
              <w:rPr>
                <w:rFonts w:cs="Times New Roman"/>
                <w:color w:val="000000"/>
                <w:sz w:val="22"/>
                <w:lang w:eastAsia="en-AU"/>
              </w:rPr>
              <w:t>from waste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EPA</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Environment</w:t>
            </w:r>
            <w:r w:rsidR="008C6864" w:rsidRPr="00C66550">
              <w:rPr>
                <w:rFonts w:cs="Times New Roman"/>
                <w:color w:val="000000"/>
                <w:sz w:val="22"/>
                <w:lang w:eastAsia="en-AU"/>
              </w:rPr>
              <w:t>(</w:t>
            </w:r>
            <w:r w:rsidRPr="00C66550">
              <w:rPr>
                <w:rFonts w:cs="Times New Roman"/>
                <w:color w:val="000000"/>
                <w:sz w:val="22"/>
                <w:lang w:eastAsia="en-AU"/>
              </w:rPr>
              <w:t>al</w:t>
            </w:r>
            <w:r w:rsidR="008C6864" w:rsidRPr="00C66550">
              <w:rPr>
                <w:rFonts w:cs="Times New Roman"/>
                <w:color w:val="000000"/>
                <w:sz w:val="22"/>
                <w:lang w:eastAsia="en-AU"/>
              </w:rPr>
              <w:t>)</w:t>
            </w:r>
            <w:r w:rsidRPr="00C66550">
              <w:rPr>
                <w:rFonts w:cs="Times New Roman"/>
                <w:color w:val="000000"/>
                <w:sz w:val="22"/>
                <w:lang w:eastAsia="en-AU"/>
              </w:rPr>
              <w:t xml:space="preserve"> Protection Agency</w:t>
            </w:r>
            <w:r w:rsidR="008C6864" w:rsidRPr="00C66550">
              <w:rPr>
                <w:rFonts w:cs="Times New Roman"/>
                <w:color w:val="000000"/>
                <w:sz w:val="22"/>
                <w:lang w:eastAsia="en-AU"/>
              </w:rPr>
              <w:t xml:space="preserve"> / Authority (names vary with jurisdiction)</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EPHC</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Environment Protection and Heritage Council</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ERA</w:t>
            </w:r>
          </w:p>
        </w:tc>
        <w:tc>
          <w:tcPr>
            <w:tcW w:w="8169" w:type="dxa"/>
            <w:shd w:val="clear" w:color="auto" w:fill="auto"/>
            <w:noWrap/>
            <w:vAlign w:val="bottom"/>
            <w:hideMark/>
          </w:tcPr>
          <w:p w:rsidR="00076F68" w:rsidRPr="00C66550" w:rsidRDefault="005F79D5" w:rsidP="006F5654">
            <w:pPr>
              <w:spacing w:line="240" w:lineRule="auto"/>
              <w:rPr>
                <w:rFonts w:cs="Times New Roman"/>
                <w:color w:val="000000"/>
                <w:sz w:val="22"/>
                <w:lang w:eastAsia="en-AU"/>
              </w:rPr>
            </w:pPr>
            <w:r w:rsidRPr="00C66550">
              <w:rPr>
                <w:rFonts w:cs="Times New Roman"/>
                <w:color w:val="000000"/>
                <w:sz w:val="22"/>
                <w:lang w:eastAsia="en-AU"/>
              </w:rPr>
              <w:t>Extended Regulated Area (NSW)</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EU</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European Union</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GSP</w:t>
            </w:r>
          </w:p>
        </w:tc>
        <w:tc>
          <w:tcPr>
            <w:tcW w:w="8169" w:type="dxa"/>
            <w:shd w:val="clear" w:color="auto" w:fill="auto"/>
            <w:noWrap/>
            <w:vAlign w:val="bottom"/>
            <w:hideMark/>
          </w:tcPr>
          <w:p w:rsidR="00076F68" w:rsidRPr="00C66550" w:rsidRDefault="005F79D5" w:rsidP="006F5654">
            <w:pPr>
              <w:spacing w:line="240" w:lineRule="auto"/>
              <w:rPr>
                <w:rFonts w:cs="Times New Roman"/>
                <w:color w:val="000000"/>
                <w:sz w:val="22"/>
                <w:lang w:eastAsia="en-AU"/>
              </w:rPr>
            </w:pPr>
            <w:r w:rsidRPr="00C66550">
              <w:rPr>
                <w:rFonts w:cs="Times New Roman"/>
                <w:color w:val="000000"/>
                <w:sz w:val="22"/>
                <w:lang w:eastAsia="en-AU"/>
              </w:rPr>
              <w:t>gross state product</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GWP</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global warming potential</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HDPE</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High-density polyethylene</w:t>
            </w:r>
          </w:p>
        </w:tc>
      </w:tr>
      <w:tr w:rsidR="000841D2" w:rsidRPr="00C66550" w:rsidTr="008C6864">
        <w:tc>
          <w:tcPr>
            <w:tcW w:w="1202" w:type="dxa"/>
            <w:shd w:val="clear" w:color="auto" w:fill="auto"/>
            <w:noWrap/>
            <w:vAlign w:val="bottom"/>
          </w:tcPr>
          <w:p w:rsidR="000841D2" w:rsidRPr="00C66550" w:rsidRDefault="000841D2" w:rsidP="006F5654">
            <w:pPr>
              <w:spacing w:line="240" w:lineRule="auto"/>
              <w:rPr>
                <w:rFonts w:cs="Times New Roman"/>
                <w:color w:val="000000"/>
                <w:sz w:val="22"/>
                <w:lang w:eastAsia="en-AU"/>
              </w:rPr>
            </w:pPr>
            <w:r w:rsidRPr="00C66550">
              <w:rPr>
                <w:rFonts w:cs="Times New Roman"/>
                <w:color w:val="000000"/>
                <w:sz w:val="22"/>
                <w:lang w:eastAsia="en-AU"/>
              </w:rPr>
              <w:t>kt</w:t>
            </w:r>
          </w:p>
        </w:tc>
        <w:tc>
          <w:tcPr>
            <w:tcW w:w="8169" w:type="dxa"/>
            <w:shd w:val="clear" w:color="auto" w:fill="auto"/>
            <w:noWrap/>
            <w:vAlign w:val="bottom"/>
          </w:tcPr>
          <w:p w:rsidR="000841D2" w:rsidRPr="00C66550" w:rsidRDefault="000841D2" w:rsidP="006F5654">
            <w:pPr>
              <w:spacing w:line="240" w:lineRule="auto"/>
              <w:rPr>
                <w:rFonts w:cs="Times New Roman"/>
                <w:color w:val="000000"/>
                <w:sz w:val="22"/>
                <w:lang w:eastAsia="en-AU"/>
              </w:rPr>
            </w:pPr>
            <w:r w:rsidRPr="00C66550">
              <w:rPr>
                <w:rFonts w:cs="Times New Roman"/>
                <w:color w:val="000000"/>
                <w:sz w:val="22"/>
                <w:lang w:eastAsia="en-AU"/>
              </w:rPr>
              <w:t>kilotonnes (thousands of tonnes)</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LCD</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liquid crystal display</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LDPE</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low-density polyethylene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MSW</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municipal solid waste</w:t>
            </w:r>
          </w:p>
        </w:tc>
      </w:tr>
      <w:tr w:rsidR="000841D2" w:rsidRPr="00C66550" w:rsidTr="008C6864">
        <w:tc>
          <w:tcPr>
            <w:tcW w:w="1202" w:type="dxa"/>
            <w:shd w:val="clear" w:color="auto" w:fill="auto"/>
            <w:noWrap/>
            <w:vAlign w:val="bottom"/>
          </w:tcPr>
          <w:p w:rsidR="000841D2" w:rsidRPr="00C66550" w:rsidRDefault="000841D2" w:rsidP="006F5654">
            <w:pPr>
              <w:spacing w:line="240" w:lineRule="auto"/>
              <w:rPr>
                <w:rFonts w:cs="Times New Roman"/>
                <w:color w:val="000000"/>
                <w:sz w:val="22"/>
                <w:lang w:eastAsia="en-AU"/>
              </w:rPr>
            </w:pPr>
            <w:r w:rsidRPr="00C66550">
              <w:rPr>
                <w:rFonts w:cs="Times New Roman"/>
                <w:color w:val="000000"/>
                <w:sz w:val="22"/>
                <w:lang w:eastAsia="en-AU"/>
              </w:rPr>
              <w:lastRenderedPageBreak/>
              <w:t>Mt</w:t>
            </w:r>
          </w:p>
        </w:tc>
        <w:tc>
          <w:tcPr>
            <w:tcW w:w="8169" w:type="dxa"/>
            <w:shd w:val="clear" w:color="auto" w:fill="auto"/>
            <w:noWrap/>
            <w:vAlign w:val="bottom"/>
          </w:tcPr>
          <w:p w:rsidR="000841D2" w:rsidRPr="00C66550" w:rsidRDefault="000841D2" w:rsidP="006F5654">
            <w:pPr>
              <w:spacing w:line="240" w:lineRule="auto"/>
              <w:rPr>
                <w:rFonts w:cs="Times New Roman"/>
                <w:color w:val="000000"/>
                <w:sz w:val="22"/>
                <w:lang w:eastAsia="en-AU"/>
              </w:rPr>
            </w:pPr>
            <w:r w:rsidRPr="00C66550">
              <w:rPr>
                <w:rFonts w:cs="Times New Roman"/>
                <w:color w:val="000000"/>
                <w:sz w:val="22"/>
                <w:lang w:eastAsia="en-AU"/>
              </w:rPr>
              <w:t>megatonnes (millions of tonnes)</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NEPC</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National Environment Protection Council</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NGERS</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National Greenhouse and Energy Reporting System</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NSW</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New South Wales</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NT</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Northern Territory</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NZ</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New Zealand</w:t>
            </w:r>
          </w:p>
        </w:tc>
      </w:tr>
      <w:tr w:rsidR="00076F68" w:rsidRPr="00C66550" w:rsidTr="008C6864">
        <w:tc>
          <w:tcPr>
            <w:tcW w:w="1202" w:type="dxa"/>
            <w:shd w:val="clear" w:color="auto" w:fill="auto"/>
            <w:noWrap/>
            <w:vAlign w:val="bottom"/>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OECD</w:t>
            </w:r>
          </w:p>
        </w:tc>
        <w:tc>
          <w:tcPr>
            <w:tcW w:w="8169" w:type="dxa"/>
            <w:shd w:val="clear" w:color="auto" w:fill="auto"/>
            <w:noWrap/>
            <w:vAlign w:val="bottom"/>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Organisation for Economic Cooperation and Development</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OEH</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Office of Environment and Heritage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PACIA</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Plastics and Chemicals Industry Association</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PET</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polyethylene terephthalate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PP</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polypropylene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PS</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polystyrene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PVC</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polyvinyl chloride</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Qld</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Queensland</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REC</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Randell Environmental Consulting</w:t>
            </w:r>
          </w:p>
        </w:tc>
      </w:tr>
      <w:tr w:rsidR="00F67AC4" w:rsidRPr="00C66550" w:rsidTr="008C6864">
        <w:tc>
          <w:tcPr>
            <w:tcW w:w="1202" w:type="dxa"/>
            <w:shd w:val="clear" w:color="auto" w:fill="auto"/>
            <w:noWrap/>
            <w:vAlign w:val="bottom"/>
          </w:tcPr>
          <w:p w:rsidR="00F67AC4" w:rsidRPr="00C66550" w:rsidRDefault="00F67AC4" w:rsidP="006F5654">
            <w:pPr>
              <w:spacing w:line="240" w:lineRule="auto"/>
              <w:rPr>
                <w:rFonts w:cs="Times New Roman"/>
                <w:color w:val="000000"/>
                <w:sz w:val="22"/>
                <w:lang w:eastAsia="en-AU"/>
              </w:rPr>
            </w:pPr>
            <w:r w:rsidRPr="00C66550">
              <w:rPr>
                <w:rFonts w:cs="Times New Roman"/>
                <w:color w:val="000000"/>
                <w:sz w:val="22"/>
                <w:lang w:eastAsia="en-AU"/>
              </w:rPr>
              <w:t>RoE</w:t>
            </w:r>
          </w:p>
        </w:tc>
        <w:tc>
          <w:tcPr>
            <w:tcW w:w="8169" w:type="dxa"/>
            <w:shd w:val="clear" w:color="auto" w:fill="auto"/>
            <w:noWrap/>
            <w:vAlign w:val="bottom"/>
          </w:tcPr>
          <w:p w:rsidR="00F67AC4" w:rsidRPr="00C66550" w:rsidRDefault="00F67AC4" w:rsidP="006F5654">
            <w:pPr>
              <w:spacing w:line="240" w:lineRule="auto"/>
              <w:rPr>
                <w:rFonts w:cs="Times New Roman"/>
                <w:color w:val="000000"/>
                <w:sz w:val="22"/>
                <w:lang w:eastAsia="en-AU"/>
              </w:rPr>
            </w:pPr>
            <w:r w:rsidRPr="00C66550">
              <w:rPr>
                <w:rFonts w:cs="Times New Roman"/>
                <w:color w:val="000000"/>
                <w:sz w:val="22"/>
                <w:lang w:eastAsia="en-AU"/>
              </w:rPr>
              <w:t>recovery of energy</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ROU</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Recycled Organics Unit</w:t>
            </w:r>
          </w:p>
        </w:tc>
      </w:tr>
      <w:tr w:rsidR="00F67AC4" w:rsidRPr="00C66550" w:rsidTr="008C6864">
        <w:tc>
          <w:tcPr>
            <w:tcW w:w="1202" w:type="dxa"/>
            <w:shd w:val="clear" w:color="auto" w:fill="auto"/>
            <w:noWrap/>
            <w:vAlign w:val="bottom"/>
          </w:tcPr>
          <w:p w:rsidR="00F67AC4" w:rsidRPr="00C66550" w:rsidRDefault="00F67AC4" w:rsidP="006F5654">
            <w:pPr>
              <w:spacing w:line="240" w:lineRule="auto"/>
              <w:rPr>
                <w:rFonts w:cs="Times New Roman"/>
                <w:color w:val="000000"/>
                <w:sz w:val="22"/>
                <w:lang w:eastAsia="en-AU"/>
              </w:rPr>
            </w:pPr>
            <w:r w:rsidRPr="00C66550">
              <w:rPr>
                <w:rFonts w:cs="Times New Roman"/>
                <w:color w:val="000000"/>
                <w:sz w:val="22"/>
                <w:lang w:eastAsia="en-AU"/>
              </w:rPr>
              <w:t>RR</w:t>
            </w:r>
          </w:p>
        </w:tc>
        <w:tc>
          <w:tcPr>
            <w:tcW w:w="8169" w:type="dxa"/>
            <w:shd w:val="clear" w:color="auto" w:fill="auto"/>
            <w:noWrap/>
            <w:vAlign w:val="bottom"/>
          </w:tcPr>
          <w:p w:rsidR="00F67AC4" w:rsidRPr="00C66550" w:rsidRDefault="00F67AC4" w:rsidP="006F5654">
            <w:pPr>
              <w:spacing w:line="240" w:lineRule="auto"/>
              <w:rPr>
                <w:rFonts w:cs="Times New Roman"/>
                <w:color w:val="000000"/>
                <w:sz w:val="22"/>
                <w:lang w:eastAsia="en-AU"/>
              </w:rPr>
            </w:pPr>
            <w:r w:rsidRPr="00C66550">
              <w:rPr>
                <w:rFonts w:cs="Times New Roman"/>
                <w:color w:val="000000"/>
                <w:sz w:val="22"/>
                <w:lang w:eastAsia="en-AU"/>
              </w:rPr>
              <w:t>resource recovery</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RRA</w:t>
            </w:r>
          </w:p>
        </w:tc>
        <w:tc>
          <w:tcPr>
            <w:tcW w:w="8169" w:type="dxa"/>
            <w:shd w:val="clear" w:color="auto" w:fill="auto"/>
            <w:noWrap/>
            <w:vAlign w:val="bottom"/>
            <w:hideMark/>
          </w:tcPr>
          <w:p w:rsidR="00076F68" w:rsidRPr="00C66550" w:rsidRDefault="005F79D5" w:rsidP="006F5654">
            <w:pPr>
              <w:spacing w:line="240" w:lineRule="auto"/>
              <w:rPr>
                <w:rFonts w:cs="Times New Roman"/>
                <w:color w:val="000000"/>
                <w:sz w:val="22"/>
                <w:lang w:eastAsia="en-AU"/>
              </w:rPr>
            </w:pPr>
            <w:r w:rsidRPr="00C66550">
              <w:rPr>
                <w:rFonts w:cs="Times New Roman"/>
                <w:color w:val="000000"/>
                <w:sz w:val="22"/>
                <w:lang w:eastAsia="en-AU"/>
              </w:rPr>
              <w:t>Regional Regulated Area (NSW)</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SA</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South Australia</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SMA</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 xml:space="preserve">Sydney </w:t>
            </w:r>
            <w:r w:rsidR="005F79D5" w:rsidRPr="00C66550">
              <w:rPr>
                <w:rFonts w:cs="Times New Roman"/>
                <w:color w:val="000000"/>
                <w:sz w:val="22"/>
                <w:lang w:eastAsia="en-AU"/>
              </w:rPr>
              <w:t>Metropolitan Area (NSW)</w:t>
            </w:r>
          </w:p>
        </w:tc>
      </w:tr>
      <w:tr w:rsidR="001C1F43" w:rsidRPr="00C66550" w:rsidTr="008C6864">
        <w:tc>
          <w:tcPr>
            <w:tcW w:w="1202" w:type="dxa"/>
            <w:shd w:val="clear" w:color="auto" w:fill="auto"/>
            <w:noWrap/>
            <w:vAlign w:val="bottom"/>
          </w:tcPr>
          <w:p w:rsidR="001C1F43" w:rsidRPr="00C66550" w:rsidRDefault="001C1F43" w:rsidP="006F5654">
            <w:pPr>
              <w:spacing w:line="240" w:lineRule="auto"/>
              <w:rPr>
                <w:rFonts w:cs="Times New Roman"/>
                <w:color w:val="000000"/>
                <w:sz w:val="22"/>
                <w:lang w:eastAsia="en-AU"/>
              </w:rPr>
            </w:pPr>
            <w:r w:rsidRPr="00C66550">
              <w:rPr>
                <w:rFonts w:cs="Times New Roman"/>
                <w:color w:val="000000"/>
                <w:sz w:val="22"/>
                <w:lang w:eastAsia="en-AU"/>
              </w:rPr>
              <w:t>t</w:t>
            </w:r>
          </w:p>
        </w:tc>
        <w:tc>
          <w:tcPr>
            <w:tcW w:w="8169" w:type="dxa"/>
            <w:shd w:val="clear" w:color="auto" w:fill="auto"/>
            <w:noWrap/>
            <w:vAlign w:val="bottom"/>
          </w:tcPr>
          <w:p w:rsidR="001C1F43" w:rsidRPr="00C66550" w:rsidRDefault="001C1F43" w:rsidP="006F5654">
            <w:pPr>
              <w:spacing w:line="240" w:lineRule="auto"/>
              <w:rPr>
                <w:rFonts w:cs="Times New Roman"/>
                <w:color w:val="000000"/>
                <w:sz w:val="22"/>
                <w:lang w:eastAsia="en-AU"/>
              </w:rPr>
            </w:pPr>
            <w:r w:rsidRPr="00C66550">
              <w:rPr>
                <w:rFonts w:cs="Times New Roman"/>
                <w:color w:val="000000"/>
                <w:sz w:val="22"/>
                <w:lang w:eastAsia="en-AU"/>
              </w:rPr>
              <w:t>tonnes</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Tas</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Tasmania</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UK</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United Kingdom</w:t>
            </w:r>
            <w:r w:rsidR="000841D2" w:rsidRPr="00C66550">
              <w:rPr>
                <w:rFonts w:cs="Times New Roman"/>
                <w:color w:val="000000"/>
                <w:sz w:val="22"/>
                <w:lang w:eastAsia="en-AU"/>
              </w:rPr>
              <w:t xml:space="preserve"> of Great Britain and Northern Ireland</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UNEP</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United Nations Environment Program</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US</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United States of America</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Vic</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Victoria</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WA</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Western Australia</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WEEE</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waste electrical and electronic equipment</w:t>
            </w:r>
          </w:p>
        </w:tc>
      </w:tr>
      <w:tr w:rsidR="001862C6" w:rsidRPr="00C66550" w:rsidTr="008C6864">
        <w:tc>
          <w:tcPr>
            <w:tcW w:w="1202" w:type="dxa"/>
            <w:shd w:val="clear" w:color="auto" w:fill="auto"/>
            <w:noWrap/>
            <w:vAlign w:val="bottom"/>
          </w:tcPr>
          <w:p w:rsidR="001862C6" w:rsidRPr="00C66550" w:rsidRDefault="001862C6" w:rsidP="006F5654">
            <w:pPr>
              <w:spacing w:line="240" w:lineRule="auto"/>
              <w:rPr>
                <w:rFonts w:cs="Times New Roman"/>
                <w:color w:val="000000"/>
                <w:sz w:val="22"/>
                <w:lang w:eastAsia="en-AU"/>
              </w:rPr>
            </w:pPr>
            <w:r>
              <w:rPr>
                <w:rFonts w:cs="Times New Roman"/>
                <w:color w:val="000000"/>
                <w:sz w:val="22"/>
                <w:lang w:eastAsia="en-AU"/>
              </w:rPr>
              <w:t>WGRRA</w:t>
            </w:r>
          </w:p>
        </w:tc>
        <w:tc>
          <w:tcPr>
            <w:tcW w:w="8169" w:type="dxa"/>
            <w:shd w:val="clear" w:color="auto" w:fill="auto"/>
            <w:noWrap/>
            <w:vAlign w:val="bottom"/>
          </w:tcPr>
          <w:p w:rsidR="001862C6" w:rsidRPr="001862C6" w:rsidRDefault="001862C6" w:rsidP="006F5654">
            <w:pPr>
              <w:spacing w:line="240" w:lineRule="auto"/>
              <w:rPr>
                <w:rFonts w:cs="Times New Roman"/>
                <w:color w:val="000000"/>
                <w:sz w:val="22"/>
                <w:lang w:eastAsia="en-AU"/>
              </w:rPr>
            </w:pPr>
            <w:r>
              <w:rPr>
                <w:rFonts w:cs="Times New Roman"/>
                <w:i/>
                <w:color w:val="000000"/>
                <w:sz w:val="22"/>
                <w:lang w:eastAsia="en-AU"/>
              </w:rPr>
              <w:t>Waste Generation and Recycling in Australia</w:t>
            </w:r>
            <w:r>
              <w:rPr>
                <w:rFonts w:cs="Times New Roman"/>
                <w:color w:val="000000"/>
                <w:sz w:val="22"/>
                <w:lang w:eastAsia="en-AU"/>
              </w:rPr>
              <w:t xml:space="preserve"> (this report and accompanying databooks)</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WMAA</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Waste Management Association of Australia</w:t>
            </w:r>
          </w:p>
        </w:tc>
      </w:tr>
      <w:tr w:rsidR="00076F68" w:rsidRPr="00C66550" w:rsidTr="008C6864">
        <w:tc>
          <w:tcPr>
            <w:tcW w:w="1202"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yr</w:t>
            </w:r>
          </w:p>
        </w:tc>
        <w:tc>
          <w:tcPr>
            <w:tcW w:w="8169" w:type="dxa"/>
            <w:shd w:val="clear" w:color="auto" w:fill="auto"/>
            <w:noWrap/>
            <w:vAlign w:val="bottom"/>
            <w:hideMark/>
          </w:tcPr>
          <w:p w:rsidR="00076F68" w:rsidRPr="00C66550" w:rsidRDefault="00076F68" w:rsidP="006F5654">
            <w:pPr>
              <w:spacing w:line="240" w:lineRule="auto"/>
              <w:rPr>
                <w:rFonts w:cs="Times New Roman"/>
                <w:color w:val="000000"/>
                <w:sz w:val="22"/>
                <w:lang w:eastAsia="en-AU"/>
              </w:rPr>
            </w:pPr>
            <w:r w:rsidRPr="00C66550">
              <w:rPr>
                <w:rFonts w:cs="Times New Roman"/>
                <w:color w:val="000000"/>
                <w:sz w:val="22"/>
                <w:lang w:eastAsia="en-AU"/>
              </w:rPr>
              <w:t>year</w:t>
            </w:r>
          </w:p>
        </w:tc>
      </w:tr>
    </w:tbl>
    <w:p w:rsidR="005046D3" w:rsidRPr="00C66550" w:rsidRDefault="005046D3" w:rsidP="00F810CB">
      <w:pPr>
        <w:pStyle w:val="SectionHeader"/>
      </w:pPr>
    </w:p>
    <w:p w:rsidR="0092426E" w:rsidRPr="00C66550" w:rsidRDefault="0092426E" w:rsidP="00121BCA">
      <w:pPr>
        <w:pStyle w:val="BodyText"/>
        <w:sectPr w:rsidR="0092426E" w:rsidRPr="00C66550" w:rsidSect="00F810CB">
          <w:footerReference w:type="default" r:id="rId20"/>
          <w:headerReference w:type="first" r:id="rId21"/>
          <w:footerReference w:type="first" r:id="rId22"/>
          <w:pgSz w:w="11907" w:h="16840" w:code="9"/>
          <w:pgMar w:top="1928" w:right="1077" w:bottom="1559" w:left="1474" w:header="709" w:footer="709" w:gutter="0"/>
          <w:pgNumType w:fmt="lowerRoman"/>
          <w:cols w:space="708"/>
          <w:docGrid w:linePitch="360"/>
        </w:sectPr>
      </w:pPr>
    </w:p>
    <w:p w:rsidR="006915F8" w:rsidRPr="00C66550" w:rsidRDefault="00AD35DF" w:rsidP="00BC277F">
      <w:pPr>
        <w:pStyle w:val="Heading1"/>
        <w:numPr>
          <w:ilvl w:val="0"/>
          <w:numId w:val="0"/>
        </w:numPr>
        <w:ind w:left="1134" w:hanging="1134"/>
      </w:pPr>
      <w:bookmarkStart w:id="9" w:name="_Toc379466337"/>
      <w:r w:rsidRPr="00C66550">
        <w:lastRenderedPageBreak/>
        <w:t>Executive s</w:t>
      </w:r>
      <w:r w:rsidR="002D6440" w:rsidRPr="00C66550">
        <w:t>ummary</w:t>
      </w:r>
      <w:bookmarkStart w:id="10" w:name="Summary"/>
      <w:bookmarkEnd w:id="4"/>
      <w:bookmarkEnd w:id="10"/>
      <w:bookmarkEnd w:id="9"/>
    </w:p>
    <w:p w:rsidR="00173B58" w:rsidRPr="00C66550" w:rsidRDefault="00173B58" w:rsidP="00173B58">
      <w:pPr>
        <w:pStyle w:val="BodyText"/>
      </w:pPr>
      <w:r w:rsidRPr="00C66550">
        <w:t xml:space="preserve">In June 2012, the Department of Sustainability, Environment, Water, Population and Communities (DSEWPaC) engaged Blue Environment Pty Ltd in association with Randell Environmental Consulting (REC) to report on </w:t>
      </w:r>
      <w:r w:rsidRPr="00C66550">
        <w:rPr>
          <w:i/>
        </w:rPr>
        <w:t>Waste Generation and Resource Recovery in Australia</w:t>
      </w:r>
      <w:r w:rsidRPr="00C66550">
        <w:t xml:space="preserve"> (WGRRA) </w:t>
      </w:r>
      <w:r w:rsidR="002243AB">
        <w:t>during</w:t>
      </w:r>
      <w:r w:rsidRPr="00C66550">
        <w:t xml:space="preserve"> 2010/11. </w:t>
      </w:r>
    </w:p>
    <w:p w:rsidR="00173B58" w:rsidRPr="00C66550" w:rsidRDefault="00173B58" w:rsidP="00173B58">
      <w:pPr>
        <w:pStyle w:val="BodyText"/>
        <w:rPr>
          <w:sz w:val="16"/>
          <w:szCs w:val="16"/>
        </w:rPr>
      </w:pPr>
    </w:p>
    <w:p w:rsidR="00173B58" w:rsidRPr="00C66550" w:rsidRDefault="00692CBA" w:rsidP="00173B58">
      <w:pPr>
        <w:pStyle w:val="BodyText"/>
      </w:pPr>
      <w:r>
        <w:t>This report</w:t>
      </w:r>
      <w:r w:rsidR="00173B58" w:rsidRPr="00C66550">
        <w:t xml:space="preserve"> aims to present, analyse and discuss the most up-to-date set of Australian and jurisdictional solid waste data, focusing on:</w:t>
      </w:r>
    </w:p>
    <w:p w:rsidR="00173B58" w:rsidRPr="00C66550" w:rsidRDefault="00173B58" w:rsidP="00173B58">
      <w:pPr>
        <w:pStyle w:val="Bullet1"/>
        <w:spacing w:before="0"/>
      </w:pPr>
      <w:r w:rsidRPr="00C66550">
        <w:t xml:space="preserve">recycling </w:t>
      </w:r>
    </w:p>
    <w:p w:rsidR="00173B58" w:rsidRPr="00C66550" w:rsidRDefault="00173B58" w:rsidP="00173B58">
      <w:pPr>
        <w:pStyle w:val="Bullet1"/>
        <w:spacing w:before="0"/>
      </w:pPr>
      <w:r w:rsidRPr="00C66550">
        <w:t xml:space="preserve">energy recovery </w:t>
      </w:r>
    </w:p>
    <w:p w:rsidR="00173B58" w:rsidRPr="00C66550" w:rsidRDefault="00173B58" w:rsidP="00173B58">
      <w:pPr>
        <w:pStyle w:val="Bullet1"/>
        <w:spacing w:before="0"/>
      </w:pPr>
      <w:r w:rsidRPr="00C66550">
        <w:t>resource recovery (where resource recovery = recycling + energy recovery)</w:t>
      </w:r>
    </w:p>
    <w:p w:rsidR="00173B58" w:rsidRPr="00C66550" w:rsidRDefault="00173B58" w:rsidP="00173B58">
      <w:pPr>
        <w:pStyle w:val="Bullet1"/>
        <w:spacing w:before="0"/>
      </w:pPr>
      <w:r w:rsidRPr="00C66550">
        <w:t>disposal</w:t>
      </w:r>
    </w:p>
    <w:p w:rsidR="00173B58" w:rsidRPr="00C66550" w:rsidRDefault="00173B58" w:rsidP="00173B58">
      <w:pPr>
        <w:pStyle w:val="Bullet1"/>
        <w:spacing w:before="0"/>
      </w:pPr>
      <w:r w:rsidRPr="00C66550">
        <w:t>waste generation (where waste generation = resource recovery + disposal).</w:t>
      </w:r>
    </w:p>
    <w:p w:rsidR="00173B58" w:rsidRPr="00C66550" w:rsidRDefault="00173B58" w:rsidP="00173B58">
      <w:pPr>
        <w:pStyle w:val="Bullet2"/>
        <w:numPr>
          <w:ilvl w:val="0"/>
          <w:numId w:val="0"/>
        </w:numPr>
        <w:ind w:left="907"/>
        <w:rPr>
          <w:sz w:val="16"/>
          <w:szCs w:val="16"/>
        </w:rPr>
      </w:pPr>
    </w:p>
    <w:p w:rsidR="00173B58" w:rsidRPr="00C66550" w:rsidRDefault="00692CBA" w:rsidP="00173B58">
      <w:pPr>
        <w:pStyle w:val="BodyText"/>
      </w:pPr>
      <w:r>
        <w:t>This</w:t>
      </w:r>
      <w:r w:rsidR="00173B58" w:rsidRPr="00C66550">
        <w:t xml:space="preserve"> is the fifth in a series of data compilations on waste and resource recovery in Australia. The four previous iterations were known as the </w:t>
      </w:r>
      <w:r w:rsidR="00173B58" w:rsidRPr="00C66550">
        <w:rPr>
          <w:i/>
        </w:rPr>
        <w:t>Waste and Recycling in Australia</w:t>
      </w:r>
      <w:r w:rsidR="00173B58" w:rsidRPr="00C66550">
        <w:t xml:space="preserve"> reports. This version of the report has been re-titled</w:t>
      </w:r>
      <w:r w:rsidR="00575602">
        <w:t xml:space="preserve"> </w:t>
      </w:r>
      <w:r w:rsidR="00173B58" w:rsidRPr="00C66550">
        <w:t>to better reflect its focus and to differentiate it from the earlier reports, which did not extend to data interpretation or five-year time-series analysis.</w:t>
      </w:r>
    </w:p>
    <w:p w:rsidR="00173B58" w:rsidRPr="00C66550" w:rsidRDefault="00173B58" w:rsidP="00173B58">
      <w:pPr>
        <w:pStyle w:val="BodyText"/>
        <w:rPr>
          <w:sz w:val="16"/>
          <w:szCs w:val="16"/>
        </w:rPr>
      </w:pPr>
    </w:p>
    <w:p w:rsidR="00C625C6" w:rsidRPr="00C66550" w:rsidRDefault="00C625C6" w:rsidP="00C625C6">
      <w:pPr>
        <w:pStyle w:val="BodyText"/>
      </w:pPr>
      <w:r w:rsidRPr="00C66550">
        <w:t>Detailed data and analysis for 2010/11 are accompanied by trend data from 2006/07. The time series analysis of trends from 2006/07 has not</w:t>
      </w:r>
      <w:r w:rsidRPr="00C66550">
        <w:rPr>
          <w:b/>
        </w:rPr>
        <w:t xml:space="preserve"> </w:t>
      </w:r>
      <w:r w:rsidRPr="00C66550">
        <w:t xml:space="preserve">relied upon data from previous </w:t>
      </w:r>
      <w:r w:rsidRPr="00C66550">
        <w:rPr>
          <w:i/>
        </w:rPr>
        <w:t>Waste and Recycling in Australia</w:t>
      </w:r>
      <w:r w:rsidRPr="00C66550">
        <w:t xml:space="preserve"> reports. To ensure that the trend analysis was based on consistently compiled data, the raw data were revisited and the annual figures were recalculated. The results may not always be consistent with previous </w:t>
      </w:r>
      <w:r w:rsidRPr="00C66550">
        <w:rPr>
          <w:i/>
        </w:rPr>
        <w:t>Waste and Recycling in Australia</w:t>
      </w:r>
      <w:r w:rsidRPr="00C66550">
        <w:t xml:space="preserve"> reports.</w:t>
      </w:r>
    </w:p>
    <w:p w:rsidR="00C625C6" w:rsidRPr="00C66550" w:rsidRDefault="00C625C6" w:rsidP="00173B58">
      <w:pPr>
        <w:pStyle w:val="BodyText"/>
        <w:rPr>
          <w:sz w:val="16"/>
          <w:szCs w:val="16"/>
        </w:rPr>
      </w:pPr>
    </w:p>
    <w:p w:rsidR="00173B58" w:rsidRPr="00C66550" w:rsidRDefault="00173B58" w:rsidP="00173B58">
      <w:pPr>
        <w:pStyle w:val="BodyText"/>
      </w:pPr>
      <w:r w:rsidRPr="00C66550">
        <w:t>The report structure is broadly grouped into three parts outlined below.</w:t>
      </w:r>
    </w:p>
    <w:p w:rsidR="00173B58" w:rsidRPr="00C66550" w:rsidRDefault="00173B58" w:rsidP="00173B58">
      <w:pPr>
        <w:pStyle w:val="Bullet1"/>
      </w:pPr>
      <w:r w:rsidRPr="00C66550">
        <w:t xml:space="preserve">Sections </w:t>
      </w:r>
      <w:r w:rsidR="0062001A" w:rsidRPr="00C66550">
        <w:fldChar w:fldCharType="begin"/>
      </w:r>
      <w:r w:rsidRPr="00C66550">
        <w:instrText xml:space="preserve"> REF _Ref355276890 \r \h </w:instrText>
      </w:r>
      <w:r w:rsidR="0062001A" w:rsidRPr="00C66550">
        <w:fldChar w:fldCharType="separate"/>
      </w:r>
      <w:r w:rsidR="00D96003">
        <w:t>3</w:t>
      </w:r>
      <w:r w:rsidR="0062001A" w:rsidRPr="00C66550">
        <w:fldChar w:fldCharType="end"/>
      </w:r>
      <w:r w:rsidRPr="00C66550">
        <w:t xml:space="preserve"> to </w:t>
      </w:r>
      <w:r w:rsidR="0062001A" w:rsidRPr="00C66550">
        <w:fldChar w:fldCharType="begin"/>
      </w:r>
      <w:r w:rsidRPr="00C66550">
        <w:instrText xml:space="preserve"> REF _Ref355040091 \r \h </w:instrText>
      </w:r>
      <w:r w:rsidR="0062001A" w:rsidRPr="00C66550">
        <w:fldChar w:fldCharType="separate"/>
      </w:r>
      <w:r w:rsidR="00D96003">
        <w:t>14</w:t>
      </w:r>
      <w:r w:rsidR="0062001A" w:rsidRPr="00C66550">
        <w:fldChar w:fldCharType="end"/>
      </w:r>
      <w:r w:rsidRPr="00C66550">
        <w:t xml:space="preserve"> include the main data presentation and analysis. These sections present the national data, international comparisons and jurisdictional data. </w:t>
      </w:r>
    </w:p>
    <w:p w:rsidR="00173B58" w:rsidRPr="00C66550" w:rsidRDefault="00173B58" w:rsidP="00173B58">
      <w:pPr>
        <w:pStyle w:val="Bullet1"/>
      </w:pPr>
      <w:r w:rsidRPr="00C66550">
        <w:t xml:space="preserve">Sections </w:t>
      </w:r>
      <w:r w:rsidR="0062001A" w:rsidRPr="00C66550">
        <w:fldChar w:fldCharType="begin"/>
      </w:r>
      <w:r w:rsidRPr="00C66550">
        <w:instrText xml:space="preserve"> REF _Ref349634940 \r \h </w:instrText>
      </w:r>
      <w:r w:rsidR="0062001A" w:rsidRPr="00C66550">
        <w:fldChar w:fldCharType="separate"/>
      </w:r>
      <w:r w:rsidR="00D96003">
        <w:t>15</w:t>
      </w:r>
      <w:r w:rsidR="0062001A" w:rsidRPr="00C66550">
        <w:fldChar w:fldCharType="end"/>
      </w:r>
      <w:r w:rsidRPr="00C66550">
        <w:t xml:space="preserve"> to </w:t>
      </w:r>
      <w:r w:rsidR="0062001A" w:rsidRPr="00C66550">
        <w:fldChar w:fldCharType="begin"/>
      </w:r>
      <w:r w:rsidRPr="00C66550">
        <w:instrText xml:space="preserve"> REF _Ref354658777 \r \h </w:instrText>
      </w:r>
      <w:r w:rsidR="0062001A" w:rsidRPr="00C66550">
        <w:fldChar w:fldCharType="separate"/>
      </w:r>
      <w:r w:rsidR="00D96003">
        <w:t>20</w:t>
      </w:r>
      <w:r w:rsidR="0062001A" w:rsidRPr="00C66550">
        <w:fldChar w:fldCharType="end"/>
      </w:r>
      <w:r w:rsidRPr="00C66550">
        <w:t xml:space="preserve"> provide analysis of a several important areas, namely: organics, product stewardship, and local government data, an overview of policy frameworks, barriers to resource recovery, and the environmental impacts of waste management.</w:t>
      </w:r>
    </w:p>
    <w:p w:rsidR="00173B58" w:rsidRPr="00C66550" w:rsidRDefault="00173B58" w:rsidP="00173B58">
      <w:pPr>
        <w:pStyle w:val="Bullet1"/>
      </w:pPr>
      <w:r w:rsidRPr="00C66550">
        <w:t xml:space="preserve">Sections </w:t>
      </w:r>
      <w:r w:rsidR="0062001A" w:rsidRPr="00C66550">
        <w:fldChar w:fldCharType="begin"/>
      </w:r>
      <w:r w:rsidRPr="00C66550">
        <w:instrText xml:space="preserve"> REF _Ref349778975 \r \h </w:instrText>
      </w:r>
      <w:r w:rsidR="0062001A" w:rsidRPr="00C66550">
        <w:fldChar w:fldCharType="separate"/>
      </w:r>
      <w:r w:rsidR="00D96003">
        <w:t>21</w:t>
      </w:r>
      <w:r w:rsidR="0062001A" w:rsidRPr="00C66550">
        <w:fldChar w:fldCharType="end"/>
      </w:r>
      <w:r w:rsidRPr="00C66550">
        <w:t xml:space="preserve"> to </w:t>
      </w:r>
      <w:r w:rsidR="0062001A" w:rsidRPr="00C66550">
        <w:fldChar w:fldCharType="begin"/>
      </w:r>
      <w:r w:rsidRPr="00C66550">
        <w:instrText xml:space="preserve"> REF _Ref354659049 \r \h </w:instrText>
      </w:r>
      <w:r w:rsidR="0062001A" w:rsidRPr="00C66550">
        <w:fldChar w:fldCharType="separate"/>
      </w:r>
      <w:r w:rsidR="00D96003">
        <w:t>23</w:t>
      </w:r>
      <w:r w:rsidR="0062001A" w:rsidRPr="00C66550">
        <w:fldChar w:fldCharType="end"/>
      </w:r>
      <w:r w:rsidRPr="00C66550">
        <w:t xml:space="preserve"> document the key definitions and data collation approaches that underpin the report. The report scope and method are discussed in detail here, including the degree of alignment with the method set out in Section 3 of the previous version of this report, </w:t>
      </w:r>
      <w:r w:rsidRPr="00C66550">
        <w:rPr>
          <w:i/>
          <w:color w:val="080808"/>
        </w:rPr>
        <w:t xml:space="preserve">Waste and Recycling in Australia </w:t>
      </w:r>
      <w:r w:rsidRPr="00C66550">
        <w:rPr>
          <w:i/>
        </w:rPr>
        <w:t>2011</w:t>
      </w:r>
      <w:r w:rsidRPr="00C66550">
        <w:t>. An overview of the data collation assumptions used in the development of the report’s data is also provided.</w:t>
      </w:r>
    </w:p>
    <w:p w:rsidR="00EB0A97" w:rsidRPr="00C66550" w:rsidRDefault="00EB0A97" w:rsidP="00C625C6">
      <w:pPr>
        <w:pStyle w:val="BodyText"/>
        <w:rPr>
          <w:sz w:val="16"/>
          <w:szCs w:val="16"/>
        </w:rPr>
      </w:pPr>
    </w:p>
    <w:p w:rsidR="00EB0A97" w:rsidRPr="00C66550" w:rsidRDefault="00E5424C" w:rsidP="006D25F9">
      <w:pPr>
        <w:pStyle w:val="Heading2"/>
        <w:numPr>
          <w:ilvl w:val="0"/>
          <w:numId w:val="0"/>
        </w:numPr>
      </w:pPr>
      <w:bookmarkStart w:id="11" w:name="_Toc379466338"/>
      <w:r w:rsidRPr="00C66550">
        <w:t>E1</w:t>
      </w:r>
      <w:r w:rsidRPr="00C66550">
        <w:tab/>
      </w:r>
      <w:r w:rsidR="0086729E" w:rsidRPr="00C66550">
        <w:t xml:space="preserve">Summary </w:t>
      </w:r>
      <w:r w:rsidR="00D540B3" w:rsidRPr="00C66550">
        <w:t>2010/2011 data</w:t>
      </w:r>
      <w:bookmarkEnd w:id="11"/>
    </w:p>
    <w:p w:rsidR="00C93E6D" w:rsidRPr="00C66550" w:rsidRDefault="00C93E6D" w:rsidP="008D722B">
      <w:pPr>
        <w:pStyle w:val="BodyText"/>
      </w:pPr>
      <w:r w:rsidRPr="00C66550">
        <w:t>In 2010/11, Australians on average generated 2.2 tonnes per capita of waste, 60% of which was recycled or recovered for embodied energy. Inclusion of fly ash from coal fired power stations increases average per capita waste generation by 28% to 2.8 tonnes, with a resource recovery rate of 56%. In total, Australia generated around 48 million tonnes (Mt) of waste excluding fly ash, and 62 Mt including fly ash.</w:t>
      </w:r>
    </w:p>
    <w:p w:rsidR="008D722B" w:rsidRPr="00C66550" w:rsidRDefault="008D722B" w:rsidP="008D722B">
      <w:pPr>
        <w:pStyle w:val="BodyText"/>
        <w:rPr>
          <w:sz w:val="16"/>
          <w:szCs w:val="16"/>
        </w:rPr>
      </w:pPr>
    </w:p>
    <w:p w:rsidR="00EE72BF" w:rsidRPr="00C66550" w:rsidRDefault="00376C5E" w:rsidP="008D722B">
      <w:pPr>
        <w:pStyle w:val="BodyText"/>
      </w:pPr>
      <w:r w:rsidRPr="00C66550">
        <w:t xml:space="preserve">The quantity of waste generated per capita in Australian jurisdictions appears to generally increase with income per capita and with the level of urbanisation. Tonnage totals </w:t>
      </w:r>
      <w:r w:rsidR="00EE72BF" w:rsidRPr="00C66550">
        <w:t>correlate with population and</w:t>
      </w:r>
      <w:r w:rsidR="008809C4" w:rsidRPr="00C66550">
        <w:t xml:space="preserve"> gross state product</w:t>
      </w:r>
      <w:r w:rsidR="00EE72BF" w:rsidRPr="00C66550">
        <w:t xml:space="preserve"> </w:t>
      </w:r>
      <w:r w:rsidR="008809C4" w:rsidRPr="00C66550">
        <w:t>(</w:t>
      </w:r>
      <w:r w:rsidR="00EE72BF" w:rsidRPr="00C66550">
        <w:t>GSP</w:t>
      </w:r>
      <w:r w:rsidR="008809C4" w:rsidRPr="00C66550">
        <w:t>)</w:t>
      </w:r>
      <w:r w:rsidR="00EE72BF" w:rsidRPr="00C66550">
        <w:t xml:space="preserve">. Figure E1 provides a summary of waste generation, management and resource recovery rate </w:t>
      </w:r>
      <w:r w:rsidR="008809C4" w:rsidRPr="00C66550">
        <w:t xml:space="preserve">in </w:t>
      </w:r>
      <w:r w:rsidR="00EE72BF" w:rsidRPr="00C66550">
        <w:t xml:space="preserve">each jurisdiction. </w:t>
      </w:r>
    </w:p>
    <w:p w:rsidR="000A2334" w:rsidRPr="00C66550" w:rsidRDefault="000A2334" w:rsidP="00FB4820">
      <w:pPr>
        <w:pStyle w:val="Figures"/>
      </w:pPr>
      <w:r w:rsidRPr="00C66550">
        <w:lastRenderedPageBreak/>
        <w:t>Figure E1:</w:t>
      </w:r>
      <w:r w:rsidRPr="00C66550">
        <w:tab/>
        <w:t xml:space="preserve">Australia by jurisdiction 2010/11 (a) per capita and (b) </w:t>
      </w:r>
      <w:r w:rsidR="0089707A" w:rsidRPr="00C66550">
        <w:t>total waste generated</w:t>
      </w:r>
      <w:r w:rsidRPr="00C66550">
        <w:t xml:space="preserve"> by management including resource recovery rate (excluding fly ash)</w:t>
      </w:r>
    </w:p>
    <w:p w:rsidR="003901C5" w:rsidRPr="00C66550" w:rsidRDefault="003901C5" w:rsidP="00FB4820">
      <w:pPr>
        <w:pStyle w:val="Figures"/>
      </w:pPr>
      <w:r w:rsidRPr="00C66550">
        <w:t>(a)</w:t>
      </w:r>
      <w:r w:rsidR="00CD7748" w:rsidRPr="00C66550">
        <w:rPr>
          <w:noProof/>
          <w:lang w:eastAsia="en-AU"/>
        </w:rPr>
        <w:t xml:space="preserve"> </w:t>
      </w:r>
    </w:p>
    <w:p w:rsidR="007149F5" w:rsidRDefault="007149F5" w:rsidP="00FB4820">
      <w:pPr>
        <w:pStyle w:val="Figures"/>
      </w:pPr>
      <w:r w:rsidRPr="007149F5">
        <w:rPr>
          <w:noProof/>
          <w:lang w:eastAsia="en-AU"/>
        </w:rPr>
        <w:drawing>
          <wp:inline distT="0" distB="0" distL="0" distR="0">
            <wp:extent cx="5941060" cy="299655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1060" cy="2996554"/>
                    </a:xfrm>
                    <a:prstGeom prst="rect">
                      <a:avLst/>
                    </a:prstGeom>
                  </pic:spPr>
                </pic:pic>
              </a:graphicData>
            </a:graphic>
          </wp:inline>
        </w:drawing>
      </w:r>
    </w:p>
    <w:p w:rsidR="00D540B3" w:rsidRPr="00C66550" w:rsidRDefault="000A2334" w:rsidP="00FB4820">
      <w:pPr>
        <w:pStyle w:val="Figures"/>
      </w:pPr>
      <w:r w:rsidRPr="00C66550">
        <w:t>(b)</w:t>
      </w:r>
    </w:p>
    <w:p w:rsidR="003901C5" w:rsidRPr="00C66550" w:rsidRDefault="00022629" w:rsidP="00FB4820">
      <w:pPr>
        <w:pStyle w:val="Figures"/>
      </w:pPr>
      <w:r w:rsidRPr="00022629">
        <w:rPr>
          <w:noProof/>
          <w:lang w:eastAsia="en-AU"/>
        </w:rPr>
        <w:drawing>
          <wp:inline distT="0" distB="0" distL="0" distR="0">
            <wp:extent cx="5941060" cy="291594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1060" cy="2915943"/>
                    </a:xfrm>
                    <a:prstGeom prst="rect">
                      <a:avLst/>
                    </a:prstGeom>
                  </pic:spPr>
                </pic:pic>
              </a:graphicData>
            </a:graphic>
          </wp:inline>
        </w:drawing>
      </w:r>
    </w:p>
    <w:p w:rsidR="0070738A" w:rsidRPr="00C66550" w:rsidRDefault="0070738A" w:rsidP="0070738A">
      <w:pPr>
        <w:pStyle w:val="FigureTableinfo"/>
      </w:pPr>
      <w:r w:rsidRPr="00C66550">
        <w:t>The resource recovery rate for each jurisdiction is given as a percentage above each column</w:t>
      </w:r>
    </w:p>
    <w:p w:rsidR="00CD7748" w:rsidRPr="00C66550" w:rsidRDefault="00CD7748" w:rsidP="00FB4820">
      <w:pPr>
        <w:pStyle w:val="Figures"/>
      </w:pPr>
    </w:p>
    <w:p w:rsidR="008D722B" w:rsidRPr="00C66550" w:rsidRDefault="008D722B" w:rsidP="008D722B">
      <w:pPr>
        <w:pStyle w:val="Heading3"/>
        <w:numPr>
          <w:ilvl w:val="0"/>
          <w:numId w:val="0"/>
        </w:numPr>
      </w:pPr>
      <w:r w:rsidRPr="00C66550">
        <w:t>E1.1</w:t>
      </w:r>
      <w:r w:rsidRPr="00C66550">
        <w:tab/>
        <w:t>2010/11 data international comparison</w:t>
      </w:r>
    </w:p>
    <w:p w:rsidR="008D722B" w:rsidRPr="00C66550" w:rsidRDefault="008D722B" w:rsidP="00DB2789">
      <w:pPr>
        <w:pStyle w:val="BodyText"/>
      </w:pPr>
      <w:r w:rsidRPr="00C66550">
        <w:t>Australia generated more waste per capita than the US, Canada and NZ but less than the UK and Germany. This may be partly a manifestation of better data collection systems.</w:t>
      </w:r>
    </w:p>
    <w:p w:rsidR="00DB2789" w:rsidRPr="00C66550" w:rsidRDefault="00DB2789" w:rsidP="00DB2789">
      <w:pPr>
        <w:pStyle w:val="BodyText"/>
        <w:rPr>
          <w:sz w:val="16"/>
          <w:szCs w:val="16"/>
        </w:rPr>
      </w:pPr>
    </w:p>
    <w:p w:rsidR="008D722B" w:rsidRPr="00C66550" w:rsidRDefault="008D722B" w:rsidP="00DB2789">
      <w:pPr>
        <w:pStyle w:val="BodyText"/>
      </w:pPr>
      <w:r w:rsidRPr="00C66550">
        <w:t>Australia’s recovery rate of 60% by weight compares well to nations other than Germany and the UK. Their higher level of performance reflects directives prohibiting unsorted waste going to landfill and greater use of advanced waste processing and energy from waste (EfW) facilities. It may also reflect greater viability of recycling due to higher waste disposal costs and denser populations.</w:t>
      </w:r>
    </w:p>
    <w:p w:rsidR="008D722B" w:rsidRPr="00C66550" w:rsidRDefault="008D722B" w:rsidP="00DB2789">
      <w:pPr>
        <w:pStyle w:val="BodyText"/>
      </w:pPr>
      <w:r w:rsidRPr="00C66550">
        <w:lastRenderedPageBreak/>
        <w:t>A comparison</w:t>
      </w:r>
      <w:r w:rsidR="00C66550" w:rsidRPr="00C66550">
        <w:t xml:space="preserve"> was made</w:t>
      </w:r>
      <w:r w:rsidRPr="00C66550">
        <w:t xml:space="preserve"> of </w:t>
      </w:r>
      <w:r w:rsidR="00C66550" w:rsidRPr="00C66550">
        <w:t>2010/11 waste</w:t>
      </w:r>
      <w:r w:rsidRPr="00C66550">
        <w:t xml:space="preserve"> generation and recovery rates </w:t>
      </w:r>
      <w:r w:rsidR="00C66550" w:rsidRPr="00C66550">
        <w:t>for</w:t>
      </w:r>
      <w:r w:rsidRPr="00C66550">
        <w:t xml:space="preserve"> municipal</w:t>
      </w:r>
      <w:r w:rsidR="00C66550" w:rsidRPr="00C66550">
        <w:t xml:space="preserve"> solid waste (MSW) among nations that are members of the</w:t>
      </w:r>
      <w:r w:rsidRPr="00C66550">
        <w:t xml:space="preserve"> Organisation for Economic Cooperation and Development (OECD)</w:t>
      </w:r>
      <w:r w:rsidR="00C66550" w:rsidRPr="00C66550">
        <w:t>. It</w:t>
      </w:r>
      <w:r w:rsidRPr="00C66550">
        <w:t xml:space="preserve"> found</w:t>
      </w:r>
      <w:r w:rsidR="00C66550" w:rsidRPr="00C66550">
        <w:t xml:space="preserve"> that</w:t>
      </w:r>
      <w:r w:rsidRPr="00C66550">
        <w:t>:</w:t>
      </w:r>
    </w:p>
    <w:p w:rsidR="008D722B" w:rsidRPr="00C66550" w:rsidRDefault="0070738A" w:rsidP="008D722B">
      <w:pPr>
        <w:pStyle w:val="Bullet1"/>
      </w:pPr>
      <w:r w:rsidRPr="00C66550">
        <w:t>Australia wa</w:t>
      </w:r>
      <w:r w:rsidR="008D722B" w:rsidRPr="00C66550">
        <w:t>s ranked the twelfth highest waste generator of MSW of the</w:t>
      </w:r>
      <w:r w:rsidRPr="00C66550">
        <w:t xml:space="preserve"> 34</w:t>
      </w:r>
      <w:r w:rsidR="008D722B" w:rsidRPr="00C66550">
        <w:t xml:space="preserve"> nations considered, reflecting population, size and level of affluence.</w:t>
      </w:r>
      <w:r w:rsidR="00575602">
        <w:t xml:space="preserve"> </w:t>
      </w:r>
    </w:p>
    <w:p w:rsidR="008D722B" w:rsidRPr="00C66550" w:rsidRDefault="008D722B" w:rsidP="008D722B">
      <w:pPr>
        <w:pStyle w:val="Bullet1"/>
      </w:pPr>
      <w:r w:rsidRPr="00C66550">
        <w:t>On</w:t>
      </w:r>
      <w:r w:rsidR="0070738A" w:rsidRPr="00C66550">
        <w:t xml:space="preserve"> a per capita basis, Australia wa</w:t>
      </w:r>
      <w:r w:rsidRPr="00C66550">
        <w:t xml:space="preserve">s ranked seventh highest for MSW generation of the nations considered. </w:t>
      </w:r>
    </w:p>
    <w:p w:rsidR="008D722B" w:rsidRPr="00C66550" w:rsidRDefault="008D722B" w:rsidP="008D722B">
      <w:pPr>
        <w:pStyle w:val="Bullet1"/>
      </w:pPr>
      <w:r w:rsidRPr="00C66550">
        <w:t xml:space="preserve">Australia’s levels of MSW resource </w:t>
      </w:r>
      <w:r w:rsidR="0070738A" w:rsidRPr="00C66550">
        <w:t>recovery we</w:t>
      </w:r>
      <w:r w:rsidRPr="00C66550">
        <w:t xml:space="preserve">re similar to those in the UK, </w:t>
      </w:r>
      <w:r w:rsidR="0070738A" w:rsidRPr="00C66550">
        <w:t>Finland, Italy and the US, but we</w:t>
      </w:r>
      <w:r w:rsidRPr="00C66550">
        <w:t>re significantly below many northern and western EU nations and Korea. These nations make greater use of EfW facilities and often also divert a greater proportion of MSW to composting. Nations such as Switzerland, Austria, Sweden, Denmark, Norway and Belgium dispose of less than 2% by weight of MSW directly to landfill.</w:t>
      </w:r>
    </w:p>
    <w:p w:rsidR="00D220AC" w:rsidRPr="00C66550" w:rsidRDefault="00E5424C" w:rsidP="006D25F9">
      <w:pPr>
        <w:pStyle w:val="Heading3"/>
        <w:numPr>
          <w:ilvl w:val="0"/>
          <w:numId w:val="0"/>
        </w:numPr>
      </w:pPr>
      <w:r w:rsidRPr="00C66550">
        <w:t>E1.2</w:t>
      </w:r>
      <w:r w:rsidRPr="00C66550">
        <w:tab/>
      </w:r>
      <w:r w:rsidR="00D220AC" w:rsidRPr="00C66550">
        <w:t>2010/11 waste stream and material category summary</w:t>
      </w:r>
    </w:p>
    <w:p w:rsidR="003901C5" w:rsidRPr="00C66550" w:rsidRDefault="002D67AF" w:rsidP="00DB2789">
      <w:pPr>
        <w:pStyle w:val="BodyText"/>
      </w:pPr>
      <w:r w:rsidRPr="00C66550">
        <w:rPr>
          <w:color w:val="auto"/>
        </w:rPr>
        <w:t xml:space="preserve">In 2010/11, about 14 Mt of MSW was generated nationally. About 51% was recovered – the lowest resource recovery rate of the three main waste streams. </w:t>
      </w:r>
      <w:r w:rsidR="00D402E9" w:rsidRPr="00C66550">
        <w:rPr>
          <w:color w:val="auto"/>
        </w:rPr>
        <w:t xml:space="preserve">Some </w:t>
      </w:r>
      <w:r w:rsidR="003901C5" w:rsidRPr="00C66550">
        <w:t xml:space="preserve">15 </w:t>
      </w:r>
      <w:r w:rsidR="00B80855" w:rsidRPr="00C66550">
        <w:t>Mt</w:t>
      </w:r>
      <w:r w:rsidR="00D402E9" w:rsidRPr="00C66550">
        <w:t xml:space="preserve"> of</w:t>
      </w:r>
      <w:r w:rsidRPr="00C66550">
        <w:t xml:space="preserve"> commercial and industrial (</w:t>
      </w:r>
      <w:r w:rsidR="00D402E9" w:rsidRPr="00C66550">
        <w:t>C&amp;I</w:t>
      </w:r>
      <w:r w:rsidRPr="00C66550">
        <w:t>)</w:t>
      </w:r>
      <w:r w:rsidR="00D402E9" w:rsidRPr="00C66550">
        <w:t xml:space="preserve"> waste was generated</w:t>
      </w:r>
      <w:r w:rsidR="00CD7748" w:rsidRPr="00C66550">
        <w:t>, of which 59</w:t>
      </w:r>
      <w:r w:rsidR="003901C5" w:rsidRPr="00C66550">
        <w:t xml:space="preserve">% was recovered. </w:t>
      </w:r>
      <w:r w:rsidR="00BB3966">
        <w:t>Construction and demolition (</w:t>
      </w:r>
      <w:r w:rsidRPr="00C66550">
        <w:t>C&amp;D</w:t>
      </w:r>
      <w:r w:rsidR="00BB3966">
        <w:t>)</w:t>
      </w:r>
      <w:r w:rsidRPr="00C66550">
        <w:t xml:space="preserve"> waste generation was around 18 Mt. At 66%, the resource recovery rate was the highest of the three streams.</w:t>
      </w:r>
    </w:p>
    <w:p w:rsidR="00DB2789" w:rsidRPr="00C66550" w:rsidRDefault="00DB2789" w:rsidP="00DB2789">
      <w:pPr>
        <w:pStyle w:val="BodyText"/>
        <w:rPr>
          <w:sz w:val="16"/>
          <w:szCs w:val="16"/>
        </w:rPr>
      </w:pPr>
    </w:p>
    <w:p w:rsidR="003901C5" w:rsidRPr="00C66550" w:rsidRDefault="002D67AF" w:rsidP="00DB2789">
      <w:pPr>
        <w:pStyle w:val="BodyText"/>
      </w:pPr>
      <w:r w:rsidRPr="00C66550">
        <w:t>Figure E2</w:t>
      </w:r>
      <w:r w:rsidR="003901C5" w:rsidRPr="00C66550">
        <w:t xml:space="preserve"> </w:t>
      </w:r>
      <w:r w:rsidRPr="00C66550">
        <w:t>shows the quantity of waste generated in Australia by material category in 2010/11</w:t>
      </w:r>
      <w:r w:rsidR="00D402E9" w:rsidRPr="00C66550">
        <w:t xml:space="preserve">. It </w:t>
      </w:r>
      <w:r w:rsidR="003901C5" w:rsidRPr="00C66550">
        <w:t>also shows how the waste materials were managed and</w:t>
      </w:r>
      <w:r w:rsidRPr="00C66550">
        <w:t xml:space="preserve"> (above each column)</w:t>
      </w:r>
      <w:r w:rsidR="003901C5" w:rsidRPr="00C66550">
        <w:t xml:space="preserve"> the resource recovery rates. The organics and plastics categories perhaps present the greatest opportunities for improved recovery</w:t>
      </w:r>
      <w:r w:rsidR="00D402E9" w:rsidRPr="00C66550">
        <w:t>,</w:t>
      </w:r>
      <w:r w:rsidR="003901C5" w:rsidRPr="00C66550">
        <w:t xml:space="preserve"> given the range of end uses and, for plastics, a relatively strong commodity value.</w:t>
      </w:r>
    </w:p>
    <w:p w:rsidR="00DB2789" w:rsidRPr="00C66550" w:rsidRDefault="00DB2789" w:rsidP="00DB2789">
      <w:pPr>
        <w:pStyle w:val="BodyText"/>
      </w:pPr>
    </w:p>
    <w:p w:rsidR="003901C5" w:rsidRPr="00C66550" w:rsidRDefault="003901C5" w:rsidP="00DB2789">
      <w:pPr>
        <w:pStyle w:val="BodyText"/>
        <w:rPr>
          <w:sz w:val="16"/>
          <w:szCs w:val="16"/>
        </w:rPr>
      </w:pPr>
    </w:p>
    <w:p w:rsidR="00647560" w:rsidRDefault="00647560" w:rsidP="00FB4820">
      <w:pPr>
        <w:pStyle w:val="Figures"/>
      </w:pPr>
      <w:r w:rsidRPr="00C66550">
        <w:t>Figure E2:</w:t>
      </w:r>
      <w:r w:rsidRPr="00C66550">
        <w:tab/>
        <w:t xml:space="preserve">Australia 2010/11, total waste generation by material category and management </w:t>
      </w:r>
    </w:p>
    <w:p w:rsidR="009A7F50" w:rsidRPr="00C66550" w:rsidRDefault="009A7F50" w:rsidP="00FB4820">
      <w:pPr>
        <w:pStyle w:val="Figures"/>
      </w:pPr>
    </w:p>
    <w:p w:rsidR="002D67AF" w:rsidRPr="00C66550" w:rsidRDefault="009A7F50" w:rsidP="002D67AF">
      <w:pPr>
        <w:pStyle w:val="BodyText"/>
        <w:rPr>
          <w:sz w:val="16"/>
          <w:szCs w:val="16"/>
        </w:rPr>
      </w:pPr>
      <w:r w:rsidRPr="009A7F50">
        <w:rPr>
          <w:noProof/>
          <w:lang w:eastAsia="en-AU"/>
        </w:rPr>
        <w:drawing>
          <wp:inline distT="0" distB="0" distL="0" distR="0">
            <wp:extent cx="5941060" cy="2389119"/>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1060" cy="2389119"/>
                    </a:xfrm>
                    <a:prstGeom prst="rect">
                      <a:avLst/>
                    </a:prstGeom>
                  </pic:spPr>
                </pic:pic>
              </a:graphicData>
            </a:graphic>
          </wp:inline>
        </w:drawing>
      </w:r>
    </w:p>
    <w:p w:rsidR="00DB2789" w:rsidRPr="00C66550" w:rsidRDefault="00DB2789">
      <w:pPr>
        <w:spacing w:line="240" w:lineRule="auto"/>
        <w:rPr>
          <w:rFonts w:ascii="Arial Rounded MT Bold" w:hAnsi="Arial Rounded MT Bold" w:cs="Arial"/>
          <w:color w:val="0000FF"/>
          <w:sz w:val="28"/>
          <w:szCs w:val="28"/>
        </w:rPr>
      </w:pPr>
      <w:r w:rsidRPr="00C66550">
        <w:br w:type="page"/>
      </w:r>
    </w:p>
    <w:p w:rsidR="000A2334" w:rsidRPr="00C66550" w:rsidRDefault="00E5424C" w:rsidP="006D25F9">
      <w:pPr>
        <w:pStyle w:val="Heading2"/>
        <w:numPr>
          <w:ilvl w:val="0"/>
          <w:numId w:val="0"/>
        </w:numPr>
      </w:pPr>
      <w:bookmarkStart w:id="12" w:name="_Toc379466339"/>
      <w:r w:rsidRPr="00C66550">
        <w:lastRenderedPageBreak/>
        <w:t>E2</w:t>
      </w:r>
      <w:r w:rsidRPr="00C66550">
        <w:tab/>
      </w:r>
      <w:r w:rsidR="0086729E" w:rsidRPr="00C66550">
        <w:t>Summary</w:t>
      </w:r>
      <w:r w:rsidR="00744058" w:rsidRPr="00C66550">
        <w:t xml:space="preserve"> of the trends, 2006/07</w:t>
      </w:r>
      <w:r w:rsidR="00744058" w:rsidRPr="00C66550">
        <w:softHyphen/>
        <w:t xml:space="preserve"> to </w:t>
      </w:r>
      <w:r w:rsidR="0086729E" w:rsidRPr="00C66550">
        <w:t>2010/11</w:t>
      </w:r>
      <w:bookmarkEnd w:id="12"/>
    </w:p>
    <w:p w:rsidR="00D253F8" w:rsidRPr="00C66550" w:rsidRDefault="00E5424C" w:rsidP="006D25F9">
      <w:pPr>
        <w:pStyle w:val="Heading3"/>
        <w:numPr>
          <w:ilvl w:val="0"/>
          <w:numId w:val="0"/>
        </w:numPr>
      </w:pPr>
      <w:r w:rsidRPr="00C66550">
        <w:t>E2.1</w:t>
      </w:r>
      <w:r w:rsidRPr="00C66550">
        <w:tab/>
      </w:r>
      <w:r w:rsidR="007230C3" w:rsidRPr="00C66550">
        <w:t>National p</w:t>
      </w:r>
      <w:r w:rsidR="00D253F8" w:rsidRPr="00C66550">
        <w:t xml:space="preserve">er capita trends </w:t>
      </w:r>
    </w:p>
    <w:p w:rsidR="00391EA6" w:rsidRPr="00C66550" w:rsidRDefault="00BD52C9" w:rsidP="00DB2789">
      <w:pPr>
        <w:pStyle w:val="BodyText"/>
      </w:pPr>
      <w:r w:rsidRPr="00C66550">
        <w:t>The amount of waste generated p</w:t>
      </w:r>
      <w:r w:rsidR="00391EA6" w:rsidRPr="00C66550">
        <w:t xml:space="preserve">er capita in Australia has been reasonably stable at around 2.1 tonnes per capita per </w:t>
      </w:r>
      <w:r w:rsidR="00AE2D3D" w:rsidRPr="00C66550">
        <w:t>year</w:t>
      </w:r>
      <w:r w:rsidR="00D402E9" w:rsidRPr="00C66550">
        <w:t>,</w:t>
      </w:r>
      <w:r w:rsidR="00391EA6" w:rsidRPr="00C66550">
        <w:t xml:space="preserve"> with a small increase of 2</w:t>
      </w:r>
      <w:r w:rsidR="00CD7748" w:rsidRPr="00C66550">
        <w:t>.6</w:t>
      </w:r>
      <w:r w:rsidR="00391EA6" w:rsidRPr="00C66550">
        <w:t>% over the review period, or 0.</w:t>
      </w:r>
      <w:r w:rsidR="00220DBF">
        <w:t>6</w:t>
      </w:r>
      <w:r w:rsidR="00391EA6" w:rsidRPr="00C66550">
        <w:t xml:space="preserve">% per </w:t>
      </w:r>
      <w:r w:rsidR="00AE2D3D" w:rsidRPr="00C66550">
        <w:t>year</w:t>
      </w:r>
      <w:r w:rsidR="00391EA6" w:rsidRPr="00C66550">
        <w:t xml:space="preserve">. </w:t>
      </w:r>
    </w:p>
    <w:p w:rsidR="00DB2789" w:rsidRPr="00C66550" w:rsidRDefault="00DB2789" w:rsidP="00DB2789">
      <w:pPr>
        <w:pStyle w:val="BodyText"/>
        <w:rPr>
          <w:sz w:val="16"/>
          <w:szCs w:val="16"/>
        </w:rPr>
      </w:pPr>
    </w:p>
    <w:p w:rsidR="00391EA6" w:rsidRPr="00C66550" w:rsidRDefault="00BD52C9" w:rsidP="00DB2789">
      <w:pPr>
        <w:pStyle w:val="BodyText"/>
      </w:pPr>
      <w:r w:rsidRPr="00C66550">
        <w:t>The amount of waste recycled p</w:t>
      </w:r>
      <w:r w:rsidR="00D253F8" w:rsidRPr="00C66550">
        <w:t xml:space="preserve">er capita </w:t>
      </w:r>
      <w:r w:rsidR="00391EA6" w:rsidRPr="00C66550">
        <w:t xml:space="preserve">in Australia increased significantly from around 1.0 tonne to around 1.2 tonnes per capita per </w:t>
      </w:r>
      <w:r w:rsidR="00AE2D3D" w:rsidRPr="00C66550">
        <w:t>year</w:t>
      </w:r>
      <w:r w:rsidR="00391EA6" w:rsidRPr="00C66550">
        <w:t xml:space="preserve">, an increase of around </w:t>
      </w:r>
      <w:r w:rsidR="00CD7748" w:rsidRPr="00C66550">
        <w:t>20</w:t>
      </w:r>
      <w:r w:rsidR="00391EA6" w:rsidRPr="00C66550">
        <w:t xml:space="preserve">% </w:t>
      </w:r>
      <w:r w:rsidR="008B119A">
        <w:t>in four</w:t>
      </w:r>
      <w:r w:rsidR="00391EA6" w:rsidRPr="00C66550">
        <w:t xml:space="preserve"> years, or 4</w:t>
      </w:r>
      <w:r w:rsidR="00220DBF">
        <w:t>.6</w:t>
      </w:r>
      <w:r w:rsidR="00391EA6" w:rsidRPr="00C66550">
        <w:t xml:space="preserve">% per </w:t>
      </w:r>
      <w:r w:rsidR="00AE2D3D" w:rsidRPr="00C66550">
        <w:t>year</w:t>
      </w:r>
      <w:r w:rsidR="00391EA6" w:rsidRPr="00C66550">
        <w:t xml:space="preserve">. </w:t>
      </w:r>
      <w:r w:rsidRPr="00C66550">
        <w:t xml:space="preserve">The amount of waste used for generating energy </w:t>
      </w:r>
      <w:r w:rsidR="00391EA6" w:rsidRPr="00C66550">
        <w:t xml:space="preserve">in Australia increased marginally from </w:t>
      </w:r>
      <w:r w:rsidR="00CD7748" w:rsidRPr="00C66550">
        <w:t>60</w:t>
      </w:r>
      <w:r w:rsidR="00391EA6" w:rsidRPr="00C66550">
        <w:t xml:space="preserve"> to </w:t>
      </w:r>
      <w:r w:rsidR="00CD7748" w:rsidRPr="00C66550">
        <w:t>7</w:t>
      </w:r>
      <w:r w:rsidR="00391EA6" w:rsidRPr="00C66550">
        <w:t xml:space="preserve">0 kg per capita per </w:t>
      </w:r>
      <w:r w:rsidR="00AE2D3D" w:rsidRPr="00C66550">
        <w:t>year</w:t>
      </w:r>
      <w:r w:rsidR="00391EA6" w:rsidRPr="00C66550">
        <w:t xml:space="preserve">, or </w:t>
      </w:r>
      <w:r w:rsidR="00CD7748" w:rsidRPr="00C66550">
        <w:t>8</w:t>
      </w:r>
      <w:r w:rsidR="00391EA6" w:rsidRPr="00C66550">
        <w:t xml:space="preserve">% or </w:t>
      </w:r>
      <w:r w:rsidR="00DE3B93">
        <w:t>2.0</w:t>
      </w:r>
      <w:r w:rsidR="00391EA6" w:rsidRPr="00C66550">
        <w:t xml:space="preserve">% per </w:t>
      </w:r>
      <w:r w:rsidR="00AE2D3D" w:rsidRPr="00C66550">
        <w:t>year</w:t>
      </w:r>
      <w:r w:rsidR="00391EA6" w:rsidRPr="00C66550">
        <w:t>.</w:t>
      </w:r>
    </w:p>
    <w:p w:rsidR="00DB2789" w:rsidRPr="00C66550" w:rsidRDefault="00DB2789" w:rsidP="00DB2789">
      <w:pPr>
        <w:pStyle w:val="BodyText"/>
        <w:rPr>
          <w:sz w:val="16"/>
          <w:szCs w:val="16"/>
        </w:rPr>
      </w:pPr>
    </w:p>
    <w:p w:rsidR="00926771" w:rsidRPr="00C66550" w:rsidRDefault="00BD52C9" w:rsidP="00DB2789">
      <w:pPr>
        <w:pStyle w:val="BodyText"/>
      </w:pPr>
      <w:r w:rsidRPr="00C66550">
        <w:t>Disposal of waste p</w:t>
      </w:r>
      <w:r w:rsidR="00D253F8" w:rsidRPr="00C66550">
        <w:t xml:space="preserve">er capita </w:t>
      </w:r>
      <w:r w:rsidR="00391EA6" w:rsidRPr="00C66550">
        <w:t>in Australia decreased significantly from around 1.0</w:t>
      </w:r>
      <w:r w:rsidR="00CD7748" w:rsidRPr="00C66550">
        <w:t>3</w:t>
      </w:r>
      <w:r w:rsidR="00391EA6" w:rsidRPr="00C66550">
        <w:t xml:space="preserve"> tonnes to around 0.8</w:t>
      </w:r>
      <w:r w:rsidR="00CD7748" w:rsidRPr="00C66550">
        <w:t>8</w:t>
      </w:r>
      <w:r w:rsidR="00391EA6" w:rsidRPr="00C66550">
        <w:t xml:space="preserve"> tonnes per capita per </w:t>
      </w:r>
      <w:r w:rsidR="00AE2D3D" w:rsidRPr="00C66550">
        <w:t>year</w:t>
      </w:r>
      <w:r w:rsidR="00391EA6" w:rsidRPr="00C66550">
        <w:t xml:space="preserve">, a fall of around 15% </w:t>
      </w:r>
      <w:r w:rsidR="008B119A">
        <w:t xml:space="preserve">in four </w:t>
      </w:r>
      <w:r w:rsidR="00391EA6" w:rsidRPr="00C66550">
        <w:t xml:space="preserve">years, or </w:t>
      </w:r>
      <w:r w:rsidR="00DE3B93">
        <w:t>4.0</w:t>
      </w:r>
      <w:r w:rsidR="00391EA6" w:rsidRPr="00C66550">
        <w:t xml:space="preserve">% per capita per </w:t>
      </w:r>
      <w:r w:rsidR="00AE2D3D" w:rsidRPr="00C66550">
        <w:t>year</w:t>
      </w:r>
      <w:r w:rsidR="00391EA6" w:rsidRPr="00C66550">
        <w:t>.</w:t>
      </w:r>
    </w:p>
    <w:p w:rsidR="00D253F8" w:rsidRPr="00C66550" w:rsidRDefault="00E5424C" w:rsidP="006D25F9">
      <w:pPr>
        <w:pStyle w:val="Heading3"/>
        <w:numPr>
          <w:ilvl w:val="0"/>
          <w:numId w:val="0"/>
        </w:numPr>
      </w:pPr>
      <w:r w:rsidRPr="00C66550">
        <w:t>E2.2</w:t>
      </w:r>
      <w:r w:rsidRPr="00C66550">
        <w:tab/>
      </w:r>
      <w:r w:rsidR="007230C3" w:rsidRPr="00C66550">
        <w:t>National t</w:t>
      </w:r>
      <w:r w:rsidR="00D253F8" w:rsidRPr="00C66550">
        <w:t>otal tonnage trends</w:t>
      </w:r>
    </w:p>
    <w:p w:rsidR="00D253F8" w:rsidRPr="00C66550" w:rsidRDefault="00F31111" w:rsidP="00F31111">
      <w:pPr>
        <w:pStyle w:val="BodyText"/>
      </w:pPr>
      <w:r w:rsidRPr="00C66550">
        <w:t xml:space="preserve">Australia continued to generate more waste as the population grew, with waste generation increasing from around 44 Mt to around 48 Mt per year, an increase of 9.1% over </w:t>
      </w:r>
      <w:r w:rsidR="00DE3B93">
        <w:t>four</w:t>
      </w:r>
      <w:r w:rsidRPr="00C66550">
        <w:t xml:space="preserve"> years, or </w:t>
      </w:r>
      <w:r w:rsidR="00220DBF">
        <w:t>2.2</w:t>
      </w:r>
      <w:r w:rsidRPr="00C66550">
        <w:t>% per year. Population increased at around 1.</w:t>
      </w:r>
      <w:r w:rsidR="00220DBF">
        <w:t>6</w:t>
      </w:r>
      <w:r w:rsidRPr="00C66550">
        <w:t xml:space="preserve">% per year, so waste generation grew about </w:t>
      </w:r>
      <w:r w:rsidR="00DE3B93">
        <w:t>40</w:t>
      </w:r>
      <w:r w:rsidRPr="00C66550">
        <w:t>% more quickly than population during the period.</w:t>
      </w:r>
    </w:p>
    <w:p w:rsidR="00F31111" w:rsidRPr="00C66550" w:rsidRDefault="00F31111" w:rsidP="00F31111">
      <w:pPr>
        <w:pStyle w:val="BodyText"/>
        <w:rPr>
          <w:sz w:val="16"/>
          <w:szCs w:val="16"/>
        </w:rPr>
      </w:pPr>
    </w:p>
    <w:p w:rsidR="00D253F8" w:rsidRPr="00C66550" w:rsidRDefault="00BD52C9" w:rsidP="00F31111">
      <w:pPr>
        <w:pStyle w:val="BodyText"/>
      </w:pPr>
      <w:r w:rsidRPr="00C66550">
        <w:t xml:space="preserve">The quantity of material recycled </w:t>
      </w:r>
      <w:r w:rsidR="00D253F8" w:rsidRPr="00C66550">
        <w:t>increased significantly from 21.</w:t>
      </w:r>
      <w:r w:rsidR="00D30041">
        <w:t>4</w:t>
      </w:r>
      <w:r w:rsidR="00D253F8" w:rsidRPr="00C66550">
        <w:t xml:space="preserve"> Mt to 27</w:t>
      </w:r>
      <w:r w:rsidR="00CD7748" w:rsidRPr="00C66550">
        <w:t>.</w:t>
      </w:r>
      <w:r w:rsidR="00D309E7">
        <w:t>3</w:t>
      </w:r>
      <w:r w:rsidR="00D253F8" w:rsidRPr="00C66550">
        <w:t xml:space="preserve"> Mt per </w:t>
      </w:r>
      <w:r w:rsidR="00AE2D3D" w:rsidRPr="00C66550">
        <w:t>year</w:t>
      </w:r>
      <w:r w:rsidR="00D253F8" w:rsidRPr="00C66550">
        <w:t>, or by about 2</w:t>
      </w:r>
      <w:r w:rsidR="00CD7748" w:rsidRPr="00C66550">
        <w:t>7</w:t>
      </w:r>
      <w:r w:rsidR="00D253F8" w:rsidRPr="00C66550">
        <w:t xml:space="preserve">% </w:t>
      </w:r>
      <w:r w:rsidR="00DE3B93">
        <w:t>in four</w:t>
      </w:r>
      <w:r w:rsidR="00D253F8" w:rsidRPr="00C66550">
        <w:t xml:space="preserve"> years, or </w:t>
      </w:r>
      <w:r w:rsidR="00D77851">
        <w:t>6.</w:t>
      </w:r>
      <w:r w:rsidR="00D30041">
        <w:t>3</w:t>
      </w:r>
      <w:r w:rsidR="00D253F8" w:rsidRPr="00C66550">
        <w:t xml:space="preserve">% per </w:t>
      </w:r>
      <w:r w:rsidR="00AE2D3D" w:rsidRPr="00C66550">
        <w:t>year</w:t>
      </w:r>
      <w:r w:rsidR="00D253F8" w:rsidRPr="00C66550">
        <w:t>.</w:t>
      </w:r>
    </w:p>
    <w:p w:rsidR="00F31111" w:rsidRPr="00C66550" w:rsidRDefault="00F31111" w:rsidP="00F31111">
      <w:pPr>
        <w:pStyle w:val="BodyText"/>
        <w:rPr>
          <w:sz w:val="16"/>
          <w:szCs w:val="16"/>
        </w:rPr>
      </w:pPr>
    </w:p>
    <w:p w:rsidR="00D253F8" w:rsidRPr="00C66550" w:rsidRDefault="00BD52C9" w:rsidP="00F31111">
      <w:pPr>
        <w:pStyle w:val="BodyText"/>
      </w:pPr>
      <w:r w:rsidRPr="00C66550">
        <w:t>Waste used for energy recovery</w:t>
      </w:r>
      <w:r w:rsidR="00D253F8" w:rsidRPr="00C66550">
        <w:t xml:space="preserve"> increased from about 1.</w:t>
      </w:r>
      <w:r w:rsidR="00CD7748" w:rsidRPr="00C66550">
        <w:t>32</w:t>
      </w:r>
      <w:r w:rsidR="00D253F8" w:rsidRPr="00C66550">
        <w:t xml:space="preserve"> Mt to 1.</w:t>
      </w:r>
      <w:r w:rsidR="00CD7748" w:rsidRPr="00C66550">
        <w:t>52</w:t>
      </w:r>
      <w:r w:rsidR="00D253F8" w:rsidRPr="00C66550">
        <w:t xml:space="preserve"> Mt per </w:t>
      </w:r>
      <w:r w:rsidR="00AE2D3D" w:rsidRPr="00C66550">
        <w:t>year</w:t>
      </w:r>
      <w:r w:rsidR="00D253F8" w:rsidRPr="00C66550">
        <w:t>, or by about 1</w:t>
      </w:r>
      <w:r w:rsidR="00CD7748" w:rsidRPr="00C66550">
        <w:t>5</w:t>
      </w:r>
      <w:r w:rsidR="00D253F8" w:rsidRPr="00C66550">
        <w:t xml:space="preserve">% over </w:t>
      </w:r>
      <w:r w:rsidR="00DE3B93">
        <w:t>four</w:t>
      </w:r>
      <w:r w:rsidR="00DE3B93" w:rsidRPr="00C66550">
        <w:t xml:space="preserve"> </w:t>
      </w:r>
      <w:r w:rsidR="00D253F8" w:rsidRPr="00C66550">
        <w:t xml:space="preserve">years, or </w:t>
      </w:r>
      <w:r w:rsidR="00CD7748" w:rsidRPr="00C66550">
        <w:t>3</w:t>
      </w:r>
      <w:r w:rsidR="00D77851">
        <w:t>.6</w:t>
      </w:r>
      <w:r w:rsidR="00D253F8" w:rsidRPr="00C66550">
        <w:t xml:space="preserve">% per </w:t>
      </w:r>
      <w:r w:rsidR="00AE2D3D" w:rsidRPr="00C66550">
        <w:t>year</w:t>
      </w:r>
      <w:r w:rsidR="00F31111" w:rsidRPr="00C66550">
        <w:t>.</w:t>
      </w:r>
    </w:p>
    <w:p w:rsidR="00F31111" w:rsidRPr="00C66550" w:rsidRDefault="00F31111" w:rsidP="00F31111">
      <w:pPr>
        <w:pStyle w:val="BodyText"/>
        <w:rPr>
          <w:sz w:val="16"/>
          <w:szCs w:val="16"/>
        </w:rPr>
      </w:pPr>
    </w:p>
    <w:p w:rsidR="00D253F8" w:rsidRPr="00C66550" w:rsidRDefault="00D253F8" w:rsidP="00F31111">
      <w:pPr>
        <w:pStyle w:val="BodyText"/>
      </w:pPr>
      <w:r w:rsidRPr="00C66550">
        <w:t>Australia’s total disposal tonnage decreased from about 21.</w:t>
      </w:r>
      <w:r w:rsidR="00CD7748" w:rsidRPr="00C66550">
        <w:t>5</w:t>
      </w:r>
      <w:r w:rsidRPr="00C66550">
        <w:t xml:space="preserve"> Mt to about 19.</w:t>
      </w:r>
      <w:r w:rsidR="00CD7748" w:rsidRPr="00C66550">
        <w:t>5</w:t>
      </w:r>
      <w:r w:rsidRPr="00C66550">
        <w:t xml:space="preserve"> Mt per </w:t>
      </w:r>
      <w:r w:rsidR="00AE2D3D" w:rsidRPr="00C66550">
        <w:t>year</w:t>
      </w:r>
      <w:r w:rsidRPr="00C66550">
        <w:t>, or by about 9</w:t>
      </w:r>
      <w:r w:rsidR="009E2DF4">
        <w:t>.5</w:t>
      </w:r>
      <w:r w:rsidRPr="00C66550">
        <w:t xml:space="preserve">% over </w:t>
      </w:r>
      <w:r w:rsidR="00DE3B93">
        <w:t>four</w:t>
      </w:r>
      <w:r w:rsidR="00DE3B93" w:rsidRPr="00C66550">
        <w:t xml:space="preserve"> </w:t>
      </w:r>
      <w:r w:rsidRPr="00C66550">
        <w:t xml:space="preserve">years, or </w:t>
      </w:r>
      <w:r w:rsidR="00D77851">
        <w:t>2.5</w:t>
      </w:r>
      <w:r w:rsidRPr="00C66550">
        <w:t xml:space="preserve">% per </w:t>
      </w:r>
      <w:r w:rsidR="00AE2D3D" w:rsidRPr="00C66550">
        <w:t>year</w:t>
      </w:r>
      <w:r w:rsidRPr="00C66550">
        <w:t>.</w:t>
      </w:r>
    </w:p>
    <w:p w:rsidR="00F31111" w:rsidRPr="00C66550" w:rsidRDefault="00F31111" w:rsidP="00F31111">
      <w:pPr>
        <w:pStyle w:val="BodyText"/>
        <w:rPr>
          <w:sz w:val="16"/>
          <w:szCs w:val="16"/>
        </w:rPr>
      </w:pPr>
    </w:p>
    <w:p w:rsidR="00D253F8" w:rsidRPr="00C66550" w:rsidRDefault="009E2DF4" w:rsidP="00F31111">
      <w:pPr>
        <w:pStyle w:val="BodyText"/>
      </w:pPr>
      <w:r>
        <w:t>B</w:t>
      </w:r>
      <w:r w:rsidRPr="00C66550">
        <w:t>etween 2006/07 and 2010/11</w:t>
      </w:r>
      <w:r>
        <w:t>t</w:t>
      </w:r>
      <w:r w:rsidR="00D253F8" w:rsidRPr="00C66550">
        <w:t>he resource recovery rate in A</w:t>
      </w:r>
      <w:r w:rsidR="00CD7748" w:rsidRPr="00C66550">
        <w:t xml:space="preserve">ustralia increased </w:t>
      </w:r>
      <w:r>
        <w:t xml:space="preserve">by 9%, </w:t>
      </w:r>
      <w:r w:rsidR="00CD7748" w:rsidRPr="00C66550">
        <w:t>from 51% to 60</w:t>
      </w:r>
      <w:r w:rsidR="00D253F8" w:rsidRPr="00C66550">
        <w:t>%</w:t>
      </w:r>
      <w:r>
        <w:t>.</w:t>
      </w:r>
    </w:p>
    <w:p w:rsidR="000A2334" w:rsidRPr="00C66550" w:rsidRDefault="00E5424C" w:rsidP="006D25F9">
      <w:pPr>
        <w:pStyle w:val="Heading3"/>
        <w:numPr>
          <w:ilvl w:val="0"/>
          <w:numId w:val="0"/>
        </w:numPr>
      </w:pPr>
      <w:r w:rsidRPr="00C66550">
        <w:t>E2.3</w:t>
      </w:r>
      <w:r w:rsidRPr="00C66550">
        <w:tab/>
      </w:r>
      <w:r w:rsidR="001A586D" w:rsidRPr="00C66550">
        <w:t>Per capita j</w:t>
      </w:r>
      <w:r w:rsidR="007230C3" w:rsidRPr="00C66550">
        <w:t>urisdictio</w:t>
      </w:r>
      <w:r w:rsidR="007230C3" w:rsidRPr="00C66550">
        <w:rPr>
          <w:u w:val="single"/>
        </w:rPr>
        <w:t>n</w:t>
      </w:r>
      <w:r w:rsidR="007230C3" w:rsidRPr="00C66550">
        <w:t xml:space="preserve">al trends </w:t>
      </w:r>
    </w:p>
    <w:p w:rsidR="00AC4283" w:rsidRPr="00C66550" w:rsidRDefault="00AC4283" w:rsidP="00AC4283">
      <w:pPr>
        <w:pStyle w:val="BodyText"/>
      </w:pPr>
      <w:r w:rsidRPr="00C66550">
        <w:t>Figure E2 shows the trends in per capita waste generation for each jurisdiction over the period.</w:t>
      </w:r>
      <w:r w:rsidR="00F31111" w:rsidRPr="00C66550">
        <w:t xml:space="preserve"> </w:t>
      </w:r>
      <w:r w:rsidR="004845CD" w:rsidRPr="00C66550">
        <w:t>Possible causes for the variations over the period include</w:t>
      </w:r>
      <w:r w:rsidR="00F31111" w:rsidRPr="00C66550">
        <w:t xml:space="preserve"> </w:t>
      </w:r>
      <w:r w:rsidR="004845CD" w:rsidRPr="00C66550">
        <w:t xml:space="preserve">changes </w:t>
      </w:r>
      <w:r w:rsidR="00F31111" w:rsidRPr="00C66550">
        <w:t>in rainfall and data quality.</w:t>
      </w:r>
      <w:r w:rsidR="00575602">
        <w:t xml:space="preserve"> </w:t>
      </w:r>
    </w:p>
    <w:p w:rsidR="00AC4283" w:rsidRPr="00C66550" w:rsidRDefault="00AC4283" w:rsidP="00EB0A97">
      <w:pPr>
        <w:pStyle w:val="BodyText"/>
      </w:pPr>
    </w:p>
    <w:p w:rsidR="00AC4283" w:rsidRPr="00C66550" w:rsidRDefault="00AC4283" w:rsidP="00FB4820">
      <w:pPr>
        <w:pStyle w:val="Figures"/>
      </w:pPr>
      <w:r w:rsidRPr="00C66550">
        <w:t>Figure E2:</w:t>
      </w:r>
      <w:r w:rsidRPr="00C66550">
        <w:tab/>
      </w:r>
      <w:r w:rsidR="00081CFB" w:rsidRPr="00C66550">
        <w:t>T</w:t>
      </w:r>
      <w:r w:rsidRPr="00C66550">
        <w:t>rends in per capita waste generation</w:t>
      </w:r>
      <w:r w:rsidR="00081CFB" w:rsidRPr="00C66550">
        <w:t xml:space="preserve"> by jurisdiction, 2006/07to 2010/11</w:t>
      </w:r>
      <w:r w:rsidRPr="00C66550">
        <w:t xml:space="preserve"> (excl</w:t>
      </w:r>
      <w:r w:rsidR="00F31111" w:rsidRPr="00C66550">
        <w:t>.</w:t>
      </w:r>
      <w:r w:rsidRPr="00C66550">
        <w:t xml:space="preserve"> fly ash) </w:t>
      </w:r>
    </w:p>
    <w:p w:rsidR="00AC4283" w:rsidRPr="00C66550" w:rsidRDefault="00CD7748" w:rsidP="00FB4820">
      <w:pPr>
        <w:pStyle w:val="Figures"/>
      </w:pPr>
      <w:r w:rsidRPr="00C66550">
        <w:rPr>
          <w:noProof/>
          <w:lang w:eastAsia="en-AU"/>
        </w:rPr>
        <w:drawing>
          <wp:inline distT="0" distB="0" distL="0" distR="0">
            <wp:extent cx="3965944" cy="221932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980689" cy="2227577"/>
                    </a:xfrm>
                    <a:prstGeom prst="rect">
                      <a:avLst/>
                    </a:prstGeom>
                  </pic:spPr>
                </pic:pic>
              </a:graphicData>
            </a:graphic>
          </wp:inline>
        </w:drawing>
      </w:r>
    </w:p>
    <w:p w:rsidR="00AC4283" w:rsidRPr="00C66550" w:rsidRDefault="00AC4283" w:rsidP="00AC4283">
      <w:pPr>
        <w:pStyle w:val="Monkey2"/>
      </w:pPr>
      <w:r w:rsidRPr="00C66550">
        <w:t>Relies on interpolation for all jurisdictions (07/08) and NSW (09/10).</w:t>
      </w:r>
      <w:r w:rsidR="004F6D90">
        <w:t xml:space="preserve"> </w:t>
      </w:r>
      <w:r w:rsidR="00BB3966">
        <w:t>Qld</w:t>
      </w:r>
      <w:r w:rsidR="00081CFB" w:rsidRPr="00C66550">
        <w:t xml:space="preserve"> data shown to 2011/12.</w:t>
      </w:r>
    </w:p>
    <w:p w:rsidR="00D36EDA" w:rsidRPr="00C66550" w:rsidRDefault="00D36EDA">
      <w:pPr>
        <w:spacing w:line="240" w:lineRule="auto"/>
        <w:rPr>
          <w:color w:val="080808"/>
          <w:sz w:val="22"/>
        </w:rPr>
      </w:pPr>
      <w:r w:rsidRPr="00C66550">
        <w:br w:type="page"/>
      </w:r>
    </w:p>
    <w:p w:rsidR="00BF6AD5" w:rsidRPr="00C66550" w:rsidRDefault="00D2795E" w:rsidP="00D2795E">
      <w:pPr>
        <w:pStyle w:val="BodyText"/>
        <w:spacing w:before="120"/>
      </w:pPr>
      <w:r w:rsidRPr="00C66550">
        <w:lastRenderedPageBreak/>
        <w:t>Table E2 includes a summary of</w:t>
      </w:r>
      <w:r w:rsidR="00BF6AD5" w:rsidRPr="00C66550">
        <w:t xml:space="preserve"> the </w:t>
      </w:r>
      <w:r w:rsidR="00435E45" w:rsidRPr="00C66550">
        <w:t xml:space="preserve">per capita </w:t>
      </w:r>
      <w:r w:rsidR="00BF6AD5" w:rsidRPr="00C66550">
        <w:t>change in the reporting parameters for each jurisdiction between 2006/07 and 2010/11</w:t>
      </w:r>
      <w:r w:rsidR="007E0F05" w:rsidRPr="00C66550">
        <w:t xml:space="preserve"> (for </w:t>
      </w:r>
      <w:r w:rsidR="00DF4FB7">
        <w:t>Qld</w:t>
      </w:r>
      <w:r w:rsidR="007E0F05" w:rsidRPr="00C66550">
        <w:t>, between 2008/09 and 2011/12)</w:t>
      </w:r>
      <w:r w:rsidR="00BF6AD5" w:rsidRPr="00C66550">
        <w:t>.</w:t>
      </w:r>
    </w:p>
    <w:p w:rsidR="00BF6AD5" w:rsidRPr="00C66550" w:rsidRDefault="00BF6AD5" w:rsidP="004845CD">
      <w:pPr>
        <w:pStyle w:val="BodyText"/>
        <w:rPr>
          <w:sz w:val="16"/>
          <w:szCs w:val="16"/>
        </w:rPr>
      </w:pPr>
    </w:p>
    <w:p w:rsidR="00D540B3" w:rsidRPr="00C66550" w:rsidRDefault="003A651A" w:rsidP="004845CD">
      <w:pPr>
        <w:pStyle w:val="Figures"/>
        <w:spacing w:after="120"/>
      </w:pPr>
      <w:r w:rsidRPr="00C66550">
        <w:t>Table E2</w:t>
      </w:r>
      <w:r w:rsidR="00BF6AD5" w:rsidRPr="00C66550">
        <w:t>:</w:t>
      </w:r>
      <w:r w:rsidR="00BF6AD5" w:rsidRPr="00C66550">
        <w:tab/>
        <w:t>C</w:t>
      </w:r>
      <w:r w:rsidRPr="00C66550">
        <w:t xml:space="preserve">hange in </w:t>
      </w:r>
      <w:r w:rsidR="00BF6AD5" w:rsidRPr="00C66550">
        <w:t>per capita data</w:t>
      </w:r>
      <w:r w:rsidRPr="00C66550">
        <w:t xml:space="preserve"> by jurisdiction</w:t>
      </w:r>
      <w:r w:rsidR="00BF6AD5" w:rsidRPr="00C66550">
        <w:t xml:space="preserve">, </w:t>
      </w:r>
      <w:r w:rsidR="0024063E" w:rsidRPr="00C66550">
        <w:t>between</w:t>
      </w:r>
      <w:r w:rsidR="00BF6AD5" w:rsidRPr="00C66550">
        <w:t xml:space="preserve"> 2006/07</w:t>
      </w:r>
      <w:r w:rsidR="0024063E" w:rsidRPr="00C66550">
        <w:t xml:space="preserve"> and 2010/11</w:t>
      </w:r>
      <w:r w:rsidR="00BF6AD5" w:rsidRPr="00C66550">
        <w:t xml:space="preserve"> (excluding fly ash)</w:t>
      </w:r>
    </w:p>
    <w:tbl>
      <w:tblPr>
        <w:tblStyle w:val="BETable1"/>
        <w:tblW w:w="4547" w:type="pct"/>
        <w:jc w:val="center"/>
        <w:tblInd w:w="-1545" w:type="dxa"/>
        <w:tblLook w:val="04A0"/>
      </w:tblPr>
      <w:tblGrid>
        <w:gridCol w:w="2058"/>
        <w:gridCol w:w="759"/>
        <w:gridCol w:w="983"/>
        <w:gridCol w:w="811"/>
        <w:gridCol w:w="825"/>
        <w:gridCol w:w="703"/>
        <w:gridCol w:w="866"/>
        <w:gridCol w:w="748"/>
        <w:gridCol w:w="859"/>
      </w:tblGrid>
      <w:tr w:rsidR="00D77851" w:rsidRPr="00D77851" w:rsidTr="0056529B">
        <w:trPr>
          <w:cnfStyle w:val="100000000000"/>
          <w:jc w:val="center"/>
        </w:trPr>
        <w:tc>
          <w:tcPr>
            <w:cnfStyle w:val="001000000000"/>
            <w:tcW w:w="1194" w:type="pct"/>
            <w:tcBorders>
              <w:bottom w:val="single" w:sz="4" w:space="0" w:color="7F7F7F" w:themeColor="background2"/>
            </w:tcBorders>
          </w:tcPr>
          <w:p w:rsidR="00D77851" w:rsidRPr="00D77851" w:rsidRDefault="00D77851">
            <w:pPr>
              <w:jc w:val="right"/>
              <w:rPr>
                <w:szCs w:val="20"/>
              </w:rPr>
            </w:pPr>
            <w:r w:rsidRPr="00D77851">
              <w:rPr>
                <w:szCs w:val="20"/>
              </w:rPr>
              <w:t> </w:t>
            </w:r>
          </w:p>
        </w:tc>
        <w:tc>
          <w:tcPr>
            <w:tcW w:w="440" w:type="pct"/>
            <w:tcBorders>
              <w:bottom w:val="single" w:sz="4" w:space="0" w:color="7F7F7F" w:themeColor="background2"/>
            </w:tcBorders>
          </w:tcPr>
          <w:p w:rsidR="00D77851" w:rsidRPr="00D77851" w:rsidRDefault="00D77851" w:rsidP="00D77851">
            <w:pPr>
              <w:jc w:val="center"/>
              <w:cnfStyle w:val="100000000000"/>
              <w:rPr>
                <w:szCs w:val="20"/>
              </w:rPr>
            </w:pPr>
            <w:r w:rsidRPr="00D77851">
              <w:rPr>
                <w:szCs w:val="20"/>
              </w:rPr>
              <w:t>ACT</w:t>
            </w:r>
          </w:p>
        </w:tc>
        <w:tc>
          <w:tcPr>
            <w:tcW w:w="571" w:type="pct"/>
            <w:tcBorders>
              <w:bottom w:val="single" w:sz="4" w:space="0" w:color="7F7F7F" w:themeColor="background2"/>
            </w:tcBorders>
          </w:tcPr>
          <w:p w:rsidR="00D77851" w:rsidRPr="00D77851" w:rsidRDefault="00D77851" w:rsidP="00D77851">
            <w:pPr>
              <w:jc w:val="center"/>
              <w:cnfStyle w:val="100000000000"/>
              <w:rPr>
                <w:szCs w:val="20"/>
              </w:rPr>
            </w:pPr>
            <w:r w:rsidRPr="00D77851">
              <w:rPr>
                <w:szCs w:val="20"/>
              </w:rPr>
              <w:t>NSW</w:t>
            </w:r>
          </w:p>
        </w:tc>
        <w:tc>
          <w:tcPr>
            <w:tcW w:w="471" w:type="pct"/>
            <w:tcBorders>
              <w:bottom w:val="single" w:sz="4" w:space="0" w:color="7F7F7F" w:themeColor="background2"/>
            </w:tcBorders>
          </w:tcPr>
          <w:p w:rsidR="00D77851" w:rsidRPr="00D77851" w:rsidRDefault="00D77851" w:rsidP="00D77851">
            <w:pPr>
              <w:jc w:val="center"/>
              <w:cnfStyle w:val="100000000000"/>
              <w:rPr>
                <w:szCs w:val="20"/>
              </w:rPr>
            </w:pPr>
            <w:r w:rsidRPr="00D77851">
              <w:rPr>
                <w:szCs w:val="20"/>
              </w:rPr>
              <w:t>Qld</w:t>
            </w:r>
          </w:p>
        </w:tc>
        <w:tc>
          <w:tcPr>
            <w:tcW w:w="479" w:type="pct"/>
            <w:tcBorders>
              <w:bottom w:val="single" w:sz="4" w:space="0" w:color="7F7F7F" w:themeColor="background2"/>
            </w:tcBorders>
          </w:tcPr>
          <w:p w:rsidR="00D77851" w:rsidRPr="00D77851" w:rsidRDefault="00D77851" w:rsidP="00D77851">
            <w:pPr>
              <w:jc w:val="center"/>
              <w:cnfStyle w:val="100000000000"/>
              <w:rPr>
                <w:szCs w:val="20"/>
              </w:rPr>
            </w:pPr>
            <w:r w:rsidRPr="00D77851">
              <w:rPr>
                <w:szCs w:val="20"/>
              </w:rPr>
              <w:t>SA</w:t>
            </w:r>
          </w:p>
        </w:tc>
        <w:tc>
          <w:tcPr>
            <w:tcW w:w="408" w:type="pct"/>
            <w:tcBorders>
              <w:bottom w:val="single" w:sz="4" w:space="0" w:color="7F7F7F" w:themeColor="background2"/>
            </w:tcBorders>
          </w:tcPr>
          <w:p w:rsidR="00D77851" w:rsidRPr="00D77851" w:rsidRDefault="00D77851" w:rsidP="00D77851">
            <w:pPr>
              <w:jc w:val="center"/>
              <w:cnfStyle w:val="100000000000"/>
              <w:rPr>
                <w:szCs w:val="20"/>
              </w:rPr>
            </w:pPr>
            <w:r w:rsidRPr="00D77851">
              <w:rPr>
                <w:szCs w:val="20"/>
              </w:rPr>
              <w:t>Tas</w:t>
            </w:r>
          </w:p>
        </w:tc>
        <w:tc>
          <w:tcPr>
            <w:tcW w:w="503" w:type="pct"/>
            <w:tcBorders>
              <w:bottom w:val="single" w:sz="4" w:space="0" w:color="7F7F7F" w:themeColor="background2"/>
            </w:tcBorders>
          </w:tcPr>
          <w:p w:rsidR="00D77851" w:rsidRPr="00D77851" w:rsidRDefault="00D77851" w:rsidP="00D77851">
            <w:pPr>
              <w:jc w:val="center"/>
              <w:cnfStyle w:val="100000000000"/>
              <w:rPr>
                <w:szCs w:val="20"/>
              </w:rPr>
            </w:pPr>
            <w:r w:rsidRPr="00D77851">
              <w:rPr>
                <w:szCs w:val="20"/>
              </w:rPr>
              <w:t>Vic</w:t>
            </w:r>
          </w:p>
        </w:tc>
        <w:tc>
          <w:tcPr>
            <w:tcW w:w="434" w:type="pct"/>
            <w:tcBorders>
              <w:bottom w:val="single" w:sz="4" w:space="0" w:color="7F7F7F" w:themeColor="background2"/>
            </w:tcBorders>
          </w:tcPr>
          <w:p w:rsidR="00D77851" w:rsidRPr="00D77851" w:rsidRDefault="00D77851" w:rsidP="00D77851">
            <w:pPr>
              <w:jc w:val="center"/>
              <w:cnfStyle w:val="100000000000"/>
              <w:rPr>
                <w:szCs w:val="20"/>
              </w:rPr>
            </w:pPr>
            <w:r w:rsidRPr="00D77851">
              <w:rPr>
                <w:szCs w:val="20"/>
              </w:rPr>
              <w:t>WA</w:t>
            </w:r>
          </w:p>
        </w:tc>
        <w:tc>
          <w:tcPr>
            <w:tcW w:w="499" w:type="pct"/>
            <w:tcBorders>
              <w:bottom w:val="single" w:sz="4" w:space="0" w:color="7F7F7F" w:themeColor="background2"/>
            </w:tcBorders>
          </w:tcPr>
          <w:p w:rsidR="00D77851" w:rsidRPr="00D77851" w:rsidRDefault="00D77851" w:rsidP="00D77851">
            <w:pPr>
              <w:jc w:val="center"/>
              <w:cnfStyle w:val="100000000000"/>
              <w:rPr>
                <w:bCs/>
                <w:szCs w:val="20"/>
              </w:rPr>
            </w:pPr>
            <w:r w:rsidRPr="00D77851">
              <w:rPr>
                <w:bCs/>
                <w:szCs w:val="20"/>
              </w:rPr>
              <w:t>Australia</w:t>
            </w:r>
          </w:p>
        </w:tc>
      </w:tr>
      <w:tr w:rsidR="00D77851" w:rsidRPr="00D77851" w:rsidTr="0056529B">
        <w:trPr>
          <w:jc w:val="center"/>
        </w:trPr>
        <w:tc>
          <w:tcPr>
            <w:cnfStyle w:val="001000000000"/>
            <w:tcW w:w="1194" w:type="pct"/>
            <w:tcBorders>
              <w:bottom w:val="nil"/>
            </w:tcBorders>
          </w:tcPr>
          <w:p w:rsidR="00D77851" w:rsidRPr="00D77851" w:rsidRDefault="00D77851" w:rsidP="00D77851">
            <w:pPr>
              <w:rPr>
                <w:b/>
                <w:szCs w:val="20"/>
              </w:rPr>
            </w:pPr>
            <w:r w:rsidRPr="00D77851">
              <w:rPr>
                <w:b/>
                <w:szCs w:val="20"/>
              </w:rPr>
              <w:t>Disposal</w:t>
            </w:r>
          </w:p>
        </w:tc>
        <w:tc>
          <w:tcPr>
            <w:tcW w:w="440" w:type="pct"/>
            <w:tcBorders>
              <w:bottom w:val="nil"/>
            </w:tcBorders>
          </w:tcPr>
          <w:p w:rsidR="00D77851" w:rsidRPr="00D77851" w:rsidRDefault="00D77851" w:rsidP="00D77851">
            <w:pPr>
              <w:jc w:val="right"/>
              <w:cnfStyle w:val="000000000000"/>
              <w:rPr>
                <w:szCs w:val="20"/>
              </w:rPr>
            </w:pPr>
            <w:r w:rsidRPr="00D77851">
              <w:rPr>
                <w:szCs w:val="20"/>
              </w:rPr>
              <w:t>16%</w:t>
            </w:r>
          </w:p>
        </w:tc>
        <w:tc>
          <w:tcPr>
            <w:tcW w:w="571" w:type="pct"/>
            <w:tcBorders>
              <w:bottom w:val="nil"/>
            </w:tcBorders>
          </w:tcPr>
          <w:p w:rsidR="00D77851" w:rsidRPr="00D77851" w:rsidRDefault="00D77851" w:rsidP="00D77851">
            <w:pPr>
              <w:jc w:val="right"/>
              <w:cnfStyle w:val="000000000000"/>
              <w:rPr>
                <w:szCs w:val="20"/>
              </w:rPr>
            </w:pPr>
            <w:r w:rsidRPr="00D77851">
              <w:rPr>
                <w:szCs w:val="20"/>
              </w:rPr>
              <w:t>-19%</w:t>
            </w:r>
          </w:p>
        </w:tc>
        <w:tc>
          <w:tcPr>
            <w:tcW w:w="471" w:type="pct"/>
            <w:tcBorders>
              <w:bottom w:val="nil"/>
            </w:tcBorders>
          </w:tcPr>
          <w:p w:rsidR="00D77851" w:rsidRPr="00D77851" w:rsidRDefault="00D77851" w:rsidP="00D77851">
            <w:pPr>
              <w:jc w:val="right"/>
              <w:cnfStyle w:val="000000000000"/>
              <w:rPr>
                <w:szCs w:val="20"/>
              </w:rPr>
            </w:pPr>
            <w:r w:rsidRPr="00D77851">
              <w:rPr>
                <w:szCs w:val="20"/>
              </w:rPr>
              <w:t>-10%</w:t>
            </w:r>
          </w:p>
        </w:tc>
        <w:tc>
          <w:tcPr>
            <w:tcW w:w="479" w:type="pct"/>
            <w:tcBorders>
              <w:bottom w:val="nil"/>
            </w:tcBorders>
          </w:tcPr>
          <w:p w:rsidR="00D77851" w:rsidRPr="00D77851" w:rsidRDefault="00D77851" w:rsidP="00D77851">
            <w:pPr>
              <w:jc w:val="right"/>
              <w:cnfStyle w:val="000000000000"/>
              <w:rPr>
                <w:szCs w:val="20"/>
              </w:rPr>
            </w:pPr>
            <w:r w:rsidRPr="00D77851">
              <w:rPr>
                <w:szCs w:val="20"/>
              </w:rPr>
              <w:t>-16%</w:t>
            </w:r>
          </w:p>
        </w:tc>
        <w:tc>
          <w:tcPr>
            <w:tcW w:w="408" w:type="pct"/>
            <w:tcBorders>
              <w:bottom w:val="nil"/>
            </w:tcBorders>
          </w:tcPr>
          <w:p w:rsidR="00D77851" w:rsidRPr="00D77851" w:rsidRDefault="00D77851" w:rsidP="00D77851">
            <w:pPr>
              <w:jc w:val="right"/>
              <w:cnfStyle w:val="000000000000"/>
              <w:rPr>
                <w:szCs w:val="20"/>
              </w:rPr>
            </w:pPr>
            <w:r w:rsidRPr="00D77851">
              <w:rPr>
                <w:szCs w:val="20"/>
              </w:rPr>
              <w:t>-5%</w:t>
            </w:r>
          </w:p>
        </w:tc>
        <w:tc>
          <w:tcPr>
            <w:tcW w:w="503" w:type="pct"/>
            <w:tcBorders>
              <w:bottom w:val="nil"/>
            </w:tcBorders>
          </w:tcPr>
          <w:p w:rsidR="00D77851" w:rsidRPr="00D77851" w:rsidRDefault="00D77851" w:rsidP="00D77851">
            <w:pPr>
              <w:jc w:val="right"/>
              <w:cnfStyle w:val="000000000000"/>
              <w:rPr>
                <w:szCs w:val="20"/>
              </w:rPr>
            </w:pPr>
            <w:r w:rsidRPr="00D77851">
              <w:rPr>
                <w:szCs w:val="20"/>
              </w:rPr>
              <w:t>-13%</w:t>
            </w:r>
          </w:p>
        </w:tc>
        <w:tc>
          <w:tcPr>
            <w:tcW w:w="434" w:type="pct"/>
            <w:tcBorders>
              <w:bottom w:val="nil"/>
            </w:tcBorders>
          </w:tcPr>
          <w:p w:rsidR="00D77851" w:rsidRPr="00D77851" w:rsidRDefault="00D77851" w:rsidP="00D77851">
            <w:pPr>
              <w:jc w:val="right"/>
              <w:cnfStyle w:val="000000000000"/>
              <w:rPr>
                <w:szCs w:val="20"/>
              </w:rPr>
            </w:pPr>
            <w:r w:rsidRPr="00D77851">
              <w:rPr>
                <w:szCs w:val="20"/>
              </w:rPr>
              <w:t>-12%</w:t>
            </w:r>
          </w:p>
        </w:tc>
        <w:tc>
          <w:tcPr>
            <w:tcW w:w="499" w:type="pct"/>
            <w:tcBorders>
              <w:bottom w:val="nil"/>
            </w:tcBorders>
          </w:tcPr>
          <w:p w:rsidR="00D77851" w:rsidRPr="00D77851" w:rsidRDefault="00D77851" w:rsidP="00D77851">
            <w:pPr>
              <w:jc w:val="right"/>
              <w:cnfStyle w:val="000000000000"/>
              <w:rPr>
                <w:b/>
                <w:bCs/>
                <w:szCs w:val="20"/>
              </w:rPr>
            </w:pPr>
            <w:r w:rsidRPr="00D77851">
              <w:rPr>
                <w:b/>
                <w:bCs/>
                <w:szCs w:val="20"/>
              </w:rPr>
              <w:t>-15%</w:t>
            </w:r>
          </w:p>
        </w:tc>
      </w:tr>
      <w:tr w:rsidR="00D77851" w:rsidRPr="00D77851" w:rsidTr="0056529B">
        <w:trPr>
          <w:jc w:val="center"/>
        </w:trPr>
        <w:tc>
          <w:tcPr>
            <w:cnfStyle w:val="001000000000"/>
            <w:tcW w:w="1194" w:type="pct"/>
            <w:tcBorders>
              <w:top w:val="nil"/>
              <w:bottom w:val="nil"/>
            </w:tcBorders>
          </w:tcPr>
          <w:p w:rsidR="00D77851" w:rsidRPr="00D77851" w:rsidRDefault="00D77851" w:rsidP="00D77851">
            <w:pPr>
              <w:rPr>
                <w:b/>
                <w:szCs w:val="20"/>
              </w:rPr>
            </w:pPr>
            <w:r w:rsidRPr="00D77851">
              <w:rPr>
                <w:b/>
                <w:szCs w:val="20"/>
              </w:rPr>
              <w:t>Recycling</w:t>
            </w:r>
          </w:p>
        </w:tc>
        <w:tc>
          <w:tcPr>
            <w:tcW w:w="440" w:type="pct"/>
            <w:tcBorders>
              <w:top w:val="nil"/>
              <w:bottom w:val="nil"/>
            </w:tcBorders>
          </w:tcPr>
          <w:p w:rsidR="00D77851" w:rsidRPr="00D77851" w:rsidRDefault="00D77851" w:rsidP="00D77851">
            <w:pPr>
              <w:jc w:val="right"/>
              <w:cnfStyle w:val="000000000000"/>
              <w:rPr>
                <w:szCs w:val="20"/>
              </w:rPr>
            </w:pPr>
            <w:r w:rsidRPr="00D77851">
              <w:rPr>
                <w:szCs w:val="20"/>
              </w:rPr>
              <w:t>21%</w:t>
            </w:r>
          </w:p>
        </w:tc>
        <w:tc>
          <w:tcPr>
            <w:tcW w:w="571" w:type="pct"/>
            <w:tcBorders>
              <w:top w:val="nil"/>
              <w:bottom w:val="nil"/>
            </w:tcBorders>
          </w:tcPr>
          <w:p w:rsidR="00D77851" w:rsidRPr="00D77851" w:rsidRDefault="00D77851" w:rsidP="00D77851">
            <w:pPr>
              <w:jc w:val="right"/>
              <w:cnfStyle w:val="000000000000"/>
              <w:rPr>
                <w:szCs w:val="20"/>
              </w:rPr>
            </w:pPr>
            <w:r w:rsidRPr="00D77851">
              <w:rPr>
                <w:szCs w:val="20"/>
              </w:rPr>
              <w:t>28%</w:t>
            </w:r>
          </w:p>
        </w:tc>
        <w:tc>
          <w:tcPr>
            <w:tcW w:w="471" w:type="pct"/>
            <w:tcBorders>
              <w:top w:val="nil"/>
              <w:bottom w:val="nil"/>
            </w:tcBorders>
          </w:tcPr>
          <w:p w:rsidR="00D77851" w:rsidRPr="00D77851" w:rsidRDefault="00D77851" w:rsidP="00D77851">
            <w:pPr>
              <w:jc w:val="right"/>
              <w:cnfStyle w:val="000000000000"/>
              <w:rPr>
                <w:szCs w:val="20"/>
              </w:rPr>
            </w:pPr>
            <w:r w:rsidRPr="00D77851">
              <w:rPr>
                <w:szCs w:val="20"/>
              </w:rPr>
              <w:t>-20%</w:t>
            </w:r>
          </w:p>
        </w:tc>
        <w:tc>
          <w:tcPr>
            <w:tcW w:w="479" w:type="pct"/>
            <w:tcBorders>
              <w:top w:val="nil"/>
              <w:bottom w:val="nil"/>
            </w:tcBorders>
          </w:tcPr>
          <w:p w:rsidR="00D77851" w:rsidRPr="00D77851" w:rsidRDefault="00D77851" w:rsidP="00D77851">
            <w:pPr>
              <w:jc w:val="right"/>
              <w:cnfStyle w:val="000000000000"/>
              <w:rPr>
                <w:szCs w:val="20"/>
              </w:rPr>
            </w:pPr>
            <w:r w:rsidRPr="00D77851">
              <w:rPr>
                <w:szCs w:val="20"/>
              </w:rPr>
              <w:t>31%</w:t>
            </w:r>
          </w:p>
        </w:tc>
        <w:tc>
          <w:tcPr>
            <w:tcW w:w="408" w:type="pct"/>
            <w:tcBorders>
              <w:top w:val="nil"/>
              <w:bottom w:val="nil"/>
            </w:tcBorders>
          </w:tcPr>
          <w:p w:rsidR="00D77851" w:rsidRPr="00D77851" w:rsidRDefault="00D77851" w:rsidP="00D77851">
            <w:pPr>
              <w:jc w:val="right"/>
              <w:cnfStyle w:val="000000000000"/>
              <w:rPr>
                <w:szCs w:val="20"/>
              </w:rPr>
            </w:pPr>
            <w:r w:rsidRPr="00D77851">
              <w:rPr>
                <w:szCs w:val="20"/>
              </w:rPr>
              <w:t>89%</w:t>
            </w:r>
          </w:p>
        </w:tc>
        <w:tc>
          <w:tcPr>
            <w:tcW w:w="503" w:type="pct"/>
            <w:tcBorders>
              <w:top w:val="nil"/>
              <w:bottom w:val="nil"/>
            </w:tcBorders>
          </w:tcPr>
          <w:p w:rsidR="00D77851" w:rsidRPr="00D77851" w:rsidRDefault="00D77851" w:rsidP="00D77851">
            <w:pPr>
              <w:jc w:val="right"/>
              <w:cnfStyle w:val="000000000000"/>
              <w:rPr>
                <w:szCs w:val="20"/>
              </w:rPr>
            </w:pPr>
            <w:r w:rsidRPr="00D77851">
              <w:rPr>
                <w:szCs w:val="20"/>
              </w:rPr>
              <w:t>15%</w:t>
            </w:r>
          </w:p>
        </w:tc>
        <w:tc>
          <w:tcPr>
            <w:tcW w:w="434" w:type="pct"/>
            <w:tcBorders>
              <w:top w:val="nil"/>
              <w:bottom w:val="nil"/>
            </w:tcBorders>
          </w:tcPr>
          <w:p w:rsidR="00D77851" w:rsidRPr="00D77851" w:rsidRDefault="00D77851" w:rsidP="00D77851">
            <w:pPr>
              <w:jc w:val="right"/>
              <w:cnfStyle w:val="000000000000"/>
              <w:rPr>
                <w:szCs w:val="20"/>
              </w:rPr>
            </w:pPr>
            <w:r w:rsidRPr="00D77851">
              <w:rPr>
                <w:szCs w:val="20"/>
              </w:rPr>
              <w:t>29%</w:t>
            </w:r>
          </w:p>
        </w:tc>
        <w:tc>
          <w:tcPr>
            <w:tcW w:w="499" w:type="pct"/>
            <w:tcBorders>
              <w:top w:val="nil"/>
              <w:bottom w:val="nil"/>
            </w:tcBorders>
          </w:tcPr>
          <w:p w:rsidR="00D77851" w:rsidRPr="00D77851" w:rsidRDefault="00D77851" w:rsidP="00D77851">
            <w:pPr>
              <w:jc w:val="right"/>
              <w:cnfStyle w:val="000000000000"/>
              <w:rPr>
                <w:b/>
                <w:bCs/>
                <w:szCs w:val="20"/>
              </w:rPr>
            </w:pPr>
            <w:r w:rsidRPr="00D77851">
              <w:rPr>
                <w:b/>
                <w:bCs/>
                <w:szCs w:val="20"/>
              </w:rPr>
              <w:t>20%</w:t>
            </w:r>
          </w:p>
        </w:tc>
      </w:tr>
      <w:tr w:rsidR="00D77851" w:rsidRPr="00D77851" w:rsidTr="0056529B">
        <w:trPr>
          <w:jc w:val="center"/>
        </w:trPr>
        <w:tc>
          <w:tcPr>
            <w:cnfStyle w:val="001000000000"/>
            <w:tcW w:w="1194" w:type="pct"/>
            <w:tcBorders>
              <w:top w:val="nil"/>
              <w:bottom w:val="nil"/>
            </w:tcBorders>
          </w:tcPr>
          <w:p w:rsidR="00D77851" w:rsidRPr="00D77851" w:rsidRDefault="00D77851" w:rsidP="00D77851">
            <w:pPr>
              <w:rPr>
                <w:b/>
                <w:szCs w:val="20"/>
              </w:rPr>
            </w:pPr>
            <w:r w:rsidRPr="00D77851">
              <w:rPr>
                <w:b/>
                <w:szCs w:val="20"/>
              </w:rPr>
              <w:t>Energy recovery</w:t>
            </w:r>
          </w:p>
        </w:tc>
        <w:tc>
          <w:tcPr>
            <w:tcW w:w="440" w:type="pct"/>
            <w:tcBorders>
              <w:top w:val="nil"/>
              <w:bottom w:val="nil"/>
            </w:tcBorders>
          </w:tcPr>
          <w:p w:rsidR="00D77851" w:rsidRPr="00D77851" w:rsidRDefault="00D77851" w:rsidP="00D77851">
            <w:pPr>
              <w:jc w:val="right"/>
              <w:cnfStyle w:val="000000000000"/>
              <w:rPr>
                <w:szCs w:val="20"/>
              </w:rPr>
            </w:pPr>
            <w:r w:rsidRPr="00D77851">
              <w:rPr>
                <w:szCs w:val="20"/>
              </w:rPr>
              <w:t>-23%</w:t>
            </w:r>
          </w:p>
        </w:tc>
        <w:tc>
          <w:tcPr>
            <w:tcW w:w="571" w:type="pct"/>
            <w:tcBorders>
              <w:top w:val="nil"/>
              <w:bottom w:val="nil"/>
            </w:tcBorders>
          </w:tcPr>
          <w:p w:rsidR="00D77851" w:rsidRPr="00D77851" w:rsidRDefault="00D77851" w:rsidP="00D77851">
            <w:pPr>
              <w:jc w:val="right"/>
              <w:cnfStyle w:val="000000000000"/>
              <w:rPr>
                <w:szCs w:val="20"/>
              </w:rPr>
            </w:pPr>
            <w:r w:rsidRPr="00D77851">
              <w:rPr>
                <w:szCs w:val="20"/>
              </w:rPr>
              <w:t>31%</w:t>
            </w:r>
          </w:p>
        </w:tc>
        <w:tc>
          <w:tcPr>
            <w:tcW w:w="471" w:type="pct"/>
            <w:tcBorders>
              <w:top w:val="nil"/>
              <w:bottom w:val="nil"/>
            </w:tcBorders>
          </w:tcPr>
          <w:p w:rsidR="00D77851" w:rsidRPr="00D77851" w:rsidRDefault="00D77851" w:rsidP="00D77851">
            <w:pPr>
              <w:jc w:val="right"/>
              <w:cnfStyle w:val="000000000000"/>
              <w:rPr>
                <w:szCs w:val="20"/>
              </w:rPr>
            </w:pPr>
            <w:r w:rsidRPr="00D77851">
              <w:rPr>
                <w:szCs w:val="20"/>
              </w:rPr>
              <w:t>0%</w:t>
            </w:r>
          </w:p>
        </w:tc>
        <w:tc>
          <w:tcPr>
            <w:tcW w:w="479" w:type="pct"/>
            <w:tcBorders>
              <w:top w:val="nil"/>
              <w:bottom w:val="nil"/>
            </w:tcBorders>
          </w:tcPr>
          <w:p w:rsidR="00D77851" w:rsidRPr="00D77851" w:rsidRDefault="00D77851" w:rsidP="00D77851">
            <w:pPr>
              <w:jc w:val="right"/>
              <w:cnfStyle w:val="000000000000"/>
              <w:rPr>
                <w:szCs w:val="20"/>
              </w:rPr>
            </w:pPr>
            <w:r w:rsidRPr="00D77851">
              <w:rPr>
                <w:szCs w:val="20"/>
              </w:rPr>
              <w:t>26%</w:t>
            </w:r>
          </w:p>
        </w:tc>
        <w:tc>
          <w:tcPr>
            <w:tcW w:w="408" w:type="pct"/>
            <w:tcBorders>
              <w:top w:val="nil"/>
              <w:bottom w:val="nil"/>
            </w:tcBorders>
          </w:tcPr>
          <w:p w:rsidR="00D77851" w:rsidRPr="00D77851" w:rsidRDefault="00D77851" w:rsidP="00D77851">
            <w:pPr>
              <w:jc w:val="right"/>
              <w:cnfStyle w:val="000000000000"/>
              <w:rPr>
                <w:szCs w:val="20"/>
              </w:rPr>
            </w:pPr>
            <w:r w:rsidRPr="00D77851">
              <w:rPr>
                <w:szCs w:val="20"/>
              </w:rPr>
              <w:t>5%</w:t>
            </w:r>
          </w:p>
        </w:tc>
        <w:tc>
          <w:tcPr>
            <w:tcW w:w="503" w:type="pct"/>
            <w:tcBorders>
              <w:top w:val="nil"/>
              <w:bottom w:val="nil"/>
            </w:tcBorders>
          </w:tcPr>
          <w:p w:rsidR="00D77851" w:rsidRPr="00D77851" w:rsidRDefault="00D77851" w:rsidP="00D77851">
            <w:pPr>
              <w:jc w:val="right"/>
              <w:cnfStyle w:val="000000000000"/>
              <w:rPr>
                <w:szCs w:val="20"/>
              </w:rPr>
            </w:pPr>
            <w:r w:rsidRPr="00D77851">
              <w:rPr>
                <w:szCs w:val="20"/>
              </w:rPr>
              <w:t>9%</w:t>
            </w:r>
          </w:p>
        </w:tc>
        <w:tc>
          <w:tcPr>
            <w:tcW w:w="434" w:type="pct"/>
            <w:tcBorders>
              <w:top w:val="nil"/>
              <w:bottom w:val="nil"/>
            </w:tcBorders>
          </w:tcPr>
          <w:p w:rsidR="00D77851" w:rsidRPr="00D77851" w:rsidRDefault="00D77851" w:rsidP="00D77851">
            <w:pPr>
              <w:jc w:val="right"/>
              <w:cnfStyle w:val="000000000000"/>
              <w:rPr>
                <w:szCs w:val="20"/>
              </w:rPr>
            </w:pPr>
            <w:r w:rsidRPr="00D77851">
              <w:rPr>
                <w:szCs w:val="20"/>
              </w:rPr>
              <w:t>-28%</w:t>
            </w:r>
          </w:p>
        </w:tc>
        <w:tc>
          <w:tcPr>
            <w:tcW w:w="499" w:type="pct"/>
            <w:tcBorders>
              <w:top w:val="nil"/>
              <w:bottom w:val="nil"/>
            </w:tcBorders>
          </w:tcPr>
          <w:p w:rsidR="00D77851" w:rsidRPr="00D77851" w:rsidRDefault="00D77851" w:rsidP="00D77851">
            <w:pPr>
              <w:jc w:val="right"/>
              <w:cnfStyle w:val="000000000000"/>
              <w:rPr>
                <w:b/>
                <w:bCs/>
                <w:szCs w:val="20"/>
              </w:rPr>
            </w:pPr>
            <w:r w:rsidRPr="00D77851">
              <w:rPr>
                <w:b/>
                <w:bCs/>
                <w:szCs w:val="20"/>
              </w:rPr>
              <w:t>8.3%</w:t>
            </w:r>
          </w:p>
        </w:tc>
      </w:tr>
      <w:tr w:rsidR="00D77851" w:rsidRPr="00D77851" w:rsidTr="0056529B">
        <w:trPr>
          <w:jc w:val="center"/>
        </w:trPr>
        <w:tc>
          <w:tcPr>
            <w:cnfStyle w:val="001000000000"/>
            <w:tcW w:w="1194" w:type="pct"/>
            <w:tcBorders>
              <w:top w:val="nil"/>
              <w:bottom w:val="nil"/>
            </w:tcBorders>
          </w:tcPr>
          <w:p w:rsidR="00D77851" w:rsidRPr="00D77851" w:rsidRDefault="00D77851" w:rsidP="00D77851">
            <w:pPr>
              <w:rPr>
                <w:b/>
                <w:szCs w:val="20"/>
              </w:rPr>
            </w:pPr>
            <w:r w:rsidRPr="00D77851">
              <w:rPr>
                <w:b/>
                <w:szCs w:val="20"/>
              </w:rPr>
              <w:t>Resource recovery rate</w:t>
            </w:r>
          </w:p>
        </w:tc>
        <w:tc>
          <w:tcPr>
            <w:tcW w:w="440" w:type="pct"/>
            <w:tcBorders>
              <w:top w:val="nil"/>
              <w:bottom w:val="nil"/>
            </w:tcBorders>
          </w:tcPr>
          <w:p w:rsidR="00D77851" w:rsidRPr="00D77851" w:rsidRDefault="00D77851" w:rsidP="00D77851">
            <w:pPr>
              <w:jc w:val="right"/>
              <w:cnfStyle w:val="000000000000"/>
              <w:rPr>
                <w:szCs w:val="20"/>
              </w:rPr>
            </w:pPr>
            <w:r w:rsidRPr="00D77851">
              <w:rPr>
                <w:szCs w:val="20"/>
              </w:rPr>
              <w:t>0%</w:t>
            </w:r>
          </w:p>
        </w:tc>
        <w:tc>
          <w:tcPr>
            <w:tcW w:w="571" w:type="pct"/>
            <w:tcBorders>
              <w:top w:val="nil"/>
              <w:bottom w:val="nil"/>
            </w:tcBorders>
          </w:tcPr>
          <w:p w:rsidR="00D77851" w:rsidRPr="00D77851" w:rsidRDefault="00D77851" w:rsidP="00D77851">
            <w:pPr>
              <w:jc w:val="right"/>
              <w:cnfStyle w:val="000000000000"/>
              <w:rPr>
                <w:szCs w:val="20"/>
              </w:rPr>
            </w:pPr>
            <w:r w:rsidRPr="00D77851">
              <w:rPr>
                <w:szCs w:val="20"/>
              </w:rPr>
              <w:t>20%</w:t>
            </w:r>
          </w:p>
        </w:tc>
        <w:tc>
          <w:tcPr>
            <w:tcW w:w="471" w:type="pct"/>
            <w:tcBorders>
              <w:top w:val="nil"/>
              <w:bottom w:val="nil"/>
            </w:tcBorders>
          </w:tcPr>
          <w:p w:rsidR="00D77851" w:rsidRPr="00D77851" w:rsidRDefault="00D77851" w:rsidP="00D77851">
            <w:pPr>
              <w:jc w:val="right"/>
              <w:cnfStyle w:val="000000000000"/>
              <w:rPr>
                <w:szCs w:val="20"/>
              </w:rPr>
            </w:pPr>
            <w:r w:rsidRPr="00D77851">
              <w:rPr>
                <w:szCs w:val="20"/>
              </w:rPr>
              <w:t>-5%</w:t>
            </w:r>
          </w:p>
        </w:tc>
        <w:tc>
          <w:tcPr>
            <w:tcW w:w="479" w:type="pct"/>
            <w:tcBorders>
              <w:top w:val="nil"/>
              <w:bottom w:val="nil"/>
            </w:tcBorders>
          </w:tcPr>
          <w:p w:rsidR="00D77851" w:rsidRPr="00D77851" w:rsidRDefault="00D77851" w:rsidP="00D77851">
            <w:pPr>
              <w:jc w:val="right"/>
              <w:cnfStyle w:val="000000000000"/>
              <w:rPr>
                <w:szCs w:val="20"/>
              </w:rPr>
            </w:pPr>
            <w:r w:rsidRPr="00D77851">
              <w:rPr>
                <w:szCs w:val="20"/>
              </w:rPr>
              <w:t>13%</w:t>
            </w:r>
          </w:p>
        </w:tc>
        <w:tc>
          <w:tcPr>
            <w:tcW w:w="408" w:type="pct"/>
            <w:tcBorders>
              <w:top w:val="nil"/>
              <w:bottom w:val="nil"/>
            </w:tcBorders>
          </w:tcPr>
          <w:p w:rsidR="00D77851" w:rsidRPr="00D77851" w:rsidRDefault="00D77851" w:rsidP="00D77851">
            <w:pPr>
              <w:jc w:val="right"/>
              <w:cnfStyle w:val="000000000000"/>
              <w:rPr>
                <w:szCs w:val="20"/>
              </w:rPr>
            </w:pPr>
            <w:r w:rsidRPr="00D77851">
              <w:rPr>
                <w:szCs w:val="20"/>
              </w:rPr>
              <w:t>48%</w:t>
            </w:r>
          </w:p>
        </w:tc>
        <w:tc>
          <w:tcPr>
            <w:tcW w:w="503" w:type="pct"/>
            <w:tcBorders>
              <w:top w:val="nil"/>
              <w:bottom w:val="nil"/>
            </w:tcBorders>
          </w:tcPr>
          <w:p w:rsidR="00D77851" w:rsidRPr="00D77851" w:rsidRDefault="00D77851" w:rsidP="00D77851">
            <w:pPr>
              <w:jc w:val="right"/>
              <w:cnfStyle w:val="000000000000"/>
              <w:rPr>
                <w:szCs w:val="20"/>
              </w:rPr>
            </w:pPr>
            <w:r w:rsidRPr="00D77851">
              <w:rPr>
                <w:szCs w:val="20"/>
              </w:rPr>
              <w:t>12%</w:t>
            </w:r>
          </w:p>
        </w:tc>
        <w:tc>
          <w:tcPr>
            <w:tcW w:w="434" w:type="pct"/>
            <w:tcBorders>
              <w:top w:val="nil"/>
              <w:bottom w:val="nil"/>
            </w:tcBorders>
          </w:tcPr>
          <w:p w:rsidR="00D77851" w:rsidRPr="00D77851" w:rsidRDefault="00D77851" w:rsidP="00D77851">
            <w:pPr>
              <w:jc w:val="right"/>
              <w:cnfStyle w:val="000000000000"/>
              <w:rPr>
                <w:szCs w:val="20"/>
              </w:rPr>
            </w:pPr>
            <w:r w:rsidRPr="00D77851">
              <w:rPr>
                <w:szCs w:val="20"/>
              </w:rPr>
              <w:t>23%</w:t>
            </w:r>
          </w:p>
        </w:tc>
        <w:tc>
          <w:tcPr>
            <w:tcW w:w="499" w:type="pct"/>
            <w:tcBorders>
              <w:top w:val="nil"/>
              <w:bottom w:val="nil"/>
            </w:tcBorders>
          </w:tcPr>
          <w:p w:rsidR="00D77851" w:rsidRPr="00D77851" w:rsidRDefault="00D77851" w:rsidP="00D77851">
            <w:pPr>
              <w:jc w:val="right"/>
              <w:cnfStyle w:val="000000000000"/>
              <w:rPr>
                <w:b/>
                <w:bCs/>
                <w:szCs w:val="20"/>
              </w:rPr>
            </w:pPr>
            <w:r w:rsidRPr="00D77851">
              <w:rPr>
                <w:b/>
                <w:bCs/>
                <w:szCs w:val="20"/>
              </w:rPr>
              <w:t>16%</w:t>
            </w:r>
          </w:p>
        </w:tc>
      </w:tr>
      <w:tr w:rsidR="00D77851" w:rsidRPr="00D77851" w:rsidTr="0056529B">
        <w:trPr>
          <w:jc w:val="center"/>
        </w:trPr>
        <w:tc>
          <w:tcPr>
            <w:cnfStyle w:val="001000000000"/>
            <w:tcW w:w="1194" w:type="pct"/>
            <w:tcBorders>
              <w:top w:val="nil"/>
              <w:bottom w:val="single" w:sz="18" w:space="0" w:color="7F7F7F" w:themeColor="background2"/>
            </w:tcBorders>
          </w:tcPr>
          <w:p w:rsidR="00D77851" w:rsidRPr="00D77851" w:rsidRDefault="00D77851" w:rsidP="00D77851">
            <w:pPr>
              <w:rPr>
                <w:b/>
                <w:szCs w:val="20"/>
              </w:rPr>
            </w:pPr>
            <w:r w:rsidRPr="00D77851">
              <w:rPr>
                <w:b/>
                <w:szCs w:val="20"/>
              </w:rPr>
              <w:t>Generation</w:t>
            </w:r>
          </w:p>
        </w:tc>
        <w:tc>
          <w:tcPr>
            <w:tcW w:w="440" w:type="pct"/>
            <w:tcBorders>
              <w:top w:val="nil"/>
              <w:bottom w:val="single" w:sz="18" w:space="0" w:color="7F7F7F" w:themeColor="background2"/>
            </w:tcBorders>
          </w:tcPr>
          <w:p w:rsidR="00D77851" w:rsidRPr="00D77851" w:rsidRDefault="00D77851" w:rsidP="00D77851">
            <w:pPr>
              <w:jc w:val="right"/>
              <w:cnfStyle w:val="000000000000"/>
              <w:rPr>
                <w:szCs w:val="20"/>
              </w:rPr>
            </w:pPr>
            <w:r w:rsidRPr="00D77851">
              <w:rPr>
                <w:szCs w:val="20"/>
              </w:rPr>
              <w:t>18%</w:t>
            </w:r>
          </w:p>
        </w:tc>
        <w:tc>
          <w:tcPr>
            <w:tcW w:w="571" w:type="pct"/>
            <w:tcBorders>
              <w:top w:val="nil"/>
              <w:bottom w:val="single" w:sz="18" w:space="0" w:color="7F7F7F" w:themeColor="background2"/>
            </w:tcBorders>
          </w:tcPr>
          <w:p w:rsidR="00D77851" w:rsidRPr="00D77851" w:rsidRDefault="00D77851" w:rsidP="00D77851">
            <w:pPr>
              <w:jc w:val="right"/>
              <w:cnfStyle w:val="000000000000"/>
              <w:rPr>
                <w:szCs w:val="20"/>
              </w:rPr>
            </w:pPr>
            <w:r w:rsidRPr="00D77851">
              <w:rPr>
                <w:szCs w:val="20"/>
              </w:rPr>
              <w:t>7%</w:t>
            </w:r>
          </w:p>
        </w:tc>
        <w:tc>
          <w:tcPr>
            <w:tcW w:w="471" w:type="pct"/>
            <w:tcBorders>
              <w:top w:val="nil"/>
              <w:bottom w:val="single" w:sz="18" w:space="0" w:color="7F7F7F" w:themeColor="background2"/>
            </w:tcBorders>
          </w:tcPr>
          <w:p w:rsidR="00D77851" w:rsidRPr="00D77851" w:rsidRDefault="00D77851" w:rsidP="00D77851">
            <w:pPr>
              <w:jc w:val="right"/>
              <w:cnfStyle w:val="000000000000"/>
              <w:rPr>
                <w:szCs w:val="20"/>
              </w:rPr>
            </w:pPr>
            <w:r w:rsidRPr="00D77851">
              <w:rPr>
                <w:szCs w:val="20"/>
              </w:rPr>
              <w:t>-14%</w:t>
            </w:r>
          </w:p>
        </w:tc>
        <w:tc>
          <w:tcPr>
            <w:tcW w:w="479" w:type="pct"/>
            <w:tcBorders>
              <w:top w:val="nil"/>
              <w:bottom w:val="single" w:sz="18" w:space="0" w:color="7F7F7F" w:themeColor="background2"/>
            </w:tcBorders>
          </w:tcPr>
          <w:p w:rsidR="00D77851" w:rsidRPr="00D77851" w:rsidRDefault="00D77851" w:rsidP="00D77851">
            <w:pPr>
              <w:jc w:val="right"/>
              <w:cnfStyle w:val="000000000000"/>
              <w:rPr>
                <w:szCs w:val="20"/>
              </w:rPr>
            </w:pPr>
            <w:r w:rsidRPr="00D77851">
              <w:rPr>
                <w:szCs w:val="20"/>
              </w:rPr>
              <w:t>16%</w:t>
            </w:r>
          </w:p>
        </w:tc>
        <w:tc>
          <w:tcPr>
            <w:tcW w:w="408" w:type="pct"/>
            <w:tcBorders>
              <w:top w:val="nil"/>
              <w:bottom w:val="single" w:sz="18" w:space="0" w:color="7F7F7F" w:themeColor="background2"/>
            </w:tcBorders>
          </w:tcPr>
          <w:p w:rsidR="00D77851" w:rsidRPr="00D77851" w:rsidRDefault="00D77851" w:rsidP="00D77851">
            <w:pPr>
              <w:jc w:val="right"/>
              <w:cnfStyle w:val="000000000000"/>
              <w:rPr>
                <w:szCs w:val="20"/>
              </w:rPr>
            </w:pPr>
            <w:r w:rsidRPr="00D77851">
              <w:rPr>
                <w:szCs w:val="20"/>
              </w:rPr>
              <w:t>10%</w:t>
            </w:r>
          </w:p>
        </w:tc>
        <w:tc>
          <w:tcPr>
            <w:tcW w:w="503" w:type="pct"/>
            <w:tcBorders>
              <w:top w:val="nil"/>
              <w:bottom w:val="single" w:sz="18" w:space="0" w:color="7F7F7F" w:themeColor="background2"/>
            </w:tcBorders>
          </w:tcPr>
          <w:p w:rsidR="00D77851" w:rsidRPr="00D77851" w:rsidRDefault="00D77851" w:rsidP="00D77851">
            <w:pPr>
              <w:jc w:val="right"/>
              <w:cnfStyle w:val="000000000000"/>
              <w:rPr>
                <w:szCs w:val="20"/>
              </w:rPr>
            </w:pPr>
            <w:r w:rsidRPr="00D77851">
              <w:rPr>
                <w:szCs w:val="20"/>
              </w:rPr>
              <w:t>2%</w:t>
            </w:r>
          </w:p>
        </w:tc>
        <w:tc>
          <w:tcPr>
            <w:tcW w:w="434" w:type="pct"/>
            <w:tcBorders>
              <w:top w:val="nil"/>
              <w:bottom w:val="single" w:sz="18" w:space="0" w:color="7F7F7F" w:themeColor="background2"/>
            </w:tcBorders>
          </w:tcPr>
          <w:p w:rsidR="00D77851" w:rsidRPr="00D77851" w:rsidRDefault="00D77851" w:rsidP="00D77851">
            <w:pPr>
              <w:jc w:val="right"/>
              <w:cnfStyle w:val="000000000000"/>
              <w:rPr>
                <w:szCs w:val="20"/>
              </w:rPr>
            </w:pPr>
            <w:r w:rsidRPr="00D77851">
              <w:rPr>
                <w:szCs w:val="20"/>
              </w:rPr>
              <w:t>-1%</w:t>
            </w:r>
          </w:p>
        </w:tc>
        <w:tc>
          <w:tcPr>
            <w:tcW w:w="499" w:type="pct"/>
            <w:tcBorders>
              <w:top w:val="nil"/>
              <w:bottom w:val="single" w:sz="18" w:space="0" w:color="7F7F7F" w:themeColor="background2"/>
            </w:tcBorders>
          </w:tcPr>
          <w:p w:rsidR="00D77851" w:rsidRPr="00D77851" w:rsidRDefault="00D77851" w:rsidP="00D77851">
            <w:pPr>
              <w:jc w:val="right"/>
              <w:cnfStyle w:val="000000000000"/>
              <w:rPr>
                <w:b/>
                <w:bCs/>
                <w:szCs w:val="20"/>
              </w:rPr>
            </w:pPr>
            <w:r w:rsidRPr="00D77851">
              <w:rPr>
                <w:b/>
                <w:bCs/>
                <w:szCs w:val="20"/>
              </w:rPr>
              <w:t>2.6%</w:t>
            </w:r>
          </w:p>
        </w:tc>
      </w:tr>
    </w:tbl>
    <w:p w:rsidR="003A651A" w:rsidRPr="00C66550" w:rsidRDefault="003A651A" w:rsidP="00EB0A97">
      <w:pPr>
        <w:pStyle w:val="BodyText"/>
        <w:rPr>
          <w:b/>
        </w:rPr>
      </w:pPr>
    </w:p>
    <w:p w:rsidR="00435E45" w:rsidRPr="00C66550" w:rsidRDefault="004845CD" w:rsidP="00EB0A97">
      <w:pPr>
        <w:pStyle w:val="BodyText"/>
      </w:pPr>
      <w:r w:rsidRPr="00C66550">
        <w:t xml:space="preserve">The data </w:t>
      </w:r>
      <w:r w:rsidR="007E0F05" w:rsidRPr="00C66550">
        <w:t xml:space="preserve">show mixed </w:t>
      </w:r>
      <w:r w:rsidR="009758F5" w:rsidRPr="00C66550">
        <w:t>outcomes across the jurisdictions. Per capita</w:t>
      </w:r>
      <w:r w:rsidR="00575602">
        <w:t xml:space="preserve"> </w:t>
      </w:r>
      <w:r w:rsidR="00934A08" w:rsidRPr="00C66550">
        <w:t xml:space="preserve">generation rates increased in all jurisdictions except </w:t>
      </w:r>
      <w:r w:rsidR="00DF4FB7">
        <w:t>Qld</w:t>
      </w:r>
      <w:r w:rsidR="00934A08" w:rsidRPr="00C66550">
        <w:t xml:space="preserve"> and WA, and resource recovery rates grew in all except </w:t>
      </w:r>
      <w:r w:rsidR="00DF4FB7">
        <w:t>Qld</w:t>
      </w:r>
      <w:r w:rsidR="00934A08" w:rsidRPr="00C66550">
        <w:t>. Disposal rates fell everywhere except the ACT.</w:t>
      </w:r>
      <w:r w:rsidR="00575602">
        <w:t xml:space="preserve"> </w:t>
      </w:r>
    </w:p>
    <w:p w:rsidR="008A3648" w:rsidRPr="00C66550" w:rsidRDefault="00E5424C" w:rsidP="006D25F9">
      <w:pPr>
        <w:pStyle w:val="Heading2"/>
        <w:numPr>
          <w:ilvl w:val="0"/>
          <w:numId w:val="0"/>
        </w:numPr>
      </w:pPr>
      <w:bookmarkStart w:id="13" w:name="_Toc379466340"/>
      <w:r w:rsidRPr="00C66550">
        <w:t>E3</w:t>
      </w:r>
      <w:r w:rsidRPr="00C66550">
        <w:tab/>
      </w:r>
      <w:r w:rsidR="008A3648" w:rsidRPr="00C66550">
        <w:t>Organic</w:t>
      </w:r>
      <w:r w:rsidR="00491EE4">
        <w:t xml:space="preserve"> waste</w:t>
      </w:r>
      <w:r w:rsidR="008A3648" w:rsidRPr="00C66550">
        <w:t>s summary</w:t>
      </w:r>
      <w:bookmarkEnd w:id="13"/>
    </w:p>
    <w:p w:rsidR="003A651A" w:rsidRPr="00C66550" w:rsidRDefault="009D7F60" w:rsidP="00EB0A97">
      <w:pPr>
        <w:pStyle w:val="BodyText"/>
      </w:pPr>
      <w:r w:rsidRPr="00C66550">
        <w:t xml:space="preserve">Section </w:t>
      </w:r>
      <w:fldSimple w:instr=" REF _Ref349634940 \r \h  \* MERGEFORMAT ">
        <w:r w:rsidR="00D96003">
          <w:t>15</w:t>
        </w:r>
      </w:fldSimple>
      <w:r w:rsidR="001C606A" w:rsidRPr="00C66550">
        <w:t xml:space="preserve"> </w:t>
      </w:r>
      <w:r w:rsidRPr="00C66550">
        <w:t>provides addition</w:t>
      </w:r>
      <w:r w:rsidR="00FD3562" w:rsidRPr="00C66550">
        <w:t>al</w:t>
      </w:r>
      <w:r w:rsidRPr="00C66550">
        <w:t xml:space="preserve"> data on organic</w:t>
      </w:r>
      <w:r w:rsidR="00FD178F" w:rsidRPr="00C66550">
        <w:t xml:space="preserve"> waste</w:t>
      </w:r>
      <w:r w:rsidRPr="00C66550">
        <w:t xml:space="preserve"> material</w:t>
      </w:r>
      <w:r w:rsidR="00FD178F" w:rsidRPr="00C66550">
        <w:t>s</w:t>
      </w:r>
      <w:r w:rsidR="00A2701B">
        <w:rPr>
          <w:rStyle w:val="FootnoteReference"/>
        </w:rPr>
        <w:footnoteReference w:id="1"/>
      </w:r>
      <w:r w:rsidRPr="00C66550">
        <w:t>.</w:t>
      </w:r>
      <w:r w:rsidR="008A3648" w:rsidRPr="00C66550">
        <w:t xml:space="preserve"> </w:t>
      </w:r>
      <w:r w:rsidR="00FD3562" w:rsidRPr="00C66550">
        <w:t>K</w:t>
      </w:r>
      <w:r w:rsidR="007C1556" w:rsidRPr="00C66550">
        <w:t xml:space="preserve">ey findings </w:t>
      </w:r>
      <w:r w:rsidR="00FD3562" w:rsidRPr="00C66550">
        <w:t>for</w:t>
      </w:r>
      <w:r w:rsidR="008A3648" w:rsidRPr="00C66550">
        <w:t xml:space="preserve"> 2010/11</w:t>
      </w:r>
      <w:r w:rsidR="00FD3562" w:rsidRPr="00C66550">
        <w:t xml:space="preserve"> were</w:t>
      </w:r>
      <w:r w:rsidR="007C1556" w:rsidRPr="00C66550">
        <w:t>:</w:t>
      </w:r>
    </w:p>
    <w:p w:rsidR="00254684" w:rsidRPr="00C66550" w:rsidRDefault="008A3648" w:rsidP="00046922">
      <w:pPr>
        <w:pStyle w:val="Bullet1"/>
      </w:pPr>
      <w:r w:rsidRPr="00C66550">
        <w:t>A</w:t>
      </w:r>
      <w:r w:rsidR="00046922" w:rsidRPr="00C66550">
        <w:t xml:space="preserve">n estimated </w:t>
      </w:r>
      <w:r w:rsidR="00FD3562" w:rsidRPr="00C66550">
        <w:t>12</w:t>
      </w:r>
      <w:r w:rsidR="00046922" w:rsidRPr="00C66550">
        <w:t xml:space="preserve"> </w:t>
      </w:r>
      <w:r w:rsidR="00B80855" w:rsidRPr="00C66550">
        <w:t>Mt</w:t>
      </w:r>
      <w:r w:rsidR="00671F7E" w:rsidRPr="00C66550">
        <w:t xml:space="preserve"> of </w:t>
      </w:r>
      <w:r w:rsidR="00FD3562" w:rsidRPr="00C66550">
        <w:t xml:space="preserve">organic wastes </w:t>
      </w:r>
      <w:r w:rsidR="00046922" w:rsidRPr="00C66550">
        <w:t>were recovered</w:t>
      </w:r>
      <w:r w:rsidR="006B773D">
        <w:t>. This includes</w:t>
      </w:r>
      <w:r w:rsidR="00F421BA">
        <w:t>:</w:t>
      </w:r>
      <w:r w:rsidR="006B773D">
        <w:t xml:space="preserve"> s</w:t>
      </w:r>
      <w:r w:rsidR="006B773D" w:rsidRPr="00C66550">
        <w:t>ome 7.4 Mt of MSW, C&amp;I and C&amp;D organic wastes</w:t>
      </w:r>
      <w:r w:rsidR="00F421BA">
        <w:t>;</w:t>
      </w:r>
      <w:r w:rsidR="006B773D" w:rsidRPr="00C66550">
        <w:t xml:space="preserve"> 1.0 Mt of biosolids</w:t>
      </w:r>
      <w:r w:rsidR="00F421BA">
        <w:t>;</w:t>
      </w:r>
      <w:r w:rsidR="006B773D" w:rsidRPr="00C66550">
        <w:t xml:space="preserve"> the equivalent of 1.2 Mt of organics recovered via biogas energy recovery</w:t>
      </w:r>
      <w:r w:rsidR="00F421BA">
        <w:t>;</w:t>
      </w:r>
      <w:r w:rsidR="006B773D">
        <w:t xml:space="preserve"> and 2.1 Mt of </w:t>
      </w:r>
      <w:r w:rsidR="00FD3562" w:rsidRPr="00C66550">
        <w:t>wastes from primary production activities that entered waste management facilities</w:t>
      </w:r>
      <w:r w:rsidR="00046922" w:rsidRPr="00C66550">
        <w:t xml:space="preserve">. </w:t>
      </w:r>
    </w:p>
    <w:p w:rsidR="00FD3562" w:rsidRPr="00C66550" w:rsidRDefault="00FD3562" w:rsidP="00FD3562">
      <w:pPr>
        <w:pStyle w:val="Bullet1"/>
      </w:pPr>
      <w:r w:rsidRPr="00C66550">
        <w:t xml:space="preserve">Landfill biogas energy represents around 17% of all estimated organics recovery. </w:t>
      </w:r>
    </w:p>
    <w:p w:rsidR="00FD3562" w:rsidRPr="00C66550" w:rsidRDefault="00FD3562" w:rsidP="00FD3562">
      <w:pPr>
        <w:pStyle w:val="Bullet1"/>
      </w:pPr>
      <w:r w:rsidRPr="00C66550">
        <w:t xml:space="preserve">Paper products (3.1 Mt) and garden organics (2.9 Mt) contribute most to the organics recovery figures, followed by timber (0.73 Mt) and mixed organics sent to advanced waste treatment </w:t>
      </w:r>
      <w:r w:rsidR="003018F1" w:rsidRPr="00C66550">
        <w:t xml:space="preserve">(AWT) </w:t>
      </w:r>
      <w:r w:rsidRPr="00C66550">
        <w:t xml:space="preserve">facilities. </w:t>
      </w:r>
    </w:p>
    <w:p w:rsidR="001D6A8E" w:rsidRPr="00C66550" w:rsidRDefault="001D6A8E" w:rsidP="001D6A8E">
      <w:pPr>
        <w:pStyle w:val="Bullet1"/>
      </w:pPr>
      <w:r w:rsidRPr="00C66550">
        <w:t>When paper and cardboard products are excluded, Australians recover in the order of 200kg per capita of MSW, C&amp;I and C&amp;D organics.</w:t>
      </w:r>
    </w:p>
    <w:p w:rsidR="001D6A8E" w:rsidRPr="00C66550" w:rsidRDefault="001D6A8E" w:rsidP="001D6A8E">
      <w:pPr>
        <w:pStyle w:val="Bullet1"/>
      </w:pPr>
      <w:r w:rsidRPr="00C66550">
        <w:t>The ACT has very high per capita recovery of organic wastes, reflecting highly effective diversion of garden and timber organics at resource recovery facilities within the territory, as well as widespread use of ‘wool bale’ garden organics recovery services provided by private operators.</w:t>
      </w:r>
    </w:p>
    <w:p w:rsidR="00046922" w:rsidRPr="00C66550" w:rsidRDefault="00046922" w:rsidP="00046922">
      <w:pPr>
        <w:pStyle w:val="Bullet1"/>
      </w:pPr>
      <w:r w:rsidRPr="00C66550">
        <w:t xml:space="preserve">NSW and </w:t>
      </w:r>
      <w:r w:rsidR="00DF4FB7">
        <w:t>Qld</w:t>
      </w:r>
      <w:r w:rsidRPr="00C66550">
        <w:t xml:space="preserve"> </w:t>
      </w:r>
      <w:r w:rsidR="006E4A06" w:rsidRPr="00C66550">
        <w:t xml:space="preserve">recover </w:t>
      </w:r>
      <w:r w:rsidRPr="00C66550">
        <w:t>relatively high levels of biosolids.</w:t>
      </w:r>
    </w:p>
    <w:p w:rsidR="003018F1" w:rsidRPr="00C66550" w:rsidRDefault="00046922" w:rsidP="003018F1">
      <w:pPr>
        <w:pStyle w:val="Bullet1"/>
      </w:pPr>
      <w:r w:rsidRPr="00C66550">
        <w:t xml:space="preserve">NSW and </w:t>
      </w:r>
      <w:r w:rsidR="00D85477">
        <w:t>Vic</w:t>
      </w:r>
      <w:r w:rsidR="006E4A06" w:rsidRPr="00C66550">
        <w:t xml:space="preserve"> recover </w:t>
      </w:r>
      <w:r w:rsidRPr="00C66550">
        <w:t>relatively high levels of biogas</w:t>
      </w:r>
      <w:r w:rsidR="006E4A06" w:rsidRPr="00C66550">
        <w:t xml:space="preserve"> for</w:t>
      </w:r>
      <w:r w:rsidRPr="00C66550">
        <w:t xml:space="preserve"> energy, reflecting landfill practices in those states.</w:t>
      </w:r>
    </w:p>
    <w:p w:rsidR="003018F1" w:rsidRPr="00C66550" w:rsidRDefault="003018F1" w:rsidP="003018F1">
      <w:pPr>
        <w:pStyle w:val="BodyText"/>
        <w:rPr>
          <w:sz w:val="16"/>
          <w:szCs w:val="16"/>
        </w:rPr>
      </w:pPr>
    </w:p>
    <w:p w:rsidR="00744058" w:rsidRPr="00C66550" w:rsidRDefault="000243FB" w:rsidP="00744058">
      <w:pPr>
        <w:pStyle w:val="BodyText"/>
      </w:pPr>
      <w:r w:rsidRPr="00C66550">
        <w:t xml:space="preserve">Section </w:t>
      </w:r>
      <w:fldSimple w:instr=" REF _Ref349634940 \r \h  \* MERGEFORMAT ">
        <w:r w:rsidR="00D96003">
          <w:t>15</w:t>
        </w:r>
      </w:fldSimple>
      <w:r w:rsidRPr="00C66550">
        <w:t xml:space="preserve"> also discusses the trends in organics recovery based on Recycled Organics Unit (ROU) data, with the following key findings. Over the six-year period from 2005/06</w:t>
      </w:r>
      <w:r w:rsidR="00744058" w:rsidRPr="00C66550">
        <w:t xml:space="preserve"> to 2010/11 there have been fairly consistent organics recovery in the ACT and NSW, modest increases in WA and SA and significant increases in recovery in </w:t>
      </w:r>
      <w:r w:rsidR="00DF4FB7">
        <w:t>Qld</w:t>
      </w:r>
      <w:r w:rsidR="00744058" w:rsidRPr="00C66550">
        <w:t xml:space="preserve"> and </w:t>
      </w:r>
      <w:r w:rsidR="00D85477">
        <w:t>Vic</w:t>
      </w:r>
      <w:r w:rsidR="00744058" w:rsidRPr="00C66550">
        <w:t>. Nationally, the reported levels of recovered organics increased by 45%. Improved data capture may have contributed to the increase.</w:t>
      </w:r>
    </w:p>
    <w:p w:rsidR="00744058" w:rsidRDefault="00744058" w:rsidP="00744058">
      <w:pPr>
        <w:pStyle w:val="BodyText"/>
      </w:pPr>
    </w:p>
    <w:p w:rsidR="0056529B" w:rsidRDefault="0056529B" w:rsidP="00744058">
      <w:pPr>
        <w:pStyle w:val="BodyText"/>
      </w:pPr>
    </w:p>
    <w:p w:rsidR="0056529B" w:rsidRDefault="0056529B" w:rsidP="00744058">
      <w:pPr>
        <w:pStyle w:val="BodyText"/>
      </w:pPr>
    </w:p>
    <w:p w:rsidR="0056529B" w:rsidRDefault="0056529B" w:rsidP="00744058">
      <w:pPr>
        <w:pStyle w:val="BodyText"/>
      </w:pPr>
    </w:p>
    <w:p w:rsidR="0056529B" w:rsidRPr="00C66550" w:rsidRDefault="0056529B" w:rsidP="00744058">
      <w:pPr>
        <w:pStyle w:val="BodyText"/>
      </w:pPr>
    </w:p>
    <w:p w:rsidR="000243FB" w:rsidRPr="00C66550" w:rsidRDefault="00E5424C" w:rsidP="006D25F9">
      <w:pPr>
        <w:pStyle w:val="Heading2"/>
        <w:numPr>
          <w:ilvl w:val="0"/>
          <w:numId w:val="0"/>
        </w:numPr>
      </w:pPr>
      <w:bookmarkStart w:id="14" w:name="_Toc379466341"/>
      <w:r w:rsidRPr="00C66550">
        <w:t>E4</w:t>
      </w:r>
      <w:r w:rsidRPr="00C66550">
        <w:tab/>
      </w:r>
      <w:r w:rsidR="001C606A" w:rsidRPr="00C66550">
        <w:t>Policy frameworks, barriers and opportunities</w:t>
      </w:r>
      <w:bookmarkEnd w:id="14"/>
    </w:p>
    <w:p w:rsidR="001C606A" w:rsidRPr="00C66550" w:rsidRDefault="00D220AC" w:rsidP="00254684">
      <w:pPr>
        <w:pStyle w:val="BodyText"/>
        <w:spacing w:before="120"/>
      </w:pPr>
      <w:r w:rsidRPr="00C66550">
        <w:t xml:space="preserve">Table E3 </w:t>
      </w:r>
      <w:r w:rsidR="00581374" w:rsidRPr="00C66550">
        <w:t>provides a</w:t>
      </w:r>
      <w:r w:rsidRPr="00C66550">
        <w:t xml:space="preserve"> subjective</w:t>
      </w:r>
      <w:r w:rsidR="00581374" w:rsidRPr="00C66550">
        <w:t xml:space="preserve"> </w:t>
      </w:r>
      <w:r w:rsidR="00C07EA5" w:rsidRPr="00C66550">
        <w:t xml:space="preserve">and </w:t>
      </w:r>
      <w:r w:rsidR="00581374" w:rsidRPr="00C66550">
        <w:t>summar</w:t>
      </w:r>
      <w:r w:rsidR="00C07EA5" w:rsidRPr="00C66550">
        <w:t>ised assessment</w:t>
      </w:r>
      <w:r w:rsidRPr="00C66550">
        <w:t xml:space="preserve"> of </w:t>
      </w:r>
      <w:r w:rsidR="00581374" w:rsidRPr="00C66550">
        <w:t xml:space="preserve">Australian </w:t>
      </w:r>
      <w:r w:rsidRPr="00C66550">
        <w:t xml:space="preserve">waste </w:t>
      </w:r>
      <w:r w:rsidR="00C07EA5" w:rsidRPr="00C66550">
        <w:t>policy</w:t>
      </w:r>
      <w:r w:rsidR="00E3527F" w:rsidRPr="00C66550">
        <w:t xml:space="preserve"> during the reporting period</w:t>
      </w:r>
      <w:r w:rsidRPr="00C66550">
        <w:t xml:space="preserve"> against common elements</w:t>
      </w:r>
      <w:r w:rsidR="00581374" w:rsidRPr="00C66550">
        <w:t xml:space="preserve"> of</w:t>
      </w:r>
      <w:r w:rsidRPr="00C66550">
        <w:t xml:space="preserve"> best practice</w:t>
      </w:r>
      <w:r w:rsidR="00C07EA5" w:rsidRPr="00C66550">
        <w:t xml:space="preserve">, reflecting </w:t>
      </w:r>
      <w:r w:rsidR="00581374" w:rsidRPr="00C66550">
        <w:t>the extent to which these elements are implemented across the jurisdictions.</w:t>
      </w:r>
      <w:r w:rsidR="00C07EA5" w:rsidRPr="00C66550">
        <w:t xml:space="preserve"> It would be overly simplistic to assume that Australia needs to implement any one of the key elements that are listed as medium or low in the following table. A detailed assessment of local implementation is required to understand whether any change would be consistent with existing policy settings and market conditions.</w:t>
      </w:r>
    </w:p>
    <w:p w:rsidR="001C606A" w:rsidRPr="00C66550" w:rsidRDefault="00581374" w:rsidP="00254684">
      <w:pPr>
        <w:pStyle w:val="BodyText"/>
        <w:tabs>
          <w:tab w:val="left" w:pos="7590"/>
        </w:tabs>
      </w:pPr>
      <w:r w:rsidRPr="00C66550">
        <w:tab/>
      </w:r>
    </w:p>
    <w:p w:rsidR="001C606A" w:rsidRPr="00C66550" w:rsidRDefault="001C606A" w:rsidP="00FB4820">
      <w:pPr>
        <w:pStyle w:val="Figures"/>
      </w:pPr>
      <w:r w:rsidRPr="00C66550">
        <w:t>Table</w:t>
      </w:r>
      <w:r w:rsidR="00D220AC" w:rsidRPr="00C66550">
        <w:t xml:space="preserve"> E3</w:t>
      </w:r>
      <w:r w:rsidRPr="00C66550">
        <w:t>:</w:t>
      </w:r>
      <w:r w:rsidRPr="00C66550">
        <w:tab/>
      </w:r>
      <w:r w:rsidR="00E3527F" w:rsidRPr="00C66550">
        <w:t>Assessment of Australia’s implementation of key elements of high resource recovery frameworks during the data reporting period</w:t>
      </w:r>
    </w:p>
    <w:tbl>
      <w:tblPr>
        <w:tblStyle w:val="BETable1"/>
        <w:tblW w:w="4895" w:type="pct"/>
        <w:tblInd w:w="0" w:type="dxa"/>
        <w:tblLook w:val="04A0"/>
      </w:tblPr>
      <w:tblGrid>
        <w:gridCol w:w="6720"/>
        <w:gridCol w:w="2551"/>
      </w:tblGrid>
      <w:tr w:rsidR="00E3527F" w:rsidRPr="00C66550" w:rsidTr="008765D4">
        <w:trPr>
          <w:cnfStyle w:val="100000000000"/>
        </w:trPr>
        <w:tc>
          <w:tcPr>
            <w:cnfStyle w:val="001000000000"/>
            <w:tcW w:w="3624" w:type="pct"/>
            <w:tcBorders>
              <w:bottom w:val="single" w:sz="4" w:space="0" w:color="7F7F7F" w:themeColor="background2"/>
            </w:tcBorders>
          </w:tcPr>
          <w:p w:rsidR="00E3527F" w:rsidRPr="00C66550" w:rsidRDefault="00E3527F" w:rsidP="008765D4">
            <w:pPr>
              <w:pStyle w:val="BodyText"/>
              <w:rPr>
                <w:sz w:val="20"/>
                <w:szCs w:val="20"/>
              </w:rPr>
            </w:pPr>
            <w:r w:rsidRPr="00C66550">
              <w:rPr>
                <w:sz w:val="20"/>
                <w:szCs w:val="20"/>
              </w:rPr>
              <w:t>Key elements of framework</w:t>
            </w:r>
          </w:p>
        </w:tc>
        <w:tc>
          <w:tcPr>
            <w:tcW w:w="1376" w:type="pct"/>
            <w:tcBorders>
              <w:bottom w:val="single" w:sz="4" w:space="0" w:color="7F7F7F" w:themeColor="background2"/>
            </w:tcBorders>
          </w:tcPr>
          <w:p w:rsidR="00E3527F" w:rsidRPr="00C66550" w:rsidRDefault="00E3527F" w:rsidP="008765D4">
            <w:pPr>
              <w:keepNext/>
              <w:jc w:val="center"/>
              <w:cnfStyle w:val="100000000000"/>
              <w:rPr>
                <w:szCs w:val="20"/>
              </w:rPr>
            </w:pPr>
            <w:r w:rsidRPr="00C66550">
              <w:rPr>
                <w:szCs w:val="20"/>
              </w:rPr>
              <w:t>Rating</w:t>
            </w:r>
          </w:p>
        </w:tc>
      </w:tr>
      <w:tr w:rsidR="00E3527F" w:rsidRPr="00C66550" w:rsidTr="008765D4">
        <w:tc>
          <w:tcPr>
            <w:cnfStyle w:val="001000000000"/>
            <w:tcW w:w="3624" w:type="pct"/>
            <w:tcBorders>
              <w:bottom w:val="nil"/>
            </w:tcBorders>
          </w:tcPr>
          <w:p w:rsidR="00E3527F" w:rsidRPr="00C66550" w:rsidRDefault="00E3527F" w:rsidP="008765D4">
            <w:pPr>
              <w:pStyle w:val="BodyText"/>
              <w:rPr>
                <w:sz w:val="20"/>
                <w:szCs w:val="20"/>
              </w:rPr>
            </w:pPr>
            <w:r w:rsidRPr="00C66550">
              <w:rPr>
                <w:sz w:val="20"/>
                <w:szCs w:val="20"/>
              </w:rPr>
              <w:t xml:space="preserve">Targets set for reducing the generation of solid waste </w:t>
            </w:r>
          </w:p>
        </w:tc>
        <w:tc>
          <w:tcPr>
            <w:tcW w:w="1376" w:type="pct"/>
            <w:tcBorders>
              <w:bottom w:val="nil"/>
            </w:tcBorders>
          </w:tcPr>
          <w:p w:rsidR="00E3527F" w:rsidRPr="00C66550" w:rsidRDefault="00E3527F" w:rsidP="008765D4">
            <w:pPr>
              <w:keepNext/>
              <w:jc w:val="center"/>
              <w:cnfStyle w:val="000000000000"/>
              <w:rPr>
                <w:szCs w:val="20"/>
              </w:rPr>
            </w:pPr>
            <w:r w:rsidRPr="00C66550">
              <w:rPr>
                <w:szCs w:val="20"/>
              </w:rPr>
              <w:t>Medium</w:t>
            </w:r>
          </w:p>
        </w:tc>
      </w:tr>
      <w:tr w:rsidR="00E3527F" w:rsidRPr="00C66550" w:rsidTr="008765D4">
        <w:tc>
          <w:tcPr>
            <w:cnfStyle w:val="001000000000"/>
            <w:tcW w:w="3624" w:type="pct"/>
            <w:tcBorders>
              <w:top w:val="nil"/>
              <w:bottom w:val="nil"/>
            </w:tcBorders>
          </w:tcPr>
          <w:p w:rsidR="00E3527F" w:rsidRPr="00C66550" w:rsidRDefault="00E3527F" w:rsidP="008765D4">
            <w:pPr>
              <w:pStyle w:val="BodyText"/>
              <w:rPr>
                <w:sz w:val="20"/>
                <w:szCs w:val="20"/>
              </w:rPr>
            </w:pPr>
            <w:r w:rsidRPr="00C66550">
              <w:rPr>
                <w:sz w:val="20"/>
                <w:szCs w:val="20"/>
              </w:rPr>
              <w:t xml:space="preserve">Targets set for resource recovery from solid waste </w:t>
            </w:r>
          </w:p>
        </w:tc>
        <w:tc>
          <w:tcPr>
            <w:tcW w:w="1376" w:type="pct"/>
            <w:tcBorders>
              <w:top w:val="nil"/>
              <w:bottom w:val="nil"/>
            </w:tcBorders>
          </w:tcPr>
          <w:p w:rsidR="00E3527F" w:rsidRPr="00C66550" w:rsidRDefault="00E3527F" w:rsidP="008765D4">
            <w:pPr>
              <w:keepNext/>
              <w:jc w:val="center"/>
              <w:cnfStyle w:val="000000000000"/>
              <w:rPr>
                <w:szCs w:val="20"/>
              </w:rPr>
            </w:pPr>
            <w:r w:rsidRPr="00C66550">
              <w:rPr>
                <w:szCs w:val="20"/>
              </w:rPr>
              <w:t>High</w:t>
            </w:r>
          </w:p>
        </w:tc>
      </w:tr>
      <w:tr w:rsidR="00E3527F" w:rsidRPr="00C66550" w:rsidTr="008765D4">
        <w:tc>
          <w:tcPr>
            <w:cnfStyle w:val="001000000000"/>
            <w:tcW w:w="3624" w:type="pct"/>
            <w:tcBorders>
              <w:top w:val="nil"/>
              <w:bottom w:val="nil"/>
            </w:tcBorders>
          </w:tcPr>
          <w:p w:rsidR="00E3527F" w:rsidRPr="00C66550" w:rsidRDefault="00E3527F" w:rsidP="008765D4">
            <w:pPr>
              <w:pStyle w:val="BodyText"/>
              <w:rPr>
                <w:sz w:val="20"/>
                <w:szCs w:val="20"/>
              </w:rPr>
            </w:pPr>
            <w:r w:rsidRPr="00C66550">
              <w:rPr>
                <w:sz w:val="20"/>
                <w:szCs w:val="20"/>
              </w:rPr>
              <w:t xml:space="preserve">Landfill levies applied at a rate sufficient to significantly promote recovery </w:t>
            </w:r>
          </w:p>
        </w:tc>
        <w:tc>
          <w:tcPr>
            <w:tcW w:w="1376" w:type="pct"/>
            <w:tcBorders>
              <w:top w:val="nil"/>
              <w:bottom w:val="nil"/>
            </w:tcBorders>
          </w:tcPr>
          <w:p w:rsidR="00E3527F" w:rsidRPr="00C66550" w:rsidRDefault="00E3527F" w:rsidP="008765D4">
            <w:pPr>
              <w:keepNext/>
              <w:jc w:val="center"/>
              <w:cnfStyle w:val="000000000000"/>
              <w:rPr>
                <w:szCs w:val="20"/>
              </w:rPr>
            </w:pPr>
            <w:r w:rsidRPr="00C66550">
              <w:rPr>
                <w:szCs w:val="20"/>
              </w:rPr>
              <w:t>Low to Medium</w:t>
            </w:r>
          </w:p>
        </w:tc>
      </w:tr>
      <w:tr w:rsidR="00E3527F" w:rsidRPr="00C66550" w:rsidTr="008765D4">
        <w:tc>
          <w:tcPr>
            <w:cnfStyle w:val="001000000000"/>
            <w:tcW w:w="3624" w:type="pct"/>
            <w:tcBorders>
              <w:top w:val="nil"/>
              <w:bottom w:val="nil"/>
            </w:tcBorders>
          </w:tcPr>
          <w:p w:rsidR="00E3527F" w:rsidRPr="00C66550" w:rsidRDefault="00E3527F" w:rsidP="008765D4">
            <w:pPr>
              <w:pStyle w:val="BodyText"/>
              <w:rPr>
                <w:sz w:val="20"/>
                <w:szCs w:val="20"/>
              </w:rPr>
            </w:pPr>
            <w:r w:rsidRPr="00C66550">
              <w:rPr>
                <w:sz w:val="20"/>
                <w:szCs w:val="20"/>
              </w:rPr>
              <w:t>Hypothecation of landfill levy funds to waste initiatives &amp; recovery infrastructure</w:t>
            </w:r>
          </w:p>
        </w:tc>
        <w:tc>
          <w:tcPr>
            <w:tcW w:w="1376" w:type="pct"/>
            <w:tcBorders>
              <w:top w:val="nil"/>
              <w:bottom w:val="nil"/>
            </w:tcBorders>
          </w:tcPr>
          <w:p w:rsidR="00E3527F" w:rsidRPr="00C66550" w:rsidRDefault="00E3527F" w:rsidP="008765D4">
            <w:pPr>
              <w:keepNext/>
              <w:jc w:val="center"/>
              <w:cnfStyle w:val="000000000000"/>
              <w:rPr>
                <w:szCs w:val="20"/>
              </w:rPr>
            </w:pPr>
            <w:r w:rsidRPr="00C66550">
              <w:rPr>
                <w:szCs w:val="20"/>
              </w:rPr>
              <w:t>Medium</w:t>
            </w:r>
          </w:p>
        </w:tc>
      </w:tr>
      <w:tr w:rsidR="00E3527F" w:rsidRPr="00C66550" w:rsidTr="008765D4">
        <w:tc>
          <w:tcPr>
            <w:cnfStyle w:val="001000000000"/>
            <w:tcW w:w="3624" w:type="pct"/>
            <w:tcBorders>
              <w:top w:val="nil"/>
              <w:bottom w:val="nil"/>
            </w:tcBorders>
          </w:tcPr>
          <w:p w:rsidR="00E3527F" w:rsidRPr="00C66550" w:rsidRDefault="00E3527F" w:rsidP="008765D4">
            <w:pPr>
              <w:pStyle w:val="BodyText"/>
              <w:rPr>
                <w:sz w:val="20"/>
                <w:szCs w:val="20"/>
              </w:rPr>
            </w:pPr>
            <w:r w:rsidRPr="00C66550">
              <w:rPr>
                <w:sz w:val="20"/>
                <w:szCs w:val="20"/>
              </w:rPr>
              <w:t>Broad scale landfill disposal bans for untreated or unsorted solid wastes</w:t>
            </w:r>
          </w:p>
        </w:tc>
        <w:tc>
          <w:tcPr>
            <w:tcW w:w="1376" w:type="pct"/>
            <w:tcBorders>
              <w:top w:val="nil"/>
              <w:bottom w:val="nil"/>
            </w:tcBorders>
          </w:tcPr>
          <w:p w:rsidR="00E3527F" w:rsidRPr="00C66550" w:rsidRDefault="00E3527F" w:rsidP="008765D4">
            <w:pPr>
              <w:keepNext/>
              <w:jc w:val="center"/>
              <w:cnfStyle w:val="000000000000"/>
              <w:rPr>
                <w:szCs w:val="20"/>
              </w:rPr>
            </w:pPr>
            <w:r w:rsidRPr="00C66550">
              <w:rPr>
                <w:szCs w:val="20"/>
              </w:rPr>
              <w:t>Low</w:t>
            </w:r>
          </w:p>
        </w:tc>
      </w:tr>
      <w:tr w:rsidR="00E3527F" w:rsidRPr="00C66550" w:rsidTr="008765D4">
        <w:tc>
          <w:tcPr>
            <w:cnfStyle w:val="001000000000"/>
            <w:tcW w:w="3624" w:type="pct"/>
            <w:tcBorders>
              <w:top w:val="nil"/>
              <w:bottom w:val="nil"/>
            </w:tcBorders>
          </w:tcPr>
          <w:p w:rsidR="00E3527F" w:rsidRPr="00C66550" w:rsidRDefault="00E3527F" w:rsidP="008765D4">
            <w:pPr>
              <w:pStyle w:val="BodyText"/>
              <w:rPr>
                <w:sz w:val="20"/>
                <w:szCs w:val="20"/>
              </w:rPr>
            </w:pPr>
            <w:r w:rsidRPr="00C66550">
              <w:rPr>
                <w:sz w:val="20"/>
                <w:szCs w:val="20"/>
              </w:rPr>
              <w:t>Comprehensive reporting requirements for waste management</w:t>
            </w:r>
          </w:p>
        </w:tc>
        <w:tc>
          <w:tcPr>
            <w:tcW w:w="1376" w:type="pct"/>
            <w:tcBorders>
              <w:top w:val="nil"/>
              <w:bottom w:val="nil"/>
            </w:tcBorders>
          </w:tcPr>
          <w:p w:rsidR="00E3527F" w:rsidRPr="00C66550" w:rsidRDefault="00E3527F" w:rsidP="008765D4">
            <w:pPr>
              <w:keepNext/>
              <w:jc w:val="center"/>
              <w:cnfStyle w:val="000000000000"/>
              <w:rPr>
                <w:szCs w:val="20"/>
              </w:rPr>
            </w:pPr>
            <w:r w:rsidRPr="00C66550">
              <w:rPr>
                <w:szCs w:val="20"/>
              </w:rPr>
              <w:t>Low to medium</w:t>
            </w:r>
          </w:p>
        </w:tc>
      </w:tr>
      <w:tr w:rsidR="00E3527F" w:rsidRPr="00C66550" w:rsidTr="008765D4">
        <w:tc>
          <w:tcPr>
            <w:cnfStyle w:val="001000000000"/>
            <w:tcW w:w="3624" w:type="pct"/>
            <w:tcBorders>
              <w:top w:val="nil"/>
              <w:bottom w:val="nil"/>
            </w:tcBorders>
          </w:tcPr>
          <w:p w:rsidR="00E3527F" w:rsidRPr="00C66550" w:rsidRDefault="00E3527F" w:rsidP="008765D4">
            <w:pPr>
              <w:pStyle w:val="BodyText"/>
              <w:rPr>
                <w:sz w:val="20"/>
                <w:szCs w:val="20"/>
              </w:rPr>
            </w:pPr>
            <w:r w:rsidRPr="00C66550">
              <w:rPr>
                <w:sz w:val="20"/>
                <w:szCs w:val="20"/>
              </w:rPr>
              <w:t>Strict environmental controls over landfills</w:t>
            </w:r>
          </w:p>
        </w:tc>
        <w:tc>
          <w:tcPr>
            <w:tcW w:w="1376" w:type="pct"/>
            <w:tcBorders>
              <w:top w:val="nil"/>
              <w:bottom w:val="nil"/>
            </w:tcBorders>
          </w:tcPr>
          <w:p w:rsidR="00E3527F" w:rsidRPr="00C66550" w:rsidRDefault="00E3527F" w:rsidP="008765D4">
            <w:pPr>
              <w:keepNext/>
              <w:jc w:val="center"/>
              <w:cnfStyle w:val="000000000000"/>
              <w:rPr>
                <w:szCs w:val="20"/>
              </w:rPr>
            </w:pPr>
            <w:r w:rsidRPr="00C66550">
              <w:rPr>
                <w:szCs w:val="20"/>
              </w:rPr>
              <w:t>Medium</w:t>
            </w:r>
          </w:p>
        </w:tc>
      </w:tr>
      <w:tr w:rsidR="00E3527F" w:rsidRPr="00C66550" w:rsidTr="008765D4">
        <w:tc>
          <w:tcPr>
            <w:cnfStyle w:val="001000000000"/>
            <w:tcW w:w="3624" w:type="pct"/>
            <w:tcBorders>
              <w:top w:val="nil"/>
              <w:bottom w:val="nil"/>
            </w:tcBorders>
          </w:tcPr>
          <w:p w:rsidR="00E3527F" w:rsidRPr="00C66550" w:rsidRDefault="00E3527F" w:rsidP="008765D4">
            <w:pPr>
              <w:pStyle w:val="BodyText"/>
              <w:rPr>
                <w:sz w:val="20"/>
                <w:szCs w:val="20"/>
              </w:rPr>
            </w:pPr>
            <w:r w:rsidRPr="00C66550">
              <w:rPr>
                <w:sz w:val="20"/>
                <w:szCs w:val="20"/>
              </w:rPr>
              <w:t>Source segregation of solid waste collection (i.e. avoiding mixed residual loads)</w:t>
            </w:r>
          </w:p>
        </w:tc>
        <w:tc>
          <w:tcPr>
            <w:tcW w:w="1376" w:type="pct"/>
            <w:tcBorders>
              <w:top w:val="nil"/>
              <w:bottom w:val="nil"/>
            </w:tcBorders>
          </w:tcPr>
          <w:p w:rsidR="00E3527F" w:rsidRPr="00C66550" w:rsidRDefault="00E3527F" w:rsidP="008765D4">
            <w:pPr>
              <w:keepNext/>
              <w:jc w:val="center"/>
              <w:cnfStyle w:val="000000000000"/>
              <w:rPr>
                <w:szCs w:val="20"/>
              </w:rPr>
            </w:pPr>
            <w:r w:rsidRPr="00C66550">
              <w:rPr>
                <w:szCs w:val="20"/>
              </w:rPr>
              <w:t>Medium</w:t>
            </w:r>
          </w:p>
        </w:tc>
      </w:tr>
      <w:tr w:rsidR="00E3527F" w:rsidRPr="00C66550" w:rsidTr="008765D4">
        <w:tc>
          <w:tcPr>
            <w:cnfStyle w:val="001000000000"/>
            <w:tcW w:w="3624" w:type="pct"/>
            <w:tcBorders>
              <w:top w:val="nil"/>
              <w:bottom w:val="single" w:sz="4" w:space="0" w:color="808080" w:themeColor="background1" w:themeShade="80"/>
            </w:tcBorders>
          </w:tcPr>
          <w:p w:rsidR="00E3527F" w:rsidRPr="00C66550" w:rsidRDefault="00E3527F" w:rsidP="008765D4">
            <w:pPr>
              <w:pStyle w:val="BodyText"/>
              <w:rPr>
                <w:sz w:val="20"/>
                <w:szCs w:val="20"/>
              </w:rPr>
            </w:pPr>
            <w:r w:rsidRPr="00C66550">
              <w:rPr>
                <w:sz w:val="20"/>
                <w:szCs w:val="20"/>
              </w:rPr>
              <w:t>Use of a wide range of resource recovery technologies</w:t>
            </w:r>
          </w:p>
        </w:tc>
        <w:tc>
          <w:tcPr>
            <w:tcW w:w="1376" w:type="pct"/>
            <w:tcBorders>
              <w:top w:val="nil"/>
              <w:bottom w:val="single" w:sz="4" w:space="0" w:color="808080" w:themeColor="background1" w:themeShade="80"/>
            </w:tcBorders>
          </w:tcPr>
          <w:p w:rsidR="00E3527F" w:rsidRPr="00C66550" w:rsidRDefault="00E3527F" w:rsidP="008765D4">
            <w:pPr>
              <w:keepNext/>
              <w:jc w:val="center"/>
              <w:cnfStyle w:val="000000000000"/>
              <w:rPr>
                <w:szCs w:val="20"/>
              </w:rPr>
            </w:pPr>
            <w:r w:rsidRPr="00C66550">
              <w:rPr>
                <w:szCs w:val="20"/>
              </w:rPr>
              <w:t>Low to medium</w:t>
            </w:r>
          </w:p>
        </w:tc>
      </w:tr>
    </w:tbl>
    <w:p w:rsidR="00E3527F" w:rsidRPr="00C66550" w:rsidRDefault="00E3527F" w:rsidP="00E3527F">
      <w:pPr>
        <w:pStyle w:val="BodyText"/>
      </w:pPr>
    </w:p>
    <w:p w:rsidR="001C606A" w:rsidRPr="00C66550" w:rsidRDefault="00D220AC" w:rsidP="001C606A">
      <w:pPr>
        <w:pStyle w:val="BodyText"/>
      </w:pPr>
      <w:r w:rsidRPr="00C66550">
        <w:t>Table E3</w:t>
      </w:r>
      <w:r w:rsidR="00E3527F" w:rsidRPr="00C66550">
        <w:t xml:space="preserve"> implies that significant opportunities existed at the end of the data reporting period to further boost resource recovery rates through policy development. Since 2010/11 there have been levy increases in several jurisdictions, disposal bans in SA, resource recovery technology developments in Sydney and a slow tightening of landfill standards. </w:t>
      </w:r>
      <w:r w:rsidR="00DF4FB7">
        <w:t>Qld</w:t>
      </w:r>
      <w:r w:rsidR="00E3527F" w:rsidRPr="00C66550">
        <w:t xml:space="preserve"> has established a very robust reporting system. </w:t>
      </w:r>
      <w:r w:rsidR="00D85477">
        <w:t>Vic</w:t>
      </w:r>
      <w:r w:rsidR="00E3527F" w:rsidRPr="00C66550">
        <w:t xml:space="preserve"> has removed its waste generation and resource recovery targets.</w:t>
      </w:r>
    </w:p>
    <w:p w:rsidR="00704E8C" w:rsidRPr="00C66550" w:rsidRDefault="00704E8C" w:rsidP="00E3527F">
      <w:pPr>
        <w:tabs>
          <w:tab w:val="left" w:pos="3299"/>
        </w:tabs>
        <w:spacing w:line="240" w:lineRule="auto"/>
        <w:rPr>
          <w:sz w:val="16"/>
          <w:szCs w:val="16"/>
        </w:rPr>
      </w:pPr>
    </w:p>
    <w:p w:rsidR="001C606A" w:rsidRPr="00C66550" w:rsidRDefault="005C4528" w:rsidP="001C606A">
      <w:pPr>
        <w:pStyle w:val="BodyText"/>
      </w:pPr>
      <w:r w:rsidRPr="00C66550">
        <w:t xml:space="preserve">One of the common </w:t>
      </w:r>
      <w:r w:rsidR="001C606A" w:rsidRPr="00C66550">
        <w:t>barrier</w:t>
      </w:r>
      <w:r w:rsidRPr="00C66550">
        <w:t>s</w:t>
      </w:r>
      <w:r w:rsidR="001C606A" w:rsidRPr="00C66550">
        <w:t xml:space="preserve"> to higher resource recovery rates can be a lack of resource recovery infrastructure</w:t>
      </w:r>
      <w:r w:rsidRPr="00C66550">
        <w:t xml:space="preserve"> that can process mixed wastes (i.e. AWT facilities). </w:t>
      </w:r>
      <w:r w:rsidR="00076C64" w:rsidRPr="00C66550">
        <w:t xml:space="preserve">A desktop assessment was undertaken of the AWT capacity in each jurisdiction and the results compared to the waste generation and waste disposal for each jurisdiction </w:t>
      </w:r>
      <w:r w:rsidR="001C606A" w:rsidRPr="00C66550">
        <w:t>(see</w:t>
      </w:r>
      <w:r w:rsidR="00D220AC" w:rsidRPr="00C66550">
        <w:t xml:space="preserve"> Table E4</w:t>
      </w:r>
      <w:r w:rsidR="001C606A" w:rsidRPr="00C66550">
        <w:t xml:space="preserve"> below).</w:t>
      </w:r>
    </w:p>
    <w:p w:rsidR="00D220AC" w:rsidRPr="00C66550" w:rsidRDefault="00076C64" w:rsidP="00076C64">
      <w:pPr>
        <w:tabs>
          <w:tab w:val="left" w:pos="4119"/>
        </w:tabs>
        <w:spacing w:line="240" w:lineRule="auto"/>
      </w:pPr>
      <w:r w:rsidRPr="00C66550">
        <w:tab/>
      </w:r>
    </w:p>
    <w:p w:rsidR="00D220AC" w:rsidRPr="00C66550" w:rsidRDefault="00D220AC" w:rsidP="00FB4820">
      <w:pPr>
        <w:pStyle w:val="Figures"/>
      </w:pPr>
      <w:r w:rsidRPr="00C66550">
        <w:t>Table E4:</w:t>
      </w:r>
      <w:r w:rsidRPr="00C66550">
        <w:tab/>
      </w:r>
      <w:r w:rsidR="00076C64" w:rsidRPr="00C66550">
        <w:t>AWT maximum listed capacity compared to waste generation and disposal tonnages</w:t>
      </w:r>
    </w:p>
    <w:tbl>
      <w:tblPr>
        <w:tblStyle w:val="BETable1"/>
        <w:tblW w:w="4970" w:type="pct"/>
        <w:tblInd w:w="0" w:type="dxa"/>
        <w:tblLook w:val="04A0"/>
      </w:tblPr>
      <w:tblGrid>
        <w:gridCol w:w="1337"/>
        <w:gridCol w:w="2692"/>
        <w:gridCol w:w="2692"/>
        <w:gridCol w:w="2692"/>
      </w:tblGrid>
      <w:tr w:rsidR="00D220AC" w:rsidRPr="00C66550" w:rsidTr="005C4528">
        <w:trPr>
          <w:cnfStyle w:val="100000000000"/>
        </w:trPr>
        <w:tc>
          <w:tcPr>
            <w:cnfStyle w:val="001000000000"/>
            <w:tcW w:w="710" w:type="pct"/>
            <w:tcBorders>
              <w:bottom w:val="single" w:sz="4" w:space="0" w:color="7F7F7F" w:themeColor="background2"/>
            </w:tcBorders>
            <w:vAlign w:val="bottom"/>
          </w:tcPr>
          <w:p w:rsidR="00D220AC" w:rsidRPr="00C66550" w:rsidRDefault="00D220AC" w:rsidP="00F35640">
            <w:pPr>
              <w:rPr>
                <w:color w:val="000000"/>
                <w:sz w:val="22"/>
              </w:rPr>
            </w:pPr>
            <w:r w:rsidRPr="00C66550">
              <w:rPr>
                <w:color w:val="000000"/>
                <w:sz w:val="22"/>
              </w:rPr>
              <w:t>State</w:t>
            </w:r>
          </w:p>
        </w:tc>
        <w:tc>
          <w:tcPr>
            <w:tcW w:w="1430" w:type="pct"/>
            <w:tcBorders>
              <w:bottom w:val="single" w:sz="4" w:space="0" w:color="7F7F7F" w:themeColor="background2"/>
            </w:tcBorders>
            <w:vAlign w:val="bottom"/>
          </w:tcPr>
          <w:p w:rsidR="00D220AC" w:rsidRPr="00C66550" w:rsidRDefault="00D220AC" w:rsidP="00055BC0">
            <w:pPr>
              <w:jc w:val="center"/>
              <w:cnfStyle w:val="100000000000"/>
              <w:rPr>
                <w:color w:val="000000"/>
                <w:sz w:val="22"/>
              </w:rPr>
            </w:pPr>
            <w:r w:rsidRPr="00C66550">
              <w:rPr>
                <w:color w:val="000000"/>
                <w:sz w:val="22"/>
              </w:rPr>
              <w:t>AWT maximum capacity listed (</w:t>
            </w:r>
            <w:r w:rsidR="00055BC0" w:rsidRPr="00C66550">
              <w:rPr>
                <w:color w:val="000000"/>
                <w:sz w:val="22"/>
              </w:rPr>
              <w:t>k</w:t>
            </w:r>
            <w:r w:rsidR="000841D2" w:rsidRPr="00C66550">
              <w:rPr>
                <w:color w:val="000000"/>
                <w:sz w:val="22"/>
              </w:rPr>
              <w:t>t</w:t>
            </w:r>
            <w:r w:rsidRPr="00C66550">
              <w:rPr>
                <w:color w:val="000000"/>
                <w:sz w:val="22"/>
              </w:rPr>
              <w:t>)</w:t>
            </w:r>
          </w:p>
        </w:tc>
        <w:tc>
          <w:tcPr>
            <w:tcW w:w="1430" w:type="pct"/>
            <w:tcBorders>
              <w:bottom w:val="single" w:sz="4" w:space="0" w:color="7F7F7F" w:themeColor="background2"/>
            </w:tcBorders>
            <w:vAlign w:val="bottom"/>
          </w:tcPr>
          <w:p w:rsidR="00D220AC" w:rsidRPr="00C66550" w:rsidRDefault="00D220AC" w:rsidP="00F35640">
            <w:pPr>
              <w:jc w:val="center"/>
              <w:cnfStyle w:val="100000000000"/>
              <w:rPr>
                <w:color w:val="000000"/>
                <w:sz w:val="22"/>
              </w:rPr>
            </w:pPr>
            <w:r w:rsidRPr="00C66550">
              <w:rPr>
                <w:color w:val="000000"/>
                <w:sz w:val="22"/>
              </w:rPr>
              <w:t>AWT capacity as percentage of waste generation</w:t>
            </w:r>
            <w:r w:rsidR="00D629D4" w:rsidRPr="00C66550">
              <w:rPr>
                <w:color w:val="000000"/>
                <w:sz w:val="22"/>
              </w:rPr>
              <w:t xml:space="preserve"> in 2010/11</w:t>
            </w:r>
          </w:p>
        </w:tc>
        <w:tc>
          <w:tcPr>
            <w:tcW w:w="1430" w:type="pct"/>
            <w:tcBorders>
              <w:bottom w:val="single" w:sz="4" w:space="0" w:color="7F7F7F" w:themeColor="background2"/>
            </w:tcBorders>
            <w:vAlign w:val="bottom"/>
          </w:tcPr>
          <w:p w:rsidR="00D220AC" w:rsidRPr="00C66550" w:rsidRDefault="00D220AC" w:rsidP="00F35640">
            <w:pPr>
              <w:jc w:val="center"/>
              <w:cnfStyle w:val="100000000000"/>
              <w:rPr>
                <w:color w:val="000000"/>
                <w:sz w:val="22"/>
              </w:rPr>
            </w:pPr>
            <w:r w:rsidRPr="00C66550">
              <w:rPr>
                <w:color w:val="000000"/>
                <w:sz w:val="22"/>
              </w:rPr>
              <w:t>AWT capacity as percentage of disposal</w:t>
            </w:r>
            <w:r w:rsidR="00D629D4" w:rsidRPr="00C66550">
              <w:rPr>
                <w:color w:val="000000"/>
                <w:sz w:val="22"/>
              </w:rPr>
              <w:t xml:space="preserve"> in 2010/11</w:t>
            </w:r>
          </w:p>
        </w:tc>
      </w:tr>
      <w:tr w:rsidR="00055BC0" w:rsidRPr="00C66550" w:rsidTr="008765D4">
        <w:tc>
          <w:tcPr>
            <w:cnfStyle w:val="001000000000"/>
            <w:tcW w:w="710" w:type="pct"/>
            <w:tcBorders>
              <w:bottom w:val="nil"/>
            </w:tcBorders>
            <w:vAlign w:val="bottom"/>
          </w:tcPr>
          <w:p w:rsidR="00055BC0" w:rsidRPr="00C66550" w:rsidRDefault="00055BC0" w:rsidP="00F35640">
            <w:pPr>
              <w:rPr>
                <w:color w:val="000000"/>
                <w:sz w:val="22"/>
              </w:rPr>
            </w:pPr>
            <w:r w:rsidRPr="00C66550">
              <w:rPr>
                <w:color w:val="000000"/>
                <w:sz w:val="22"/>
              </w:rPr>
              <w:t>ACT</w:t>
            </w:r>
          </w:p>
        </w:tc>
        <w:tc>
          <w:tcPr>
            <w:tcW w:w="1430" w:type="pct"/>
            <w:tcBorders>
              <w:bottom w:val="nil"/>
            </w:tcBorders>
            <w:vAlign w:val="center"/>
          </w:tcPr>
          <w:p w:rsidR="00055BC0" w:rsidRPr="00C66550" w:rsidRDefault="00055BC0" w:rsidP="008765D4">
            <w:pPr>
              <w:jc w:val="center"/>
              <w:cnfStyle w:val="000000000000"/>
            </w:pPr>
            <w:r w:rsidRPr="00C66550">
              <w:t>0</w:t>
            </w:r>
          </w:p>
        </w:tc>
        <w:tc>
          <w:tcPr>
            <w:tcW w:w="1430" w:type="pct"/>
            <w:tcBorders>
              <w:bottom w:val="nil"/>
            </w:tcBorders>
            <w:vAlign w:val="center"/>
          </w:tcPr>
          <w:p w:rsidR="00055BC0" w:rsidRPr="00C66550" w:rsidRDefault="00055BC0" w:rsidP="008765D4">
            <w:pPr>
              <w:jc w:val="center"/>
              <w:cnfStyle w:val="000000000000"/>
            </w:pPr>
            <w:r w:rsidRPr="00C66550">
              <w:t>0%</w:t>
            </w:r>
          </w:p>
        </w:tc>
        <w:tc>
          <w:tcPr>
            <w:tcW w:w="1430" w:type="pct"/>
            <w:tcBorders>
              <w:bottom w:val="nil"/>
            </w:tcBorders>
            <w:vAlign w:val="center"/>
          </w:tcPr>
          <w:p w:rsidR="00055BC0" w:rsidRPr="00C66550" w:rsidRDefault="00055BC0" w:rsidP="008765D4">
            <w:pPr>
              <w:jc w:val="center"/>
              <w:cnfStyle w:val="000000000000"/>
            </w:pPr>
            <w:r w:rsidRPr="00C66550">
              <w:t>0%</w:t>
            </w:r>
          </w:p>
        </w:tc>
      </w:tr>
      <w:tr w:rsidR="00055BC0" w:rsidRPr="00C66550" w:rsidTr="008765D4">
        <w:tc>
          <w:tcPr>
            <w:cnfStyle w:val="001000000000"/>
            <w:tcW w:w="710" w:type="pct"/>
            <w:tcBorders>
              <w:top w:val="nil"/>
              <w:bottom w:val="nil"/>
            </w:tcBorders>
            <w:vAlign w:val="bottom"/>
          </w:tcPr>
          <w:p w:rsidR="00055BC0" w:rsidRPr="00C66550" w:rsidRDefault="00055BC0" w:rsidP="00F35640">
            <w:pPr>
              <w:rPr>
                <w:color w:val="000000"/>
                <w:sz w:val="22"/>
              </w:rPr>
            </w:pPr>
            <w:r w:rsidRPr="00C66550">
              <w:rPr>
                <w:color w:val="000000"/>
                <w:sz w:val="22"/>
              </w:rPr>
              <w:t>NSW</w:t>
            </w:r>
          </w:p>
        </w:tc>
        <w:tc>
          <w:tcPr>
            <w:tcW w:w="1430" w:type="pct"/>
            <w:tcBorders>
              <w:top w:val="nil"/>
              <w:bottom w:val="nil"/>
            </w:tcBorders>
            <w:vAlign w:val="center"/>
          </w:tcPr>
          <w:p w:rsidR="00055BC0" w:rsidRPr="00C66550" w:rsidRDefault="00055BC0" w:rsidP="008765D4">
            <w:pPr>
              <w:jc w:val="center"/>
              <w:cnfStyle w:val="000000000000"/>
            </w:pPr>
            <w:r w:rsidRPr="00C66550">
              <w:t>524</w:t>
            </w:r>
          </w:p>
        </w:tc>
        <w:tc>
          <w:tcPr>
            <w:tcW w:w="1430" w:type="pct"/>
            <w:tcBorders>
              <w:top w:val="nil"/>
              <w:bottom w:val="nil"/>
            </w:tcBorders>
            <w:vAlign w:val="center"/>
          </w:tcPr>
          <w:p w:rsidR="00055BC0" w:rsidRPr="00C66550" w:rsidRDefault="00055BC0" w:rsidP="008765D4">
            <w:pPr>
              <w:jc w:val="center"/>
              <w:cnfStyle w:val="000000000000"/>
            </w:pPr>
            <w:r w:rsidRPr="00C66550">
              <w:t>3%</w:t>
            </w:r>
          </w:p>
        </w:tc>
        <w:tc>
          <w:tcPr>
            <w:tcW w:w="1430" w:type="pct"/>
            <w:tcBorders>
              <w:top w:val="nil"/>
              <w:bottom w:val="nil"/>
            </w:tcBorders>
            <w:vAlign w:val="center"/>
          </w:tcPr>
          <w:p w:rsidR="00055BC0" w:rsidRPr="00C66550" w:rsidRDefault="00055BC0" w:rsidP="008765D4">
            <w:pPr>
              <w:jc w:val="center"/>
              <w:cnfStyle w:val="000000000000"/>
            </w:pPr>
            <w:r w:rsidRPr="00C66550">
              <w:t>9%</w:t>
            </w:r>
          </w:p>
        </w:tc>
      </w:tr>
      <w:tr w:rsidR="00055BC0" w:rsidRPr="00C66550" w:rsidTr="008765D4">
        <w:tc>
          <w:tcPr>
            <w:cnfStyle w:val="001000000000"/>
            <w:tcW w:w="710" w:type="pct"/>
            <w:tcBorders>
              <w:top w:val="nil"/>
              <w:bottom w:val="nil"/>
            </w:tcBorders>
            <w:vAlign w:val="bottom"/>
          </w:tcPr>
          <w:p w:rsidR="00055BC0" w:rsidRPr="00C66550" w:rsidRDefault="00055BC0" w:rsidP="00F35640">
            <w:pPr>
              <w:rPr>
                <w:color w:val="000000"/>
                <w:sz w:val="22"/>
              </w:rPr>
            </w:pPr>
            <w:r w:rsidRPr="00C66550">
              <w:rPr>
                <w:color w:val="000000"/>
                <w:sz w:val="22"/>
              </w:rPr>
              <w:t>NT</w:t>
            </w:r>
          </w:p>
        </w:tc>
        <w:tc>
          <w:tcPr>
            <w:tcW w:w="1430" w:type="pct"/>
            <w:tcBorders>
              <w:top w:val="nil"/>
              <w:bottom w:val="nil"/>
            </w:tcBorders>
            <w:vAlign w:val="center"/>
          </w:tcPr>
          <w:p w:rsidR="00055BC0" w:rsidRPr="00C66550" w:rsidRDefault="00055BC0" w:rsidP="008765D4">
            <w:pPr>
              <w:jc w:val="center"/>
              <w:cnfStyle w:val="000000000000"/>
            </w:pPr>
            <w:r w:rsidRPr="00C66550">
              <w:t>0</w:t>
            </w:r>
          </w:p>
        </w:tc>
        <w:tc>
          <w:tcPr>
            <w:tcW w:w="1430" w:type="pct"/>
            <w:tcBorders>
              <w:top w:val="nil"/>
              <w:bottom w:val="nil"/>
            </w:tcBorders>
            <w:vAlign w:val="center"/>
          </w:tcPr>
          <w:p w:rsidR="00055BC0" w:rsidRPr="00C66550" w:rsidRDefault="00055BC0" w:rsidP="008765D4">
            <w:pPr>
              <w:jc w:val="center"/>
              <w:cnfStyle w:val="000000000000"/>
            </w:pPr>
            <w:r w:rsidRPr="00C66550">
              <w:t>0%</w:t>
            </w:r>
          </w:p>
        </w:tc>
        <w:tc>
          <w:tcPr>
            <w:tcW w:w="1430" w:type="pct"/>
            <w:tcBorders>
              <w:top w:val="nil"/>
              <w:bottom w:val="nil"/>
            </w:tcBorders>
            <w:vAlign w:val="center"/>
          </w:tcPr>
          <w:p w:rsidR="00055BC0" w:rsidRPr="00C66550" w:rsidRDefault="00055BC0" w:rsidP="008765D4">
            <w:pPr>
              <w:jc w:val="center"/>
              <w:cnfStyle w:val="000000000000"/>
            </w:pPr>
            <w:r w:rsidRPr="00C66550">
              <w:t>0%</w:t>
            </w:r>
          </w:p>
        </w:tc>
      </w:tr>
      <w:tr w:rsidR="00055BC0" w:rsidRPr="00C66550" w:rsidTr="008765D4">
        <w:tc>
          <w:tcPr>
            <w:cnfStyle w:val="001000000000"/>
            <w:tcW w:w="710" w:type="pct"/>
            <w:tcBorders>
              <w:top w:val="nil"/>
              <w:bottom w:val="nil"/>
            </w:tcBorders>
            <w:vAlign w:val="bottom"/>
          </w:tcPr>
          <w:p w:rsidR="00055BC0" w:rsidRPr="00C66550" w:rsidRDefault="00055BC0" w:rsidP="00F35640">
            <w:pPr>
              <w:rPr>
                <w:color w:val="000000"/>
                <w:sz w:val="22"/>
              </w:rPr>
            </w:pPr>
            <w:r w:rsidRPr="00C66550">
              <w:rPr>
                <w:color w:val="000000"/>
                <w:sz w:val="22"/>
              </w:rPr>
              <w:t>Qld</w:t>
            </w:r>
          </w:p>
        </w:tc>
        <w:tc>
          <w:tcPr>
            <w:tcW w:w="1430" w:type="pct"/>
            <w:tcBorders>
              <w:top w:val="nil"/>
              <w:bottom w:val="nil"/>
            </w:tcBorders>
            <w:vAlign w:val="center"/>
          </w:tcPr>
          <w:p w:rsidR="00055BC0" w:rsidRPr="00C66550" w:rsidRDefault="00055BC0" w:rsidP="008765D4">
            <w:pPr>
              <w:jc w:val="center"/>
              <w:cnfStyle w:val="000000000000"/>
            </w:pPr>
            <w:r w:rsidRPr="00C66550">
              <w:t>313</w:t>
            </w:r>
          </w:p>
        </w:tc>
        <w:tc>
          <w:tcPr>
            <w:tcW w:w="1430" w:type="pct"/>
            <w:tcBorders>
              <w:top w:val="nil"/>
              <w:bottom w:val="nil"/>
            </w:tcBorders>
            <w:vAlign w:val="center"/>
          </w:tcPr>
          <w:p w:rsidR="00055BC0" w:rsidRPr="00C66550" w:rsidRDefault="00055BC0" w:rsidP="008765D4">
            <w:pPr>
              <w:jc w:val="center"/>
              <w:cnfStyle w:val="000000000000"/>
            </w:pPr>
            <w:r w:rsidRPr="00C66550">
              <w:t>4%</w:t>
            </w:r>
          </w:p>
        </w:tc>
        <w:tc>
          <w:tcPr>
            <w:tcW w:w="1430" w:type="pct"/>
            <w:tcBorders>
              <w:top w:val="nil"/>
              <w:bottom w:val="nil"/>
            </w:tcBorders>
            <w:vAlign w:val="center"/>
          </w:tcPr>
          <w:p w:rsidR="00055BC0" w:rsidRPr="00C66550" w:rsidRDefault="00055BC0" w:rsidP="008765D4">
            <w:pPr>
              <w:jc w:val="center"/>
              <w:cnfStyle w:val="000000000000"/>
            </w:pPr>
            <w:r w:rsidRPr="00C66550">
              <w:t>9%</w:t>
            </w:r>
          </w:p>
        </w:tc>
      </w:tr>
      <w:tr w:rsidR="00055BC0" w:rsidRPr="00C66550" w:rsidTr="008765D4">
        <w:tc>
          <w:tcPr>
            <w:cnfStyle w:val="001000000000"/>
            <w:tcW w:w="710" w:type="pct"/>
            <w:tcBorders>
              <w:top w:val="nil"/>
              <w:bottom w:val="nil"/>
            </w:tcBorders>
            <w:vAlign w:val="bottom"/>
          </w:tcPr>
          <w:p w:rsidR="00055BC0" w:rsidRPr="00C66550" w:rsidRDefault="00055BC0" w:rsidP="00F35640">
            <w:pPr>
              <w:rPr>
                <w:color w:val="000000"/>
                <w:sz w:val="22"/>
              </w:rPr>
            </w:pPr>
            <w:r w:rsidRPr="00C66550">
              <w:rPr>
                <w:color w:val="000000"/>
                <w:sz w:val="22"/>
              </w:rPr>
              <w:t>SA</w:t>
            </w:r>
          </w:p>
        </w:tc>
        <w:tc>
          <w:tcPr>
            <w:tcW w:w="1430" w:type="pct"/>
            <w:tcBorders>
              <w:top w:val="nil"/>
              <w:bottom w:val="nil"/>
            </w:tcBorders>
            <w:vAlign w:val="center"/>
          </w:tcPr>
          <w:p w:rsidR="00055BC0" w:rsidRPr="00C66550" w:rsidRDefault="00055BC0" w:rsidP="008765D4">
            <w:pPr>
              <w:jc w:val="center"/>
              <w:cnfStyle w:val="000000000000"/>
            </w:pPr>
            <w:r w:rsidRPr="00C66550">
              <w:t>350</w:t>
            </w:r>
          </w:p>
        </w:tc>
        <w:tc>
          <w:tcPr>
            <w:tcW w:w="1430" w:type="pct"/>
            <w:tcBorders>
              <w:top w:val="nil"/>
              <w:bottom w:val="nil"/>
            </w:tcBorders>
            <w:vAlign w:val="center"/>
          </w:tcPr>
          <w:p w:rsidR="00055BC0" w:rsidRPr="00C66550" w:rsidRDefault="00055BC0" w:rsidP="008765D4">
            <w:pPr>
              <w:jc w:val="center"/>
              <w:cnfStyle w:val="000000000000"/>
            </w:pPr>
            <w:r w:rsidRPr="00C66550">
              <w:t>9%</w:t>
            </w:r>
          </w:p>
        </w:tc>
        <w:tc>
          <w:tcPr>
            <w:tcW w:w="1430" w:type="pct"/>
            <w:tcBorders>
              <w:top w:val="nil"/>
              <w:bottom w:val="nil"/>
            </w:tcBorders>
            <w:vAlign w:val="center"/>
          </w:tcPr>
          <w:p w:rsidR="00055BC0" w:rsidRPr="00C66550" w:rsidRDefault="00055BC0" w:rsidP="008765D4">
            <w:pPr>
              <w:jc w:val="center"/>
              <w:cnfStyle w:val="000000000000"/>
            </w:pPr>
            <w:r w:rsidRPr="00C66550">
              <w:t>40%</w:t>
            </w:r>
          </w:p>
        </w:tc>
      </w:tr>
      <w:tr w:rsidR="00055BC0" w:rsidRPr="00C66550" w:rsidTr="008765D4">
        <w:tc>
          <w:tcPr>
            <w:cnfStyle w:val="001000000000"/>
            <w:tcW w:w="710" w:type="pct"/>
            <w:tcBorders>
              <w:top w:val="nil"/>
              <w:bottom w:val="nil"/>
            </w:tcBorders>
            <w:vAlign w:val="bottom"/>
          </w:tcPr>
          <w:p w:rsidR="00055BC0" w:rsidRPr="00C66550" w:rsidRDefault="00055BC0" w:rsidP="00F35640">
            <w:pPr>
              <w:rPr>
                <w:color w:val="000000"/>
                <w:sz w:val="22"/>
              </w:rPr>
            </w:pPr>
            <w:r w:rsidRPr="00C66550">
              <w:rPr>
                <w:color w:val="000000"/>
                <w:sz w:val="22"/>
              </w:rPr>
              <w:t>Tas</w:t>
            </w:r>
          </w:p>
        </w:tc>
        <w:tc>
          <w:tcPr>
            <w:tcW w:w="1430" w:type="pct"/>
            <w:tcBorders>
              <w:top w:val="nil"/>
              <w:bottom w:val="nil"/>
            </w:tcBorders>
            <w:vAlign w:val="center"/>
          </w:tcPr>
          <w:p w:rsidR="00055BC0" w:rsidRPr="00C66550" w:rsidRDefault="00055BC0" w:rsidP="008765D4">
            <w:pPr>
              <w:jc w:val="center"/>
              <w:cnfStyle w:val="000000000000"/>
            </w:pPr>
            <w:r w:rsidRPr="00C66550">
              <w:t>0</w:t>
            </w:r>
          </w:p>
        </w:tc>
        <w:tc>
          <w:tcPr>
            <w:tcW w:w="1430" w:type="pct"/>
            <w:tcBorders>
              <w:top w:val="nil"/>
              <w:bottom w:val="nil"/>
            </w:tcBorders>
            <w:vAlign w:val="center"/>
          </w:tcPr>
          <w:p w:rsidR="00055BC0" w:rsidRPr="00C66550" w:rsidRDefault="00055BC0" w:rsidP="008765D4">
            <w:pPr>
              <w:jc w:val="center"/>
              <w:cnfStyle w:val="000000000000"/>
            </w:pPr>
            <w:r w:rsidRPr="00C66550">
              <w:t>0%</w:t>
            </w:r>
          </w:p>
        </w:tc>
        <w:tc>
          <w:tcPr>
            <w:tcW w:w="1430" w:type="pct"/>
            <w:tcBorders>
              <w:top w:val="nil"/>
              <w:bottom w:val="nil"/>
            </w:tcBorders>
            <w:vAlign w:val="center"/>
          </w:tcPr>
          <w:p w:rsidR="00055BC0" w:rsidRPr="00C66550" w:rsidRDefault="00055BC0" w:rsidP="008765D4">
            <w:pPr>
              <w:jc w:val="center"/>
              <w:cnfStyle w:val="000000000000"/>
            </w:pPr>
            <w:r w:rsidRPr="00C66550">
              <w:t>0%</w:t>
            </w:r>
          </w:p>
        </w:tc>
      </w:tr>
      <w:tr w:rsidR="00055BC0" w:rsidRPr="00C66550" w:rsidTr="008765D4">
        <w:tc>
          <w:tcPr>
            <w:cnfStyle w:val="001000000000"/>
            <w:tcW w:w="710" w:type="pct"/>
            <w:tcBorders>
              <w:top w:val="nil"/>
              <w:bottom w:val="nil"/>
            </w:tcBorders>
            <w:vAlign w:val="bottom"/>
          </w:tcPr>
          <w:p w:rsidR="00055BC0" w:rsidRPr="00C66550" w:rsidRDefault="00055BC0" w:rsidP="00F35640">
            <w:pPr>
              <w:rPr>
                <w:color w:val="000000"/>
                <w:sz w:val="22"/>
              </w:rPr>
            </w:pPr>
            <w:r w:rsidRPr="00C66550">
              <w:rPr>
                <w:color w:val="000000"/>
                <w:sz w:val="22"/>
              </w:rPr>
              <w:t>Vic</w:t>
            </w:r>
          </w:p>
        </w:tc>
        <w:tc>
          <w:tcPr>
            <w:tcW w:w="1430" w:type="pct"/>
            <w:tcBorders>
              <w:top w:val="nil"/>
              <w:bottom w:val="nil"/>
            </w:tcBorders>
            <w:vAlign w:val="center"/>
          </w:tcPr>
          <w:p w:rsidR="00055BC0" w:rsidRPr="00C66550" w:rsidRDefault="00055BC0" w:rsidP="008765D4">
            <w:pPr>
              <w:jc w:val="center"/>
              <w:cnfStyle w:val="000000000000"/>
            </w:pPr>
            <w:r w:rsidRPr="00C66550">
              <w:t>30</w:t>
            </w:r>
          </w:p>
        </w:tc>
        <w:tc>
          <w:tcPr>
            <w:tcW w:w="1430" w:type="pct"/>
            <w:tcBorders>
              <w:top w:val="nil"/>
              <w:bottom w:val="nil"/>
            </w:tcBorders>
            <w:vAlign w:val="center"/>
          </w:tcPr>
          <w:p w:rsidR="00055BC0" w:rsidRPr="00C66550" w:rsidRDefault="00055BC0" w:rsidP="008765D4">
            <w:pPr>
              <w:jc w:val="center"/>
              <w:cnfStyle w:val="000000000000"/>
            </w:pPr>
            <w:r w:rsidRPr="00C66550">
              <w:t>0%</w:t>
            </w:r>
          </w:p>
        </w:tc>
        <w:tc>
          <w:tcPr>
            <w:tcW w:w="1430" w:type="pct"/>
            <w:tcBorders>
              <w:top w:val="nil"/>
              <w:bottom w:val="nil"/>
            </w:tcBorders>
            <w:vAlign w:val="center"/>
          </w:tcPr>
          <w:p w:rsidR="00055BC0" w:rsidRPr="00C66550" w:rsidRDefault="00055BC0" w:rsidP="008765D4">
            <w:pPr>
              <w:jc w:val="center"/>
              <w:cnfStyle w:val="000000000000"/>
            </w:pPr>
            <w:r w:rsidRPr="00C66550">
              <w:t>1%</w:t>
            </w:r>
          </w:p>
        </w:tc>
      </w:tr>
      <w:tr w:rsidR="00055BC0" w:rsidRPr="00C66550" w:rsidTr="008765D4">
        <w:tc>
          <w:tcPr>
            <w:cnfStyle w:val="001000000000"/>
            <w:tcW w:w="710" w:type="pct"/>
            <w:tcBorders>
              <w:top w:val="nil"/>
              <w:bottom w:val="single" w:sz="4" w:space="0" w:color="808080" w:themeColor="background1" w:themeShade="80"/>
            </w:tcBorders>
            <w:vAlign w:val="bottom"/>
          </w:tcPr>
          <w:p w:rsidR="00055BC0" w:rsidRPr="00C66550" w:rsidRDefault="00055BC0" w:rsidP="00F35640">
            <w:pPr>
              <w:rPr>
                <w:color w:val="000000"/>
                <w:sz w:val="22"/>
              </w:rPr>
            </w:pPr>
            <w:r w:rsidRPr="00C66550">
              <w:rPr>
                <w:color w:val="000000"/>
                <w:sz w:val="22"/>
              </w:rPr>
              <w:t>WA</w:t>
            </w:r>
          </w:p>
        </w:tc>
        <w:tc>
          <w:tcPr>
            <w:tcW w:w="1430" w:type="pct"/>
            <w:tcBorders>
              <w:top w:val="nil"/>
              <w:bottom w:val="single" w:sz="4" w:space="0" w:color="808080" w:themeColor="background1" w:themeShade="80"/>
            </w:tcBorders>
            <w:vAlign w:val="center"/>
          </w:tcPr>
          <w:p w:rsidR="00055BC0" w:rsidRPr="00C66550" w:rsidRDefault="00055BC0" w:rsidP="008765D4">
            <w:pPr>
              <w:jc w:val="center"/>
              <w:cnfStyle w:val="000000000000"/>
            </w:pPr>
            <w:r w:rsidRPr="00C66550">
              <w:t>255</w:t>
            </w:r>
          </w:p>
        </w:tc>
        <w:tc>
          <w:tcPr>
            <w:tcW w:w="1430" w:type="pct"/>
            <w:tcBorders>
              <w:top w:val="nil"/>
              <w:bottom w:val="single" w:sz="4" w:space="0" w:color="808080" w:themeColor="background1" w:themeShade="80"/>
            </w:tcBorders>
            <w:vAlign w:val="center"/>
          </w:tcPr>
          <w:p w:rsidR="00055BC0" w:rsidRPr="00C66550" w:rsidRDefault="00055BC0" w:rsidP="008765D4">
            <w:pPr>
              <w:jc w:val="center"/>
              <w:cnfStyle w:val="000000000000"/>
            </w:pPr>
            <w:r w:rsidRPr="00C66550">
              <w:t>4%</w:t>
            </w:r>
          </w:p>
        </w:tc>
        <w:tc>
          <w:tcPr>
            <w:tcW w:w="1430" w:type="pct"/>
            <w:tcBorders>
              <w:top w:val="nil"/>
              <w:bottom w:val="single" w:sz="4" w:space="0" w:color="808080" w:themeColor="background1" w:themeShade="80"/>
            </w:tcBorders>
            <w:vAlign w:val="center"/>
          </w:tcPr>
          <w:p w:rsidR="00055BC0" w:rsidRPr="00C66550" w:rsidRDefault="00055BC0" w:rsidP="008765D4">
            <w:pPr>
              <w:jc w:val="center"/>
              <w:cnfStyle w:val="000000000000"/>
            </w:pPr>
            <w:r w:rsidRPr="00C66550">
              <w:t>7%</w:t>
            </w:r>
          </w:p>
        </w:tc>
      </w:tr>
    </w:tbl>
    <w:p w:rsidR="00D220AC" w:rsidRPr="00C66550" w:rsidRDefault="00D220AC" w:rsidP="00D220AC">
      <w:pPr>
        <w:pStyle w:val="BodyText"/>
      </w:pPr>
    </w:p>
    <w:p w:rsidR="00D220AC" w:rsidRPr="00C66550" w:rsidRDefault="00D220AC" w:rsidP="00D220AC">
      <w:pPr>
        <w:pStyle w:val="BodyText"/>
      </w:pPr>
      <w:r w:rsidRPr="00C66550">
        <w:lastRenderedPageBreak/>
        <w:t xml:space="preserve">Table E4 </w:t>
      </w:r>
      <w:r w:rsidR="00076C64" w:rsidRPr="00C66550">
        <w:t>shows that NSW has the highest capacity of AWTs in operation in Australia. However, when compared to the tonnages of waste disposed, SA has the highest results, with the equivalent of 40% of 2010/11 waste disposal tonnage processable in the SITA Resource Co facility.</w:t>
      </w:r>
      <w:r w:rsidRPr="00C66550">
        <w:t xml:space="preserve"> </w:t>
      </w:r>
    </w:p>
    <w:p w:rsidR="005C4528" w:rsidRPr="00C66550" w:rsidRDefault="00076C64" w:rsidP="00076C64">
      <w:pPr>
        <w:pStyle w:val="BodyText"/>
        <w:tabs>
          <w:tab w:val="left" w:pos="3500"/>
        </w:tabs>
        <w:rPr>
          <w:sz w:val="16"/>
          <w:szCs w:val="16"/>
        </w:rPr>
      </w:pPr>
      <w:r w:rsidRPr="00C66550">
        <w:rPr>
          <w:sz w:val="16"/>
          <w:szCs w:val="16"/>
        </w:rPr>
        <w:tab/>
      </w:r>
    </w:p>
    <w:p w:rsidR="009B2C9C" w:rsidRPr="00C66550" w:rsidRDefault="00E5424C" w:rsidP="006D25F9">
      <w:pPr>
        <w:pStyle w:val="Heading2"/>
        <w:numPr>
          <w:ilvl w:val="0"/>
          <w:numId w:val="0"/>
        </w:numPr>
      </w:pPr>
      <w:bookmarkStart w:id="15" w:name="_Toc379466342"/>
      <w:r w:rsidRPr="00C66550">
        <w:t>E5</w:t>
      </w:r>
      <w:r w:rsidRPr="00C66550">
        <w:tab/>
      </w:r>
      <w:r w:rsidR="00964359" w:rsidRPr="00C66550">
        <w:t>D</w:t>
      </w:r>
      <w:r w:rsidR="009B2C9C" w:rsidRPr="00C66550">
        <w:t xml:space="preserve">ata </w:t>
      </w:r>
      <w:r w:rsidR="00035B94" w:rsidRPr="00C66550">
        <w:t>reliability</w:t>
      </w:r>
      <w:bookmarkEnd w:id="15"/>
      <w:r w:rsidR="009B2C9C" w:rsidRPr="00C66550">
        <w:t xml:space="preserve"> </w:t>
      </w:r>
    </w:p>
    <w:p w:rsidR="003A7DD5" w:rsidRPr="00C66550" w:rsidRDefault="003A7DD5" w:rsidP="003A7DD5">
      <w:pPr>
        <w:pStyle w:val="BodyText"/>
        <w:spacing w:after="120"/>
      </w:pPr>
      <w:r w:rsidRPr="00C66550">
        <w:t xml:space="preserve">Waste data </w:t>
      </w:r>
      <w:r w:rsidR="00964359" w:rsidRPr="00C66550">
        <w:t>are</w:t>
      </w:r>
      <w:r w:rsidRPr="00C66550">
        <w:t xml:space="preserve"> often difficult and expensive to collect, and the requirements, scope and mechanisms for collection and reporting differ across the jurisdictions. </w:t>
      </w:r>
      <w:r w:rsidR="005C4528" w:rsidRPr="00C66550">
        <w:t>I</w:t>
      </w:r>
      <w:r w:rsidRPr="00C66550">
        <w:t>n some cases, the authors needed to make estimates based on uncertain or sparse data, so the reliability of the results varies. A subjective assessment of the reliability of the data presented for each jurisdiction is summarised below. The assessment should be taken into consideration when making use of the data outputs.</w:t>
      </w:r>
    </w:p>
    <w:p w:rsidR="003A7DD5" w:rsidRPr="00C66550" w:rsidRDefault="003A7DD5" w:rsidP="00FB4820">
      <w:pPr>
        <w:pStyle w:val="Figures"/>
      </w:pPr>
      <w:r w:rsidRPr="00C66550">
        <w:t>Table E1:</w:t>
      </w:r>
      <w:r w:rsidRPr="00C66550">
        <w:tab/>
      </w:r>
      <w:r w:rsidR="00964359" w:rsidRPr="00C66550">
        <w:t>Assessment of the</w:t>
      </w:r>
      <w:r w:rsidRPr="00C66550">
        <w:t xml:space="preserve"> data reliability </w:t>
      </w:r>
      <w:r w:rsidR="00964359" w:rsidRPr="00C66550">
        <w:t>in this report by jurisdiction</w:t>
      </w:r>
    </w:p>
    <w:tbl>
      <w:tblPr>
        <w:tblStyle w:val="BETable1"/>
        <w:tblW w:w="6946" w:type="dxa"/>
        <w:tblLayout w:type="fixed"/>
        <w:tblLook w:val="04A0"/>
      </w:tblPr>
      <w:tblGrid>
        <w:gridCol w:w="3487"/>
        <w:gridCol w:w="3459"/>
      </w:tblGrid>
      <w:tr w:rsidR="003A7DD5" w:rsidRPr="00C66550" w:rsidTr="00964359">
        <w:trPr>
          <w:cnfStyle w:val="100000000000"/>
        </w:trPr>
        <w:tc>
          <w:tcPr>
            <w:cnfStyle w:val="001000000000"/>
            <w:tcW w:w="3487" w:type="dxa"/>
            <w:tcBorders>
              <w:bottom w:val="single" w:sz="4" w:space="0" w:color="7F7F7F" w:themeColor="background2"/>
            </w:tcBorders>
          </w:tcPr>
          <w:p w:rsidR="003A7DD5" w:rsidRPr="00C66550" w:rsidRDefault="00964359" w:rsidP="00254684">
            <w:pPr>
              <w:pStyle w:val="BodyText"/>
              <w:rPr>
                <w:sz w:val="20"/>
                <w:szCs w:val="20"/>
              </w:rPr>
            </w:pPr>
            <w:r w:rsidRPr="00C66550">
              <w:rPr>
                <w:sz w:val="20"/>
                <w:szCs w:val="20"/>
              </w:rPr>
              <w:t>D</w:t>
            </w:r>
            <w:r w:rsidR="003A7DD5" w:rsidRPr="00C66550">
              <w:rPr>
                <w:sz w:val="20"/>
                <w:szCs w:val="20"/>
              </w:rPr>
              <w:t xml:space="preserve">ata reliability assessment </w:t>
            </w:r>
          </w:p>
        </w:tc>
        <w:tc>
          <w:tcPr>
            <w:tcW w:w="3459" w:type="dxa"/>
            <w:tcBorders>
              <w:bottom w:val="single" w:sz="4" w:space="0" w:color="7F7F7F" w:themeColor="background2"/>
            </w:tcBorders>
            <w:vAlign w:val="bottom"/>
          </w:tcPr>
          <w:p w:rsidR="003A7DD5" w:rsidRPr="00C66550" w:rsidRDefault="003A7DD5" w:rsidP="00254684">
            <w:pPr>
              <w:pStyle w:val="BodyText"/>
              <w:cnfStyle w:val="100000000000"/>
              <w:rPr>
                <w:sz w:val="20"/>
                <w:szCs w:val="20"/>
              </w:rPr>
            </w:pPr>
            <w:r w:rsidRPr="00C66550">
              <w:rPr>
                <w:sz w:val="20"/>
                <w:szCs w:val="20"/>
              </w:rPr>
              <w:t>Jurisdiction</w:t>
            </w:r>
          </w:p>
        </w:tc>
      </w:tr>
      <w:tr w:rsidR="003A7DD5" w:rsidRPr="00C66550" w:rsidTr="00964359">
        <w:tc>
          <w:tcPr>
            <w:cnfStyle w:val="001000000000"/>
            <w:tcW w:w="3487" w:type="dxa"/>
            <w:tcBorders>
              <w:bottom w:val="nil"/>
            </w:tcBorders>
          </w:tcPr>
          <w:p w:rsidR="003A7DD5" w:rsidRPr="00C66550" w:rsidRDefault="003A7DD5" w:rsidP="00254684">
            <w:pPr>
              <w:pStyle w:val="BodyText"/>
              <w:rPr>
                <w:sz w:val="20"/>
                <w:szCs w:val="20"/>
              </w:rPr>
            </w:pPr>
            <w:r w:rsidRPr="00C66550">
              <w:rPr>
                <w:sz w:val="20"/>
                <w:szCs w:val="20"/>
              </w:rPr>
              <w:t>High</w:t>
            </w:r>
          </w:p>
        </w:tc>
        <w:tc>
          <w:tcPr>
            <w:tcW w:w="3459" w:type="dxa"/>
            <w:tcBorders>
              <w:bottom w:val="nil"/>
            </w:tcBorders>
            <w:vAlign w:val="bottom"/>
          </w:tcPr>
          <w:p w:rsidR="003A7DD5" w:rsidRPr="00C66550" w:rsidRDefault="003A7DD5" w:rsidP="00254684">
            <w:pPr>
              <w:pStyle w:val="BodyText"/>
              <w:cnfStyle w:val="000000000000"/>
              <w:rPr>
                <w:sz w:val="20"/>
                <w:szCs w:val="20"/>
              </w:rPr>
            </w:pPr>
            <w:r w:rsidRPr="00C66550">
              <w:rPr>
                <w:sz w:val="20"/>
                <w:szCs w:val="20"/>
              </w:rPr>
              <w:t>ACT, NSW, Vic</w:t>
            </w:r>
          </w:p>
        </w:tc>
      </w:tr>
      <w:tr w:rsidR="003A7DD5" w:rsidRPr="00C66550" w:rsidTr="00964359">
        <w:tc>
          <w:tcPr>
            <w:cnfStyle w:val="001000000000"/>
            <w:tcW w:w="3487" w:type="dxa"/>
            <w:tcBorders>
              <w:top w:val="nil"/>
              <w:bottom w:val="nil"/>
            </w:tcBorders>
          </w:tcPr>
          <w:p w:rsidR="003A7DD5" w:rsidRPr="00C66550" w:rsidRDefault="003A7DD5" w:rsidP="00254684">
            <w:pPr>
              <w:pStyle w:val="BodyText"/>
              <w:rPr>
                <w:sz w:val="20"/>
                <w:szCs w:val="20"/>
              </w:rPr>
            </w:pPr>
            <w:r w:rsidRPr="00C66550">
              <w:rPr>
                <w:sz w:val="20"/>
                <w:szCs w:val="20"/>
              </w:rPr>
              <w:t>Medium</w:t>
            </w:r>
          </w:p>
        </w:tc>
        <w:tc>
          <w:tcPr>
            <w:tcW w:w="3459" w:type="dxa"/>
            <w:tcBorders>
              <w:top w:val="nil"/>
              <w:bottom w:val="nil"/>
            </w:tcBorders>
            <w:vAlign w:val="bottom"/>
          </w:tcPr>
          <w:p w:rsidR="003A7DD5" w:rsidRPr="00C66550" w:rsidRDefault="003A7DD5" w:rsidP="00254684">
            <w:pPr>
              <w:pStyle w:val="BodyText"/>
              <w:cnfStyle w:val="000000000000"/>
              <w:rPr>
                <w:sz w:val="20"/>
                <w:szCs w:val="20"/>
              </w:rPr>
            </w:pPr>
            <w:r w:rsidRPr="00C66550">
              <w:rPr>
                <w:sz w:val="20"/>
                <w:szCs w:val="20"/>
              </w:rPr>
              <w:t>Qld, SA, Tas, WA, Australia</w:t>
            </w:r>
          </w:p>
        </w:tc>
      </w:tr>
      <w:tr w:rsidR="003A7DD5" w:rsidRPr="00C66550" w:rsidTr="00964359">
        <w:tc>
          <w:tcPr>
            <w:cnfStyle w:val="001000000000"/>
            <w:tcW w:w="3487" w:type="dxa"/>
            <w:tcBorders>
              <w:top w:val="nil"/>
              <w:bottom w:val="single" w:sz="4" w:space="0" w:color="7F7F7F" w:themeColor="background2"/>
            </w:tcBorders>
          </w:tcPr>
          <w:p w:rsidR="003A7DD5" w:rsidRPr="00C66550" w:rsidRDefault="003A7DD5" w:rsidP="00254684">
            <w:pPr>
              <w:pStyle w:val="BodyText"/>
              <w:rPr>
                <w:sz w:val="20"/>
                <w:szCs w:val="20"/>
              </w:rPr>
            </w:pPr>
            <w:r w:rsidRPr="00C66550">
              <w:rPr>
                <w:sz w:val="20"/>
                <w:szCs w:val="20"/>
              </w:rPr>
              <w:t>Low</w:t>
            </w:r>
          </w:p>
        </w:tc>
        <w:tc>
          <w:tcPr>
            <w:tcW w:w="3459" w:type="dxa"/>
            <w:tcBorders>
              <w:top w:val="nil"/>
              <w:bottom w:val="single" w:sz="4" w:space="0" w:color="7F7F7F" w:themeColor="background2"/>
            </w:tcBorders>
            <w:vAlign w:val="bottom"/>
          </w:tcPr>
          <w:p w:rsidR="003A7DD5" w:rsidRPr="00C66550" w:rsidRDefault="003A7DD5" w:rsidP="00254684">
            <w:pPr>
              <w:pStyle w:val="BodyText"/>
              <w:cnfStyle w:val="000000000000"/>
              <w:rPr>
                <w:sz w:val="20"/>
                <w:szCs w:val="20"/>
              </w:rPr>
            </w:pPr>
            <w:r w:rsidRPr="00C66550">
              <w:rPr>
                <w:sz w:val="20"/>
                <w:szCs w:val="20"/>
              </w:rPr>
              <w:t>NT</w:t>
            </w:r>
          </w:p>
        </w:tc>
      </w:tr>
    </w:tbl>
    <w:p w:rsidR="001C606A" w:rsidRPr="00C66550" w:rsidRDefault="003A7DD5" w:rsidP="003A7DD5">
      <w:pPr>
        <w:rPr>
          <w:color w:val="080808"/>
          <w:sz w:val="22"/>
        </w:rPr>
      </w:pPr>
      <w:r w:rsidRPr="00C66550">
        <w:br w:type="page"/>
      </w:r>
    </w:p>
    <w:p w:rsidR="008A3648" w:rsidRPr="00C66550" w:rsidRDefault="008A3648">
      <w:pPr>
        <w:spacing w:line="240" w:lineRule="auto"/>
        <w:rPr>
          <w:color w:val="080808"/>
          <w:sz w:val="22"/>
        </w:rPr>
        <w:sectPr w:rsidR="008A3648" w:rsidRPr="00C66550" w:rsidSect="00DB2789">
          <w:headerReference w:type="default" r:id="rId27"/>
          <w:footerReference w:type="default" r:id="rId28"/>
          <w:headerReference w:type="first" r:id="rId29"/>
          <w:footerReference w:type="first" r:id="rId30"/>
          <w:pgSz w:w="11907" w:h="16840" w:code="9"/>
          <w:pgMar w:top="1701" w:right="1077" w:bottom="1191" w:left="1474" w:header="709" w:footer="709" w:gutter="0"/>
          <w:pgNumType w:fmt="lowerRoman"/>
          <w:cols w:space="708"/>
          <w:docGrid w:linePitch="360"/>
        </w:sectPr>
      </w:pPr>
    </w:p>
    <w:p w:rsidR="00A65BB6" w:rsidRPr="00C66550" w:rsidRDefault="00A65BB6" w:rsidP="006D25F9">
      <w:pPr>
        <w:pStyle w:val="Heading1"/>
      </w:pPr>
      <w:bookmarkStart w:id="16" w:name="_Ref360484978"/>
      <w:bookmarkStart w:id="17" w:name="_Toc379466343"/>
      <w:r w:rsidRPr="00C66550">
        <w:lastRenderedPageBreak/>
        <w:t>Introduction</w:t>
      </w:r>
      <w:bookmarkEnd w:id="16"/>
      <w:bookmarkEnd w:id="17"/>
    </w:p>
    <w:p w:rsidR="004B1E3C" w:rsidRPr="00C66550" w:rsidRDefault="009B5EE6" w:rsidP="009B5EE6">
      <w:pPr>
        <w:pStyle w:val="BodyText"/>
      </w:pPr>
      <w:r w:rsidRPr="00C66550">
        <w:t>In June 2012, the</w:t>
      </w:r>
      <w:r w:rsidR="00875317" w:rsidRPr="00C66550">
        <w:t xml:space="preserve"> Department of Sustainability, Environment, Water, Population and Communities</w:t>
      </w:r>
      <w:r w:rsidRPr="00C66550">
        <w:t xml:space="preserve"> engaged Blue Environment</w:t>
      </w:r>
      <w:r w:rsidR="00322A90" w:rsidRPr="00C66550">
        <w:t xml:space="preserve"> Pty Ltd</w:t>
      </w:r>
      <w:r w:rsidRPr="00C66550">
        <w:t xml:space="preserve"> in association with Randell Environmental Consulting to </w:t>
      </w:r>
      <w:r w:rsidR="004B1E3C" w:rsidRPr="00C66550">
        <w:t xml:space="preserve">report on </w:t>
      </w:r>
      <w:r w:rsidR="004B1E3C" w:rsidRPr="00C66550">
        <w:rPr>
          <w:i/>
        </w:rPr>
        <w:t>Waste Generation and Resource Recovery in Australia</w:t>
      </w:r>
      <w:r w:rsidR="004B1E3C" w:rsidRPr="00C66550">
        <w:t xml:space="preserve"> </w:t>
      </w:r>
      <w:r w:rsidR="002243AB">
        <w:t>during</w:t>
      </w:r>
      <w:r w:rsidR="004B1E3C" w:rsidRPr="00C66550">
        <w:t xml:space="preserve"> 2010/11. </w:t>
      </w:r>
    </w:p>
    <w:p w:rsidR="004B1E3C" w:rsidRPr="00C66550" w:rsidRDefault="004B1E3C" w:rsidP="009B5EE6">
      <w:pPr>
        <w:pStyle w:val="BodyText"/>
      </w:pPr>
    </w:p>
    <w:p w:rsidR="004B1E3C" w:rsidRPr="00C66550" w:rsidRDefault="00692CBA" w:rsidP="004B1E3C">
      <w:pPr>
        <w:pStyle w:val="BodyText"/>
      </w:pPr>
      <w:r>
        <w:t>This report</w:t>
      </w:r>
      <w:r w:rsidR="004B1E3C" w:rsidRPr="00C66550">
        <w:t xml:space="preserve"> aims to present, analyse and discuss the most up-to-date set of Australian and jurisdictional solid waste data, focusing on:</w:t>
      </w:r>
    </w:p>
    <w:p w:rsidR="004B1E3C" w:rsidRPr="00C66550" w:rsidRDefault="004B1E3C" w:rsidP="004B1E3C">
      <w:pPr>
        <w:pStyle w:val="Bullet1"/>
        <w:spacing w:before="0"/>
      </w:pPr>
      <w:r w:rsidRPr="00C66550">
        <w:t xml:space="preserve">recycling </w:t>
      </w:r>
    </w:p>
    <w:p w:rsidR="004B1E3C" w:rsidRPr="00C66550" w:rsidRDefault="004B1E3C" w:rsidP="004B1E3C">
      <w:pPr>
        <w:pStyle w:val="Bullet1"/>
        <w:spacing w:before="0"/>
      </w:pPr>
      <w:r w:rsidRPr="00C66550">
        <w:t xml:space="preserve">energy recovery </w:t>
      </w:r>
    </w:p>
    <w:p w:rsidR="004B1E3C" w:rsidRPr="00C66550" w:rsidRDefault="004B1E3C" w:rsidP="004B1E3C">
      <w:pPr>
        <w:pStyle w:val="Bullet1"/>
        <w:spacing w:before="0"/>
      </w:pPr>
      <w:r w:rsidRPr="00C66550">
        <w:t>resource recovery (where resource recovery = recycling + energy recovery)</w:t>
      </w:r>
    </w:p>
    <w:p w:rsidR="004B1E3C" w:rsidRPr="00C66550" w:rsidRDefault="004B1E3C" w:rsidP="004B1E3C">
      <w:pPr>
        <w:pStyle w:val="Bullet1"/>
        <w:spacing w:before="0"/>
      </w:pPr>
      <w:r w:rsidRPr="00C66550">
        <w:t>disposal</w:t>
      </w:r>
    </w:p>
    <w:p w:rsidR="004B1E3C" w:rsidRPr="00C66550" w:rsidRDefault="004B1E3C" w:rsidP="004B1E3C">
      <w:pPr>
        <w:pStyle w:val="Bullet1"/>
        <w:spacing w:before="0"/>
      </w:pPr>
      <w:r w:rsidRPr="00C66550">
        <w:t>waste generation (where waste generation = resource recovery + disposal).</w:t>
      </w:r>
    </w:p>
    <w:p w:rsidR="004B1E3C" w:rsidRPr="00C66550" w:rsidRDefault="004B1E3C" w:rsidP="004B1E3C">
      <w:pPr>
        <w:pStyle w:val="Bullet2"/>
        <w:numPr>
          <w:ilvl w:val="0"/>
          <w:numId w:val="0"/>
        </w:numPr>
        <w:ind w:left="907"/>
      </w:pPr>
    </w:p>
    <w:p w:rsidR="004B1E3C" w:rsidRPr="00C66550" w:rsidRDefault="00692CBA" w:rsidP="009B5EE6">
      <w:pPr>
        <w:pStyle w:val="BodyText"/>
      </w:pPr>
      <w:r>
        <w:t>This</w:t>
      </w:r>
      <w:r w:rsidR="004B1E3C" w:rsidRPr="00C66550">
        <w:t xml:space="preserve"> is the fifth in a series of data compilations on waste and resource recovery in Australia. The four previous iterations were known as the </w:t>
      </w:r>
      <w:r w:rsidR="004B1E3C" w:rsidRPr="00C66550">
        <w:rPr>
          <w:i/>
        </w:rPr>
        <w:t>Waste and Recycling in Australia</w:t>
      </w:r>
      <w:r w:rsidR="004B1E3C" w:rsidRPr="00C66550">
        <w:t xml:space="preserve"> reports. This version of the report has been re-titled</w:t>
      </w:r>
      <w:r w:rsidR="00575602">
        <w:t xml:space="preserve"> </w:t>
      </w:r>
      <w:r w:rsidR="004B1E3C" w:rsidRPr="00C66550">
        <w:t>to better reflect its focus and to differentiate it from the earlier reports, which did not extend to</w:t>
      </w:r>
      <w:r w:rsidR="00173B58" w:rsidRPr="00C66550">
        <w:t xml:space="preserve"> data interpretation or</w:t>
      </w:r>
      <w:r w:rsidR="004B1E3C" w:rsidRPr="00C66550">
        <w:t xml:space="preserve"> five-year time-series analysis.</w:t>
      </w:r>
    </w:p>
    <w:p w:rsidR="004B1E3C" w:rsidRPr="00C66550" w:rsidRDefault="004B1E3C" w:rsidP="009B5EE6">
      <w:pPr>
        <w:pStyle w:val="BodyText"/>
      </w:pPr>
    </w:p>
    <w:p w:rsidR="005E674B" w:rsidRPr="00C66550" w:rsidRDefault="00173B58" w:rsidP="004B714C">
      <w:pPr>
        <w:pStyle w:val="BodyText"/>
      </w:pPr>
      <w:r w:rsidRPr="00C66550">
        <w:t xml:space="preserve">Detailed data and analysis for 2010/11 are accompanied by trend data from 2006/07. </w:t>
      </w:r>
      <w:r w:rsidR="005E674B" w:rsidRPr="00C66550">
        <w:t>The time series analysis of trends from 2006/07</w:t>
      </w:r>
      <w:r w:rsidR="004B1E3C" w:rsidRPr="00C66550">
        <w:t xml:space="preserve"> </w:t>
      </w:r>
      <w:r w:rsidR="005E674B" w:rsidRPr="00C66550">
        <w:t>has not</w:t>
      </w:r>
      <w:r w:rsidR="005E674B" w:rsidRPr="00C66550">
        <w:rPr>
          <w:b/>
        </w:rPr>
        <w:t xml:space="preserve"> </w:t>
      </w:r>
      <w:r w:rsidR="005E674B" w:rsidRPr="00C66550">
        <w:t>relied upon</w:t>
      </w:r>
      <w:r w:rsidR="00875317" w:rsidRPr="00C66550">
        <w:t xml:space="preserve"> data from</w:t>
      </w:r>
      <w:r w:rsidR="005E674B" w:rsidRPr="00C66550">
        <w:t xml:space="preserve"> previous </w:t>
      </w:r>
      <w:r w:rsidR="004B1E3C" w:rsidRPr="00C66550">
        <w:rPr>
          <w:i/>
        </w:rPr>
        <w:t>Waste and Recycling in Australia</w:t>
      </w:r>
      <w:r w:rsidR="004B1E3C" w:rsidRPr="00C66550">
        <w:t xml:space="preserve"> </w:t>
      </w:r>
      <w:r w:rsidR="005E674B" w:rsidRPr="00C66550">
        <w:t>reports. To ensure that the trend analysis was based on consistently compiled data, the raw data were revisited and the annual figures were recalculated.</w:t>
      </w:r>
      <w:r w:rsidRPr="00C66550">
        <w:t xml:space="preserve"> The results may not always be consistent with previous</w:t>
      </w:r>
      <w:r w:rsidR="00C625C6" w:rsidRPr="00C66550">
        <w:t xml:space="preserve"> </w:t>
      </w:r>
      <w:r w:rsidR="00C625C6" w:rsidRPr="00C66550">
        <w:rPr>
          <w:i/>
        </w:rPr>
        <w:t>Waste and Recycling in Australia</w:t>
      </w:r>
      <w:r w:rsidRPr="00C66550">
        <w:t xml:space="preserve"> reports.</w:t>
      </w:r>
    </w:p>
    <w:p w:rsidR="005E674B" w:rsidRPr="00C66550" w:rsidRDefault="005E674B" w:rsidP="004B714C">
      <w:pPr>
        <w:pStyle w:val="BodyText"/>
      </w:pPr>
    </w:p>
    <w:p w:rsidR="00BE7AB8" w:rsidRPr="00C66550" w:rsidRDefault="005E5CEF" w:rsidP="004B714C">
      <w:pPr>
        <w:pStyle w:val="BodyText"/>
      </w:pPr>
      <w:r>
        <w:t>This report</w:t>
      </w:r>
      <w:r w:rsidR="004B714C" w:rsidRPr="00C66550">
        <w:t xml:space="preserve"> has been compiled </w:t>
      </w:r>
      <w:r>
        <w:t>using</w:t>
      </w:r>
      <w:r w:rsidR="004B714C" w:rsidRPr="00C66550">
        <w:t xml:space="preserve"> state and territory </w:t>
      </w:r>
      <w:r w:rsidR="00327207" w:rsidRPr="00C66550">
        <w:t>government</w:t>
      </w:r>
      <w:r w:rsidR="004B714C" w:rsidRPr="00C66550">
        <w:t xml:space="preserve"> </w:t>
      </w:r>
      <w:r w:rsidR="00875317" w:rsidRPr="00C66550">
        <w:t xml:space="preserve">data </w:t>
      </w:r>
      <w:r w:rsidR="004B714C" w:rsidRPr="00C66550">
        <w:t>and</w:t>
      </w:r>
      <w:r w:rsidR="00C646A8" w:rsidRPr="00C66550">
        <w:t>,</w:t>
      </w:r>
      <w:r w:rsidR="004B714C" w:rsidRPr="00C66550">
        <w:t xml:space="preserve"> to a lesser extent</w:t>
      </w:r>
      <w:r w:rsidR="00C646A8" w:rsidRPr="00C66550">
        <w:t>,</w:t>
      </w:r>
      <w:r w:rsidR="004B714C" w:rsidRPr="00C66550">
        <w:t xml:space="preserve"> from industry</w:t>
      </w:r>
      <w:r w:rsidR="00327207" w:rsidRPr="00C66550">
        <w:t xml:space="preserve"> </w:t>
      </w:r>
      <w:r w:rsidR="00875317" w:rsidRPr="00C66550">
        <w:t>data</w:t>
      </w:r>
      <w:r w:rsidR="004B714C" w:rsidRPr="00C66550">
        <w:t xml:space="preserve">. </w:t>
      </w:r>
      <w:r w:rsidR="00327207" w:rsidRPr="00C66550">
        <w:t xml:space="preserve">The </w:t>
      </w:r>
      <w:r w:rsidR="004B714C" w:rsidRPr="00C66550">
        <w:t>compilation</w:t>
      </w:r>
      <w:r w:rsidR="00327207" w:rsidRPr="00C66550">
        <w:t xml:space="preserve"> </w:t>
      </w:r>
      <w:r w:rsidR="00875317" w:rsidRPr="00C66550">
        <w:t>method</w:t>
      </w:r>
      <w:r w:rsidR="00327207" w:rsidRPr="00C66550">
        <w:t xml:space="preserve"> </w:t>
      </w:r>
      <w:r w:rsidR="00173B58" w:rsidRPr="00C66550">
        <w:t>aligns</w:t>
      </w:r>
      <w:r w:rsidR="00327207" w:rsidRPr="00C66550">
        <w:t xml:space="preserve"> </w:t>
      </w:r>
      <w:r w:rsidR="004B714C" w:rsidRPr="00C66550">
        <w:t>well with the</w:t>
      </w:r>
      <w:r w:rsidR="00875317" w:rsidRPr="00C66550">
        <w:t xml:space="preserve"> approach outlined in</w:t>
      </w:r>
      <w:r w:rsidR="004B714C" w:rsidRPr="00C66550">
        <w:t xml:space="preserve"> </w:t>
      </w:r>
      <w:r w:rsidR="00173B58" w:rsidRPr="00C66550">
        <w:t>the previous version of this report,</w:t>
      </w:r>
      <w:r w:rsidR="00875317" w:rsidRPr="00C66550">
        <w:t xml:space="preserve"> </w:t>
      </w:r>
      <w:r w:rsidR="00875317" w:rsidRPr="00C66550">
        <w:rPr>
          <w:i/>
        </w:rPr>
        <w:t>Waste and Recycling in Australia</w:t>
      </w:r>
      <w:r w:rsidR="00875317" w:rsidRPr="00C66550">
        <w:t xml:space="preserve"> </w:t>
      </w:r>
      <w:r w:rsidR="00875317" w:rsidRPr="00C66550">
        <w:rPr>
          <w:i/>
        </w:rPr>
        <w:t xml:space="preserve">2011 </w:t>
      </w:r>
      <w:r w:rsidR="00327207" w:rsidRPr="00C66550">
        <w:t xml:space="preserve">(see </w:t>
      </w:r>
      <w:r w:rsidR="00625FA9" w:rsidRPr="00C66550">
        <w:t xml:space="preserve">section </w:t>
      </w:r>
      <w:r w:rsidR="0062001A" w:rsidRPr="00C66550">
        <w:fldChar w:fldCharType="begin"/>
      </w:r>
      <w:r w:rsidR="00625FA9" w:rsidRPr="00C66550">
        <w:instrText xml:space="preserve"> REF _Ref348713393 \r \h </w:instrText>
      </w:r>
      <w:r w:rsidR="0062001A" w:rsidRPr="00C66550">
        <w:fldChar w:fldCharType="separate"/>
      </w:r>
      <w:r w:rsidR="00D96003">
        <w:t>22</w:t>
      </w:r>
      <w:r w:rsidR="0062001A" w:rsidRPr="00C66550">
        <w:fldChar w:fldCharType="end"/>
      </w:r>
      <w:r w:rsidR="00327207" w:rsidRPr="00C66550">
        <w:t xml:space="preserve"> for a detail</w:t>
      </w:r>
      <w:r w:rsidR="00173B58" w:rsidRPr="00C66550">
        <w:t>s).</w:t>
      </w:r>
      <w:r w:rsidR="00BE7AB8" w:rsidRPr="00C66550">
        <w:t xml:space="preserve"> </w:t>
      </w:r>
    </w:p>
    <w:p w:rsidR="00BE7AB8" w:rsidRPr="00C66550" w:rsidRDefault="00BE7AB8" w:rsidP="004B714C">
      <w:pPr>
        <w:pStyle w:val="BodyText"/>
      </w:pPr>
    </w:p>
    <w:p w:rsidR="00C50B4F" w:rsidRPr="00C66550" w:rsidRDefault="00EF0C38" w:rsidP="004B714C">
      <w:pPr>
        <w:pStyle w:val="BodyText"/>
      </w:pPr>
      <w:r w:rsidRPr="00C66550">
        <w:t>Throughout the development of this report</w:t>
      </w:r>
      <w:r w:rsidR="00875317" w:rsidRPr="00C66550">
        <w:t>,</w:t>
      </w:r>
      <w:r w:rsidRPr="00C66550">
        <w:t xml:space="preserve"> Blue Environment and</w:t>
      </w:r>
      <w:r w:rsidR="00875317" w:rsidRPr="00C66550">
        <w:t xml:space="preserve"> </w:t>
      </w:r>
      <w:r w:rsidRPr="00C66550">
        <w:t xml:space="preserve">REC worked closely with </w:t>
      </w:r>
      <w:r w:rsidR="0068078B" w:rsidRPr="00C66550">
        <w:t xml:space="preserve">DSEWPaC and </w:t>
      </w:r>
      <w:r w:rsidRPr="00C66550">
        <w:t xml:space="preserve">state and territory governments to ensure that the best possible data sources </w:t>
      </w:r>
      <w:r w:rsidR="00C646A8" w:rsidRPr="00C66550">
        <w:t>were</w:t>
      </w:r>
      <w:r w:rsidRPr="00C66550">
        <w:t xml:space="preserve"> used and that the </w:t>
      </w:r>
      <w:r w:rsidR="00FC4827" w:rsidRPr="00C66550">
        <w:t xml:space="preserve">processes and assumptions used </w:t>
      </w:r>
      <w:r w:rsidR="00061D6F" w:rsidRPr="00C66550">
        <w:t>were</w:t>
      </w:r>
      <w:r w:rsidR="00FC4827" w:rsidRPr="00C66550">
        <w:t xml:space="preserve"> </w:t>
      </w:r>
      <w:r w:rsidRPr="00C66550">
        <w:t>transparent</w:t>
      </w:r>
      <w:r w:rsidR="00FC4827" w:rsidRPr="00C66550">
        <w:t>.</w:t>
      </w:r>
      <w:r w:rsidR="00E5424C" w:rsidRPr="00C66550">
        <w:t xml:space="preserve"> </w:t>
      </w:r>
      <w:r w:rsidR="00793E9C" w:rsidRPr="00C66550">
        <w:t xml:space="preserve">In </w:t>
      </w:r>
      <w:r w:rsidR="00625FA9" w:rsidRPr="00C66550">
        <w:t>addition</w:t>
      </w:r>
      <w:r w:rsidR="00793E9C" w:rsidRPr="00C66550">
        <w:t>, t</w:t>
      </w:r>
      <w:r w:rsidR="00637E73" w:rsidRPr="00C66550">
        <w:t xml:space="preserve">he data workbooks that underpin </w:t>
      </w:r>
      <w:r w:rsidR="005E5CEF">
        <w:t>the report</w:t>
      </w:r>
      <w:r w:rsidR="00637E73" w:rsidRPr="00C66550">
        <w:t xml:space="preserve"> </w:t>
      </w:r>
      <w:r w:rsidR="00875317" w:rsidRPr="00C66550">
        <w:t>were</w:t>
      </w:r>
      <w:r w:rsidR="00637E73" w:rsidRPr="00C66550">
        <w:t xml:space="preserve"> audit</w:t>
      </w:r>
      <w:r w:rsidR="00875317" w:rsidRPr="00C66550">
        <w:t>ed</w:t>
      </w:r>
      <w:r w:rsidR="002D3807" w:rsidRPr="00C66550">
        <w:t xml:space="preserve"> </w:t>
      </w:r>
      <w:r w:rsidR="00875317" w:rsidRPr="00C66550">
        <w:t>by Ernst and Young, who found no significant flaws.</w:t>
      </w:r>
    </w:p>
    <w:p w:rsidR="00C50B4F" w:rsidRPr="00C66550" w:rsidRDefault="00C50B4F" w:rsidP="004B714C">
      <w:pPr>
        <w:pStyle w:val="BodyText"/>
      </w:pPr>
    </w:p>
    <w:p w:rsidR="00FC4827" w:rsidRPr="00C66550" w:rsidRDefault="00C50B4F" w:rsidP="004B714C">
      <w:pPr>
        <w:pStyle w:val="BodyText"/>
      </w:pPr>
      <w:r w:rsidRPr="00C66550">
        <w:t xml:space="preserve">A </w:t>
      </w:r>
      <w:r w:rsidR="00875317" w:rsidRPr="00C66550">
        <w:t>large</w:t>
      </w:r>
      <w:r w:rsidRPr="00C66550">
        <w:t xml:space="preserve"> amount of data has been collated and analysed for the development of </w:t>
      </w:r>
      <w:r w:rsidR="005E5CEF">
        <w:t>this report</w:t>
      </w:r>
      <w:r w:rsidR="00061D6F" w:rsidRPr="00C66550">
        <w:t>.</w:t>
      </w:r>
      <w:r w:rsidR="00AB0337" w:rsidRPr="00C66550">
        <w:t xml:space="preserve"> Although the broad approaches are documented in this report (see the third bullet point below), i</w:t>
      </w:r>
      <w:r w:rsidR="00061D6F" w:rsidRPr="00C66550">
        <w:t xml:space="preserve">t </w:t>
      </w:r>
      <w:r w:rsidRPr="00C66550">
        <w:t xml:space="preserve">is not practical, nor does it add value, to </w:t>
      </w:r>
      <w:r w:rsidR="00061D6F" w:rsidRPr="00C66550">
        <w:t>describe</w:t>
      </w:r>
      <w:r w:rsidR="00AB0337" w:rsidRPr="00C66550">
        <w:t xml:space="preserve"> in full</w:t>
      </w:r>
      <w:r w:rsidR="00061D6F" w:rsidRPr="00C66550">
        <w:t xml:space="preserve"> </w:t>
      </w:r>
      <w:r w:rsidRPr="00C66550">
        <w:t>all the data</w:t>
      </w:r>
      <w:r w:rsidR="00061D6F" w:rsidRPr="00C66550">
        <w:t>, assumptions and calculation steps</w:t>
      </w:r>
      <w:r w:rsidRPr="00C66550">
        <w:t xml:space="preserve"> </w:t>
      </w:r>
      <w:r w:rsidR="00AB0337" w:rsidRPr="00C66550">
        <w:t>taken</w:t>
      </w:r>
      <w:r w:rsidRPr="00C66550">
        <w:t xml:space="preserve">. </w:t>
      </w:r>
      <w:r w:rsidR="009607E7" w:rsidRPr="00C66550">
        <w:t>To</w:t>
      </w:r>
      <w:r w:rsidRPr="00C66550">
        <w:t xml:space="preserve"> ensure transparency</w:t>
      </w:r>
      <w:r w:rsidR="009607E7" w:rsidRPr="00C66550">
        <w:t>,</w:t>
      </w:r>
      <w:r w:rsidRPr="00C66550">
        <w:t xml:space="preserve"> this report </w:t>
      </w:r>
      <w:r w:rsidR="00875317" w:rsidRPr="00C66550">
        <w:t>wa</w:t>
      </w:r>
      <w:r w:rsidRPr="00C66550">
        <w:t>s</w:t>
      </w:r>
      <w:r w:rsidR="00875317" w:rsidRPr="00C66550">
        <w:t xml:space="preserve"> submitted with two accompanying</w:t>
      </w:r>
      <w:r w:rsidRPr="00C66550">
        <w:t xml:space="preserve"> </w:t>
      </w:r>
      <w:r w:rsidR="00994900" w:rsidRPr="00C66550">
        <w:t>two</w:t>
      </w:r>
      <w:r w:rsidRPr="00C66550">
        <w:t xml:space="preserve"> Microsoft Excel workbook</w:t>
      </w:r>
      <w:r w:rsidR="00FE0B11" w:rsidRPr="00C66550">
        <w:t xml:space="preserve">s. The first, </w:t>
      </w:r>
      <w:r w:rsidR="004B1E3C" w:rsidRPr="00C66550">
        <w:rPr>
          <w:i/>
        </w:rPr>
        <w:t>WGRRA</w:t>
      </w:r>
      <w:r w:rsidR="00FE0B11" w:rsidRPr="00C66550">
        <w:rPr>
          <w:i/>
        </w:rPr>
        <w:t xml:space="preserve"> database</w:t>
      </w:r>
      <w:r w:rsidR="00FE0B11" w:rsidRPr="00C66550">
        <w:t xml:space="preserve"> </w:t>
      </w:r>
      <w:r w:rsidRPr="00C66550">
        <w:t>contain</w:t>
      </w:r>
      <w:r w:rsidR="00FE0B11" w:rsidRPr="00C66550">
        <w:t>s the raw data</w:t>
      </w:r>
      <w:r w:rsidR="00061D6F" w:rsidRPr="00C66550">
        <w:t xml:space="preserve"> and</w:t>
      </w:r>
      <w:r w:rsidR="00875317" w:rsidRPr="00C66550">
        <w:t xml:space="preserve"> various manipulation steps to derive</w:t>
      </w:r>
      <w:r w:rsidR="00AB0337" w:rsidRPr="00C66550">
        <w:t xml:space="preserve"> a common platform for analysis.</w:t>
      </w:r>
      <w:r w:rsidR="00061D6F" w:rsidRPr="00C66550">
        <w:t xml:space="preserve"> </w:t>
      </w:r>
      <w:r w:rsidR="00FE0B11" w:rsidRPr="00C66550">
        <w:t xml:space="preserve">The </w:t>
      </w:r>
      <w:r w:rsidR="00192C44" w:rsidRPr="00C66550">
        <w:t>second</w:t>
      </w:r>
      <w:r w:rsidR="00061D6F" w:rsidRPr="00C66550">
        <w:t xml:space="preserve"> workbook</w:t>
      </w:r>
      <w:r w:rsidR="00192C44" w:rsidRPr="00C66550">
        <w:t>,</w:t>
      </w:r>
      <w:r w:rsidR="00FE0B11" w:rsidRPr="00C66550">
        <w:t xml:space="preserve"> </w:t>
      </w:r>
      <w:r w:rsidR="004B1E3C" w:rsidRPr="00C66550">
        <w:rPr>
          <w:i/>
        </w:rPr>
        <w:t>WGRRA</w:t>
      </w:r>
      <w:r w:rsidR="00FE0B11" w:rsidRPr="00C66550">
        <w:rPr>
          <w:i/>
        </w:rPr>
        <w:t xml:space="preserve"> data workbook</w:t>
      </w:r>
      <w:r w:rsidR="00061D6F" w:rsidRPr="00C66550">
        <w:t>,</w:t>
      </w:r>
      <w:r w:rsidR="00FE0B11" w:rsidRPr="00C66550">
        <w:rPr>
          <w:i/>
        </w:rPr>
        <w:t xml:space="preserve"> </w:t>
      </w:r>
      <w:r w:rsidR="00061D6F" w:rsidRPr="00C66550">
        <w:t xml:space="preserve">compiles the </w:t>
      </w:r>
      <w:r w:rsidR="00AB0337" w:rsidRPr="00C66550">
        <w:t>manipulated</w:t>
      </w:r>
      <w:r w:rsidR="00061D6F" w:rsidRPr="00C66550">
        <w:t xml:space="preserve"> data into a consistent framework for each jurisdiction and generates the</w:t>
      </w:r>
      <w:r w:rsidR="00FE0B11" w:rsidRPr="00C66550">
        <w:t xml:space="preserve"> main data outputs used in th</w:t>
      </w:r>
      <w:r w:rsidR="00061D6F" w:rsidRPr="00C66550">
        <w:t>e</w:t>
      </w:r>
      <w:r w:rsidR="00FE0B11" w:rsidRPr="00C66550">
        <w:t xml:space="preserve"> report.</w:t>
      </w:r>
      <w:r w:rsidRPr="00C66550">
        <w:t xml:space="preserve"> </w:t>
      </w:r>
    </w:p>
    <w:p w:rsidR="004B1E3C" w:rsidRDefault="004B1E3C" w:rsidP="004B714C">
      <w:pPr>
        <w:pStyle w:val="BodyText"/>
      </w:pPr>
    </w:p>
    <w:p w:rsidR="009B5EE6" w:rsidRPr="00C66550" w:rsidRDefault="004B1E3C" w:rsidP="006D25F9">
      <w:pPr>
        <w:pStyle w:val="Heading2"/>
      </w:pPr>
      <w:bookmarkStart w:id="18" w:name="_Toc379466344"/>
      <w:r w:rsidRPr="00C66550">
        <w:t>R</w:t>
      </w:r>
      <w:r w:rsidR="009B5EE6" w:rsidRPr="00C66550">
        <w:t>eport structure</w:t>
      </w:r>
      <w:bookmarkEnd w:id="18"/>
      <w:r w:rsidR="009B5EE6" w:rsidRPr="00C66550">
        <w:t xml:space="preserve"> </w:t>
      </w:r>
    </w:p>
    <w:p w:rsidR="006B0302" w:rsidRPr="00C66550" w:rsidRDefault="005E5CEF" w:rsidP="009B5EE6">
      <w:pPr>
        <w:pStyle w:val="BodyText"/>
      </w:pPr>
      <w:r>
        <w:t>The report</w:t>
      </w:r>
      <w:r w:rsidR="006B0302" w:rsidRPr="00C66550">
        <w:t xml:space="preserve"> </w:t>
      </w:r>
      <w:r w:rsidR="00AB0337" w:rsidRPr="00C66550">
        <w:t>opens</w:t>
      </w:r>
      <w:r w:rsidR="006B0302" w:rsidRPr="00C66550">
        <w:t xml:space="preserve"> an overview of the context</w:t>
      </w:r>
      <w:r w:rsidR="001B69C1" w:rsidRPr="00C66550">
        <w:t xml:space="preserve"> for </w:t>
      </w:r>
      <w:r w:rsidR="004B1E3C" w:rsidRPr="00C66550">
        <w:t>national</w:t>
      </w:r>
      <w:r w:rsidR="001B69C1" w:rsidRPr="00C66550">
        <w:t xml:space="preserve"> reporting</w:t>
      </w:r>
      <w:r w:rsidR="00876B78" w:rsidRPr="00C66550">
        <w:t xml:space="preserve"> (section </w:t>
      </w:r>
      <w:r w:rsidR="0062001A" w:rsidRPr="00C66550">
        <w:fldChar w:fldCharType="begin"/>
      </w:r>
      <w:r w:rsidR="00876B78" w:rsidRPr="00C66550">
        <w:instrText xml:space="preserve"> REF _Ref348975624 \r \h </w:instrText>
      </w:r>
      <w:r w:rsidR="0062001A" w:rsidRPr="00C66550">
        <w:fldChar w:fldCharType="separate"/>
      </w:r>
      <w:r w:rsidR="00D96003">
        <w:t>2</w:t>
      </w:r>
      <w:r w:rsidR="0062001A" w:rsidRPr="00C66550">
        <w:fldChar w:fldCharType="end"/>
      </w:r>
      <w:r w:rsidR="00876B78" w:rsidRPr="00C66550">
        <w:t>)</w:t>
      </w:r>
      <w:r w:rsidR="006B0302" w:rsidRPr="00C66550">
        <w:t xml:space="preserve">. This </w:t>
      </w:r>
      <w:r w:rsidR="00876B78" w:rsidRPr="00C66550">
        <w:t>section</w:t>
      </w:r>
      <w:r w:rsidR="006B0302" w:rsidRPr="00C66550">
        <w:t xml:space="preserve"> has been </w:t>
      </w:r>
      <w:r w:rsidR="001B69C1" w:rsidRPr="00C66550">
        <w:t xml:space="preserve">included </w:t>
      </w:r>
      <w:r w:rsidR="006B0302" w:rsidRPr="00C66550">
        <w:t>to ensure that the ‘</w:t>
      </w:r>
      <w:r w:rsidR="00CD5F2C" w:rsidRPr="00C66550">
        <w:t>macro</w:t>
      </w:r>
      <w:r w:rsidR="006B0302" w:rsidRPr="00C66550">
        <w:t>’ social and economic factors</w:t>
      </w:r>
      <w:r w:rsidR="001B69C1" w:rsidRPr="00C66550">
        <w:t>,</w:t>
      </w:r>
      <w:r w:rsidR="006B0302" w:rsidRPr="00C66550">
        <w:t xml:space="preserve"> </w:t>
      </w:r>
      <w:r w:rsidR="001B69C1" w:rsidRPr="00C66550">
        <w:t xml:space="preserve">such </w:t>
      </w:r>
      <w:r w:rsidR="00322A90" w:rsidRPr="00C66550">
        <w:t xml:space="preserve">as </w:t>
      </w:r>
      <w:r w:rsidR="001B69C1" w:rsidRPr="00C66550">
        <w:t xml:space="preserve">population and economic activity, </w:t>
      </w:r>
      <w:r w:rsidR="006B0302" w:rsidRPr="00C66550">
        <w:t>that affect the data are given due consideratio</w:t>
      </w:r>
      <w:r w:rsidR="001B69C1" w:rsidRPr="00C66550">
        <w:t>n</w:t>
      </w:r>
      <w:r w:rsidR="00876B78" w:rsidRPr="00C66550">
        <w:t xml:space="preserve"> before the </w:t>
      </w:r>
      <w:r>
        <w:t>results are</w:t>
      </w:r>
      <w:r w:rsidR="00876B78" w:rsidRPr="00C66550">
        <w:t xml:space="preserve"> presented</w:t>
      </w:r>
      <w:r w:rsidR="006B0302" w:rsidRPr="00C66550">
        <w:t>.</w:t>
      </w:r>
    </w:p>
    <w:p w:rsidR="00CD5F2C" w:rsidRPr="00C66550" w:rsidRDefault="00CD5F2C">
      <w:pPr>
        <w:spacing w:line="240" w:lineRule="auto"/>
        <w:rPr>
          <w:color w:val="080808"/>
          <w:sz w:val="22"/>
        </w:rPr>
      </w:pPr>
    </w:p>
    <w:p w:rsidR="009B5EE6" w:rsidRPr="00C66550" w:rsidRDefault="00947227" w:rsidP="009B5EE6">
      <w:pPr>
        <w:pStyle w:val="BodyText"/>
      </w:pPr>
      <w:r w:rsidRPr="00C66550">
        <w:lastRenderedPageBreak/>
        <w:t xml:space="preserve">Following </w:t>
      </w:r>
      <w:r w:rsidR="00032FC5" w:rsidRPr="00C66550">
        <w:t xml:space="preserve">section </w:t>
      </w:r>
      <w:r w:rsidR="0062001A" w:rsidRPr="00C66550">
        <w:fldChar w:fldCharType="begin"/>
      </w:r>
      <w:r w:rsidR="00032FC5" w:rsidRPr="00C66550">
        <w:instrText xml:space="preserve"> REF _Ref348975624 \r \h </w:instrText>
      </w:r>
      <w:r w:rsidR="0062001A" w:rsidRPr="00C66550">
        <w:fldChar w:fldCharType="separate"/>
      </w:r>
      <w:r w:rsidR="00D96003">
        <w:t>2</w:t>
      </w:r>
      <w:r w:rsidR="0062001A" w:rsidRPr="00C66550">
        <w:fldChar w:fldCharType="end"/>
      </w:r>
      <w:r w:rsidR="00032FC5" w:rsidRPr="00C66550">
        <w:t>, t</w:t>
      </w:r>
      <w:r w:rsidR="001E139B" w:rsidRPr="00C66550">
        <w:t>h</w:t>
      </w:r>
      <w:r w:rsidR="002B4A35" w:rsidRPr="00C66550">
        <w:t>e</w:t>
      </w:r>
      <w:r w:rsidRPr="00C66550">
        <w:t xml:space="preserve"> </w:t>
      </w:r>
      <w:r w:rsidR="001E139B" w:rsidRPr="00C66550">
        <w:t>report</w:t>
      </w:r>
      <w:r w:rsidR="001B69C1" w:rsidRPr="00C66550">
        <w:t xml:space="preserve"> </w:t>
      </w:r>
      <w:r w:rsidR="001E139B" w:rsidRPr="00C66550">
        <w:t xml:space="preserve">structure </w:t>
      </w:r>
      <w:r w:rsidR="00173B58" w:rsidRPr="00C66550">
        <w:t>is</w:t>
      </w:r>
      <w:r w:rsidR="002B4A35" w:rsidRPr="00C66550">
        <w:t xml:space="preserve"> </w:t>
      </w:r>
      <w:r w:rsidR="00032FC5" w:rsidRPr="00C66550">
        <w:t xml:space="preserve">broadly </w:t>
      </w:r>
      <w:r w:rsidR="002B4A35" w:rsidRPr="00C66550">
        <w:t>grouped into three parts outlined</w:t>
      </w:r>
      <w:r w:rsidR="005C633C" w:rsidRPr="00C66550">
        <w:t xml:space="preserve"> below.</w:t>
      </w:r>
    </w:p>
    <w:p w:rsidR="005C633C" w:rsidRPr="00C66550" w:rsidRDefault="001E139B" w:rsidP="006B0302">
      <w:pPr>
        <w:pStyle w:val="Bullet1"/>
      </w:pPr>
      <w:r w:rsidRPr="00C66550">
        <w:t>Section</w:t>
      </w:r>
      <w:r w:rsidR="00876B78" w:rsidRPr="00C66550">
        <w:t>s</w:t>
      </w:r>
      <w:r w:rsidRPr="00C66550">
        <w:t xml:space="preserve"> </w:t>
      </w:r>
      <w:r w:rsidR="0062001A" w:rsidRPr="00C66550">
        <w:fldChar w:fldCharType="begin"/>
      </w:r>
      <w:r w:rsidR="00736918" w:rsidRPr="00C66550">
        <w:instrText xml:space="preserve"> REF _Ref355276890 \r \h </w:instrText>
      </w:r>
      <w:r w:rsidR="0062001A" w:rsidRPr="00C66550">
        <w:fldChar w:fldCharType="separate"/>
      </w:r>
      <w:r w:rsidR="00D96003">
        <w:t>3</w:t>
      </w:r>
      <w:r w:rsidR="0062001A" w:rsidRPr="00C66550">
        <w:fldChar w:fldCharType="end"/>
      </w:r>
      <w:r w:rsidR="00876B78" w:rsidRPr="00C66550">
        <w:t xml:space="preserve"> to </w:t>
      </w:r>
      <w:r w:rsidR="0062001A" w:rsidRPr="00C66550">
        <w:fldChar w:fldCharType="begin"/>
      </w:r>
      <w:r w:rsidR="00736918" w:rsidRPr="00C66550">
        <w:instrText xml:space="preserve"> REF _Ref355040091 \r \h </w:instrText>
      </w:r>
      <w:r w:rsidR="0062001A" w:rsidRPr="00C66550">
        <w:fldChar w:fldCharType="separate"/>
      </w:r>
      <w:r w:rsidR="00D96003">
        <w:t>14</w:t>
      </w:r>
      <w:r w:rsidR="0062001A" w:rsidRPr="00C66550">
        <w:fldChar w:fldCharType="end"/>
      </w:r>
      <w:r w:rsidR="00736918" w:rsidRPr="00C66550">
        <w:t xml:space="preserve"> </w:t>
      </w:r>
      <w:r w:rsidR="00876B78" w:rsidRPr="00C66550">
        <w:t>include the main d</w:t>
      </w:r>
      <w:r w:rsidR="00322A90" w:rsidRPr="00C66550">
        <w:t xml:space="preserve">ata </w:t>
      </w:r>
      <w:r w:rsidRPr="00C66550">
        <w:t>presentation and analysis</w:t>
      </w:r>
      <w:r w:rsidR="0068078B" w:rsidRPr="00C66550">
        <w:t>. Th</w:t>
      </w:r>
      <w:r w:rsidR="00876B78" w:rsidRPr="00C66550">
        <w:t>ese</w:t>
      </w:r>
      <w:r w:rsidR="0068078B" w:rsidRPr="00C66550">
        <w:t xml:space="preserve"> section</w:t>
      </w:r>
      <w:r w:rsidR="005C633C" w:rsidRPr="00C66550">
        <w:t>s</w:t>
      </w:r>
      <w:r w:rsidR="0068078B" w:rsidRPr="00C66550">
        <w:t xml:space="preserve"> </w:t>
      </w:r>
      <w:r w:rsidR="00950691" w:rsidRPr="00C66550">
        <w:t>present</w:t>
      </w:r>
      <w:r w:rsidRPr="00C66550">
        <w:t xml:space="preserve"> the </w:t>
      </w:r>
      <w:r w:rsidR="00061D6F" w:rsidRPr="00C66550">
        <w:t>national</w:t>
      </w:r>
      <w:r w:rsidR="00AB0337" w:rsidRPr="00C66550">
        <w:t xml:space="preserve"> data</w:t>
      </w:r>
      <w:r w:rsidR="005C633C" w:rsidRPr="00C66550">
        <w:t>, international comparison</w:t>
      </w:r>
      <w:r w:rsidR="00AB0337" w:rsidRPr="00C66550">
        <w:t>s</w:t>
      </w:r>
      <w:r w:rsidR="005C633C" w:rsidRPr="00C66550">
        <w:t xml:space="preserve"> </w:t>
      </w:r>
      <w:r w:rsidR="00061D6F" w:rsidRPr="00C66550">
        <w:t>and jurisdictional</w:t>
      </w:r>
      <w:r w:rsidR="00546178" w:rsidRPr="00C66550">
        <w:t xml:space="preserve"> data</w:t>
      </w:r>
      <w:r w:rsidR="005C633C" w:rsidRPr="00C66550">
        <w:t>.</w:t>
      </w:r>
      <w:r w:rsidR="00E5424C" w:rsidRPr="00C66550">
        <w:t xml:space="preserve"> </w:t>
      </w:r>
    </w:p>
    <w:p w:rsidR="00742FBC" w:rsidRPr="00C66550" w:rsidRDefault="00742FBC" w:rsidP="00742FBC">
      <w:pPr>
        <w:pStyle w:val="Bullet1"/>
      </w:pPr>
      <w:r w:rsidRPr="00C66550">
        <w:t xml:space="preserve">Sections </w:t>
      </w:r>
      <w:r w:rsidR="0062001A" w:rsidRPr="00C66550">
        <w:fldChar w:fldCharType="begin"/>
      </w:r>
      <w:r w:rsidRPr="00C66550">
        <w:instrText xml:space="preserve"> REF _Ref349634940 \r \h </w:instrText>
      </w:r>
      <w:r w:rsidR="0062001A" w:rsidRPr="00C66550">
        <w:fldChar w:fldCharType="separate"/>
      </w:r>
      <w:r w:rsidR="00D96003">
        <w:t>15</w:t>
      </w:r>
      <w:r w:rsidR="0062001A" w:rsidRPr="00C66550">
        <w:fldChar w:fldCharType="end"/>
      </w:r>
      <w:r w:rsidRPr="00C66550">
        <w:t xml:space="preserve"> to </w:t>
      </w:r>
      <w:r w:rsidR="0062001A" w:rsidRPr="00C66550">
        <w:fldChar w:fldCharType="begin"/>
      </w:r>
      <w:r w:rsidRPr="00C66550">
        <w:instrText xml:space="preserve"> REF _Ref354658777 \r \h </w:instrText>
      </w:r>
      <w:r w:rsidR="0062001A" w:rsidRPr="00C66550">
        <w:fldChar w:fldCharType="separate"/>
      </w:r>
      <w:r w:rsidR="00D96003">
        <w:t>20</w:t>
      </w:r>
      <w:r w:rsidR="0062001A" w:rsidRPr="00C66550">
        <w:fldChar w:fldCharType="end"/>
      </w:r>
      <w:r w:rsidRPr="00C66550">
        <w:t xml:space="preserve"> provide analysis of a </w:t>
      </w:r>
      <w:r w:rsidR="00AB0337" w:rsidRPr="00C66550">
        <w:t>several important</w:t>
      </w:r>
      <w:r w:rsidRPr="00C66550">
        <w:t xml:space="preserve"> areas, namely: organics, product stewardship, and local government data, an overview of policy frameworks, barriers to resource recovery, and the environmental impacts of waste management.</w:t>
      </w:r>
    </w:p>
    <w:p w:rsidR="00032FC5" w:rsidRPr="00C66550" w:rsidRDefault="005C633C" w:rsidP="00750C51">
      <w:pPr>
        <w:pStyle w:val="Bullet1"/>
      </w:pPr>
      <w:r w:rsidRPr="00C66550">
        <w:t xml:space="preserve">Sections </w:t>
      </w:r>
      <w:r w:rsidR="0062001A" w:rsidRPr="00C66550">
        <w:fldChar w:fldCharType="begin"/>
      </w:r>
      <w:r w:rsidRPr="00C66550">
        <w:instrText xml:space="preserve"> REF _Ref349778975 \r \h </w:instrText>
      </w:r>
      <w:r w:rsidR="0062001A" w:rsidRPr="00C66550">
        <w:fldChar w:fldCharType="separate"/>
      </w:r>
      <w:r w:rsidR="00D96003">
        <w:t>21</w:t>
      </w:r>
      <w:r w:rsidR="0062001A" w:rsidRPr="00C66550">
        <w:fldChar w:fldCharType="end"/>
      </w:r>
      <w:r w:rsidRPr="00C66550">
        <w:t xml:space="preserve"> to </w:t>
      </w:r>
      <w:r w:rsidR="0062001A" w:rsidRPr="00C66550">
        <w:fldChar w:fldCharType="begin"/>
      </w:r>
      <w:r w:rsidR="002B4A35" w:rsidRPr="00C66550">
        <w:instrText xml:space="preserve"> REF _Ref354659049 \r \h </w:instrText>
      </w:r>
      <w:r w:rsidR="0062001A" w:rsidRPr="00C66550">
        <w:fldChar w:fldCharType="separate"/>
      </w:r>
      <w:r w:rsidR="00D96003">
        <w:t>23</w:t>
      </w:r>
      <w:r w:rsidR="0062001A" w:rsidRPr="00C66550">
        <w:fldChar w:fldCharType="end"/>
      </w:r>
      <w:r w:rsidR="00E03444" w:rsidRPr="00C66550">
        <w:t xml:space="preserve"> </w:t>
      </w:r>
      <w:r w:rsidR="00950691" w:rsidRPr="00C66550">
        <w:t xml:space="preserve">document the </w:t>
      </w:r>
      <w:r w:rsidR="002B4A35" w:rsidRPr="00C66550">
        <w:t>key</w:t>
      </w:r>
      <w:r w:rsidR="00950691" w:rsidRPr="00C66550">
        <w:t xml:space="preserve"> definitions and </w:t>
      </w:r>
      <w:r w:rsidR="00E03444" w:rsidRPr="00C66550">
        <w:t>data collation</w:t>
      </w:r>
      <w:r w:rsidR="00950691" w:rsidRPr="00C66550">
        <w:t xml:space="preserve"> approaches that underpin</w:t>
      </w:r>
      <w:r w:rsidR="00E03444" w:rsidRPr="00C66550">
        <w:t xml:space="preserve"> the</w:t>
      </w:r>
      <w:r w:rsidR="00546178" w:rsidRPr="00C66550">
        <w:t xml:space="preserve"> </w:t>
      </w:r>
      <w:r w:rsidR="00E03444" w:rsidRPr="00C66550">
        <w:t>report</w:t>
      </w:r>
      <w:r w:rsidR="00950691" w:rsidRPr="00C66550">
        <w:t xml:space="preserve">. </w:t>
      </w:r>
      <w:r w:rsidR="002B4A35" w:rsidRPr="00C66550">
        <w:t>T</w:t>
      </w:r>
      <w:r w:rsidR="00E03444" w:rsidRPr="00C66550">
        <w:t xml:space="preserve">he report scope and </w:t>
      </w:r>
      <w:r w:rsidR="00875317" w:rsidRPr="00C66550">
        <w:t>method</w:t>
      </w:r>
      <w:r w:rsidR="005E14B3" w:rsidRPr="00C66550">
        <w:t xml:space="preserve"> </w:t>
      </w:r>
      <w:r w:rsidR="002B4A35" w:rsidRPr="00C66550">
        <w:t xml:space="preserve">are discussed </w:t>
      </w:r>
      <w:r w:rsidR="005E14B3" w:rsidRPr="00C66550">
        <w:t>in detail</w:t>
      </w:r>
      <w:r w:rsidR="00174795" w:rsidRPr="00C66550">
        <w:t xml:space="preserve"> here</w:t>
      </w:r>
      <w:r w:rsidR="005E14B3" w:rsidRPr="00C66550">
        <w:t>,</w:t>
      </w:r>
      <w:r w:rsidR="00E03444" w:rsidRPr="00C66550">
        <w:t xml:space="preserve"> including </w:t>
      </w:r>
      <w:r w:rsidR="005E14B3" w:rsidRPr="00C66550">
        <w:t>the degree of</w:t>
      </w:r>
      <w:r w:rsidR="00E03444" w:rsidRPr="00C66550">
        <w:t xml:space="preserve"> alignment with the </w:t>
      </w:r>
      <w:r w:rsidR="00875317" w:rsidRPr="00C66550">
        <w:t>method</w:t>
      </w:r>
      <w:r w:rsidR="00AB0337" w:rsidRPr="00C66550">
        <w:t xml:space="preserve"> set out in</w:t>
      </w:r>
      <w:r w:rsidR="00173B58" w:rsidRPr="00C66550">
        <w:t xml:space="preserve"> Section 3 of</w:t>
      </w:r>
      <w:r w:rsidR="00AB0337" w:rsidRPr="00C66550">
        <w:t xml:space="preserve"> the previous version of this report, </w:t>
      </w:r>
      <w:r w:rsidR="004B1E3C" w:rsidRPr="00C66550">
        <w:rPr>
          <w:i/>
          <w:color w:val="080808"/>
        </w:rPr>
        <w:t xml:space="preserve">Waste and Recycling in Australia </w:t>
      </w:r>
      <w:r w:rsidR="00AB0337" w:rsidRPr="00C66550">
        <w:rPr>
          <w:i/>
        </w:rPr>
        <w:t>2011</w:t>
      </w:r>
      <w:r w:rsidR="005E14B3" w:rsidRPr="00C66550">
        <w:t xml:space="preserve">. </w:t>
      </w:r>
      <w:r w:rsidR="002B4A35" w:rsidRPr="00C66550">
        <w:t>A</w:t>
      </w:r>
      <w:r w:rsidR="005E14B3" w:rsidRPr="00C66550">
        <w:t>n overview</w:t>
      </w:r>
      <w:r w:rsidR="00546178" w:rsidRPr="00C66550">
        <w:t xml:space="preserve"> of the data collation assumptions used in </w:t>
      </w:r>
      <w:r w:rsidR="005C6567" w:rsidRPr="00C66550">
        <w:t xml:space="preserve">the </w:t>
      </w:r>
      <w:r w:rsidR="00546178" w:rsidRPr="00C66550">
        <w:t>development of the report’s data</w:t>
      </w:r>
      <w:r w:rsidR="00174795" w:rsidRPr="00C66550">
        <w:t xml:space="preserve"> is </w:t>
      </w:r>
      <w:r w:rsidR="002B4A35" w:rsidRPr="00C66550">
        <w:t xml:space="preserve">also </w:t>
      </w:r>
      <w:r w:rsidR="00AB0337" w:rsidRPr="00C66550">
        <w:t>provided</w:t>
      </w:r>
      <w:r w:rsidR="00546178" w:rsidRPr="00C66550">
        <w:t>.</w:t>
      </w:r>
    </w:p>
    <w:p w:rsidR="00C625C6" w:rsidRPr="00C66550" w:rsidRDefault="00C625C6" w:rsidP="00C625C6">
      <w:pPr>
        <w:pStyle w:val="BodyText"/>
      </w:pPr>
    </w:p>
    <w:p w:rsidR="00876B78" w:rsidRPr="00C66550" w:rsidRDefault="008567FF" w:rsidP="00C625C6">
      <w:pPr>
        <w:pStyle w:val="Heading2"/>
      </w:pPr>
      <w:bookmarkStart w:id="19" w:name="_Toc379466345"/>
      <w:r>
        <w:t>D</w:t>
      </w:r>
      <w:r w:rsidR="00876B78" w:rsidRPr="00C66550">
        <w:t xml:space="preserve">ata </w:t>
      </w:r>
      <w:r>
        <w:t>layout</w:t>
      </w:r>
      <w:bookmarkEnd w:id="19"/>
    </w:p>
    <w:p w:rsidR="00271A27" w:rsidRPr="00C66550" w:rsidRDefault="00876B78" w:rsidP="00876B78">
      <w:pPr>
        <w:pStyle w:val="BodyText"/>
      </w:pPr>
      <w:r w:rsidRPr="00C66550">
        <w:t xml:space="preserve">In the data </w:t>
      </w:r>
      <w:r w:rsidR="00271A27" w:rsidRPr="00C66550">
        <w:t>sections</w:t>
      </w:r>
      <w:r w:rsidRPr="00C66550">
        <w:t xml:space="preserve"> for Australia and for the states and territories</w:t>
      </w:r>
      <w:r w:rsidR="00271A27" w:rsidRPr="00C66550">
        <w:t xml:space="preserve"> </w:t>
      </w:r>
      <w:r w:rsidR="005D0A17" w:rsidRPr="00C66550">
        <w:t>(</w:t>
      </w:r>
      <w:r w:rsidR="0062001A" w:rsidRPr="00C66550">
        <w:fldChar w:fldCharType="begin"/>
      </w:r>
      <w:r w:rsidR="00736918" w:rsidRPr="00C66550">
        <w:instrText xml:space="preserve"> REF _Ref355276940 \r \h </w:instrText>
      </w:r>
      <w:r w:rsidR="0062001A" w:rsidRPr="00C66550">
        <w:fldChar w:fldCharType="separate"/>
      </w:r>
      <w:r w:rsidR="00D96003">
        <w:t>3</w:t>
      </w:r>
      <w:r w:rsidR="0062001A" w:rsidRPr="00C66550">
        <w:fldChar w:fldCharType="end"/>
      </w:r>
      <w:r w:rsidR="00736918" w:rsidRPr="00C66550">
        <w:t xml:space="preserve"> </w:t>
      </w:r>
      <w:r w:rsidR="005D0A17" w:rsidRPr="00C66550">
        <w:t>to</w:t>
      </w:r>
      <w:r w:rsidR="00736918" w:rsidRPr="00C66550">
        <w:t xml:space="preserve"> </w:t>
      </w:r>
      <w:r w:rsidR="0062001A" w:rsidRPr="00C66550">
        <w:fldChar w:fldCharType="begin"/>
      </w:r>
      <w:r w:rsidR="00736918" w:rsidRPr="00C66550">
        <w:instrText xml:space="preserve"> REF _Ref355040091 \r \h </w:instrText>
      </w:r>
      <w:r w:rsidR="0062001A" w:rsidRPr="00C66550">
        <w:fldChar w:fldCharType="separate"/>
      </w:r>
      <w:r w:rsidR="00D96003">
        <w:t>14</w:t>
      </w:r>
      <w:r w:rsidR="0062001A" w:rsidRPr="00C66550">
        <w:fldChar w:fldCharType="end"/>
      </w:r>
      <w:r w:rsidR="005D0A17" w:rsidRPr="00C66550">
        <w:t>)</w:t>
      </w:r>
      <w:r w:rsidRPr="00C66550">
        <w:t>, the 2010/11 data is presented first, followed by reporting and analysis of the trends in waste generation and management of waste for the 2006/07</w:t>
      </w:r>
      <w:r w:rsidR="004B1E3C" w:rsidRPr="00C66550">
        <w:t xml:space="preserve"> to 2</w:t>
      </w:r>
      <w:r w:rsidRPr="00C66550">
        <w:t xml:space="preserve">010/11 period. </w:t>
      </w:r>
    </w:p>
    <w:p w:rsidR="00271A27" w:rsidRPr="00C66550" w:rsidRDefault="00271A27" w:rsidP="00876B78">
      <w:pPr>
        <w:pStyle w:val="BodyText"/>
      </w:pPr>
    </w:p>
    <w:p w:rsidR="00876B78" w:rsidRPr="00C66550" w:rsidRDefault="00AB0337" w:rsidP="00876B78">
      <w:pPr>
        <w:pStyle w:val="BodyText"/>
      </w:pPr>
      <w:r w:rsidRPr="00C66550">
        <w:t>The</w:t>
      </w:r>
      <w:r w:rsidR="00876B78" w:rsidRPr="00C66550">
        <w:t xml:space="preserve"> 2010/11 </w:t>
      </w:r>
      <w:r w:rsidR="00E70CEC" w:rsidRPr="00C66550">
        <w:t>data is presented</w:t>
      </w:r>
      <w:r w:rsidR="00985D11" w:rsidRPr="00C66550">
        <w:t xml:space="preserve"> as follows</w:t>
      </w:r>
      <w:r w:rsidR="00E70CEC" w:rsidRPr="00C66550">
        <w:t>.</w:t>
      </w:r>
    </w:p>
    <w:p w:rsidR="00876B78" w:rsidRPr="00C66550" w:rsidRDefault="00876B78" w:rsidP="00876B78">
      <w:pPr>
        <w:pStyle w:val="ListNumber"/>
      </w:pPr>
      <w:r w:rsidRPr="00C66550">
        <w:t>Per capita and total tonnage data. This outlines how much waste the jurisdiction generate</w:t>
      </w:r>
      <w:r w:rsidR="00AB0337" w:rsidRPr="00C66550">
        <w:t>d</w:t>
      </w:r>
      <w:r w:rsidRPr="00C66550">
        <w:t xml:space="preserve"> in per person</w:t>
      </w:r>
      <w:r w:rsidR="00985D11" w:rsidRPr="00C66550">
        <w:t xml:space="preserve"> and in total</w:t>
      </w:r>
      <w:r w:rsidRPr="00C66550">
        <w:t>, and provides data on the management of the waste materials (i.e. was it recycled, recovered for energy or disposed).</w:t>
      </w:r>
    </w:p>
    <w:p w:rsidR="00876B78" w:rsidRPr="00C66550" w:rsidRDefault="00876B78" w:rsidP="00876B78">
      <w:pPr>
        <w:pStyle w:val="ListNumber"/>
      </w:pPr>
      <w:r w:rsidRPr="00C66550">
        <w:t xml:space="preserve">Waste stream data. This summarises the sources of waste, i.e. the amount derived from </w:t>
      </w:r>
      <w:r w:rsidR="00B611AB">
        <w:t>MSW</w:t>
      </w:r>
      <w:r w:rsidRPr="00C66550">
        <w:t>,</w:t>
      </w:r>
      <w:r w:rsidR="00AB0337" w:rsidRPr="00C66550">
        <w:t xml:space="preserve"> </w:t>
      </w:r>
      <w:r w:rsidRPr="00C66550">
        <w:t>C&amp;I or</w:t>
      </w:r>
      <w:r w:rsidR="00AB0337" w:rsidRPr="00C66550">
        <w:t xml:space="preserve"> </w:t>
      </w:r>
      <w:r w:rsidRPr="00C66550">
        <w:t xml:space="preserve">C&amp;D activities. </w:t>
      </w:r>
    </w:p>
    <w:p w:rsidR="00876B78" w:rsidRPr="00C66550" w:rsidRDefault="00876B78" w:rsidP="00876B78">
      <w:pPr>
        <w:pStyle w:val="ListNumber"/>
      </w:pPr>
      <w:bookmarkStart w:id="20" w:name="_Ref354658303"/>
      <w:r w:rsidRPr="00C66550">
        <w:t>Material category data and analysis. This presents the amounts of the main materials (i.e. metal, plastic, organics, etc.) that make up the generated waste.</w:t>
      </w:r>
      <w:bookmarkEnd w:id="20"/>
      <w:r w:rsidRPr="00C66550">
        <w:t xml:space="preserve"> </w:t>
      </w:r>
    </w:p>
    <w:p w:rsidR="00A57643" w:rsidRPr="00C66550" w:rsidRDefault="00876B78" w:rsidP="00876B78">
      <w:pPr>
        <w:pStyle w:val="ListNumber"/>
      </w:pPr>
      <w:r w:rsidRPr="00C66550">
        <w:t xml:space="preserve">Waste reuse data (where available). Where waste reuse data has been provided by the jurisdiction, it is included as a total tonnage only (see </w:t>
      </w:r>
      <w:r w:rsidR="00271A27" w:rsidRPr="00C66550">
        <w:t xml:space="preserve">section </w:t>
      </w:r>
      <w:fldSimple w:instr=" REF _Ref348713393 \r \h  \* MERGEFORMAT ">
        <w:r w:rsidR="00D96003">
          <w:t>22</w:t>
        </w:r>
      </w:fldSimple>
      <w:r w:rsidR="00271A27" w:rsidRPr="00C66550">
        <w:t xml:space="preserve"> for further discussion</w:t>
      </w:r>
      <w:r w:rsidRPr="00C66550">
        <w:t xml:space="preserve">). </w:t>
      </w:r>
    </w:p>
    <w:p w:rsidR="00C625C6" w:rsidRPr="00C66550" w:rsidRDefault="00C625C6" w:rsidP="00C625C6">
      <w:pPr>
        <w:pStyle w:val="BodyText"/>
      </w:pPr>
    </w:p>
    <w:p w:rsidR="00044953" w:rsidRPr="00C66550" w:rsidRDefault="00044953" w:rsidP="00C625C6">
      <w:pPr>
        <w:pStyle w:val="BodyText"/>
      </w:pPr>
      <w:r w:rsidRPr="00C66550">
        <w:t>Where appropriate</w:t>
      </w:r>
      <w:r w:rsidR="00AB0337" w:rsidRPr="00C66550">
        <w:t>,</w:t>
      </w:r>
      <w:r w:rsidRPr="00C66550">
        <w:t xml:space="preserve"> the resource recovery rate is included in charts as a percentage figure above the relevant data. </w:t>
      </w:r>
      <w:r w:rsidR="00AB0337" w:rsidRPr="00C66550">
        <w:t>Figures</w:t>
      </w:r>
      <w:r w:rsidRPr="00C66550">
        <w:t xml:space="preserve"> exclude data on fly ash (the waste from burning coal) except where stated in the chart headings. This applies to total and per capita tonnage figures and in the material category figures for all jurisdictions. This </w:t>
      </w:r>
      <w:r w:rsidR="00AB0337" w:rsidRPr="00C66550">
        <w:t>conforms to</w:t>
      </w:r>
      <w:r w:rsidRPr="00C66550">
        <w:t xml:space="preserve"> the agreed method of reporting fly ash separately. </w:t>
      </w:r>
    </w:p>
    <w:p w:rsidR="00C625C6" w:rsidRPr="00C66550" w:rsidRDefault="00C625C6" w:rsidP="00C625C6">
      <w:pPr>
        <w:pStyle w:val="BodyText"/>
      </w:pPr>
    </w:p>
    <w:p w:rsidR="00044953" w:rsidRPr="00C66550" w:rsidRDefault="00044953" w:rsidP="00C625C6">
      <w:pPr>
        <w:pStyle w:val="BodyText"/>
      </w:pPr>
      <w:r w:rsidRPr="00C66550">
        <w:t xml:space="preserve">Section </w:t>
      </w:r>
      <w:fldSimple w:instr=" REF _Ref355040091 \r \h  \* MERGEFORMAT ">
        <w:r w:rsidR="00D96003">
          <w:t>14</w:t>
        </w:r>
      </w:fldSimple>
      <w:r w:rsidRPr="00C66550">
        <w:t xml:space="preserve"> tabulates the 2010/11 data set for each jurisdiction with as much detail as the input data allow. The full data set is included in the accompanying Microsoft Excel workbooks. </w:t>
      </w:r>
    </w:p>
    <w:p w:rsidR="00A57643" w:rsidRPr="00C66550" w:rsidRDefault="00A57643" w:rsidP="00C625C6">
      <w:pPr>
        <w:pStyle w:val="BodyText"/>
      </w:pPr>
    </w:p>
    <w:p w:rsidR="00E65FBA" w:rsidRPr="00C66550" w:rsidRDefault="00730532" w:rsidP="006D25F9">
      <w:pPr>
        <w:pStyle w:val="Heading2"/>
      </w:pPr>
      <w:bookmarkStart w:id="21" w:name="_Toc379466346"/>
      <w:r w:rsidRPr="00C66550">
        <w:t>D</w:t>
      </w:r>
      <w:r w:rsidR="00E65FBA" w:rsidRPr="00C66550">
        <w:t>ata reliability</w:t>
      </w:r>
      <w:bookmarkEnd w:id="21"/>
    </w:p>
    <w:p w:rsidR="001A06AB" w:rsidRPr="00C66550" w:rsidRDefault="00E65FBA" w:rsidP="00876B78">
      <w:pPr>
        <w:pStyle w:val="BodyText"/>
      </w:pPr>
      <w:r w:rsidRPr="00C66550">
        <w:t xml:space="preserve">Waste data </w:t>
      </w:r>
      <w:r w:rsidR="00730532" w:rsidRPr="00C66550">
        <w:t>are</w:t>
      </w:r>
      <w:r w:rsidRPr="00C66550">
        <w:t xml:space="preserve"> often difficult and expensive to collect, and the requirements, scope and mechanisms for collection and reporting vary across the various jurisdictions, industries and management routes drawn upon for this work. </w:t>
      </w:r>
      <w:r w:rsidR="001A06AB" w:rsidRPr="00C66550">
        <w:t>Data on the composition of waste to landfill, in particular, are estimated largely on the basis of periodic audits at a few landfills in various jurisdictions.</w:t>
      </w:r>
    </w:p>
    <w:p w:rsidR="001A06AB" w:rsidRPr="00C66550" w:rsidRDefault="001A06AB" w:rsidP="00876B78">
      <w:pPr>
        <w:pStyle w:val="BodyText"/>
      </w:pPr>
    </w:p>
    <w:p w:rsidR="001A06AB" w:rsidRPr="00C66550" w:rsidRDefault="00E65FBA" w:rsidP="00876B78">
      <w:pPr>
        <w:pStyle w:val="BodyText"/>
      </w:pPr>
      <w:r w:rsidRPr="00C66550">
        <w:t>In recognition of these limitations</w:t>
      </w:r>
      <w:r w:rsidR="00AB0337" w:rsidRPr="00C66550">
        <w:t>,</w:t>
      </w:r>
      <w:r w:rsidRPr="00C66550">
        <w:t xml:space="preserve"> most of the data are presented to </w:t>
      </w:r>
      <w:r w:rsidR="00AB0337" w:rsidRPr="00C66550">
        <w:t xml:space="preserve">only </w:t>
      </w:r>
      <w:r w:rsidR="00E4645F" w:rsidRPr="00C66550">
        <w:t>two</w:t>
      </w:r>
      <w:r w:rsidR="00C625C6" w:rsidRPr="00C66550">
        <w:t xml:space="preserve"> or three</w:t>
      </w:r>
      <w:r w:rsidRPr="00C66550">
        <w:t xml:space="preserve"> significant figures. </w:t>
      </w:r>
    </w:p>
    <w:p w:rsidR="001A06AB" w:rsidRPr="00C66550" w:rsidRDefault="001A06AB" w:rsidP="00876B78">
      <w:pPr>
        <w:pStyle w:val="BodyText"/>
      </w:pPr>
    </w:p>
    <w:p w:rsidR="00876B78" w:rsidRPr="00C66550" w:rsidRDefault="00C625C6" w:rsidP="00876B78">
      <w:pPr>
        <w:pStyle w:val="BodyText"/>
      </w:pPr>
      <w:r w:rsidRPr="00C66550">
        <w:lastRenderedPageBreak/>
        <w:t>T</w:t>
      </w:r>
      <w:r w:rsidR="00E65FBA" w:rsidRPr="00C66550">
        <w:t xml:space="preserve">he reliability of the data presented </w:t>
      </w:r>
      <w:r w:rsidR="001A06AB" w:rsidRPr="00C66550">
        <w:t>varies by jurisdiction</w:t>
      </w:r>
      <w:r w:rsidRPr="00C66550">
        <w:t>. A</w:t>
      </w:r>
      <w:r w:rsidR="00E65FBA" w:rsidRPr="00C66550">
        <w:t xml:space="preserve"> subjective assessment of the reliability of the data for each jurisdiction</w:t>
      </w:r>
      <w:r w:rsidR="001A06AB" w:rsidRPr="00C66550">
        <w:t xml:space="preserve"> is provided</w:t>
      </w:r>
      <w:r w:rsidRPr="00C66550">
        <w:t xml:space="preserve"> below</w:t>
      </w:r>
      <w:r w:rsidR="00E65FBA" w:rsidRPr="00C66550">
        <w:t xml:space="preserve"> in the categories ‘high’, ‘medium’ and ‘low’. </w:t>
      </w:r>
      <w:r w:rsidR="00876B78" w:rsidRPr="00C66550">
        <w:t>Th</w:t>
      </w:r>
      <w:r w:rsidR="00AB0337" w:rsidRPr="00C66550">
        <w:t>e categorisation</w:t>
      </w:r>
      <w:r w:rsidR="00876B78" w:rsidRPr="00C66550">
        <w:t xml:space="preserve"> was based on a range of considerations including: </w:t>
      </w:r>
    </w:p>
    <w:p w:rsidR="00876B78" w:rsidRPr="00C66550" w:rsidRDefault="00876B78" w:rsidP="00D66AA7">
      <w:pPr>
        <w:pStyle w:val="Bullet1"/>
      </w:pPr>
      <w:r w:rsidRPr="00C66550">
        <w:t>the extent to which the data obtained for the report covered the required waste categories, types and management routes across the jurisdiction</w:t>
      </w:r>
    </w:p>
    <w:p w:rsidR="00876B78" w:rsidRPr="00C66550" w:rsidRDefault="00876B78" w:rsidP="00D66AA7">
      <w:pPr>
        <w:pStyle w:val="Bullet1"/>
      </w:pPr>
      <w:r w:rsidRPr="00C66550">
        <w:t xml:space="preserve">the sizes of any gaps in the data provided </w:t>
      </w:r>
    </w:p>
    <w:p w:rsidR="00876B78" w:rsidRPr="00C66550" w:rsidRDefault="00876B78" w:rsidP="00D66AA7">
      <w:pPr>
        <w:pStyle w:val="Bullet1"/>
      </w:pPr>
      <w:r w:rsidRPr="00C66550">
        <w:t>the number of different data sources relied upon in this report to generate the required data</w:t>
      </w:r>
    </w:p>
    <w:p w:rsidR="00876B78" w:rsidRPr="00C66550" w:rsidRDefault="00AB0337" w:rsidP="00D66AA7">
      <w:pPr>
        <w:pStyle w:val="Bullet1"/>
      </w:pPr>
      <w:r w:rsidRPr="00C66550">
        <w:t>the project team’s</w:t>
      </w:r>
      <w:r w:rsidR="00876B78" w:rsidRPr="00C66550">
        <w:t xml:space="preserve"> understanding of the methods used to obtain the data that was provided</w:t>
      </w:r>
    </w:p>
    <w:p w:rsidR="00876B78" w:rsidRPr="00C66550" w:rsidRDefault="00876B78" w:rsidP="00D66AA7">
      <w:pPr>
        <w:pStyle w:val="Bullet1"/>
      </w:pPr>
      <w:r w:rsidRPr="00C66550">
        <w:t>the number and types of assumptions that needed to be made to complete the data set.</w:t>
      </w:r>
    </w:p>
    <w:p w:rsidR="00876B78" w:rsidRPr="00C66550" w:rsidRDefault="00876B78" w:rsidP="00876B78">
      <w:pPr>
        <w:pStyle w:val="BodyText"/>
        <w:tabs>
          <w:tab w:val="left" w:pos="3081"/>
        </w:tabs>
      </w:pPr>
      <w:r w:rsidRPr="00C66550">
        <w:tab/>
      </w:r>
    </w:p>
    <w:p w:rsidR="00876B78" w:rsidRPr="00C66550" w:rsidRDefault="00876B78" w:rsidP="00876B78">
      <w:pPr>
        <w:pStyle w:val="BodyText"/>
      </w:pPr>
      <w:r w:rsidRPr="00C66550">
        <w:t>The results of the assessment are</w:t>
      </w:r>
      <w:r w:rsidR="000656C5" w:rsidRPr="00C66550">
        <w:t xml:space="preserve"> shown in</w:t>
      </w:r>
      <w:r w:rsidRPr="00C66550">
        <w:t xml:space="preserve"> </w:t>
      </w:r>
      <w:r w:rsidR="0062001A" w:rsidRPr="00C66550">
        <w:fldChar w:fldCharType="begin"/>
      </w:r>
      <w:r w:rsidR="000656C5" w:rsidRPr="00C66550">
        <w:instrText xml:space="preserve"> REF _Ref360552599 \h </w:instrText>
      </w:r>
      <w:r w:rsidR="0062001A" w:rsidRPr="00C66550">
        <w:fldChar w:fldCharType="separate"/>
      </w:r>
      <w:r w:rsidR="00D96003" w:rsidRPr="00C66550">
        <w:t xml:space="preserve">Table </w:t>
      </w:r>
      <w:r w:rsidR="00D96003">
        <w:rPr>
          <w:noProof/>
        </w:rPr>
        <w:t>1</w:t>
      </w:r>
      <w:r w:rsidR="0062001A" w:rsidRPr="00C66550">
        <w:fldChar w:fldCharType="end"/>
      </w:r>
      <w:r w:rsidRPr="00C66550">
        <w:t xml:space="preserve"> below. The assessment should be taken into consideration when making use of the data outputs.</w:t>
      </w:r>
    </w:p>
    <w:p w:rsidR="00876B78" w:rsidRPr="00C66550" w:rsidRDefault="00876B78" w:rsidP="00876B78">
      <w:pPr>
        <w:spacing w:line="240" w:lineRule="auto"/>
        <w:rPr>
          <w:color w:val="080808"/>
          <w:sz w:val="22"/>
        </w:rPr>
      </w:pPr>
    </w:p>
    <w:p w:rsidR="00876B78" w:rsidRPr="00C66550" w:rsidRDefault="00876B78" w:rsidP="00FB4820">
      <w:pPr>
        <w:pStyle w:val="Figures"/>
      </w:pPr>
      <w:bookmarkStart w:id="22" w:name="_Ref360552599"/>
      <w:bookmarkStart w:id="23" w:name="_Toc365038845"/>
      <w:r w:rsidRPr="00C66550">
        <w:t xml:space="preserve">Table </w:t>
      </w:r>
      <w:r w:rsidR="0062001A" w:rsidRPr="00C66550">
        <w:fldChar w:fldCharType="begin"/>
      </w:r>
      <w:r w:rsidR="002E66B7" w:rsidRPr="00C66550">
        <w:instrText xml:space="preserve"> SEQ Table \* ARABIC </w:instrText>
      </w:r>
      <w:r w:rsidR="0062001A" w:rsidRPr="00C66550">
        <w:fldChar w:fldCharType="separate"/>
      </w:r>
      <w:r w:rsidR="00D96003">
        <w:rPr>
          <w:noProof/>
        </w:rPr>
        <w:t>1</w:t>
      </w:r>
      <w:r w:rsidR="0062001A" w:rsidRPr="00C66550">
        <w:rPr>
          <w:noProof/>
        </w:rPr>
        <w:fldChar w:fldCharType="end"/>
      </w:r>
      <w:bookmarkEnd w:id="22"/>
      <w:r w:rsidRPr="00C66550">
        <w:t>:</w:t>
      </w:r>
      <w:r w:rsidRPr="00C66550">
        <w:tab/>
      </w:r>
      <w:r w:rsidR="00964359" w:rsidRPr="00C66550">
        <w:t>Assessment of the data reliability in this report by jurisdiction</w:t>
      </w:r>
      <w:bookmarkEnd w:id="23"/>
    </w:p>
    <w:tbl>
      <w:tblPr>
        <w:tblStyle w:val="BETable1"/>
        <w:tblW w:w="6946" w:type="dxa"/>
        <w:tblLayout w:type="fixed"/>
        <w:tblLook w:val="04A0"/>
      </w:tblPr>
      <w:tblGrid>
        <w:gridCol w:w="3487"/>
        <w:gridCol w:w="3459"/>
      </w:tblGrid>
      <w:tr w:rsidR="00964359" w:rsidRPr="00C66550" w:rsidTr="00964359">
        <w:trPr>
          <w:cnfStyle w:val="100000000000"/>
        </w:trPr>
        <w:tc>
          <w:tcPr>
            <w:cnfStyle w:val="001000000000"/>
            <w:tcW w:w="3487" w:type="dxa"/>
            <w:tcBorders>
              <w:bottom w:val="single" w:sz="4" w:space="0" w:color="7F7F7F" w:themeColor="background2"/>
            </w:tcBorders>
          </w:tcPr>
          <w:p w:rsidR="00964359" w:rsidRPr="00C66550" w:rsidRDefault="00964359" w:rsidP="008765D4">
            <w:pPr>
              <w:pStyle w:val="BodyText"/>
              <w:rPr>
                <w:sz w:val="20"/>
                <w:szCs w:val="20"/>
              </w:rPr>
            </w:pPr>
            <w:r w:rsidRPr="00C66550">
              <w:rPr>
                <w:sz w:val="20"/>
                <w:szCs w:val="20"/>
              </w:rPr>
              <w:t xml:space="preserve">Data reliability assessment </w:t>
            </w:r>
          </w:p>
        </w:tc>
        <w:tc>
          <w:tcPr>
            <w:tcW w:w="3459" w:type="dxa"/>
            <w:tcBorders>
              <w:bottom w:val="single" w:sz="4" w:space="0" w:color="7F7F7F" w:themeColor="background2"/>
            </w:tcBorders>
            <w:vAlign w:val="bottom"/>
          </w:tcPr>
          <w:p w:rsidR="00964359" w:rsidRPr="00C66550" w:rsidRDefault="00964359" w:rsidP="008765D4">
            <w:pPr>
              <w:pStyle w:val="BodyText"/>
              <w:cnfStyle w:val="100000000000"/>
              <w:rPr>
                <w:sz w:val="20"/>
                <w:szCs w:val="20"/>
              </w:rPr>
            </w:pPr>
            <w:r w:rsidRPr="00C66550">
              <w:rPr>
                <w:sz w:val="20"/>
                <w:szCs w:val="20"/>
              </w:rPr>
              <w:t>Jurisdiction</w:t>
            </w:r>
          </w:p>
        </w:tc>
      </w:tr>
      <w:tr w:rsidR="00876B78" w:rsidRPr="00C66550" w:rsidTr="00964359">
        <w:tblPrEx>
          <w:tblCellMar>
            <w:top w:w="57" w:type="dxa"/>
            <w:bottom w:w="57" w:type="dxa"/>
          </w:tblCellMar>
        </w:tblPrEx>
        <w:tc>
          <w:tcPr>
            <w:cnfStyle w:val="001000000000"/>
            <w:tcW w:w="3487" w:type="dxa"/>
            <w:tcBorders>
              <w:bottom w:val="nil"/>
            </w:tcBorders>
          </w:tcPr>
          <w:p w:rsidR="00876B78" w:rsidRPr="00C66550" w:rsidRDefault="00876B78" w:rsidP="002D5386">
            <w:pPr>
              <w:pStyle w:val="BodyText"/>
              <w:rPr>
                <w:sz w:val="20"/>
                <w:szCs w:val="20"/>
              </w:rPr>
            </w:pPr>
            <w:r w:rsidRPr="00C66550">
              <w:rPr>
                <w:sz w:val="20"/>
                <w:szCs w:val="20"/>
              </w:rPr>
              <w:t>High</w:t>
            </w:r>
          </w:p>
        </w:tc>
        <w:tc>
          <w:tcPr>
            <w:tcW w:w="3459" w:type="dxa"/>
            <w:tcBorders>
              <w:bottom w:val="nil"/>
            </w:tcBorders>
            <w:vAlign w:val="bottom"/>
          </w:tcPr>
          <w:p w:rsidR="00876B78" w:rsidRPr="00C66550" w:rsidRDefault="00876B78" w:rsidP="002D5386">
            <w:pPr>
              <w:pStyle w:val="BodyText"/>
              <w:cnfStyle w:val="000000000000"/>
              <w:rPr>
                <w:sz w:val="20"/>
                <w:szCs w:val="20"/>
              </w:rPr>
            </w:pPr>
            <w:r w:rsidRPr="00C66550">
              <w:rPr>
                <w:sz w:val="20"/>
                <w:szCs w:val="20"/>
              </w:rPr>
              <w:t>ACT, NSW, Vic</w:t>
            </w:r>
          </w:p>
        </w:tc>
      </w:tr>
      <w:tr w:rsidR="00876B78" w:rsidRPr="00C66550" w:rsidTr="00964359">
        <w:tblPrEx>
          <w:tblCellMar>
            <w:top w:w="57" w:type="dxa"/>
            <w:bottom w:w="57" w:type="dxa"/>
          </w:tblCellMar>
        </w:tblPrEx>
        <w:tc>
          <w:tcPr>
            <w:cnfStyle w:val="001000000000"/>
            <w:tcW w:w="3487" w:type="dxa"/>
            <w:tcBorders>
              <w:top w:val="nil"/>
              <w:bottom w:val="nil"/>
            </w:tcBorders>
          </w:tcPr>
          <w:p w:rsidR="00876B78" w:rsidRPr="00C66550" w:rsidRDefault="00876B78" w:rsidP="002D5386">
            <w:pPr>
              <w:pStyle w:val="BodyText"/>
              <w:rPr>
                <w:sz w:val="20"/>
                <w:szCs w:val="20"/>
              </w:rPr>
            </w:pPr>
            <w:r w:rsidRPr="00C66550">
              <w:rPr>
                <w:sz w:val="20"/>
                <w:szCs w:val="20"/>
              </w:rPr>
              <w:t>Medium</w:t>
            </w:r>
          </w:p>
        </w:tc>
        <w:tc>
          <w:tcPr>
            <w:tcW w:w="3459" w:type="dxa"/>
            <w:tcBorders>
              <w:top w:val="nil"/>
              <w:bottom w:val="nil"/>
            </w:tcBorders>
            <w:vAlign w:val="bottom"/>
          </w:tcPr>
          <w:p w:rsidR="00876B78" w:rsidRPr="00C66550" w:rsidRDefault="00876B78" w:rsidP="002D5386">
            <w:pPr>
              <w:pStyle w:val="BodyText"/>
              <w:cnfStyle w:val="000000000000"/>
              <w:rPr>
                <w:sz w:val="20"/>
                <w:szCs w:val="20"/>
              </w:rPr>
            </w:pPr>
            <w:r w:rsidRPr="00C66550">
              <w:rPr>
                <w:sz w:val="20"/>
                <w:szCs w:val="20"/>
              </w:rPr>
              <w:t>Qld, SA, Tas, WA, Australia</w:t>
            </w:r>
          </w:p>
        </w:tc>
      </w:tr>
      <w:tr w:rsidR="00876B78" w:rsidRPr="00C66550" w:rsidTr="00964359">
        <w:tblPrEx>
          <w:tblCellMar>
            <w:top w:w="57" w:type="dxa"/>
            <w:bottom w:w="57" w:type="dxa"/>
          </w:tblCellMar>
        </w:tblPrEx>
        <w:tc>
          <w:tcPr>
            <w:cnfStyle w:val="001000000000"/>
            <w:tcW w:w="3487" w:type="dxa"/>
            <w:tcBorders>
              <w:top w:val="nil"/>
              <w:bottom w:val="single" w:sz="4" w:space="0" w:color="7F7F7F" w:themeColor="background2"/>
            </w:tcBorders>
          </w:tcPr>
          <w:p w:rsidR="00876B78" w:rsidRPr="00C66550" w:rsidRDefault="00876B78" w:rsidP="002D5386">
            <w:pPr>
              <w:pStyle w:val="BodyText"/>
              <w:rPr>
                <w:sz w:val="20"/>
                <w:szCs w:val="20"/>
              </w:rPr>
            </w:pPr>
            <w:r w:rsidRPr="00C66550">
              <w:rPr>
                <w:sz w:val="20"/>
                <w:szCs w:val="20"/>
              </w:rPr>
              <w:t>Low</w:t>
            </w:r>
          </w:p>
        </w:tc>
        <w:tc>
          <w:tcPr>
            <w:tcW w:w="3459" w:type="dxa"/>
            <w:tcBorders>
              <w:top w:val="nil"/>
              <w:bottom w:val="single" w:sz="4" w:space="0" w:color="7F7F7F" w:themeColor="background2"/>
            </w:tcBorders>
            <w:vAlign w:val="bottom"/>
          </w:tcPr>
          <w:p w:rsidR="00876B78" w:rsidRPr="00C66550" w:rsidRDefault="00876B78" w:rsidP="002D5386">
            <w:pPr>
              <w:pStyle w:val="BodyText"/>
              <w:cnfStyle w:val="000000000000"/>
              <w:rPr>
                <w:sz w:val="20"/>
                <w:szCs w:val="20"/>
              </w:rPr>
            </w:pPr>
            <w:r w:rsidRPr="00C66550">
              <w:rPr>
                <w:sz w:val="20"/>
                <w:szCs w:val="20"/>
              </w:rPr>
              <w:t>NT</w:t>
            </w:r>
          </w:p>
        </w:tc>
      </w:tr>
    </w:tbl>
    <w:p w:rsidR="00876B78" w:rsidRPr="00C66550" w:rsidRDefault="00876B78" w:rsidP="002D5386">
      <w:pPr>
        <w:pStyle w:val="BodyText"/>
      </w:pPr>
    </w:p>
    <w:p w:rsidR="000656C5" w:rsidRPr="00C66550" w:rsidRDefault="000656C5" w:rsidP="002D5386">
      <w:pPr>
        <w:pStyle w:val="BodyText"/>
      </w:pPr>
      <w:r w:rsidRPr="00C66550">
        <w:t xml:space="preserve">The quality of the jurisdictional data used in the report </w:t>
      </w:r>
      <w:r w:rsidR="001A06AB" w:rsidRPr="00C66550">
        <w:t>was</w:t>
      </w:r>
      <w:r w:rsidRPr="00C66550">
        <w:t xml:space="preserve"> often not </w:t>
      </w:r>
      <w:r w:rsidR="001A06AB" w:rsidRPr="00C66550">
        <w:t>apparent to</w:t>
      </w:r>
      <w:r w:rsidRPr="00C66550">
        <w:t xml:space="preserve"> the project team and not well reported by the jurisdictions, and therefore does not strongly influence the </w:t>
      </w:r>
      <w:r w:rsidR="001A06AB" w:rsidRPr="00C66550">
        <w:t xml:space="preserve">above </w:t>
      </w:r>
      <w:r w:rsidRPr="00C66550">
        <w:t xml:space="preserve">assessment. NSW produces an assessment of its input data quality, which could potentially be drawn upon as a template for other jurisdictions. The </w:t>
      </w:r>
      <w:r w:rsidRPr="00C66550">
        <w:rPr>
          <w:i/>
        </w:rPr>
        <w:t xml:space="preserve">Quality Declaration – Waste Avoidance and Resource Recovery (WARR) Strategy - recycling rates </w:t>
      </w:r>
      <w:r w:rsidRPr="00C66550">
        <w:t>is reproduced in Appendix A.</w:t>
      </w:r>
    </w:p>
    <w:p w:rsidR="000656C5" w:rsidRPr="00C66550" w:rsidRDefault="000656C5" w:rsidP="002D5386">
      <w:pPr>
        <w:pStyle w:val="BodyText"/>
      </w:pPr>
    </w:p>
    <w:p w:rsidR="00044953" w:rsidRPr="00C66550" w:rsidRDefault="004C559C" w:rsidP="006D25F9">
      <w:pPr>
        <w:pStyle w:val="Heading2"/>
      </w:pPr>
      <w:bookmarkStart w:id="24" w:name="_Toc379466347"/>
      <w:r w:rsidRPr="00C66550">
        <w:t xml:space="preserve">Other notes </w:t>
      </w:r>
      <w:r w:rsidR="005B3EFA" w:rsidRPr="00C66550">
        <w:t>on</w:t>
      </w:r>
      <w:r w:rsidRPr="00C66550">
        <w:t xml:space="preserve"> </w:t>
      </w:r>
      <w:r w:rsidR="005E5CEF">
        <w:t>the</w:t>
      </w:r>
      <w:r w:rsidR="00044953" w:rsidRPr="00C66550">
        <w:t xml:space="preserve"> data</w:t>
      </w:r>
      <w:bookmarkEnd w:id="24"/>
    </w:p>
    <w:p w:rsidR="00044953" w:rsidRPr="00C66550" w:rsidRDefault="004C559C" w:rsidP="000656C5">
      <w:pPr>
        <w:pStyle w:val="BodyText"/>
      </w:pPr>
      <w:r w:rsidRPr="00C66550">
        <w:t>I</w:t>
      </w:r>
      <w:r w:rsidR="00044953" w:rsidRPr="00C66550">
        <w:t xml:space="preserve">t is important to note that the data in this report will not always reconcile with </w:t>
      </w:r>
      <w:r w:rsidRPr="00C66550">
        <w:t xml:space="preserve">publically </w:t>
      </w:r>
      <w:r w:rsidR="00044953" w:rsidRPr="00C66550">
        <w:t xml:space="preserve">reported data </w:t>
      </w:r>
      <w:r w:rsidR="008F790C" w:rsidRPr="00C66550">
        <w:t xml:space="preserve">from </w:t>
      </w:r>
      <w:r w:rsidR="00044953" w:rsidRPr="00C66550">
        <w:t xml:space="preserve">the </w:t>
      </w:r>
      <w:r w:rsidRPr="00C66550">
        <w:t>states and territories</w:t>
      </w:r>
      <w:r w:rsidR="00044953" w:rsidRPr="00C66550">
        <w:t xml:space="preserve">. The differences </w:t>
      </w:r>
      <w:r w:rsidR="008F790C" w:rsidRPr="00C66550">
        <w:t xml:space="preserve">in data </w:t>
      </w:r>
      <w:r w:rsidR="000656C5" w:rsidRPr="00C66550">
        <w:t>result from differences in</w:t>
      </w:r>
      <w:r w:rsidR="00044953" w:rsidRPr="00C66550">
        <w:t xml:space="preserve"> scope, method of compilation, and assumptions.</w:t>
      </w:r>
      <w:r w:rsidRPr="00C66550">
        <w:t xml:space="preserve"> This report and the accompanying workbooks </w:t>
      </w:r>
      <w:r w:rsidR="000656C5" w:rsidRPr="00C66550">
        <w:t xml:space="preserve">are intended to </w:t>
      </w:r>
      <w:r w:rsidRPr="00C66550">
        <w:t>provide transparen</w:t>
      </w:r>
      <w:r w:rsidR="000656C5" w:rsidRPr="00C66550">
        <w:t>cy so that differences between the reported data sets can be reconciled if necessary.</w:t>
      </w:r>
      <w:r w:rsidRPr="00C66550">
        <w:t xml:space="preserve"> </w:t>
      </w:r>
    </w:p>
    <w:p w:rsidR="000656C5" w:rsidRPr="00C66550" w:rsidRDefault="000656C5" w:rsidP="000656C5">
      <w:pPr>
        <w:pStyle w:val="BodyText"/>
      </w:pPr>
    </w:p>
    <w:p w:rsidR="000656C5" w:rsidRPr="00C66550" w:rsidRDefault="00044953" w:rsidP="000656C5">
      <w:pPr>
        <w:pStyle w:val="BodyText"/>
      </w:pPr>
      <w:r w:rsidRPr="00C66550">
        <w:t>During consultation with the states and territories</w:t>
      </w:r>
      <w:r w:rsidR="008F790C" w:rsidRPr="00C66550">
        <w:t>,</w:t>
      </w:r>
      <w:r w:rsidRPr="00C66550">
        <w:t xml:space="preserve"> the inclusion or exclusion of waste arising from ‘natural disasters’ (such as major floods of fires) was discussed. All jurisdictions </w:t>
      </w:r>
      <w:r w:rsidR="000656C5" w:rsidRPr="00C66550">
        <w:t>confirmed</w:t>
      </w:r>
      <w:r w:rsidRPr="00C66550">
        <w:t xml:space="preserve"> that the data </w:t>
      </w:r>
      <w:r w:rsidR="000656C5" w:rsidRPr="00C66550">
        <w:t>used in this report</w:t>
      </w:r>
      <w:r w:rsidRPr="00C66550">
        <w:t xml:space="preserve"> included</w:t>
      </w:r>
      <w:r w:rsidR="005B3EFA" w:rsidRPr="00C66550">
        <w:t xml:space="preserve"> waste from</w:t>
      </w:r>
      <w:r w:rsidRPr="00C66550">
        <w:t xml:space="preserve"> natural disaster</w:t>
      </w:r>
      <w:r w:rsidR="005B3EFA" w:rsidRPr="00C66550">
        <w:t>s</w:t>
      </w:r>
      <w:r w:rsidRPr="00C66550">
        <w:t xml:space="preserve">. Most </w:t>
      </w:r>
      <w:r w:rsidR="005B3EFA" w:rsidRPr="00C66550">
        <w:t>stated</w:t>
      </w:r>
      <w:r w:rsidRPr="00C66550">
        <w:t xml:space="preserve"> that </w:t>
      </w:r>
      <w:r w:rsidR="005B3EFA" w:rsidRPr="00C66550">
        <w:t>waste from</w:t>
      </w:r>
      <w:r w:rsidRPr="00C66550">
        <w:t xml:space="preserve"> natural disaster</w:t>
      </w:r>
      <w:r w:rsidR="005B3EFA" w:rsidRPr="00C66550">
        <w:t>s</w:t>
      </w:r>
      <w:r w:rsidRPr="00C66550">
        <w:t xml:space="preserve"> could be accounted for separately as it is exempt from landfill levy </w:t>
      </w:r>
      <w:r w:rsidR="008F790C" w:rsidRPr="00C66550">
        <w:t>(</w:t>
      </w:r>
      <w:r w:rsidRPr="00C66550">
        <w:t>which requires landfill operators to account for the waste separately</w:t>
      </w:r>
      <w:r w:rsidR="008F790C" w:rsidRPr="00C66550">
        <w:t>)</w:t>
      </w:r>
      <w:r w:rsidRPr="00C66550">
        <w:t>.</w:t>
      </w:r>
    </w:p>
    <w:p w:rsidR="000656C5" w:rsidRPr="00C66550" w:rsidRDefault="000656C5" w:rsidP="000656C5">
      <w:pPr>
        <w:pStyle w:val="BodyText"/>
      </w:pPr>
    </w:p>
    <w:p w:rsidR="000656C5" w:rsidRPr="00C66550" w:rsidRDefault="005B3EFA" w:rsidP="000656C5">
      <w:pPr>
        <w:pStyle w:val="BodyText"/>
      </w:pPr>
      <w:r w:rsidRPr="00C66550">
        <w:t>Conclusions should not be drawn about the performance of jurisdictions over time nor comparisons made between jurisdictions without a firm understanding of local circumstances</w:t>
      </w:r>
      <w:r w:rsidR="00044953" w:rsidRPr="00C66550">
        <w:t>.</w:t>
      </w:r>
      <w:r w:rsidR="00E5424C" w:rsidRPr="00C66550">
        <w:t xml:space="preserve"> </w:t>
      </w:r>
      <w:r w:rsidR="00297FDD" w:rsidRPr="00C66550">
        <w:t>For exa</w:t>
      </w:r>
      <w:r w:rsidRPr="00C66550">
        <w:t xml:space="preserve">mple: </w:t>
      </w:r>
      <w:r w:rsidR="000E10BC" w:rsidRPr="00C66550">
        <w:t xml:space="preserve">garden </w:t>
      </w:r>
      <w:r w:rsidR="00297FDD" w:rsidRPr="00C66550">
        <w:t>organic</w:t>
      </w:r>
      <w:r w:rsidR="000E10BC" w:rsidRPr="00C66550">
        <w:t>s tonnages can change significantly</w:t>
      </w:r>
      <w:r w:rsidRPr="00C66550">
        <w:t xml:space="preserve"> over time and between jurisdictions</w:t>
      </w:r>
      <w:r w:rsidR="000E10BC" w:rsidRPr="00C66550">
        <w:t xml:space="preserve"> due to </w:t>
      </w:r>
      <w:r w:rsidRPr="00C66550">
        <w:t xml:space="preserve">rainfall; commercial waste profiles can vary between </w:t>
      </w:r>
      <w:r w:rsidR="00C66550" w:rsidRPr="00C66550">
        <w:t>jurisdictions</w:t>
      </w:r>
      <w:r w:rsidRPr="00C66550">
        <w:t xml:space="preserve"> depending on the industries present; and the viability of recycling a material can vary depending on the distance from the point of generation and the main markets for the collected materials.</w:t>
      </w:r>
    </w:p>
    <w:p w:rsidR="000656C5" w:rsidRPr="00C66550" w:rsidRDefault="000656C5" w:rsidP="005B3EFA">
      <w:pPr>
        <w:pStyle w:val="BodyText"/>
        <w:tabs>
          <w:tab w:val="left" w:pos="4019"/>
        </w:tabs>
      </w:pPr>
    </w:p>
    <w:p w:rsidR="00A65BB6" w:rsidRPr="00C66550" w:rsidRDefault="005E5CEF" w:rsidP="006D25F9">
      <w:pPr>
        <w:pStyle w:val="Heading1"/>
      </w:pPr>
      <w:bookmarkStart w:id="25" w:name="_Toc379466348"/>
      <w:bookmarkStart w:id="26" w:name="_Ref348975624"/>
      <w:r>
        <w:t>Waste data c</w:t>
      </w:r>
      <w:r w:rsidR="00A65BB6" w:rsidRPr="00C66550">
        <w:t>ontext</w:t>
      </w:r>
      <w:bookmarkEnd w:id="25"/>
      <w:r w:rsidR="00A65BB6" w:rsidRPr="00C66550">
        <w:t xml:space="preserve"> </w:t>
      </w:r>
      <w:bookmarkEnd w:id="26"/>
    </w:p>
    <w:p w:rsidR="00FC2698" w:rsidRPr="00C66550" w:rsidRDefault="00445864" w:rsidP="00FC2698">
      <w:pPr>
        <w:pStyle w:val="BodyText"/>
      </w:pPr>
      <w:r w:rsidRPr="00C66550">
        <w:lastRenderedPageBreak/>
        <w:t>S</w:t>
      </w:r>
      <w:r w:rsidR="00CD5F2C" w:rsidRPr="00C66550">
        <w:t>everal macro</w:t>
      </w:r>
      <w:r w:rsidR="009B1091" w:rsidRPr="00C66550">
        <w:t xml:space="preserve"> level</w:t>
      </w:r>
      <w:r w:rsidR="00CD5F2C" w:rsidRPr="00C66550">
        <w:t xml:space="preserve"> social and economic factors</w:t>
      </w:r>
      <w:r w:rsidRPr="00C66550">
        <w:t xml:space="preserve"> </w:t>
      </w:r>
      <w:r w:rsidR="009B1091" w:rsidRPr="00C66550">
        <w:t>influence</w:t>
      </w:r>
      <w:r w:rsidR="00CD5F2C" w:rsidRPr="00C66550">
        <w:t xml:space="preserve"> </w:t>
      </w:r>
      <w:r w:rsidR="009B1091" w:rsidRPr="00C66550">
        <w:t xml:space="preserve">the waste data of </w:t>
      </w:r>
      <w:r w:rsidR="00CD5F2C" w:rsidRPr="00C66550">
        <w:t>Australia’s jurisdictions</w:t>
      </w:r>
      <w:r w:rsidR="009B1091" w:rsidRPr="00C66550">
        <w:t>. These factors are listed below and considered further in this section</w:t>
      </w:r>
      <w:r w:rsidR="00CD5F2C" w:rsidRPr="00C66550">
        <w:t>:</w:t>
      </w:r>
    </w:p>
    <w:p w:rsidR="00CD5F2C" w:rsidRPr="00C66550" w:rsidRDefault="009B1091" w:rsidP="009B1091">
      <w:pPr>
        <w:pStyle w:val="Bullet1"/>
        <w:numPr>
          <w:ilvl w:val="0"/>
          <w:numId w:val="37"/>
        </w:numPr>
        <w:spacing w:before="0"/>
      </w:pPr>
      <w:r w:rsidRPr="00C66550">
        <w:t>P</w:t>
      </w:r>
      <w:r w:rsidR="00CD5F2C" w:rsidRPr="00C66550">
        <w:t>opulation</w:t>
      </w:r>
      <w:r w:rsidRPr="00C66550">
        <w:t xml:space="preserve"> – actual </w:t>
      </w:r>
      <w:r w:rsidR="00CD5F2C" w:rsidRPr="00C66550">
        <w:t xml:space="preserve">and rates of </w:t>
      </w:r>
      <w:r w:rsidRPr="00C66550">
        <w:t>growth over the review period.</w:t>
      </w:r>
    </w:p>
    <w:p w:rsidR="00CD5F2C" w:rsidRPr="00C66550" w:rsidRDefault="009B1091" w:rsidP="009B1091">
      <w:pPr>
        <w:pStyle w:val="Bullet1"/>
        <w:numPr>
          <w:ilvl w:val="0"/>
          <w:numId w:val="37"/>
        </w:numPr>
        <w:spacing w:before="0"/>
      </w:pPr>
      <w:r w:rsidRPr="00C66550">
        <w:t>E</w:t>
      </w:r>
      <w:r w:rsidR="00CD5F2C" w:rsidRPr="00C66550">
        <w:t xml:space="preserve">conomic activity </w:t>
      </w:r>
      <w:r w:rsidRPr="00C66550">
        <w:t xml:space="preserve">– actual </w:t>
      </w:r>
      <w:r w:rsidR="00CD5F2C" w:rsidRPr="00C66550">
        <w:t xml:space="preserve">and changes </w:t>
      </w:r>
      <w:r w:rsidRPr="00C66550">
        <w:t>over the review period.</w:t>
      </w:r>
    </w:p>
    <w:p w:rsidR="009F2D0A" w:rsidRPr="00C66550" w:rsidRDefault="009B1091" w:rsidP="009B1091">
      <w:pPr>
        <w:pStyle w:val="Bullet1"/>
        <w:numPr>
          <w:ilvl w:val="0"/>
          <w:numId w:val="37"/>
        </w:numPr>
        <w:spacing w:before="0"/>
      </w:pPr>
      <w:r w:rsidRPr="00C66550">
        <w:t>A</w:t>
      </w:r>
      <w:r w:rsidR="009F2D0A" w:rsidRPr="00C66550">
        <w:t>verage income per capita</w:t>
      </w:r>
      <w:r w:rsidRPr="00C66550">
        <w:t>.</w:t>
      </w:r>
    </w:p>
    <w:p w:rsidR="00CD5F2C" w:rsidRPr="00C66550" w:rsidRDefault="005250AE" w:rsidP="009B1091">
      <w:pPr>
        <w:pStyle w:val="Bullet1"/>
        <w:numPr>
          <w:ilvl w:val="0"/>
          <w:numId w:val="37"/>
        </w:numPr>
        <w:spacing w:before="0"/>
      </w:pPr>
      <w:r w:rsidRPr="00C66550">
        <w:t>Urbanisation, expressed by the proportions of the p</w:t>
      </w:r>
      <w:r w:rsidR="009B1091" w:rsidRPr="00C66550">
        <w:t>opulation living in metropolitan and regional areas</w:t>
      </w:r>
      <w:r w:rsidR="00CD5F2C" w:rsidRPr="00C66550">
        <w:t>.</w:t>
      </w:r>
    </w:p>
    <w:p w:rsidR="009607E7" w:rsidRPr="00C66550" w:rsidRDefault="009607E7" w:rsidP="00954D6F">
      <w:pPr>
        <w:pStyle w:val="BodyText"/>
      </w:pPr>
    </w:p>
    <w:p w:rsidR="00CD5F2C" w:rsidRPr="00C66550" w:rsidRDefault="00102DF6" w:rsidP="00954D6F">
      <w:pPr>
        <w:pStyle w:val="BodyText"/>
      </w:pPr>
      <w:r w:rsidRPr="00C66550">
        <w:t xml:space="preserve">A jurisdiction’s </w:t>
      </w:r>
      <w:r w:rsidR="00ED16CE" w:rsidRPr="00C66550">
        <w:t>waste management</w:t>
      </w:r>
      <w:r w:rsidRPr="00C66550">
        <w:t xml:space="preserve"> is also affected by </w:t>
      </w:r>
      <w:r w:rsidR="00ED16CE" w:rsidRPr="00C66550">
        <w:t>policy</w:t>
      </w:r>
      <w:r w:rsidR="00AC42F0" w:rsidRPr="00C66550">
        <w:t xml:space="preserve"> measures and the availability of </w:t>
      </w:r>
      <w:r w:rsidR="00373D0B" w:rsidRPr="00C66550">
        <w:t>recovery infrastructure</w:t>
      </w:r>
      <w:r w:rsidR="009B1091" w:rsidRPr="00C66550">
        <w:t xml:space="preserve"> (see </w:t>
      </w:r>
      <w:r w:rsidR="00290EE6" w:rsidRPr="00C66550">
        <w:t>section</w:t>
      </w:r>
      <w:r w:rsidR="009B1091" w:rsidRPr="00C66550">
        <w:t>s</w:t>
      </w:r>
      <w:r w:rsidR="00EC6D7D" w:rsidRPr="00C66550">
        <w:t xml:space="preserve"> </w:t>
      </w:r>
      <w:r w:rsidR="0062001A" w:rsidRPr="00C66550">
        <w:fldChar w:fldCharType="begin"/>
      </w:r>
      <w:r w:rsidR="00EC6D7D" w:rsidRPr="00C66550">
        <w:instrText xml:space="preserve"> REF _Ref349636179 \r \h </w:instrText>
      </w:r>
      <w:r w:rsidR="0062001A" w:rsidRPr="00C66550">
        <w:fldChar w:fldCharType="separate"/>
      </w:r>
      <w:r w:rsidR="00D96003">
        <w:t>18</w:t>
      </w:r>
      <w:r w:rsidR="0062001A" w:rsidRPr="00C66550">
        <w:fldChar w:fldCharType="end"/>
      </w:r>
      <w:r w:rsidR="00290EE6" w:rsidRPr="00C66550">
        <w:t xml:space="preserve"> and </w:t>
      </w:r>
      <w:r w:rsidR="0062001A" w:rsidRPr="00C66550">
        <w:fldChar w:fldCharType="begin"/>
      </w:r>
      <w:r w:rsidR="00290EE6" w:rsidRPr="00C66550">
        <w:instrText xml:space="preserve"> REF _Ref354662589 \r \h </w:instrText>
      </w:r>
      <w:r w:rsidR="0062001A" w:rsidRPr="00C66550">
        <w:fldChar w:fldCharType="separate"/>
      </w:r>
      <w:r w:rsidR="00D96003">
        <w:t>19</w:t>
      </w:r>
      <w:r w:rsidR="0062001A" w:rsidRPr="00C66550">
        <w:fldChar w:fldCharType="end"/>
      </w:r>
      <w:r w:rsidR="009B1091" w:rsidRPr="00C66550">
        <w:t>)</w:t>
      </w:r>
      <w:r w:rsidR="009607E7" w:rsidRPr="00C66550">
        <w:t>.</w:t>
      </w:r>
      <w:r w:rsidR="00FF12A8" w:rsidRPr="00C66550">
        <w:t xml:space="preserve"> </w:t>
      </w:r>
    </w:p>
    <w:p w:rsidR="00954D6F" w:rsidRPr="00C66550" w:rsidRDefault="00954D6F" w:rsidP="00954D6F">
      <w:pPr>
        <w:pStyle w:val="BodyText"/>
      </w:pPr>
    </w:p>
    <w:p w:rsidR="005328E3" w:rsidRPr="00C66550" w:rsidRDefault="005328E3" w:rsidP="006D25F9">
      <w:pPr>
        <w:pStyle w:val="Heading2"/>
      </w:pPr>
      <w:bookmarkStart w:id="27" w:name="_Toc379466349"/>
      <w:r w:rsidRPr="00C66550">
        <w:t>Population</w:t>
      </w:r>
      <w:bookmarkEnd w:id="27"/>
    </w:p>
    <w:p w:rsidR="00164665" w:rsidRPr="00C66550" w:rsidRDefault="005328E3" w:rsidP="00954D6F">
      <w:pPr>
        <w:pStyle w:val="BodyText"/>
      </w:pPr>
      <w:r w:rsidRPr="00C66550">
        <w:t>The population of a jurisdiction has a direct impact on waste generation</w:t>
      </w:r>
      <w:r w:rsidR="0075173F" w:rsidRPr="00C66550">
        <w:t>.</w:t>
      </w:r>
      <w:r w:rsidR="00FF12A8" w:rsidRPr="00C66550">
        <w:t xml:space="preserve"> </w:t>
      </w:r>
      <w:r w:rsidR="0062001A" w:rsidRPr="00C66550">
        <w:fldChar w:fldCharType="begin"/>
      </w:r>
      <w:r w:rsidR="00164665" w:rsidRPr="00C66550">
        <w:instrText xml:space="preserve"> REF _Ref348709466 \h </w:instrText>
      </w:r>
      <w:r w:rsidR="0062001A" w:rsidRPr="00C66550">
        <w:fldChar w:fldCharType="separate"/>
      </w:r>
      <w:r w:rsidR="00D96003" w:rsidRPr="00C66550">
        <w:t xml:space="preserve">Figure </w:t>
      </w:r>
      <w:r w:rsidR="00D96003">
        <w:rPr>
          <w:noProof/>
        </w:rPr>
        <w:t>1</w:t>
      </w:r>
      <w:r w:rsidR="0062001A" w:rsidRPr="00C66550">
        <w:fldChar w:fldCharType="end"/>
      </w:r>
      <w:r w:rsidR="00164665" w:rsidRPr="00C66550">
        <w:t xml:space="preserve"> shows each </w:t>
      </w:r>
      <w:r w:rsidR="00192C44" w:rsidRPr="00C66550">
        <w:t>jurisdiction’s</w:t>
      </w:r>
      <w:r w:rsidR="00164665" w:rsidRPr="00C66550">
        <w:t xml:space="preserve"> population and </w:t>
      </w:r>
      <w:r w:rsidR="001C1F43" w:rsidRPr="00C66550">
        <w:t>its</w:t>
      </w:r>
      <w:r w:rsidR="00164665" w:rsidRPr="00C66550">
        <w:t xml:space="preserve"> increase from 2006/07</w:t>
      </w:r>
      <w:r w:rsidR="001C1F43" w:rsidRPr="00C66550">
        <w:t xml:space="preserve"> to </w:t>
      </w:r>
      <w:r w:rsidR="00164665" w:rsidRPr="00C66550">
        <w:t xml:space="preserve">2010/11. </w:t>
      </w:r>
      <w:r w:rsidR="00076F68" w:rsidRPr="00C66550">
        <w:t xml:space="preserve">New South Wales (NSW) has by far the largest population followed by Victoria (Vic), Queensland (Qld), Western Australia (WA), South Australia (SA), Tasmania (Tas), Australian Capital Territory (ACT) and Northern Territory (NT). </w:t>
      </w:r>
      <w:r w:rsidR="00164665" w:rsidRPr="00C66550">
        <w:t xml:space="preserve">WA has had the most significant increase in population since 2006/07 followed by NT, ACT, </w:t>
      </w:r>
      <w:r w:rsidR="00DF4FB7">
        <w:t>Qld</w:t>
      </w:r>
      <w:r w:rsidR="00164665" w:rsidRPr="00C66550">
        <w:t xml:space="preserve">, </w:t>
      </w:r>
      <w:r w:rsidR="00D85477">
        <w:t>Vic</w:t>
      </w:r>
      <w:r w:rsidR="00164665" w:rsidRPr="00C66550">
        <w:t xml:space="preserve">, NSW, SA, and </w:t>
      </w:r>
      <w:r w:rsidR="00DF4FB7">
        <w:t>Tas</w:t>
      </w:r>
      <w:r w:rsidR="00164665" w:rsidRPr="00C66550">
        <w:t>.</w:t>
      </w:r>
      <w:r w:rsidR="00D52AB2" w:rsidRPr="00C66550">
        <w:t xml:space="preserve"> </w:t>
      </w:r>
      <w:r w:rsidR="00A1799F" w:rsidRPr="00C66550">
        <w:t>O</w:t>
      </w:r>
      <w:r w:rsidR="00D52AB2" w:rsidRPr="00C66550">
        <w:t>verall</w:t>
      </w:r>
      <w:r w:rsidR="00A1799F" w:rsidRPr="00C66550">
        <w:t xml:space="preserve">, </w:t>
      </w:r>
      <w:r w:rsidR="00D52AB2" w:rsidRPr="00C66550">
        <w:t>Australia</w:t>
      </w:r>
      <w:r w:rsidR="00A1799F" w:rsidRPr="00C66550">
        <w:t>’s</w:t>
      </w:r>
      <w:r w:rsidR="00D52AB2" w:rsidRPr="00C66550">
        <w:t xml:space="preserve"> population gr</w:t>
      </w:r>
      <w:r w:rsidR="00A1799F" w:rsidRPr="00C66550">
        <w:t xml:space="preserve">ew by </w:t>
      </w:r>
      <w:r w:rsidR="00290EE6" w:rsidRPr="00C66550">
        <w:t xml:space="preserve">around </w:t>
      </w:r>
      <w:r w:rsidR="00A1799F" w:rsidRPr="00C66550">
        <w:t>6%</w:t>
      </w:r>
      <w:r w:rsidR="00D52AB2" w:rsidRPr="00C66550">
        <w:t xml:space="preserve"> over the period.</w:t>
      </w:r>
    </w:p>
    <w:p w:rsidR="005328E3" w:rsidRPr="00C66550" w:rsidRDefault="005328E3" w:rsidP="00954D6F">
      <w:pPr>
        <w:pStyle w:val="BodyText"/>
      </w:pPr>
    </w:p>
    <w:p w:rsidR="000E7E24" w:rsidRPr="00C66550" w:rsidRDefault="000E7E24" w:rsidP="00FB4820">
      <w:pPr>
        <w:pStyle w:val="Figures"/>
      </w:pPr>
      <w:bookmarkStart w:id="28" w:name="_Ref348709466"/>
      <w:bookmarkStart w:id="29" w:name="_Toc365385010"/>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1</w:t>
      </w:r>
      <w:r w:rsidR="0062001A" w:rsidRPr="00C66550">
        <w:rPr>
          <w:noProof/>
        </w:rPr>
        <w:fldChar w:fldCharType="end"/>
      </w:r>
      <w:bookmarkEnd w:id="28"/>
      <w:r w:rsidR="001B255A" w:rsidRPr="00C66550">
        <w:t>:</w:t>
      </w:r>
      <w:r w:rsidR="001B255A" w:rsidRPr="00C66550">
        <w:tab/>
      </w:r>
      <w:r w:rsidR="00594BEA" w:rsidRPr="00C66550">
        <w:t>P</w:t>
      </w:r>
      <w:r w:rsidRPr="00C66550">
        <w:t>opulation</w:t>
      </w:r>
      <w:r w:rsidR="00594BEA" w:rsidRPr="00C66550">
        <w:t xml:space="preserve"> growth by jurisdiction </w:t>
      </w:r>
      <w:bookmarkEnd w:id="29"/>
    </w:p>
    <w:p w:rsidR="001B255A" w:rsidRPr="00C66550" w:rsidRDefault="001B255A" w:rsidP="00FC2698">
      <w:pPr>
        <w:pStyle w:val="BodyText"/>
      </w:pPr>
    </w:p>
    <w:p w:rsidR="000E7E24" w:rsidRPr="00C66550" w:rsidRDefault="008E3D39" w:rsidP="00FC2698">
      <w:pPr>
        <w:pStyle w:val="BodyText"/>
      </w:pPr>
      <w:r w:rsidRPr="008E3D39">
        <w:rPr>
          <w:noProof/>
          <w:lang w:eastAsia="en-AU"/>
        </w:rPr>
        <w:drawing>
          <wp:inline distT="0" distB="0" distL="0" distR="0">
            <wp:extent cx="5061095" cy="2817627"/>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068916" cy="2821981"/>
                    </a:xfrm>
                    <a:prstGeom prst="rect">
                      <a:avLst/>
                    </a:prstGeom>
                  </pic:spPr>
                </pic:pic>
              </a:graphicData>
            </a:graphic>
          </wp:inline>
        </w:drawing>
      </w:r>
    </w:p>
    <w:p w:rsidR="00484434" w:rsidRPr="00C66550" w:rsidRDefault="000E7E24" w:rsidP="0060479A">
      <w:pPr>
        <w:pStyle w:val="Monkey2"/>
      </w:pPr>
      <w:r w:rsidRPr="00C66550">
        <w:t>Source: ABS (2012</w:t>
      </w:r>
      <w:r w:rsidR="00B65358" w:rsidRPr="00C66550">
        <w:t>a</w:t>
      </w:r>
      <w:r w:rsidR="00484434" w:rsidRPr="00C66550">
        <w:t>)</w:t>
      </w:r>
    </w:p>
    <w:p w:rsidR="00927883" w:rsidRPr="00C66550" w:rsidRDefault="00927883">
      <w:pPr>
        <w:spacing w:line="240" w:lineRule="auto"/>
        <w:rPr>
          <w:rFonts w:asciiTheme="minorHAnsi" w:eastAsiaTheme="majorEastAsia" w:hAnsiTheme="minorHAnsi" w:cstheme="majorBidi"/>
          <w:i/>
          <w:color w:val="0000FF" w:themeColor="text2"/>
        </w:rPr>
      </w:pPr>
      <w:r w:rsidRPr="00C66550">
        <w:br w:type="page"/>
      </w:r>
    </w:p>
    <w:p w:rsidR="00164665" w:rsidRPr="00C66550" w:rsidRDefault="00164665" w:rsidP="006D25F9">
      <w:pPr>
        <w:pStyle w:val="Heading2"/>
      </w:pPr>
      <w:bookmarkStart w:id="30" w:name="_Toc379466350"/>
      <w:r w:rsidRPr="00C66550">
        <w:lastRenderedPageBreak/>
        <w:t>Economic activity</w:t>
      </w:r>
      <w:r w:rsidR="00290EE6" w:rsidRPr="00C66550">
        <w:t xml:space="preserve"> </w:t>
      </w:r>
      <w:r w:rsidR="00A25882" w:rsidRPr="00C66550">
        <w:t>—</w:t>
      </w:r>
      <w:r w:rsidR="00290EE6" w:rsidRPr="00C66550">
        <w:t xml:space="preserve"> </w:t>
      </w:r>
      <w:r w:rsidRPr="00C66550">
        <w:t>gross state product</w:t>
      </w:r>
      <w:bookmarkEnd w:id="30"/>
    </w:p>
    <w:p w:rsidR="00164665" w:rsidRPr="00C66550" w:rsidRDefault="00164665" w:rsidP="00164665">
      <w:pPr>
        <w:pStyle w:val="BodyText"/>
      </w:pPr>
      <w:r w:rsidRPr="00C66550">
        <w:t>The most readily available measure of economic activity in a jurisdiction is the GSP.</w:t>
      </w:r>
      <w:r w:rsidR="00484434" w:rsidRPr="00C66550">
        <w:t xml:space="preserve"> </w:t>
      </w:r>
      <w:r w:rsidR="001C1F43" w:rsidRPr="00C66550">
        <w:t xml:space="preserve">The </w:t>
      </w:r>
      <w:r w:rsidR="00076F68" w:rsidRPr="00C66550">
        <w:t>Australian Bureau of Statistics (</w:t>
      </w:r>
      <w:r w:rsidR="00290EE6" w:rsidRPr="00C66550">
        <w:t>ABS</w:t>
      </w:r>
      <w:r w:rsidR="001C1F43" w:rsidRPr="00C66550">
        <w:t xml:space="preserve"> </w:t>
      </w:r>
      <w:r w:rsidR="006C3A3A" w:rsidRPr="00C66550">
        <w:t>2012</w:t>
      </w:r>
      <w:r w:rsidR="001C1F43" w:rsidRPr="00C66550">
        <w:t>b</w:t>
      </w:r>
      <w:r w:rsidR="006C3A3A" w:rsidRPr="00C66550">
        <w:t>)</w:t>
      </w:r>
      <w:r w:rsidR="00290EE6" w:rsidRPr="00C66550">
        <w:t xml:space="preserve"> defines GSP as the total sum of exports of goods and services from a state net of the to</w:t>
      </w:r>
      <w:r w:rsidR="006C3A3A" w:rsidRPr="00C66550">
        <w:t>t</w:t>
      </w:r>
      <w:r w:rsidR="00290EE6" w:rsidRPr="00C66550">
        <w:t>al sum of imports of goods and services</w:t>
      </w:r>
      <w:r w:rsidR="006C3A3A" w:rsidRPr="00C66550">
        <w:t xml:space="preserve">. </w:t>
      </w:r>
      <w:r w:rsidR="00484434" w:rsidRPr="00C66550">
        <w:t>GSP provides an indication of the likely amount of waste generation, particularly</w:t>
      </w:r>
      <w:r w:rsidR="00D1079C" w:rsidRPr="00C66550">
        <w:t xml:space="preserve"> </w:t>
      </w:r>
      <w:r w:rsidR="00484434" w:rsidRPr="00C66550">
        <w:t>from the C&amp;I</w:t>
      </w:r>
      <w:r w:rsidR="00076F68" w:rsidRPr="00C66550">
        <w:t xml:space="preserve"> </w:t>
      </w:r>
      <w:r w:rsidR="00484434" w:rsidRPr="00C66550">
        <w:t xml:space="preserve">and C&amp;D sectors. </w:t>
      </w:r>
      <w:r w:rsidR="0062001A" w:rsidRPr="00C66550">
        <w:fldChar w:fldCharType="begin"/>
      </w:r>
      <w:r w:rsidRPr="00C66550">
        <w:instrText xml:space="preserve"> REF _Ref348710067 \h </w:instrText>
      </w:r>
      <w:r w:rsidR="0062001A" w:rsidRPr="00C66550">
        <w:fldChar w:fldCharType="separate"/>
      </w:r>
      <w:r w:rsidR="00D96003" w:rsidRPr="00C66550">
        <w:t xml:space="preserve">Figure </w:t>
      </w:r>
      <w:r w:rsidR="00D96003">
        <w:rPr>
          <w:noProof/>
        </w:rPr>
        <w:t>2</w:t>
      </w:r>
      <w:r w:rsidR="0062001A" w:rsidRPr="00C66550">
        <w:fldChar w:fldCharType="end"/>
      </w:r>
      <w:r w:rsidR="0075173F" w:rsidRPr="00C66550">
        <w:t xml:space="preserve"> shows </w:t>
      </w:r>
      <w:r w:rsidR="0074085A" w:rsidRPr="00C66550">
        <w:t>GSP by jurisdiction and notes the increase in GSP from 2006/07</w:t>
      </w:r>
      <w:r w:rsidR="0091447A" w:rsidRPr="00C66550">
        <w:t xml:space="preserve"> to </w:t>
      </w:r>
      <w:r w:rsidR="0074085A" w:rsidRPr="00C66550">
        <w:t xml:space="preserve">2010/11. </w:t>
      </w:r>
      <w:r w:rsidR="00484434" w:rsidRPr="00C66550">
        <w:t xml:space="preserve">Unsurprisingly, the ranking of jurisdictional GSP is almost identical to the ranking of population. </w:t>
      </w:r>
    </w:p>
    <w:p w:rsidR="00290EE6" w:rsidRPr="00C66550" w:rsidRDefault="0091447A" w:rsidP="0091447A">
      <w:pPr>
        <w:pStyle w:val="BodyText"/>
        <w:tabs>
          <w:tab w:val="left" w:pos="7602"/>
        </w:tabs>
      </w:pPr>
      <w:r w:rsidRPr="00C66550">
        <w:tab/>
      </w:r>
    </w:p>
    <w:p w:rsidR="00EC6D7D" w:rsidRPr="00C66550" w:rsidRDefault="00EC6D7D" w:rsidP="00164665">
      <w:pPr>
        <w:pStyle w:val="BodyText"/>
        <w:rPr>
          <w:sz w:val="2"/>
          <w:szCs w:val="2"/>
        </w:rPr>
      </w:pPr>
    </w:p>
    <w:p w:rsidR="005328E3" w:rsidRPr="00C66550" w:rsidRDefault="005328E3" w:rsidP="00FB4820">
      <w:pPr>
        <w:pStyle w:val="Figures"/>
      </w:pPr>
      <w:bookmarkStart w:id="31" w:name="_Ref348710067"/>
      <w:bookmarkStart w:id="32" w:name="_Toc365385011"/>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2</w:t>
      </w:r>
      <w:r w:rsidR="0062001A" w:rsidRPr="00C66550">
        <w:rPr>
          <w:noProof/>
        </w:rPr>
        <w:fldChar w:fldCharType="end"/>
      </w:r>
      <w:bookmarkEnd w:id="31"/>
      <w:r w:rsidR="001B255A" w:rsidRPr="00C66550">
        <w:t>:</w:t>
      </w:r>
      <w:r w:rsidR="001B255A" w:rsidRPr="00C66550">
        <w:tab/>
      </w:r>
      <w:r w:rsidR="00164665" w:rsidRPr="00C66550">
        <w:t>GSP</w:t>
      </w:r>
      <w:r w:rsidR="00AC62E0">
        <w:t xml:space="preserve"> growth</w:t>
      </w:r>
      <w:r w:rsidR="00594BEA" w:rsidRPr="00C66550">
        <w:t xml:space="preserve"> by jurisdiction</w:t>
      </w:r>
      <w:bookmarkEnd w:id="32"/>
    </w:p>
    <w:p w:rsidR="006B6C82" w:rsidRDefault="006B6C82" w:rsidP="0060479A">
      <w:pPr>
        <w:pStyle w:val="Monkey2"/>
      </w:pPr>
    </w:p>
    <w:p w:rsidR="00373F60" w:rsidRDefault="00373F60" w:rsidP="0060479A">
      <w:pPr>
        <w:pStyle w:val="Monkey2"/>
      </w:pPr>
      <w:r w:rsidRPr="00373F60">
        <w:rPr>
          <w:noProof/>
          <w:lang w:eastAsia="en-AU"/>
        </w:rPr>
        <w:drawing>
          <wp:inline distT="0" distB="0" distL="0" distR="0">
            <wp:extent cx="5082364" cy="2913321"/>
            <wp:effectExtent l="0" t="0" r="444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084684" cy="2914651"/>
                    </a:xfrm>
                    <a:prstGeom prst="rect">
                      <a:avLst/>
                    </a:prstGeom>
                  </pic:spPr>
                </pic:pic>
              </a:graphicData>
            </a:graphic>
          </wp:inline>
        </w:drawing>
      </w:r>
    </w:p>
    <w:p w:rsidR="009F2D0A" w:rsidRPr="00C66550" w:rsidRDefault="00257EC9" w:rsidP="0060479A">
      <w:pPr>
        <w:pStyle w:val="Monkey2"/>
      </w:pPr>
      <w:r w:rsidRPr="00C66550">
        <w:t>Source: ABS</w:t>
      </w:r>
      <w:r w:rsidR="0007591D" w:rsidRPr="00C66550">
        <w:t xml:space="preserve"> </w:t>
      </w:r>
      <w:r w:rsidR="00B65358" w:rsidRPr="00C66550">
        <w:t>(2012c)</w:t>
      </w:r>
    </w:p>
    <w:p w:rsidR="0091447A" w:rsidRPr="00C66550" w:rsidRDefault="0091447A">
      <w:pPr>
        <w:spacing w:line="240" w:lineRule="auto"/>
      </w:pPr>
    </w:p>
    <w:p w:rsidR="00927883" w:rsidRPr="00C66550" w:rsidRDefault="00927883">
      <w:pPr>
        <w:spacing w:line="240" w:lineRule="auto"/>
        <w:rPr>
          <w:rFonts w:asciiTheme="minorHAnsi" w:eastAsiaTheme="majorEastAsia" w:hAnsiTheme="minorHAnsi" w:cstheme="majorBidi"/>
          <w:i/>
          <w:color w:val="0000FF" w:themeColor="text2"/>
        </w:rPr>
      </w:pPr>
      <w:r w:rsidRPr="00C66550">
        <w:br w:type="page"/>
      </w:r>
    </w:p>
    <w:p w:rsidR="009F2D0A" w:rsidRPr="00C66550" w:rsidRDefault="009F2D0A" w:rsidP="006D25F9">
      <w:pPr>
        <w:pStyle w:val="Heading2"/>
      </w:pPr>
      <w:bookmarkStart w:id="33" w:name="_Toc379466351"/>
      <w:r w:rsidRPr="00C66550">
        <w:lastRenderedPageBreak/>
        <w:t>Average income per capita</w:t>
      </w:r>
      <w:bookmarkEnd w:id="33"/>
    </w:p>
    <w:p w:rsidR="00E151F6" w:rsidRPr="00C66550" w:rsidRDefault="0062001A" w:rsidP="00540F8A">
      <w:pPr>
        <w:pStyle w:val="BodyText"/>
      </w:pPr>
      <w:r w:rsidRPr="00C66550">
        <w:fldChar w:fldCharType="begin"/>
      </w:r>
      <w:r w:rsidR="00691C2B" w:rsidRPr="00C66550">
        <w:instrText xml:space="preserve"> REF _Ref349826647 \h </w:instrText>
      </w:r>
      <w:r w:rsidRPr="00C66550">
        <w:fldChar w:fldCharType="separate"/>
      </w:r>
      <w:r w:rsidR="00D96003" w:rsidRPr="00C66550">
        <w:t xml:space="preserve">Figure </w:t>
      </w:r>
      <w:r w:rsidR="00D96003">
        <w:rPr>
          <w:noProof/>
        </w:rPr>
        <w:t>3</w:t>
      </w:r>
      <w:r w:rsidRPr="00C66550">
        <w:fldChar w:fldCharType="end"/>
      </w:r>
      <w:r w:rsidR="00691C2B" w:rsidRPr="00C66550">
        <w:t xml:space="preserve"> </w:t>
      </w:r>
      <w:r w:rsidR="009F2D0A" w:rsidRPr="00C66550">
        <w:t>shows the average weekly income for each jurisdiction in 2011 (based on the 2011 census data)</w:t>
      </w:r>
      <w:r w:rsidR="00537D29" w:rsidRPr="00C66550">
        <w:t xml:space="preserve">. </w:t>
      </w:r>
      <w:r w:rsidR="00AA267D" w:rsidRPr="00C66550">
        <w:t>Historically, w</w:t>
      </w:r>
      <w:r w:rsidR="00537D29" w:rsidRPr="00C66550">
        <w:t xml:space="preserve">aste generation rates </w:t>
      </w:r>
      <w:r w:rsidR="00AA267D" w:rsidRPr="00C66550">
        <w:t xml:space="preserve">have </w:t>
      </w:r>
      <w:r w:rsidR="00537D29" w:rsidRPr="00C66550">
        <w:t>typically increase</w:t>
      </w:r>
      <w:r w:rsidR="00AA267D" w:rsidRPr="00C66550">
        <w:t>d</w:t>
      </w:r>
      <w:r w:rsidR="00537D29" w:rsidRPr="00C66550">
        <w:t xml:space="preserve"> as a population base becomes more affluent</w:t>
      </w:r>
      <w:r w:rsidR="00AA267D" w:rsidRPr="00C66550">
        <w:t>. T</w:t>
      </w:r>
      <w:r w:rsidR="00537D29" w:rsidRPr="00C66550">
        <w:t xml:space="preserve">his is </w:t>
      </w:r>
      <w:r w:rsidR="00691C2B" w:rsidRPr="00C66550">
        <w:t>due to increased</w:t>
      </w:r>
      <w:r w:rsidR="00537D29" w:rsidRPr="00C66550">
        <w:t xml:space="preserve"> consumption and also </w:t>
      </w:r>
      <w:r w:rsidR="00691C2B" w:rsidRPr="00C66550">
        <w:t xml:space="preserve">potentially </w:t>
      </w:r>
      <w:r w:rsidR="00537D29" w:rsidRPr="00C66550">
        <w:t xml:space="preserve">by affluent populations investing in improved waste management systems that may result in </w:t>
      </w:r>
      <w:r w:rsidR="00691C2B" w:rsidRPr="00C66550">
        <w:t>the</w:t>
      </w:r>
      <w:r w:rsidR="00537D29" w:rsidRPr="00C66550">
        <w:t xml:space="preserve"> collection</w:t>
      </w:r>
      <w:r w:rsidR="00AA267D" w:rsidRPr="00C66550">
        <w:t xml:space="preserve"> </w:t>
      </w:r>
      <w:r w:rsidR="00691C2B" w:rsidRPr="00C66550">
        <w:t xml:space="preserve">of materials previously managed outside </w:t>
      </w:r>
      <w:r w:rsidR="00F838B8" w:rsidRPr="00C66550">
        <w:t>of major</w:t>
      </w:r>
      <w:r w:rsidR="00691C2B" w:rsidRPr="00C66550">
        <w:t xml:space="preserve"> </w:t>
      </w:r>
      <w:r w:rsidR="00F838B8" w:rsidRPr="00C66550">
        <w:t xml:space="preserve">waste management facilities </w:t>
      </w:r>
      <w:r w:rsidR="00691C2B" w:rsidRPr="00C66550">
        <w:t>(e.g. garden waste)</w:t>
      </w:r>
      <w:r w:rsidR="00537D29" w:rsidRPr="00C66550">
        <w:t xml:space="preserve">. </w:t>
      </w:r>
      <w:bookmarkStart w:id="34" w:name="_Ref348875118"/>
    </w:p>
    <w:p w:rsidR="00D1079C" w:rsidRPr="00C66550" w:rsidRDefault="00D1079C" w:rsidP="00540F8A">
      <w:pPr>
        <w:pStyle w:val="BodyText"/>
      </w:pPr>
    </w:p>
    <w:p w:rsidR="009F2D0A" w:rsidRPr="00C66550" w:rsidRDefault="009F2D0A" w:rsidP="00FB4820">
      <w:pPr>
        <w:pStyle w:val="Figures"/>
      </w:pPr>
      <w:bookmarkStart w:id="35" w:name="_Ref349826647"/>
      <w:bookmarkStart w:id="36" w:name="_Toc365385012"/>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3</w:t>
      </w:r>
      <w:r w:rsidR="0062001A" w:rsidRPr="00C66550">
        <w:rPr>
          <w:noProof/>
        </w:rPr>
        <w:fldChar w:fldCharType="end"/>
      </w:r>
      <w:bookmarkEnd w:id="34"/>
      <w:bookmarkEnd w:id="35"/>
      <w:r w:rsidR="001B255A" w:rsidRPr="00C66550">
        <w:t>:</w:t>
      </w:r>
      <w:r w:rsidR="001B255A" w:rsidRPr="00C66550">
        <w:tab/>
      </w:r>
      <w:r w:rsidR="000D7C2B">
        <w:t>A</w:t>
      </w:r>
      <w:r w:rsidRPr="00C66550">
        <w:t>verage weekly income</w:t>
      </w:r>
      <w:r w:rsidR="00537D29" w:rsidRPr="00C66550">
        <w:t>s</w:t>
      </w:r>
      <w:r w:rsidRPr="00C66550">
        <w:t xml:space="preserve"> per capita by jurisdiction</w:t>
      </w:r>
      <w:r w:rsidR="006A3D86" w:rsidRPr="00C66550">
        <w:t xml:space="preserve"> (gross)</w:t>
      </w:r>
      <w:r w:rsidR="000D7C2B">
        <w:t xml:space="preserve">, </w:t>
      </w:r>
      <w:r w:rsidR="000D7C2B" w:rsidRPr="00C66550">
        <w:t>2011</w:t>
      </w:r>
      <w:bookmarkEnd w:id="36"/>
    </w:p>
    <w:p w:rsidR="00540F8A" w:rsidRPr="00C66550" w:rsidRDefault="00540F8A" w:rsidP="00540F8A">
      <w:pPr>
        <w:pStyle w:val="BodyText"/>
      </w:pPr>
    </w:p>
    <w:p w:rsidR="008A3189" w:rsidRPr="00C66550" w:rsidRDefault="001F4992" w:rsidP="00540F8A">
      <w:pPr>
        <w:pStyle w:val="BodyText"/>
      </w:pPr>
      <w:r w:rsidRPr="00C66550">
        <w:rPr>
          <w:noProof/>
          <w:lang w:eastAsia="en-AU"/>
        </w:rPr>
        <w:drawing>
          <wp:inline distT="0" distB="0" distL="0" distR="0">
            <wp:extent cx="5225143" cy="3390936"/>
            <wp:effectExtent l="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238749" cy="3399766"/>
                    </a:xfrm>
                    <a:prstGeom prst="rect">
                      <a:avLst/>
                    </a:prstGeom>
                    <a:noFill/>
                    <a:ln w="9525">
                      <a:noFill/>
                      <a:miter lim="800000"/>
                      <a:headEnd/>
                      <a:tailEnd/>
                    </a:ln>
                  </pic:spPr>
                </pic:pic>
              </a:graphicData>
            </a:graphic>
          </wp:inline>
        </w:drawing>
      </w:r>
    </w:p>
    <w:p w:rsidR="00537D29" w:rsidRPr="00C66550" w:rsidRDefault="008A3189" w:rsidP="0060479A">
      <w:pPr>
        <w:pStyle w:val="Monkey2"/>
      </w:pPr>
      <w:r w:rsidRPr="00C66550">
        <w:t>S</w:t>
      </w:r>
      <w:r w:rsidR="00537D29" w:rsidRPr="00C66550">
        <w:t xml:space="preserve">ource: </w:t>
      </w:r>
      <w:r w:rsidR="00B65358" w:rsidRPr="00C66550">
        <w:t xml:space="preserve">ABS website </w:t>
      </w:r>
      <w:hyperlink r:id="rId34" w:anchor="from-banner=LN" w:history="1">
        <w:r w:rsidR="00717CA5" w:rsidRPr="00C66550">
          <w:rPr>
            <w:rStyle w:val="Hyperlink"/>
          </w:rPr>
          <w:t>http://abs.gov.au/websitedbs/censushome.nsf/home/data?opendocument#from-banner=LN</w:t>
        </w:r>
      </w:hyperlink>
      <w:r w:rsidR="00B65358" w:rsidRPr="00C66550">
        <w:rPr>
          <w:rStyle w:val="Hyperlink"/>
        </w:rPr>
        <w:t xml:space="preserve"> (Jan 2013)</w:t>
      </w:r>
      <w:r w:rsidR="0091447A" w:rsidRPr="00C66550">
        <w:t>, e</w:t>
      </w:r>
      <w:r w:rsidR="00717CA5" w:rsidRPr="00C66550">
        <w:t>stimated by dividing ABS average per household income data by the average number of people per household</w:t>
      </w:r>
    </w:p>
    <w:p w:rsidR="00BB4C81" w:rsidRPr="00C66550" w:rsidRDefault="00BB4C81">
      <w:pPr>
        <w:spacing w:line="240" w:lineRule="auto"/>
        <w:rPr>
          <w:rFonts w:asciiTheme="minorHAnsi" w:eastAsiaTheme="majorEastAsia" w:hAnsiTheme="minorHAnsi" w:cstheme="majorBidi"/>
          <w:i/>
          <w:color w:val="0000FF" w:themeColor="text2"/>
        </w:rPr>
      </w:pPr>
      <w:r w:rsidRPr="00C66550">
        <w:br w:type="page"/>
      </w:r>
    </w:p>
    <w:p w:rsidR="00D616D6" w:rsidRPr="00C66550" w:rsidRDefault="005250AE" w:rsidP="006D25F9">
      <w:pPr>
        <w:pStyle w:val="Heading2"/>
      </w:pPr>
      <w:bookmarkStart w:id="37" w:name="_Toc379466352"/>
      <w:r w:rsidRPr="00C66550">
        <w:lastRenderedPageBreak/>
        <w:t>Urbanisation</w:t>
      </w:r>
      <w:bookmarkEnd w:id="37"/>
      <w:r w:rsidR="005726EF" w:rsidRPr="00C66550">
        <w:t xml:space="preserve"> </w:t>
      </w:r>
    </w:p>
    <w:p w:rsidR="001F4992" w:rsidRPr="00C66550" w:rsidRDefault="0062001A" w:rsidP="001F4992">
      <w:pPr>
        <w:pStyle w:val="BodyText"/>
      </w:pPr>
      <w:r w:rsidRPr="00C66550">
        <w:fldChar w:fldCharType="begin"/>
      </w:r>
      <w:r w:rsidR="001F4992" w:rsidRPr="00C66550">
        <w:instrText xml:space="preserve"> REF _Ref348713158 \h </w:instrText>
      </w:r>
      <w:r w:rsidRPr="00C66550">
        <w:fldChar w:fldCharType="separate"/>
      </w:r>
      <w:r w:rsidR="00D96003" w:rsidRPr="00C66550">
        <w:t xml:space="preserve">Figure </w:t>
      </w:r>
      <w:r w:rsidR="00D96003">
        <w:rPr>
          <w:noProof/>
        </w:rPr>
        <w:t>4</w:t>
      </w:r>
      <w:r w:rsidRPr="00C66550">
        <w:fldChar w:fldCharType="end"/>
      </w:r>
      <w:r w:rsidR="004C1912" w:rsidRPr="00C66550">
        <w:t xml:space="preserve"> shows</w:t>
      </w:r>
      <w:r w:rsidR="0091447A" w:rsidRPr="00C66550">
        <w:t>, for each jurisdiction,</w:t>
      </w:r>
      <w:r w:rsidR="004C1912" w:rsidRPr="00C66550">
        <w:t xml:space="preserve"> the percentage</w:t>
      </w:r>
      <w:r w:rsidR="0091447A" w:rsidRPr="00C66550">
        <w:t xml:space="preserve"> of the population that lives </w:t>
      </w:r>
      <w:r w:rsidR="004C1912" w:rsidRPr="00C66550">
        <w:t>in metro</w:t>
      </w:r>
      <w:r w:rsidR="00125FC6" w:rsidRPr="00C66550">
        <w:t>politan</w:t>
      </w:r>
      <w:r w:rsidR="004C1912" w:rsidRPr="00C66550">
        <w:t xml:space="preserve"> or inner regional area</w:t>
      </w:r>
      <w:r w:rsidR="00125FC6" w:rsidRPr="00C66550">
        <w:t>s</w:t>
      </w:r>
      <w:r w:rsidR="004C1912" w:rsidRPr="00C66550">
        <w:t xml:space="preserve">. </w:t>
      </w:r>
      <w:r w:rsidR="00BB4C81" w:rsidRPr="00C66550">
        <w:t xml:space="preserve">Historically </w:t>
      </w:r>
      <w:r w:rsidR="005726EF" w:rsidRPr="00C66550">
        <w:t xml:space="preserve">waste generation </w:t>
      </w:r>
      <w:r w:rsidR="000A3069" w:rsidRPr="00C66550">
        <w:t xml:space="preserve">has been </w:t>
      </w:r>
      <w:r w:rsidR="00704EA1" w:rsidRPr="00C66550">
        <w:t xml:space="preserve">higher for populations with higher </w:t>
      </w:r>
      <w:r w:rsidR="0091447A" w:rsidRPr="00C66550">
        <w:t xml:space="preserve">levels of urbanisation, reflecting the </w:t>
      </w:r>
      <w:r w:rsidR="00624B5A" w:rsidRPr="00C66550">
        <w:t xml:space="preserve">fact that </w:t>
      </w:r>
      <w:r w:rsidR="00125FC6" w:rsidRPr="00C66550">
        <w:t>rural</w:t>
      </w:r>
      <w:r w:rsidR="00624B5A" w:rsidRPr="00C66550">
        <w:t xml:space="preserve"> areas tend to have</w:t>
      </w:r>
      <w:r w:rsidR="001F4992" w:rsidRPr="00C66550">
        <w:t>:</w:t>
      </w:r>
    </w:p>
    <w:p w:rsidR="00624B5A" w:rsidRPr="00C66550" w:rsidRDefault="00624B5A" w:rsidP="00624B5A">
      <w:pPr>
        <w:pStyle w:val="Bullet1"/>
      </w:pPr>
      <w:r w:rsidRPr="00C66550">
        <w:t xml:space="preserve">lower levels of affluence, and therefore lower levels of consumption and waste generation </w:t>
      </w:r>
    </w:p>
    <w:p w:rsidR="004A22B6" w:rsidRPr="00C66550" w:rsidRDefault="004A22B6" w:rsidP="004A22B6">
      <w:pPr>
        <w:pStyle w:val="Bullet1"/>
        <w:rPr>
          <w:color w:val="auto"/>
        </w:rPr>
      </w:pPr>
      <w:r w:rsidRPr="00C66550">
        <w:rPr>
          <w:color w:val="auto"/>
        </w:rPr>
        <w:t>more primary production industries, the waste from which is outside the scope of this report</w:t>
      </w:r>
    </w:p>
    <w:p w:rsidR="00624B5A" w:rsidRPr="00C66550" w:rsidRDefault="00125FC6" w:rsidP="00624B5A">
      <w:pPr>
        <w:pStyle w:val="Bullet1"/>
      </w:pPr>
      <w:r w:rsidRPr="00C66550">
        <w:t xml:space="preserve">less </w:t>
      </w:r>
      <w:r w:rsidR="00624B5A" w:rsidRPr="00C66550">
        <w:t xml:space="preserve">access to </w:t>
      </w:r>
      <w:r w:rsidR="0091447A" w:rsidRPr="00C66550">
        <w:t>formal waste management systems</w:t>
      </w:r>
      <w:r w:rsidR="005726EF" w:rsidRPr="00C66550">
        <w:t xml:space="preserve"> </w:t>
      </w:r>
      <w:r w:rsidR="00624B5A" w:rsidRPr="00C66550">
        <w:t xml:space="preserve">and greater opportunities for </w:t>
      </w:r>
      <w:r w:rsidR="0091447A" w:rsidRPr="00C66550">
        <w:t>on-site</w:t>
      </w:r>
      <w:r w:rsidR="00624B5A" w:rsidRPr="00C66550">
        <w:t xml:space="preserve"> waste </w:t>
      </w:r>
      <w:r w:rsidR="0091447A" w:rsidRPr="00C66550">
        <w:t>management, including by industry</w:t>
      </w:r>
      <w:r w:rsidR="004A22B6" w:rsidRPr="00C66550">
        <w:t>.</w:t>
      </w:r>
    </w:p>
    <w:p w:rsidR="000240A2" w:rsidRPr="00C66550" w:rsidRDefault="000240A2" w:rsidP="00624B5A">
      <w:pPr>
        <w:pStyle w:val="BodyText"/>
      </w:pPr>
    </w:p>
    <w:p w:rsidR="001F4992" w:rsidRPr="00C66550" w:rsidRDefault="001F4992" w:rsidP="00691C2B">
      <w:pPr>
        <w:pStyle w:val="BodyText"/>
      </w:pPr>
    </w:p>
    <w:p w:rsidR="005726EF" w:rsidRPr="00C66550" w:rsidRDefault="005726EF" w:rsidP="00FB4820">
      <w:pPr>
        <w:pStyle w:val="Figures"/>
      </w:pPr>
      <w:bookmarkStart w:id="38" w:name="_Ref348713158"/>
      <w:bookmarkStart w:id="39" w:name="_Toc365385013"/>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4</w:t>
      </w:r>
      <w:r w:rsidR="0062001A" w:rsidRPr="00C66550">
        <w:rPr>
          <w:noProof/>
        </w:rPr>
        <w:fldChar w:fldCharType="end"/>
      </w:r>
      <w:bookmarkEnd w:id="38"/>
      <w:r w:rsidR="001B255A" w:rsidRPr="00C66550">
        <w:t>:</w:t>
      </w:r>
      <w:r w:rsidR="001B255A" w:rsidRPr="00C66550">
        <w:tab/>
      </w:r>
      <w:r w:rsidR="000D7C2B">
        <w:t>P</w:t>
      </w:r>
      <w:r w:rsidRPr="00C66550">
        <w:t>ercentage of population living in metro</w:t>
      </w:r>
      <w:r w:rsidR="004F76B4" w:rsidRPr="00C66550">
        <w:t>politan</w:t>
      </w:r>
      <w:r w:rsidRPr="00C66550">
        <w:t xml:space="preserve"> or inner regional areas</w:t>
      </w:r>
      <w:r w:rsidR="00594BEA" w:rsidRPr="00C66550">
        <w:t xml:space="preserve"> </w:t>
      </w:r>
      <w:r w:rsidR="000D7C2B">
        <w:t>by jurisdiction</w:t>
      </w:r>
      <w:bookmarkEnd w:id="39"/>
    </w:p>
    <w:p w:rsidR="005328E3" w:rsidRPr="00C66550" w:rsidRDefault="00125FC6" w:rsidP="00FC2698">
      <w:pPr>
        <w:pStyle w:val="BodyText"/>
      </w:pPr>
      <w:r w:rsidRPr="00C66550">
        <w:rPr>
          <w:noProof/>
          <w:lang w:eastAsia="en-AU"/>
        </w:rPr>
        <w:drawing>
          <wp:inline distT="0" distB="0" distL="0" distR="0">
            <wp:extent cx="5199108" cy="2185060"/>
            <wp:effectExtent l="0" t="0" r="1905" b="5715"/>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5208158" cy="2188864"/>
                    </a:xfrm>
                    <a:prstGeom prst="rect">
                      <a:avLst/>
                    </a:prstGeom>
                    <a:noFill/>
                    <a:ln w="9525">
                      <a:noFill/>
                      <a:miter lim="800000"/>
                      <a:headEnd/>
                      <a:tailEnd/>
                    </a:ln>
                  </pic:spPr>
                </pic:pic>
              </a:graphicData>
            </a:graphic>
          </wp:inline>
        </w:drawing>
      </w:r>
    </w:p>
    <w:p w:rsidR="00B65358" w:rsidRPr="00C548DF" w:rsidRDefault="00594BEA" w:rsidP="00594BEA">
      <w:pPr>
        <w:pStyle w:val="FigureTableinfo"/>
        <w:keepNext/>
        <w:rPr>
          <w:sz w:val="20"/>
        </w:rPr>
      </w:pPr>
      <w:r w:rsidRPr="00C548DF">
        <w:rPr>
          <w:sz w:val="20"/>
        </w:rPr>
        <w:t>Source</w:t>
      </w:r>
      <w:r w:rsidR="00B65358" w:rsidRPr="00C548DF">
        <w:rPr>
          <w:sz w:val="20"/>
        </w:rPr>
        <w:t xml:space="preserve">: ABS website </w:t>
      </w:r>
      <w:hyperlink r:id="rId36" w:anchor="PARALINK0" w:history="1">
        <w:r w:rsidR="00B65358" w:rsidRPr="00C548DF">
          <w:rPr>
            <w:rStyle w:val="Hyperlink"/>
            <w:sz w:val="20"/>
          </w:rPr>
          <w:t>http://www.abs.gov.au/ausstats/abs@.nsf/Products/3218.0~2011~Main+Features~Main+Features?OpenDocument#PARALINK0</w:t>
        </w:r>
      </w:hyperlink>
      <w:r w:rsidR="00B65358" w:rsidRPr="00C548DF">
        <w:rPr>
          <w:sz w:val="20"/>
        </w:rPr>
        <w:t xml:space="preserve"> (Jan 2013)</w:t>
      </w:r>
    </w:p>
    <w:p w:rsidR="00E30677" w:rsidRPr="00C66550" w:rsidRDefault="00E30677">
      <w:pPr>
        <w:spacing w:line="240" w:lineRule="auto"/>
      </w:pPr>
    </w:p>
    <w:p w:rsidR="00F7409F" w:rsidRPr="00C66550" w:rsidRDefault="00F7409F">
      <w:pPr>
        <w:spacing w:line="240" w:lineRule="auto"/>
      </w:pPr>
    </w:p>
    <w:p w:rsidR="00F7409F" w:rsidRPr="00C66550" w:rsidRDefault="00F7409F">
      <w:pPr>
        <w:spacing w:line="240" w:lineRule="auto"/>
      </w:pPr>
    </w:p>
    <w:p w:rsidR="000028BC" w:rsidRPr="00C66550" w:rsidRDefault="000028BC">
      <w:pPr>
        <w:spacing w:line="240" w:lineRule="auto"/>
        <w:rPr>
          <w:rFonts w:ascii="Arial Rounded MT Bold" w:hAnsi="Arial Rounded MT Bold" w:cs="Arial"/>
          <w:color w:val="0000FF"/>
          <w:sz w:val="36"/>
          <w:szCs w:val="36"/>
        </w:rPr>
      </w:pPr>
      <w:bookmarkStart w:id="40" w:name="_Ref348715040"/>
      <w:r w:rsidRPr="00C66550">
        <w:br w:type="page"/>
      </w:r>
    </w:p>
    <w:p w:rsidR="00A744C5" w:rsidRPr="00C66550" w:rsidRDefault="006607A8" w:rsidP="006D25F9">
      <w:pPr>
        <w:pStyle w:val="Heading1"/>
      </w:pPr>
      <w:bookmarkStart w:id="41" w:name="_Ref355276890"/>
      <w:bookmarkStart w:id="42" w:name="_Ref355276940"/>
      <w:bookmarkStart w:id="43" w:name="_Toc379466353"/>
      <w:r w:rsidRPr="00C66550">
        <w:lastRenderedPageBreak/>
        <w:t xml:space="preserve">Australia </w:t>
      </w:r>
      <w:r w:rsidR="00C749B8" w:rsidRPr="00C66550">
        <w:t>2010/11</w:t>
      </w:r>
      <w:bookmarkEnd w:id="40"/>
      <w:bookmarkEnd w:id="41"/>
      <w:bookmarkEnd w:id="42"/>
      <w:bookmarkEnd w:id="43"/>
      <w:r w:rsidR="00C749B8" w:rsidRPr="00C66550">
        <w:t xml:space="preserve"> </w:t>
      </w:r>
    </w:p>
    <w:p w:rsidR="00BD74D7" w:rsidRPr="00C66550" w:rsidRDefault="006607A8" w:rsidP="006D25F9">
      <w:pPr>
        <w:pStyle w:val="Heading2"/>
      </w:pPr>
      <w:bookmarkStart w:id="44" w:name="_Toc379466354"/>
      <w:r w:rsidRPr="00C66550">
        <w:t xml:space="preserve">Australia </w:t>
      </w:r>
      <w:r w:rsidR="00C749B8" w:rsidRPr="00C66550">
        <w:t>2010/11 t</w:t>
      </w:r>
      <w:r w:rsidR="006C5DFB" w:rsidRPr="00C66550">
        <w:t>otal</w:t>
      </w:r>
      <w:r w:rsidR="002E66B7" w:rsidRPr="00C66550">
        <w:t xml:space="preserve"> and </w:t>
      </w:r>
      <w:r w:rsidR="006C5DFB" w:rsidRPr="00C66550">
        <w:t xml:space="preserve">per capita tonnage </w:t>
      </w:r>
      <w:r w:rsidR="002E66B7" w:rsidRPr="00C66550">
        <w:t>and resource recovery rate</w:t>
      </w:r>
      <w:bookmarkEnd w:id="44"/>
    </w:p>
    <w:p w:rsidR="00C23F83" w:rsidRPr="00C66550" w:rsidRDefault="0062001A" w:rsidP="00B76F16">
      <w:pPr>
        <w:pStyle w:val="BodyText"/>
      </w:pPr>
      <w:r w:rsidRPr="00C66550">
        <w:fldChar w:fldCharType="begin"/>
      </w:r>
      <w:r w:rsidR="007A763D" w:rsidRPr="00C66550">
        <w:instrText xml:space="preserve"> REF _Ref349656198 \h </w:instrText>
      </w:r>
      <w:r w:rsidRPr="00C66550">
        <w:fldChar w:fldCharType="separate"/>
      </w:r>
      <w:r w:rsidR="00D96003" w:rsidRPr="00C66550">
        <w:t xml:space="preserve">Figure </w:t>
      </w:r>
      <w:r w:rsidR="00D96003">
        <w:rPr>
          <w:noProof/>
        </w:rPr>
        <w:t>5</w:t>
      </w:r>
      <w:r w:rsidRPr="00C66550">
        <w:fldChar w:fldCharType="end"/>
      </w:r>
      <w:r w:rsidR="007A763D" w:rsidRPr="00C66550">
        <w:t xml:space="preserve"> </w:t>
      </w:r>
      <w:r w:rsidR="003917CB" w:rsidRPr="00C66550">
        <w:t>illustrate</w:t>
      </w:r>
      <w:r w:rsidR="00591F24" w:rsidRPr="00C66550">
        <w:t>s</w:t>
      </w:r>
      <w:r w:rsidR="003917CB" w:rsidRPr="00C66550">
        <w:t xml:space="preserve"> the per capita and total tonnage of waste generated in Australia </w:t>
      </w:r>
      <w:r w:rsidR="009D15DC" w:rsidRPr="00C66550">
        <w:t>in</w:t>
      </w:r>
      <w:r w:rsidR="003917CB" w:rsidRPr="00C66550">
        <w:t xml:space="preserve"> 2010/11 and how the material was managed (i.e. recycled, recovered for energy, or disposed). </w:t>
      </w:r>
      <w:r w:rsidR="00865F15" w:rsidRPr="00C66550">
        <w:t>In 2010/11, Australians on average generated 2.</w:t>
      </w:r>
      <w:r w:rsidR="001F4D11" w:rsidRPr="00C66550">
        <w:t>2</w:t>
      </w:r>
      <w:r w:rsidR="00865F15" w:rsidRPr="00C66550">
        <w:t xml:space="preserve"> tonnes</w:t>
      </w:r>
      <w:r w:rsidR="00694FE5" w:rsidRPr="00C66550">
        <w:t xml:space="preserve"> per capita</w:t>
      </w:r>
      <w:r w:rsidR="00865F15" w:rsidRPr="00C66550">
        <w:t xml:space="preserve"> of waste</w:t>
      </w:r>
      <w:r w:rsidR="001D3F68" w:rsidRPr="00C66550">
        <w:t>,</w:t>
      </w:r>
      <w:r w:rsidR="00865F15" w:rsidRPr="00C66550">
        <w:t xml:space="preserve"> </w:t>
      </w:r>
      <w:r w:rsidR="00ED7D33" w:rsidRPr="00C66550">
        <w:t>60</w:t>
      </w:r>
      <w:r w:rsidR="00865F15" w:rsidRPr="00C66550">
        <w:t>% of</w:t>
      </w:r>
      <w:r w:rsidR="001D3F68" w:rsidRPr="00C66550">
        <w:t xml:space="preserve"> which was</w:t>
      </w:r>
      <w:r w:rsidR="00865F15" w:rsidRPr="00C66550">
        <w:t xml:space="preserve"> recycled or recovered for embodied energy</w:t>
      </w:r>
      <w:r w:rsidR="00E92CEE" w:rsidRPr="00C66550">
        <w:t xml:space="preserve"> (the resource recovery rate</w:t>
      </w:r>
      <w:r w:rsidR="00985D11" w:rsidRPr="00C66550">
        <w:t xml:space="preserve"> </w:t>
      </w:r>
      <w:r w:rsidR="002573E5" w:rsidRPr="00C66550">
        <w:t>is shown above each data column</w:t>
      </w:r>
      <w:r w:rsidR="00E92CEE" w:rsidRPr="00C66550">
        <w:t>)</w:t>
      </w:r>
      <w:r w:rsidR="00865F15" w:rsidRPr="00C66550">
        <w:t xml:space="preserve">. </w:t>
      </w:r>
      <w:r w:rsidR="001D3F68" w:rsidRPr="00C66550">
        <w:t xml:space="preserve">Inclusion of </w:t>
      </w:r>
      <w:r w:rsidR="00865F15" w:rsidRPr="00C66550">
        <w:t>fly ash</w:t>
      </w:r>
      <w:r w:rsidR="00C93E6D" w:rsidRPr="00C66550">
        <w:t xml:space="preserve"> from coal fired power stations</w:t>
      </w:r>
      <w:r w:rsidR="00865F15" w:rsidRPr="00C66550">
        <w:t xml:space="preserve"> </w:t>
      </w:r>
      <w:r w:rsidR="001D3F68" w:rsidRPr="00C66550">
        <w:t xml:space="preserve">increases </w:t>
      </w:r>
      <w:r w:rsidR="00865F15" w:rsidRPr="00C66550">
        <w:t xml:space="preserve">average per capita </w:t>
      </w:r>
      <w:r w:rsidR="001D3F68" w:rsidRPr="00C66550">
        <w:t>waste</w:t>
      </w:r>
      <w:r w:rsidR="00865F15" w:rsidRPr="00C66550">
        <w:t xml:space="preserve"> </w:t>
      </w:r>
      <w:r w:rsidR="00985D11" w:rsidRPr="00C66550">
        <w:t xml:space="preserve">generation </w:t>
      </w:r>
      <w:r w:rsidR="00A33BD0" w:rsidRPr="00C66550">
        <w:t xml:space="preserve">by </w:t>
      </w:r>
      <w:r w:rsidR="00ED7D33" w:rsidRPr="00C66550">
        <w:t>28</w:t>
      </w:r>
      <w:r w:rsidR="00A33BD0" w:rsidRPr="00C66550">
        <w:t xml:space="preserve">% </w:t>
      </w:r>
      <w:r w:rsidR="00865F15" w:rsidRPr="00C66550">
        <w:t>to 2.</w:t>
      </w:r>
      <w:r w:rsidR="00E4645F" w:rsidRPr="00C66550">
        <w:t>8</w:t>
      </w:r>
      <w:r w:rsidR="00865F15" w:rsidRPr="00C66550">
        <w:t xml:space="preserve"> tonnes</w:t>
      </w:r>
      <w:r w:rsidR="00C45ABC" w:rsidRPr="00C66550">
        <w:t>, with a</w:t>
      </w:r>
      <w:r w:rsidR="00985D11" w:rsidRPr="00C66550">
        <w:t xml:space="preserve"> resource </w:t>
      </w:r>
      <w:r w:rsidR="00865F15" w:rsidRPr="00C66550">
        <w:t xml:space="preserve">recovery </w:t>
      </w:r>
      <w:r w:rsidR="00C45ABC" w:rsidRPr="00C66550">
        <w:t>rate of</w:t>
      </w:r>
      <w:r w:rsidR="00865F15" w:rsidRPr="00C66550">
        <w:t xml:space="preserve"> 5</w:t>
      </w:r>
      <w:r w:rsidR="00ED7D33" w:rsidRPr="00C66550">
        <w:t>6</w:t>
      </w:r>
      <w:r w:rsidR="00865F15" w:rsidRPr="00C66550">
        <w:t xml:space="preserve">%. </w:t>
      </w:r>
      <w:r w:rsidR="003917CB" w:rsidRPr="00C66550">
        <w:t>In total</w:t>
      </w:r>
      <w:r w:rsidR="00C45ABC" w:rsidRPr="00C66550">
        <w:t>,</w:t>
      </w:r>
      <w:r w:rsidR="003917CB" w:rsidRPr="00C66550">
        <w:t xml:space="preserve"> Australia generated around 4</w:t>
      </w:r>
      <w:r w:rsidR="00ED7D33" w:rsidRPr="00C66550">
        <w:t>8</w:t>
      </w:r>
      <w:r w:rsidR="00E4645F" w:rsidRPr="00C66550">
        <w:t xml:space="preserve"> </w:t>
      </w:r>
      <w:r w:rsidR="00B80855" w:rsidRPr="00C66550">
        <w:t>Mt</w:t>
      </w:r>
      <w:r w:rsidR="003917CB" w:rsidRPr="00C66550">
        <w:t xml:space="preserve"> of waste</w:t>
      </w:r>
      <w:r w:rsidR="00C45ABC" w:rsidRPr="00C66550">
        <w:t xml:space="preserve"> excluding fly ash, </w:t>
      </w:r>
      <w:r w:rsidR="002573E5" w:rsidRPr="00C66550">
        <w:t>and</w:t>
      </w:r>
      <w:r w:rsidR="00C45ABC" w:rsidRPr="00C66550">
        <w:t xml:space="preserve"> </w:t>
      </w:r>
      <w:r w:rsidR="003917CB" w:rsidRPr="00C66550">
        <w:t>6</w:t>
      </w:r>
      <w:r w:rsidR="00ED7D33" w:rsidRPr="00C66550">
        <w:t>2</w:t>
      </w:r>
      <w:r w:rsidR="003917CB" w:rsidRPr="00C66550">
        <w:t xml:space="preserve"> </w:t>
      </w:r>
      <w:r w:rsidR="00B80855" w:rsidRPr="00C66550">
        <w:t>Mt</w:t>
      </w:r>
      <w:r w:rsidR="003917CB" w:rsidRPr="00C66550">
        <w:t xml:space="preserve"> </w:t>
      </w:r>
      <w:r w:rsidR="00C45ABC" w:rsidRPr="00C66550">
        <w:t>including fly ash</w:t>
      </w:r>
      <w:r w:rsidR="003917CB" w:rsidRPr="00C66550">
        <w:t>.</w:t>
      </w:r>
    </w:p>
    <w:p w:rsidR="00683E8A" w:rsidRPr="00C66550" w:rsidRDefault="00683E8A" w:rsidP="00D352BE">
      <w:pPr>
        <w:pStyle w:val="BodyText"/>
      </w:pPr>
    </w:p>
    <w:p w:rsidR="00FA0CD7" w:rsidRPr="00C66550" w:rsidRDefault="00ED7D33" w:rsidP="00FB4820">
      <w:pPr>
        <w:pStyle w:val="Figures"/>
      </w:pPr>
      <w:bookmarkStart w:id="45" w:name="_Ref349656198"/>
      <w:bookmarkStart w:id="46" w:name="_Toc365385014"/>
      <w:r w:rsidRPr="00C66550">
        <w:rPr>
          <w:noProof/>
          <w:lang w:eastAsia="en-AU"/>
        </w:rPr>
        <w:drawing>
          <wp:anchor distT="0" distB="0" distL="114300" distR="114300" simplePos="0" relativeHeight="251853824" behindDoc="0" locked="0" layoutInCell="1" allowOverlap="1">
            <wp:simplePos x="0" y="0"/>
            <wp:positionH relativeFrom="column">
              <wp:posOffset>755015</wp:posOffset>
            </wp:positionH>
            <wp:positionV relativeFrom="paragraph">
              <wp:posOffset>173355</wp:posOffset>
            </wp:positionV>
            <wp:extent cx="4342765" cy="27330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2765" cy="2733040"/>
                    </a:xfrm>
                    <a:prstGeom prst="rect">
                      <a:avLst/>
                    </a:prstGeom>
                  </pic:spPr>
                </pic:pic>
              </a:graphicData>
            </a:graphic>
          </wp:anchor>
        </w:drawing>
      </w:r>
      <w:r w:rsidR="00FA0CD7"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5</w:t>
      </w:r>
      <w:r w:rsidR="0062001A" w:rsidRPr="00C66550">
        <w:rPr>
          <w:noProof/>
        </w:rPr>
        <w:fldChar w:fldCharType="end"/>
      </w:r>
      <w:bookmarkEnd w:id="45"/>
      <w:r w:rsidR="001B255A" w:rsidRPr="00C66550">
        <w:t>:</w:t>
      </w:r>
      <w:r w:rsidR="001B255A" w:rsidRPr="00C66550">
        <w:tab/>
      </w:r>
      <w:r w:rsidR="00305932" w:rsidRPr="00C66550">
        <w:t xml:space="preserve">Australia </w:t>
      </w:r>
      <w:r w:rsidR="0092407C" w:rsidRPr="00C66550">
        <w:t>2010/11</w:t>
      </w:r>
      <w:r w:rsidR="00305932" w:rsidRPr="00C66550">
        <w:t>,</w:t>
      </w:r>
      <w:r w:rsidR="0092407C" w:rsidRPr="00C66550">
        <w:t xml:space="preserve"> </w:t>
      </w:r>
      <w:r w:rsidR="00905154" w:rsidRPr="00C66550">
        <w:t xml:space="preserve">per capita and </w:t>
      </w:r>
      <w:r w:rsidR="0092407C" w:rsidRPr="00C66550">
        <w:t>t</w:t>
      </w:r>
      <w:r w:rsidR="00FA0CD7" w:rsidRPr="00C66550">
        <w:t>otal</w:t>
      </w:r>
      <w:r w:rsidR="00062A5B" w:rsidRPr="00C66550">
        <w:t xml:space="preserve"> </w:t>
      </w:r>
      <w:r w:rsidR="00422307" w:rsidRPr="00C66550">
        <w:t xml:space="preserve">waste generation </w:t>
      </w:r>
      <w:r w:rsidR="001A4573" w:rsidRPr="00C66550">
        <w:t>by</w:t>
      </w:r>
      <w:r w:rsidR="00305932" w:rsidRPr="00C66550">
        <w:t xml:space="preserve"> management</w:t>
      </w:r>
      <w:bookmarkEnd w:id="46"/>
    </w:p>
    <w:p w:rsidR="005C1FFC" w:rsidRPr="00C66550" w:rsidRDefault="005C1FFC" w:rsidP="00C45ABC">
      <w:pPr>
        <w:pStyle w:val="BodyText"/>
      </w:pPr>
    </w:p>
    <w:p w:rsidR="0092407C" w:rsidRPr="00C66550" w:rsidRDefault="0092407C" w:rsidP="00C45ABC">
      <w:pPr>
        <w:pStyle w:val="BodyText"/>
      </w:pPr>
    </w:p>
    <w:p w:rsidR="0092407C" w:rsidRPr="00C66550" w:rsidRDefault="0092407C" w:rsidP="00C45ABC">
      <w:pPr>
        <w:pStyle w:val="BodyText"/>
      </w:pPr>
    </w:p>
    <w:p w:rsidR="000A5519" w:rsidRPr="00C66550" w:rsidRDefault="000A5519"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ED7D33" w:rsidP="00C45ABC">
      <w:pPr>
        <w:pStyle w:val="BodyText"/>
      </w:pPr>
      <w:r w:rsidRPr="00C66550">
        <w:rPr>
          <w:noProof/>
          <w:lang w:eastAsia="en-AU"/>
        </w:rPr>
        <w:drawing>
          <wp:anchor distT="0" distB="0" distL="114300" distR="114300" simplePos="0" relativeHeight="251854848" behindDoc="0" locked="0" layoutInCell="1" allowOverlap="1">
            <wp:simplePos x="0" y="0"/>
            <wp:positionH relativeFrom="column">
              <wp:posOffset>754380</wp:posOffset>
            </wp:positionH>
            <wp:positionV relativeFrom="paragraph">
              <wp:posOffset>15875</wp:posOffset>
            </wp:positionV>
            <wp:extent cx="4247515" cy="2733040"/>
            <wp:effectExtent l="0" t="0" r="635"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7515" cy="2733040"/>
                    </a:xfrm>
                    <a:prstGeom prst="rect">
                      <a:avLst/>
                    </a:prstGeom>
                  </pic:spPr>
                </pic:pic>
              </a:graphicData>
            </a:graphic>
          </wp:anchor>
        </w:drawing>
      </w: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F433A6" w:rsidRPr="00C66550" w:rsidRDefault="00F433A6"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C45ABC" w:rsidRPr="00C66550" w:rsidRDefault="00C45ABC" w:rsidP="00C45ABC">
      <w:pPr>
        <w:pStyle w:val="BodyText"/>
      </w:pPr>
    </w:p>
    <w:p w:rsidR="00D04BFD" w:rsidRPr="00C66550" w:rsidRDefault="0062001A" w:rsidP="00282DD4">
      <w:pPr>
        <w:pStyle w:val="BodyText"/>
      </w:pPr>
      <w:r w:rsidRPr="00C66550">
        <w:fldChar w:fldCharType="begin"/>
      </w:r>
      <w:r w:rsidR="000359A3" w:rsidRPr="00C66550">
        <w:instrText xml:space="preserve"> REF _Ref348975336 \h </w:instrText>
      </w:r>
      <w:r w:rsidRPr="00C66550">
        <w:fldChar w:fldCharType="separate"/>
      </w:r>
      <w:r w:rsidR="00D96003" w:rsidRPr="00C66550">
        <w:t xml:space="preserve">Figure </w:t>
      </w:r>
      <w:r w:rsidR="00D96003">
        <w:rPr>
          <w:noProof/>
        </w:rPr>
        <w:t>6</w:t>
      </w:r>
      <w:r w:rsidRPr="00C66550">
        <w:fldChar w:fldCharType="end"/>
      </w:r>
      <w:r w:rsidR="000359A3" w:rsidRPr="00C66550">
        <w:t xml:space="preserve"> </w:t>
      </w:r>
      <w:r w:rsidR="00C50BA9" w:rsidRPr="00C66550">
        <w:t>illustrate</w:t>
      </w:r>
      <w:r w:rsidR="00D02101" w:rsidRPr="00C66550">
        <w:t>s</w:t>
      </w:r>
      <w:r w:rsidR="00C50BA9" w:rsidRPr="00C66550">
        <w:t xml:space="preserve"> the</w:t>
      </w:r>
      <w:r w:rsidR="002573E5" w:rsidRPr="00C66550">
        <w:t xml:space="preserve"> waste generated</w:t>
      </w:r>
      <w:r w:rsidR="00B17CE2" w:rsidRPr="00C66550">
        <w:t xml:space="preserve"> per capita and </w:t>
      </w:r>
      <w:r w:rsidR="002573E5" w:rsidRPr="00C66550">
        <w:t xml:space="preserve">in </w:t>
      </w:r>
      <w:r w:rsidR="00B17CE2" w:rsidRPr="00C66550">
        <w:t>total</w:t>
      </w:r>
      <w:r w:rsidR="00C50BA9" w:rsidRPr="00C66550">
        <w:t xml:space="preserve"> for each jurisdiction</w:t>
      </w:r>
      <w:r w:rsidR="00D05A23" w:rsidRPr="00C66550">
        <w:t>,</w:t>
      </w:r>
      <w:r w:rsidR="00C45ABC" w:rsidRPr="00C66550">
        <w:t xml:space="preserve"> showing the proportions </w:t>
      </w:r>
      <w:r w:rsidR="00E92CEE" w:rsidRPr="00C66550">
        <w:t xml:space="preserve">by </w:t>
      </w:r>
      <w:r w:rsidR="00C50BA9" w:rsidRPr="00C66550">
        <w:t>management</w:t>
      </w:r>
      <w:r w:rsidR="00C45ABC" w:rsidRPr="00C66550">
        <w:t xml:space="preserve">, </w:t>
      </w:r>
      <w:r w:rsidR="008A3189" w:rsidRPr="00C66550">
        <w:t>and the resource recovery rates</w:t>
      </w:r>
      <w:r w:rsidR="00C50BA9" w:rsidRPr="00C66550">
        <w:t>.</w:t>
      </w:r>
    </w:p>
    <w:p w:rsidR="002573E5" w:rsidRPr="00C66550" w:rsidRDefault="002573E5" w:rsidP="00282DD4">
      <w:pPr>
        <w:pStyle w:val="BodyText"/>
      </w:pPr>
    </w:p>
    <w:p w:rsidR="00D02101" w:rsidRPr="00C66550" w:rsidRDefault="0066358B" w:rsidP="00282DD4">
      <w:pPr>
        <w:pStyle w:val="BodyText"/>
      </w:pPr>
      <w:r w:rsidRPr="0066358B">
        <w:rPr>
          <w:noProof/>
          <w:lang w:eastAsia="en-AU"/>
        </w:rPr>
        <w:lastRenderedPageBreak/>
        <w:drawing>
          <wp:anchor distT="0" distB="0" distL="114300" distR="114300" simplePos="0" relativeHeight="251869184" behindDoc="0" locked="0" layoutInCell="1" allowOverlap="1">
            <wp:simplePos x="0" y="0"/>
            <wp:positionH relativeFrom="column">
              <wp:posOffset>0</wp:posOffset>
            </wp:positionH>
            <wp:positionV relativeFrom="paragraph">
              <wp:posOffset>1293495</wp:posOffset>
            </wp:positionV>
            <wp:extent cx="5731510" cy="2886075"/>
            <wp:effectExtent l="0" t="0" r="254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886075"/>
                    </a:xfrm>
                    <a:prstGeom prst="rect">
                      <a:avLst/>
                    </a:prstGeom>
                  </pic:spPr>
                </pic:pic>
              </a:graphicData>
            </a:graphic>
          </wp:anchor>
        </w:drawing>
      </w:r>
      <w:r w:rsidR="004A07E9" w:rsidRPr="00C66550">
        <w:t>The quantity of waste generated p</w:t>
      </w:r>
      <w:r w:rsidR="008D1615" w:rsidRPr="00C66550">
        <w:t>er capita</w:t>
      </w:r>
      <w:r w:rsidR="00376C5E" w:rsidRPr="00C66550">
        <w:t xml:space="preserve"> in Australian jurisdictions appears to </w:t>
      </w:r>
      <w:r w:rsidR="008A3189" w:rsidRPr="00C66550">
        <w:t>generally increase with income</w:t>
      </w:r>
      <w:r w:rsidR="004A07E9" w:rsidRPr="00C66550">
        <w:t xml:space="preserve"> per capita</w:t>
      </w:r>
      <w:r w:rsidR="008A3189" w:rsidRPr="00C66550">
        <w:t xml:space="preserve"> and</w:t>
      </w:r>
      <w:r w:rsidR="004A07E9" w:rsidRPr="00C66550">
        <w:t xml:space="preserve"> with</w:t>
      </w:r>
      <w:r w:rsidR="008A3189" w:rsidRPr="00C66550">
        <w:t xml:space="preserve"> the </w:t>
      </w:r>
      <w:r w:rsidR="002573E5" w:rsidRPr="00C66550">
        <w:t>level of urbanisation</w:t>
      </w:r>
      <w:r w:rsidR="00B17CE2" w:rsidRPr="00C66550">
        <w:t xml:space="preserve"> (see </w:t>
      </w:r>
      <w:r w:rsidR="0062001A" w:rsidRPr="00C66550">
        <w:fldChar w:fldCharType="begin"/>
      </w:r>
      <w:r w:rsidR="00B17CE2" w:rsidRPr="00C66550">
        <w:instrText xml:space="preserve"> REF _Ref349826647 \h </w:instrText>
      </w:r>
      <w:r w:rsidR="0062001A" w:rsidRPr="00C66550">
        <w:fldChar w:fldCharType="separate"/>
      </w:r>
      <w:r w:rsidR="00D96003" w:rsidRPr="00C66550">
        <w:t xml:space="preserve">Figure </w:t>
      </w:r>
      <w:r w:rsidR="00D96003">
        <w:rPr>
          <w:noProof/>
        </w:rPr>
        <w:t>3</w:t>
      </w:r>
      <w:r w:rsidR="0062001A" w:rsidRPr="00C66550">
        <w:fldChar w:fldCharType="end"/>
      </w:r>
      <w:r w:rsidR="00B17CE2" w:rsidRPr="00C66550">
        <w:t xml:space="preserve"> and </w:t>
      </w:r>
      <w:r w:rsidR="0062001A" w:rsidRPr="00C66550">
        <w:fldChar w:fldCharType="begin"/>
      </w:r>
      <w:r w:rsidR="00B17CE2" w:rsidRPr="00C66550">
        <w:instrText xml:space="preserve"> REF _Ref348713158 \h </w:instrText>
      </w:r>
      <w:r w:rsidR="0062001A" w:rsidRPr="00C66550">
        <w:fldChar w:fldCharType="separate"/>
      </w:r>
      <w:r w:rsidR="00D96003" w:rsidRPr="00C66550">
        <w:t xml:space="preserve">Figure </w:t>
      </w:r>
      <w:r w:rsidR="00D96003">
        <w:rPr>
          <w:noProof/>
        </w:rPr>
        <w:t>4</w:t>
      </w:r>
      <w:r w:rsidR="0062001A" w:rsidRPr="00C66550">
        <w:fldChar w:fldCharType="end"/>
      </w:r>
      <w:r w:rsidR="00315ACD" w:rsidRPr="00C66550">
        <w:t>)</w:t>
      </w:r>
      <w:r w:rsidR="004A07E9" w:rsidRPr="00C66550">
        <w:rPr>
          <w:rStyle w:val="FootnoteReference"/>
        </w:rPr>
        <w:footnoteReference w:id="2"/>
      </w:r>
      <w:r w:rsidR="000028BC" w:rsidRPr="00C66550">
        <w:t xml:space="preserve">. </w:t>
      </w:r>
      <w:r w:rsidR="00D04BFD" w:rsidRPr="00C66550">
        <w:t xml:space="preserve">Tonnage totals correlate with population and GSP (see </w:t>
      </w:r>
      <w:r w:rsidR="0062001A" w:rsidRPr="00C66550">
        <w:fldChar w:fldCharType="begin"/>
      </w:r>
      <w:r w:rsidR="00D04BFD" w:rsidRPr="00C66550">
        <w:instrText xml:space="preserve"> REF _Ref348709466 \h </w:instrText>
      </w:r>
      <w:r w:rsidR="0062001A" w:rsidRPr="00C66550">
        <w:fldChar w:fldCharType="separate"/>
      </w:r>
      <w:r w:rsidR="00D96003" w:rsidRPr="00C66550">
        <w:t xml:space="preserve">Figure </w:t>
      </w:r>
      <w:r w:rsidR="00D96003">
        <w:rPr>
          <w:noProof/>
        </w:rPr>
        <w:t>1</w:t>
      </w:r>
      <w:r w:rsidR="0062001A" w:rsidRPr="00C66550">
        <w:fldChar w:fldCharType="end"/>
      </w:r>
      <w:r w:rsidR="00D04BFD" w:rsidRPr="00C66550">
        <w:t xml:space="preserve"> and </w:t>
      </w:r>
      <w:r w:rsidR="0062001A" w:rsidRPr="00C66550">
        <w:fldChar w:fldCharType="begin"/>
      </w:r>
      <w:r w:rsidR="00D04BFD" w:rsidRPr="00C66550">
        <w:instrText xml:space="preserve"> REF _Ref348710067 \h </w:instrText>
      </w:r>
      <w:r w:rsidR="0062001A" w:rsidRPr="00C66550">
        <w:fldChar w:fldCharType="separate"/>
      </w:r>
      <w:r w:rsidR="00D96003" w:rsidRPr="00C66550">
        <w:t xml:space="preserve">Figure </w:t>
      </w:r>
      <w:r w:rsidR="00D96003">
        <w:rPr>
          <w:noProof/>
        </w:rPr>
        <w:t>2</w:t>
      </w:r>
      <w:r w:rsidR="0062001A" w:rsidRPr="00C66550">
        <w:fldChar w:fldCharType="end"/>
      </w:r>
      <w:r w:rsidR="00D04BFD" w:rsidRPr="00C66550">
        <w:t>).</w:t>
      </w:r>
    </w:p>
    <w:p w:rsidR="006C438A" w:rsidRPr="00C66550" w:rsidRDefault="006C438A" w:rsidP="00282DD4">
      <w:pPr>
        <w:pStyle w:val="BodyText"/>
      </w:pPr>
    </w:p>
    <w:p w:rsidR="00AE3C41" w:rsidRPr="00C66550" w:rsidRDefault="00AE3C41" w:rsidP="00FB4820">
      <w:pPr>
        <w:pStyle w:val="Figures"/>
      </w:pPr>
      <w:bookmarkStart w:id="47" w:name="_Ref348975336"/>
      <w:bookmarkStart w:id="48" w:name="_Toc365385015"/>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6</w:t>
      </w:r>
      <w:r w:rsidR="0062001A" w:rsidRPr="00C66550">
        <w:rPr>
          <w:noProof/>
        </w:rPr>
        <w:fldChar w:fldCharType="end"/>
      </w:r>
      <w:bookmarkEnd w:id="47"/>
      <w:r w:rsidR="001B255A" w:rsidRPr="00C66550">
        <w:t>:</w:t>
      </w:r>
      <w:r w:rsidR="001B255A" w:rsidRPr="00C66550">
        <w:tab/>
      </w:r>
      <w:r w:rsidR="00305932" w:rsidRPr="00C66550">
        <w:t xml:space="preserve">Australia </w:t>
      </w:r>
      <w:r w:rsidRPr="00C66550">
        <w:t>2010/11</w:t>
      </w:r>
      <w:r w:rsidR="00305932" w:rsidRPr="00C66550">
        <w:t>,</w:t>
      </w:r>
      <w:r w:rsidRPr="00C66550">
        <w:t xml:space="preserve"> </w:t>
      </w:r>
      <w:r w:rsidR="00905154" w:rsidRPr="00C66550">
        <w:t xml:space="preserve">per capita </w:t>
      </w:r>
      <w:r w:rsidR="00062A5B" w:rsidRPr="00C66550">
        <w:t xml:space="preserve">and </w:t>
      </w:r>
      <w:r w:rsidR="00905154" w:rsidRPr="00C66550">
        <w:t xml:space="preserve">total </w:t>
      </w:r>
      <w:r w:rsidRPr="00C66550">
        <w:t>waste generation</w:t>
      </w:r>
      <w:r w:rsidR="001A4573" w:rsidRPr="00C66550">
        <w:t xml:space="preserve"> by</w:t>
      </w:r>
      <w:r w:rsidR="001B2FA1" w:rsidRPr="00C66550">
        <w:t xml:space="preserve"> </w:t>
      </w:r>
      <w:r w:rsidR="00305932" w:rsidRPr="00C66550">
        <w:t>management</w:t>
      </w:r>
      <w:r w:rsidR="000D7C2B">
        <w:t xml:space="preserve"> </w:t>
      </w:r>
      <w:r w:rsidR="000D7C2B" w:rsidRPr="00C66550">
        <w:t>by jurisdiction</w:t>
      </w:r>
      <w:bookmarkEnd w:id="48"/>
      <w:r w:rsidR="001A4573" w:rsidRPr="00C66550">
        <w:t xml:space="preserve"> </w:t>
      </w:r>
    </w:p>
    <w:p w:rsidR="005D587A" w:rsidRPr="00C66550" w:rsidRDefault="005D587A" w:rsidP="00FB4820">
      <w:pPr>
        <w:pStyle w:val="Figures"/>
      </w:pPr>
    </w:p>
    <w:p w:rsidR="00ED7D33" w:rsidRPr="00C66550" w:rsidRDefault="0066358B">
      <w:pPr>
        <w:spacing w:line="240" w:lineRule="auto"/>
        <w:rPr>
          <w:rFonts w:ascii="Arial Rounded MT Bold" w:hAnsi="Arial Rounded MT Bold" w:cs="Arial"/>
          <w:color w:val="0000FF"/>
          <w:sz w:val="28"/>
          <w:szCs w:val="28"/>
        </w:rPr>
      </w:pPr>
      <w:r w:rsidRPr="0066358B">
        <w:rPr>
          <w:noProof/>
          <w:lang w:eastAsia="en-AU"/>
        </w:rPr>
        <w:drawing>
          <wp:anchor distT="0" distB="0" distL="114300" distR="114300" simplePos="0" relativeHeight="251870208" behindDoc="0" locked="0" layoutInCell="1" allowOverlap="1">
            <wp:simplePos x="0" y="0"/>
            <wp:positionH relativeFrom="column">
              <wp:posOffset>-31750</wp:posOffset>
            </wp:positionH>
            <wp:positionV relativeFrom="paragraph">
              <wp:posOffset>3092450</wp:posOffset>
            </wp:positionV>
            <wp:extent cx="5731510" cy="2804795"/>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804795"/>
                    </a:xfrm>
                    <a:prstGeom prst="rect">
                      <a:avLst/>
                    </a:prstGeom>
                  </pic:spPr>
                </pic:pic>
              </a:graphicData>
            </a:graphic>
          </wp:anchor>
        </w:drawing>
      </w:r>
      <w:r w:rsidR="00ED7D33" w:rsidRPr="00C66550">
        <w:br w:type="page"/>
      </w:r>
    </w:p>
    <w:p w:rsidR="00D352BE" w:rsidRPr="00C66550" w:rsidRDefault="006607A8" w:rsidP="006D25F9">
      <w:pPr>
        <w:pStyle w:val="Heading2"/>
      </w:pPr>
      <w:bookmarkStart w:id="49" w:name="_Toc379466355"/>
      <w:r w:rsidRPr="00C66550">
        <w:lastRenderedPageBreak/>
        <w:t xml:space="preserve">Australia </w:t>
      </w:r>
      <w:r w:rsidR="00C749B8" w:rsidRPr="00C66550">
        <w:t>2010/11 w</w:t>
      </w:r>
      <w:r w:rsidR="006C5DFB" w:rsidRPr="00C66550">
        <w:t xml:space="preserve">aste stream </w:t>
      </w:r>
      <w:r w:rsidR="00FE1855" w:rsidRPr="00C66550">
        <w:t>data</w:t>
      </w:r>
      <w:bookmarkEnd w:id="49"/>
    </w:p>
    <w:p w:rsidR="00D73B07" w:rsidRPr="00C66550" w:rsidRDefault="0062001A" w:rsidP="00D73B07">
      <w:pPr>
        <w:pStyle w:val="BodyText"/>
      </w:pPr>
      <w:r w:rsidRPr="00C66550">
        <w:fldChar w:fldCharType="begin"/>
      </w:r>
      <w:r w:rsidR="00717CA5" w:rsidRPr="00C66550">
        <w:instrText xml:space="preserve"> REF _Ref348882914 \h </w:instrText>
      </w:r>
      <w:r w:rsidRPr="00C66550">
        <w:fldChar w:fldCharType="separate"/>
      </w:r>
      <w:r w:rsidR="00D96003" w:rsidRPr="00C66550">
        <w:t xml:space="preserve">Figure </w:t>
      </w:r>
      <w:r w:rsidR="00D96003">
        <w:rPr>
          <w:noProof/>
        </w:rPr>
        <w:t>7</w:t>
      </w:r>
      <w:r w:rsidRPr="00C66550">
        <w:fldChar w:fldCharType="end"/>
      </w:r>
      <w:r w:rsidR="008A2CAD" w:rsidRPr="00C66550">
        <w:t xml:space="preserve"> shows </w:t>
      </w:r>
      <w:r w:rsidR="00D73B07" w:rsidRPr="00C66550">
        <w:t xml:space="preserve">the main </w:t>
      </w:r>
      <w:r w:rsidR="00A22181" w:rsidRPr="00C66550">
        <w:t>sources, or ‘streams’</w:t>
      </w:r>
      <w:r w:rsidR="00D73B07" w:rsidRPr="00C66550">
        <w:t xml:space="preserve"> of waste in </w:t>
      </w:r>
      <w:r w:rsidR="008A2CAD" w:rsidRPr="00C66550">
        <w:t>Australia</w:t>
      </w:r>
      <w:r w:rsidR="002573E5" w:rsidRPr="00C66550">
        <w:rPr>
          <w:rStyle w:val="FootnoteReference"/>
        </w:rPr>
        <w:footnoteReference w:id="3"/>
      </w:r>
      <w:r w:rsidR="00040004" w:rsidRPr="00C66550">
        <w:t>.</w:t>
      </w:r>
      <w:r w:rsidR="00D73B07" w:rsidRPr="00C66550">
        <w:t xml:space="preserve"> </w:t>
      </w:r>
      <w:r w:rsidR="00D0019A" w:rsidRPr="00C66550">
        <w:t>The three w</w:t>
      </w:r>
      <w:r w:rsidR="00D73B07" w:rsidRPr="00C66550">
        <w:t xml:space="preserve">aste streams </w:t>
      </w:r>
      <w:r w:rsidR="00A22181" w:rsidRPr="00C66550">
        <w:t xml:space="preserve">are </w:t>
      </w:r>
      <w:r w:rsidR="00D73B07" w:rsidRPr="00C66550">
        <w:t xml:space="preserve">MSW, </w:t>
      </w:r>
      <w:r w:rsidR="003A1FEA" w:rsidRPr="00C66550">
        <w:t>C</w:t>
      </w:r>
      <w:r w:rsidR="00D73B07" w:rsidRPr="00C66550">
        <w:t>&amp;I</w:t>
      </w:r>
      <w:r w:rsidR="003A1FEA" w:rsidRPr="00C66550">
        <w:t>,</w:t>
      </w:r>
      <w:r w:rsidR="00D73B07" w:rsidRPr="00C66550">
        <w:t xml:space="preserve"> and C&amp;D waste</w:t>
      </w:r>
      <w:r w:rsidR="008C33D9" w:rsidRPr="00C66550">
        <w:t>.</w:t>
      </w:r>
      <w:r w:rsidR="00D73B07" w:rsidRPr="00C66550">
        <w:t xml:space="preserve"> MSW </w:t>
      </w:r>
      <w:r w:rsidR="008C33D9" w:rsidRPr="00C66550">
        <w:t xml:space="preserve">includes </w:t>
      </w:r>
      <w:r w:rsidR="00D73B07" w:rsidRPr="00C66550">
        <w:t xml:space="preserve">waste </w:t>
      </w:r>
      <w:r w:rsidR="008C33D9" w:rsidRPr="00C66550">
        <w:t>from</w:t>
      </w:r>
      <w:r w:rsidR="00D73B07" w:rsidRPr="00C66550">
        <w:t xml:space="preserve"> households</w:t>
      </w:r>
      <w:r w:rsidR="008C33D9" w:rsidRPr="00C66550">
        <w:t xml:space="preserve"> and local government activities </w:t>
      </w:r>
      <w:r w:rsidR="00D73B07" w:rsidRPr="00C66550">
        <w:t xml:space="preserve">(e.g. </w:t>
      </w:r>
      <w:r w:rsidR="008C33D9" w:rsidRPr="00C66550">
        <w:t xml:space="preserve">from </w:t>
      </w:r>
      <w:r w:rsidR="00D73B07" w:rsidRPr="00C66550">
        <w:t xml:space="preserve">parks and garden </w:t>
      </w:r>
      <w:r w:rsidR="008C33D9" w:rsidRPr="00C66550">
        <w:t>maintenance</w:t>
      </w:r>
      <w:r w:rsidR="00D73B07" w:rsidRPr="00C66550">
        <w:t xml:space="preserve">). The C&amp;D waste stream </w:t>
      </w:r>
      <w:r w:rsidR="008C33D9" w:rsidRPr="00C66550">
        <w:t>comprises</w:t>
      </w:r>
      <w:r w:rsidR="00D73B07" w:rsidRPr="00C66550">
        <w:t xml:space="preserve"> wastes </w:t>
      </w:r>
      <w:r w:rsidR="008C33D9" w:rsidRPr="00C66550">
        <w:t>from</w:t>
      </w:r>
      <w:r w:rsidR="00D73B07" w:rsidRPr="00C66550">
        <w:t xml:space="preserve"> the construction and demolition industry</w:t>
      </w:r>
      <w:r w:rsidR="003A1FEA" w:rsidRPr="00C66550">
        <w:t>.</w:t>
      </w:r>
      <w:r w:rsidR="00D73B07" w:rsidRPr="00C66550">
        <w:t xml:space="preserve"> The C&amp;I waste steam </w:t>
      </w:r>
      <w:r w:rsidR="00D0019A" w:rsidRPr="00C66550">
        <w:t>comprises</w:t>
      </w:r>
      <w:r w:rsidR="00D73B07" w:rsidRPr="00C66550">
        <w:t xml:space="preserve"> waste from every generator apart from households, local governments and t</w:t>
      </w:r>
      <w:r w:rsidR="008C33D9" w:rsidRPr="00C66550">
        <w:t>he C&amp;D industry, including offices, factories and institutions.</w:t>
      </w:r>
    </w:p>
    <w:p w:rsidR="0016096D" w:rsidRPr="00C66550" w:rsidRDefault="0016096D" w:rsidP="00D73B07">
      <w:pPr>
        <w:pStyle w:val="BodyText"/>
      </w:pPr>
    </w:p>
    <w:p w:rsidR="008C33D9" w:rsidRPr="00C66550" w:rsidRDefault="008C33D9" w:rsidP="008C33D9">
      <w:pPr>
        <w:pStyle w:val="BodyText"/>
        <w:rPr>
          <w:color w:val="auto"/>
        </w:rPr>
      </w:pPr>
      <w:r w:rsidRPr="00C66550">
        <w:rPr>
          <w:color w:val="auto"/>
        </w:rPr>
        <w:t xml:space="preserve">In 2010/11, </w:t>
      </w:r>
      <w:r w:rsidR="004B24C1" w:rsidRPr="00C66550">
        <w:rPr>
          <w:color w:val="auto"/>
        </w:rPr>
        <w:t xml:space="preserve">about </w:t>
      </w:r>
      <w:r w:rsidRPr="00C66550">
        <w:rPr>
          <w:color w:val="auto"/>
        </w:rPr>
        <w:t xml:space="preserve">14 </w:t>
      </w:r>
      <w:r w:rsidR="00B80855" w:rsidRPr="00C66550">
        <w:rPr>
          <w:color w:val="auto"/>
        </w:rPr>
        <w:t>Mt</w:t>
      </w:r>
      <w:r w:rsidR="004B24C1" w:rsidRPr="00C66550">
        <w:rPr>
          <w:color w:val="auto"/>
        </w:rPr>
        <w:t xml:space="preserve"> of MSW was generated nationally</w:t>
      </w:r>
      <w:r w:rsidRPr="00C66550">
        <w:rPr>
          <w:color w:val="auto"/>
        </w:rPr>
        <w:t>. About 5</w:t>
      </w:r>
      <w:r w:rsidR="00ED7D33" w:rsidRPr="00C66550">
        <w:rPr>
          <w:color w:val="auto"/>
        </w:rPr>
        <w:t>1</w:t>
      </w:r>
      <w:r w:rsidRPr="00C66550">
        <w:rPr>
          <w:color w:val="auto"/>
        </w:rPr>
        <w:t xml:space="preserve">% was recovered – the lowest resource recovery rate of the three </w:t>
      </w:r>
      <w:r w:rsidR="002D67AF" w:rsidRPr="00C66550">
        <w:rPr>
          <w:color w:val="auto"/>
        </w:rPr>
        <w:t xml:space="preserve">main waste </w:t>
      </w:r>
      <w:r w:rsidRPr="00C66550">
        <w:rPr>
          <w:color w:val="auto"/>
        </w:rPr>
        <w:t xml:space="preserve">streams. </w:t>
      </w:r>
      <w:r w:rsidR="002573E5" w:rsidRPr="00C66550">
        <w:rPr>
          <w:color w:val="auto"/>
        </w:rPr>
        <w:t>While some</w:t>
      </w:r>
      <w:r w:rsidR="00F654BA" w:rsidRPr="00C66550">
        <w:rPr>
          <w:color w:val="auto"/>
        </w:rPr>
        <w:t xml:space="preserve"> MSW waste is separated at it</w:t>
      </w:r>
      <w:r w:rsidR="00D0019A" w:rsidRPr="00C66550">
        <w:rPr>
          <w:color w:val="auto"/>
        </w:rPr>
        <w:t>s</w:t>
      </w:r>
      <w:r w:rsidR="00F654BA" w:rsidRPr="00C66550">
        <w:rPr>
          <w:color w:val="auto"/>
        </w:rPr>
        <w:t xml:space="preserve"> source </w:t>
      </w:r>
      <w:r w:rsidR="002573E5" w:rsidRPr="00C66550">
        <w:rPr>
          <w:color w:val="auto"/>
        </w:rPr>
        <w:t>for recycling (e.g.</w:t>
      </w:r>
      <w:r w:rsidR="00F654BA" w:rsidRPr="00C66550">
        <w:rPr>
          <w:color w:val="auto"/>
        </w:rPr>
        <w:t xml:space="preserve"> kerbside recyclables and </w:t>
      </w:r>
      <w:r w:rsidR="003D4CD8" w:rsidRPr="00C66550">
        <w:rPr>
          <w:color w:val="auto"/>
        </w:rPr>
        <w:t xml:space="preserve">garden </w:t>
      </w:r>
      <w:r w:rsidR="00F654BA" w:rsidRPr="00C66550">
        <w:rPr>
          <w:color w:val="auto"/>
        </w:rPr>
        <w:t>waste</w:t>
      </w:r>
      <w:r w:rsidR="00287E5E" w:rsidRPr="00C66550">
        <w:rPr>
          <w:color w:val="auto"/>
        </w:rPr>
        <w:t>s</w:t>
      </w:r>
      <w:r w:rsidR="004B24C1" w:rsidRPr="00C66550">
        <w:rPr>
          <w:color w:val="auto"/>
        </w:rPr>
        <w:t>),</w:t>
      </w:r>
      <w:r w:rsidR="00287E5E" w:rsidRPr="00C66550">
        <w:rPr>
          <w:color w:val="auto"/>
        </w:rPr>
        <w:t xml:space="preserve"> </w:t>
      </w:r>
      <w:r w:rsidRPr="00C66550">
        <w:rPr>
          <w:color w:val="auto"/>
        </w:rPr>
        <w:t>the residual or landfill bin from households</w:t>
      </w:r>
      <w:r w:rsidR="004B24C1" w:rsidRPr="00C66550">
        <w:rPr>
          <w:color w:val="auto"/>
        </w:rPr>
        <w:t xml:space="preserve"> </w:t>
      </w:r>
      <w:r w:rsidR="00287E5E" w:rsidRPr="00C66550">
        <w:rPr>
          <w:color w:val="auto"/>
        </w:rPr>
        <w:t xml:space="preserve">is </w:t>
      </w:r>
      <w:r w:rsidRPr="00C66550">
        <w:rPr>
          <w:color w:val="auto"/>
        </w:rPr>
        <w:t>a major part of MSW disposal tonnage</w:t>
      </w:r>
      <w:r w:rsidR="004B24C1" w:rsidRPr="00C66550">
        <w:rPr>
          <w:color w:val="auto"/>
        </w:rPr>
        <w:t xml:space="preserve">. The contents of these bins are </w:t>
      </w:r>
      <w:r w:rsidRPr="00C66550">
        <w:rPr>
          <w:color w:val="auto"/>
        </w:rPr>
        <w:t xml:space="preserve">a complex mix of materials </w:t>
      </w:r>
      <w:r w:rsidR="004B24C1" w:rsidRPr="00C66550">
        <w:rPr>
          <w:color w:val="auto"/>
        </w:rPr>
        <w:t>and</w:t>
      </w:r>
      <w:r w:rsidR="00287E5E" w:rsidRPr="00C66550">
        <w:rPr>
          <w:color w:val="auto"/>
        </w:rPr>
        <w:t xml:space="preserve"> </w:t>
      </w:r>
      <w:r w:rsidR="004B24C1" w:rsidRPr="00C66550">
        <w:rPr>
          <w:color w:val="auto"/>
        </w:rPr>
        <w:t xml:space="preserve">can only be recovered using </w:t>
      </w:r>
      <w:r w:rsidR="00287E5E" w:rsidRPr="00C66550">
        <w:rPr>
          <w:color w:val="auto"/>
        </w:rPr>
        <w:t>expensive and complex infrastructure</w:t>
      </w:r>
      <w:r w:rsidR="004B24C1" w:rsidRPr="00C66550">
        <w:rPr>
          <w:color w:val="auto"/>
        </w:rPr>
        <w:t xml:space="preserve"> that generally produces products of </w:t>
      </w:r>
      <w:r w:rsidR="00287E5E" w:rsidRPr="00C66550">
        <w:rPr>
          <w:color w:val="auto"/>
        </w:rPr>
        <w:t>lower quality than those from source</w:t>
      </w:r>
      <w:r w:rsidR="004B24C1" w:rsidRPr="00C66550">
        <w:rPr>
          <w:color w:val="auto"/>
        </w:rPr>
        <w:t>-</w:t>
      </w:r>
      <w:r w:rsidR="00287E5E" w:rsidRPr="00C66550">
        <w:rPr>
          <w:color w:val="auto"/>
        </w:rPr>
        <w:t>separated wastes.</w:t>
      </w:r>
    </w:p>
    <w:p w:rsidR="008C33D9" w:rsidRPr="00C66550" w:rsidRDefault="008C33D9" w:rsidP="008C33D9">
      <w:pPr>
        <w:pStyle w:val="BodyText"/>
      </w:pPr>
    </w:p>
    <w:p w:rsidR="008C33D9" w:rsidRPr="00C66550" w:rsidRDefault="004B24C1" w:rsidP="008C33D9">
      <w:pPr>
        <w:pStyle w:val="BodyText"/>
      </w:pPr>
      <w:r w:rsidRPr="00C66550">
        <w:t>A</w:t>
      </w:r>
      <w:r w:rsidR="008C33D9" w:rsidRPr="00C66550">
        <w:t xml:space="preserve">round 15 </w:t>
      </w:r>
      <w:r w:rsidR="00B80855" w:rsidRPr="00C66550">
        <w:t>Mt</w:t>
      </w:r>
      <w:r w:rsidRPr="00C66550">
        <w:t xml:space="preserve"> of C&amp;I waste was generated</w:t>
      </w:r>
      <w:r w:rsidR="00FF1FE4" w:rsidRPr="00C66550">
        <w:t>, of which</w:t>
      </w:r>
      <w:r w:rsidR="008C33D9" w:rsidRPr="00C66550">
        <w:t xml:space="preserve"> 5</w:t>
      </w:r>
      <w:r w:rsidR="00ED7D33" w:rsidRPr="00C66550">
        <w:t>9</w:t>
      </w:r>
      <w:r w:rsidR="008C33D9" w:rsidRPr="00C66550">
        <w:t xml:space="preserve">% was recovered. The C&amp;I stream may present the greatest opportunities for improving recovery, especially for wastes that are delivered to landfill </w:t>
      </w:r>
      <w:r w:rsidR="00FF1FE4" w:rsidRPr="00C66550">
        <w:t xml:space="preserve">in homogenous loads </w:t>
      </w:r>
      <w:r w:rsidR="008C33D9" w:rsidRPr="00C66550">
        <w:t>(</w:t>
      </w:r>
      <w:r w:rsidR="00FF1FE4" w:rsidRPr="00C66550">
        <w:t xml:space="preserve">e.g. </w:t>
      </w:r>
      <w:r w:rsidR="008C33D9" w:rsidRPr="00C66550">
        <w:t>cardboard or food). Improving the performance of energy recovery at landfill would improve the resource recovery rates of both MSW and C&amp;I.</w:t>
      </w:r>
    </w:p>
    <w:p w:rsidR="008C33D9" w:rsidRPr="00C66550" w:rsidRDefault="008C33D9" w:rsidP="008C33D9">
      <w:pPr>
        <w:pStyle w:val="BodyText"/>
      </w:pPr>
    </w:p>
    <w:p w:rsidR="008C33D9" w:rsidRPr="00C66550" w:rsidRDefault="008C33D9" w:rsidP="008C33D9">
      <w:pPr>
        <w:pStyle w:val="BodyText"/>
      </w:pPr>
      <w:r w:rsidRPr="00C66550">
        <w:t xml:space="preserve">C&amp;D waste generation was around 18 </w:t>
      </w:r>
      <w:r w:rsidR="00B80855" w:rsidRPr="00C66550">
        <w:t>Mt</w:t>
      </w:r>
      <w:r w:rsidR="00FF1FE4" w:rsidRPr="00C66550">
        <w:t xml:space="preserve">. At </w:t>
      </w:r>
      <w:r w:rsidRPr="00C66550">
        <w:t>6</w:t>
      </w:r>
      <w:r w:rsidR="00ED7D33" w:rsidRPr="00C66550">
        <w:t>6</w:t>
      </w:r>
      <w:r w:rsidRPr="00C66550">
        <w:t>%</w:t>
      </w:r>
      <w:r w:rsidR="00FF1FE4" w:rsidRPr="00C66550">
        <w:t>, the resource</w:t>
      </w:r>
      <w:r w:rsidRPr="00C66550">
        <w:t xml:space="preserve"> </w:t>
      </w:r>
      <w:r w:rsidR="00FF1FE4" w:rsidRPr="00C66550">
        <w:t xml:space="preserve">recovery rate was </w:t>
      </w:r>
      <w:r w:rsidRPr="00C66550">
        <w:t>the highest of the</w:t>
      </w:r>
      <w:r w:rsidR="00FF1FE4" w:rsidRPr="00C66550">
        <w:t xml:space="preserve"> three</w:t>
      </w:r>
      <w:r w:rsidRPr="00C66550">
        <w:t xml:space="preserve"> streams. C&amp;D</w:t>
      </w:r>
      <w:r w:rsidR="004B24C1" w:rsidRPr="00C66550">
        <w:t xml:space="preserve"> recovery</w:t>
      </w:r>
      <w:r w:rsidRPr="00C66550">
        <w:t xml:space="preserve"> </w:t>
      </w:r>
      <w:r w:rsidR="00FF1FE4" w:rsidRPr="00C66550">
        <w:t xml:space="preserve">is </w:t>
      </w:r>
      <w:r w:rsidRPr="00C66550">
        <w:t xml:space="preserve">well-established in most </w:t>
      </w:r>
      <w:r w:rsidR="00FF1FE4" w:rsidRPr="00C66550">
        <w:t xml:space="preserve">jurisdictions, but </w:t>
      </w:r>
      <w:r w:rsidRPr="00C66550">
        <w:t xml:space="preserve">opportunities </w:t>
      </w:r>
      <w:r w:rsidR="00FF1FE4" w:rsidRPr="00C66550">
        <w:t xml:space="preserve">remain for </w:t>
      </w:r>
      <w:r w:rsidRPr="00C66550">
        <w:t>recover</w:t>
      </w:r>
      <w:r w:rsidR="004B24C1" w:rsidRPr="00C66550">
        <w:t>ing material</w:t>
      </w:r>
      <w:r w:rsidRPr="00C66550">
        <w:t xml:space="preserve"> </w:t>
      </w:r>
      <w:r w:rsidR="00FF1FE4" w:rsidRPr="00C66550">
        <w:t>from</w:t>
      </w:r>
      <w:r w:rsidRPr="00C66550">
        <w:t xml:space="preserve"> mixed C&amp;D waste loads, which are often taken direct</w:t>
      </w:r>
      <w:r w:rsidR="004B24C1" w:rsidRPr="00C66550">
        <w:t>ly</w:t>
      </w:r>
      <w:r w:rsidRPr="00C66550">
        <w:t xml:space="preserve"> to landfill.</w:t>
      </w:r>
    </w:p>
    <w:p w:rsidR="00275C15" w:rsidRPr="00C66550" w:rsidRDefault="00FF1FE4" w:rsidP="00FF1FE4">
      <w:pPr>
        <w:pStyle w:val="BodyText"/>
        <w:keepNext/>
        <w:tabs>
          <w:tab w:val="left" w:pos="7585"/>
        </w:tabs>
      </w:pPr>
      <w:r w:rsidRPr="00C66550">
        <w:tab/>
      </w:r>
    </w:p>
    <w:p w:rsidR="00F11C12" w:rsidRPr="00C66550" w:rsidRDefault="00F11C12" w:rsidP="00FB4820">
      <w:pPr>
        <w:pStyle w:val="Figures"/>
      </w:pPr>
      <w:bookmarkStart w:id="50" w:name="_Ref348882914"/>
      <w:bookmarkStart w:id="51" w:name="_Toc365385016"/>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7</w:t>
      </w:r>
      <w:r w:rsidR="0062001A" w:rsidRPr="00C66550">
        <w:rPr>
          <w:noProof/>
        </w:rPr>
        <w:fldChar w:fldCharType="end"/>
      </w:r>
      <w:bookmarkEnd w:id="50"/>
      <w:r w:rsidR="001B255A" w:rsidRPr="00C66550">
        <w:t>:</w:t>
      </w:r>
      <w:r w:rsidR="001B255A" w:rsidRPr="00C66550">
        <w:tab/>
      </w:r>
      <w:r w:rsidR="006607A8" w:rsidRPr="00C66550">
        <w:t xml:space="preserve">Australia </w:t>
      </w:r>
      <w:r w:rsidRPr="00C66550">
        <w:t>2010/11</w:t>
      </w:r>
      <w:r w:rsidR="006607A8" w:rsidRPr="00C66550">
        <w:t>,</w:t>
      </w:r>
      <w:r w:rsidRPr="00C66550">
        <w:t xml:space="preserve"> total waste generation</w:t>
      </w:r>
      <w:r w:rsidR="006607A8" w:rsidRPr="00C66550">
        <w:t xml:space="preserve"> </w:t>
      </w:r>
      <w:r w:rsidRPr="00C66550">
        <w:t xml:space="preserve">by waste stream </w:t>
      </w:r>
      <w:r w:rsidR="00D62F29" w:rsidRPr="00C66550">
        <w:t xml:space="preserve">and management </w:t>
      </w:r>
      <w:r w:rsidR="00CD6B7D" w:rsidRPr="00C66550">
        <w:t>(excluding ACT)</w:t>
      </w:r>
      <w:bookmarkEnd w:id="51"/>
    </w:p>
    <w:p w:rsidR="006F0059" w:rsidRPr="00C66550" w:rsidRDefault="00C54596" w:rsidP="00FB4820">
      <w:pPr>
        <w:pStyle w:val="Figures"/>
      </w:pPr>
      <w:r w:rsidRPr="00C54596">
        <w:rPr>
          <w:noProof/>
          <w:lang w:eastAsia="en-AU"/>
        </w:rPr>
        <w:drawing>
          <wp:inline distT="0" distB="0" distL="0" distR="0">
            <wp:extent cx="5600000" cy="2895238"/>
            <wp:effectExtent l="0" t="0" r="127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600000" cy="2895238"/>
                    </a:xfrm>
                    <a:prstGeom prst="rect">
                      <a:avLst/>
                    </a:prstGeom>
                  </pic:spPr>
                </pic:pic>
              </a:graphicData>
            </a:graphic>
          </wp:inline>
        </w:drawing>
      </w:r>
    </w:p>
    <w:p w:rsidR="007A49F3" w:rsidRPr="00C66550" w:rsidRDefault="007A49F3">
      <w:pPr>
        <w:spacing w:line="240" w:lineRule="auto"/>
        <w:rPr>
          <w:rFonts w:ascii="Arial Rounded MT Bold" w:hAnsi="Arial Rounded MT Bold" w:cs="Arial"/>
          <w:color w:val="0000FF"/>
          <w:sz w:val="22"/>
        </w:rPr>
        <w:sectPr w:rsidR="007A49F3" w:rsidRPr="00C66550" w:rsidSect="004B1E3C">
          <w:footerReference w:type="default" r:id="rId42"/>
          <w:pgSz w:w="11906" w:h="16838"/>
          <w:pgMar w:top="1440" w:right="1440" w:bottom="1418" w:left="1440" w:header="709" w:footer="709" w:gutter="0"/>
          <w:pgNumType w:start="1"/>
          <w:cols w:space="708"/>
          <w:docGrid w:linePitch="360"/>
        </w:sectPr>
      </w:pPr>
    </w:p>
    <w:p w:rsidR="009C6CA3" w:rsidRDefault="009C6CA3" w:rsidP="006D25F9">
      <w:pPr>
        <w:pStyle w:val="Heading3"/>
      </w:pPr>
      <w:r w:rsidRPr="00C66550">
        <w:lastRenderedPageBreak/>
        <w:t>Australia 2010/11 waste stream data by jurisdiction</w:t>
      </w:r>
    </w:p>
    <w:p w:rsidR="00437BFC" w:rsidRPr="00437BFC" w:rsidRDefault="00437BFC" w:rsidP="00437BFC">
      <w:pPr>
        <w:pStyle w:val="BodyText"/>
      </w:pPr>
    </w:p>
    <w:p w:rsidR="004661C1" w:rsidRPr="00C66550" w:rsidRDefault="0062001A" w:rsidP="00437BFC">
      <w:pPr>
        <w:pStyle w:val="BodyText"/>
        <w:tabs>
          <w:tab w:val="left" w:pos="1105"/>
        </w:tabs>
      </w:pPr>
      <w:r w:rsidRPr="00C66550">
        <w:fldChar w:fldCharType="begin"/>
      </w:r>
      <w:r w:rsidR="004661C1" w:rsidRPr="00C66550">
        <w:instrText xml:space="preserve"> REF _Ref355249561 \h </w:instrText>
      </w:r>
      <w:r w:rsidRPr="00C66550">
        <w:fldChar w:fldCharType="separate"/>
      </w:r>
      <w:r w:rsidR="00D96003" w:rsidRPr="00C66550">
        <w:t xml:space="preserve">Figure </w:t>
      </w:r>
      <w:r w:rsidR="00D96003">
        <w:rPr>
          <w:noProof/>
        </w:rPr>
        <w:t>8</w:t>
      </w:r>
      <w:r w:rsidRPr="00C66550">
        <w:fldChar w:fldCharType="end"/>
      </w:r>
      <w:r w:rsidR="004661C1" w:rsidRPr="00C66550">
        <w:t xml:space="preserve"> illustrates per capita waste generation by waste stream</w:t>
      </w:r>
      <w:r w:rsidR="004B24C1" w:rsidRPr="00C66550">
        <w:t xml:space="preserve"> and</w:t>
      </w:r>
      <w:r w:rsidR="004661C1" w:rsidRPr="00C66550">
        <w:t xml:space="preserve"> by management</w:t>
      </w:r>
      <w:r w:rsidR="004B24C1" w:rsidRPr="00C66550">
        <w:t xml:space="preserve"> (</w:t>
      </w:r>
      <w:r w:rsidR="004661C1" w:rsidRPr="00C66550">
        <w:t>including resource recovery rate</w:t>
      </w:r>
      <w:r w:rsidR="004B24C1" w:rsidRPr="00C66550">
        <w:t>)</w:t>
      </w:r>
      <w:r w:rsidR="004661C1" w:rsidRPr="00C66550">
        <w:t xml:space="preserve"> for each jurisdiction apart from the ACT.</w:t>
      </w:r>
      <w:r w:rsidR="00E5424C" w:rsidRPr="00C66550">
        <w:t xml:space="preserve"> </w:t>
      </w:r>
      <w:r w:rsidR="004B24C1" w:rsidRPr="00C66550">
        <w:t>For further discussion, s</w:t>
      </w:r>
      <w:r w:rsidR="004661C1" w:rsidRPr="00C66550">
        <w:t>ee the</w:t>
      </w:r>
      <w:r w:rsidR="004B24C1" w:rsidRPr="00C66550">
        <w:t xml:space="preserve"> sections on each</w:t>
      </w:r>
      <w:r w:rsidR="004661C1" w:rsidRPr="00C66550">
        <w:t xml:space="preserve"> jurisdiction</w:t>
      </w:r>
      <w:r w:rsidR="004B24C1" w:rsidRPr="00C66550">
        <w:t>.</w:t>
      </w:r>
    </w:p>
    <w:p w:rsidR="004661C1" w:rsidRPr="00C66550" w:rsidRDefault="004B24C1" w:rsidP="004B24C1">
      <w:pPr>
        <w:pStyle w:val="BodyText"/>
        <w:tabs>
          <w:tab w:val="left" w:pos="1105"/>
        </w:tabs>
      </w:pPr>
      <w:bookmarkStart w:id="52" w:name="_Ref355249561"/>
      <w:r w:rsidRPr="00C66550">
        <w:tab/>
      </w:r>
    </w:p>
    <w:p w:rsidR="009C6CA3" w:rsidRPr="00C66550" w:rsidRDefault="009C6CA3" w:rsidP="00FB4820">
      <w:pPr>
        <w:pStyle w:val="Figures"/>
      </w:pPr>
      <w:bookmarkStart w:id="53" w:name="_Toc365385017"/>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8</w:t>
      </w:r>
      <w:r w:rsidR="0062001A" w:rsidRPr="00C66550">
        <w:rPr>
          <w:noProof/>
        </w:rPr>
        <w:fldChar w:fldCharType="end"/>
      </w:r>
      <w:bookmarkEnd w:id="52"/>
      <w:r w:rsidRPr="00C66550">
        <w:t>:</w:t>
      </w:r>
      <w:r w:rsidRPr="00C66550">
        <w:tab/>
        <w:t xml:space="preserve">Australia 2010/11, </w:t>
      </w:r>
      <w:r w:rsidR="004661C1" w:rsidRPr="00C66550">
        <w:t xml:space="preserve">per capita </w:t>
      </w:r>
      <w:r w:rsidRPr="00C66550">
        <w:t>waste generation by waste stream</w:t>
      </w:r>
      <w:r w:rsidR="004661C1" w:rsidRPr="00C66550">
        <w:t>,</w:t>
      </w:r>
      <w:r w:rsidRPr="00C66550">
        <w:t xml:space="preserve"> management</w:t>
      </w:r>
      <w:r w:rsidR="004661C1" w:rsidRPr="00C66550">
        <w:t>, and jurisdiction</w:t>
      </w:r>
      <w:r w:rsidRPr="00C66550">
        <w:t xml:space="preserve"> (excluding ACT)</w:t>
      </w:r>
      <w:bookmarkEnd w:id="53"/>
    </w:p>
    <w:p w:rsidR="009C6CA3" w:rsidRPr="00C66550" w:rsidRDefault="009A7F50">
      <w:pPr>
        <w:spacing w:line="240" w:lineRule="auto"/>
      </w:pPr>
      <w:r w:rsidRPr="009A7F50">
        <w:rPr>
          <w:noProof/>
          <w:lang w:eastAsia="en-AU"/>
        </w:rPr>
        <w:drawing>
          <wp:inline distT="0" distB="0" distL="0" distR="0">
            <wp:extent cx="9196636" cy="42672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9196636" cy="4267200"/>
                    </a:xfrm>
                    <a:prstGeom prst="rect">
                      <a:avLst/>
                    </a:prstGeom>
                  </pic:spPr>
                </pic:pic>
              </a:graphicData>
            </a:graphic>
          </wp:inline>
        </w:drawing>
      </w:r>
    </w:p>
    <w:p w:rsidR="004661C1" w:rsidRPr="00C66550" w:rsidRDefault="0062001A" w:rsidP="004661C1">
      <w:pPr>
        <w:pStyle w:val="BodyText"/>
      </w:pPr>
      <w:r w:rsidRPr="00C66550">
        <w:lastRenderedPageBreak/>
        <w:fldChar w:fldCharType="begin"/>
      </w:r>
      <w:r w:rsidR="004661C1" w:rsidRPr="00C66550">
        <w:instrText xml:space="preserve"> REF _Ref355251056 \h </w:instrText>
      </w:r>
      <w:r w:rsidRPr="00C66550">
        <w:fldChar w:fldCharType="separate"/>
      </w:r>
      <w:r w:rsidR="00D96003" w:rsidRPr="00C66550">
        <w:t xml:space="preserve">Figure </w:t>
      </w:r>
      <w:r w:rsidR="00D96003">
        <w:rPr>
          <w:noProof/>
        </w:rPr>
        <w:t>9</w:t>
      </w:r>
      <w:r w:rsidRPr="00C66550">
        <w:fldChar w:fldCharType="end"/>
      </w:r>
      <w:r w:rsidR="004661C1" w:rsidRPr="00C66550">
        <w:t xml:space="preserve"> illustrates the total</w:t>
      </w:r>
      <w:r w:rsidR="004B24C1" w:rsidRPr="00C66550">
        <w:t xml:space="preserve"> quantity of waste generated </w:t>
      </w:r>
      <w:r w:rsidR="004661C1" w:rsidRPr="00C66550">
        <w:t>by waste stream</w:t>
      </w:r>
      <w:r w:rsidR="004B24C1" w:rsidRPr="00C66550">
        <w:t xml:space="preserve"> and</w:t>
      </w:r>
      <w:r w:rsidR="004661C1" w:rsidRPr="00C66550">
        <w:t xml:space="preserve"> by management</w:t>
      </w:r>
      <w:r w:rsidR="004B24C1" w:rsidRPr="00C66550">
        <w:t xml:space="preserve"> (</w:t>
      </w:r>
      <w:r w:rsidR="004661C1" w:rsidRPr="00C66550">
        <w:t>including resource recovery rate</w:t>
      </w:r>
      <w:r w:rsidR="004B24C1" w:rsidRPr="00C66550">
        <w:t>)</w:t>
      </w:r>
      <w:r w:rsidR="004661C1" w:rsidRPr="00C66550">
        <w:t xml:space="preserve"> for each jurisdiction apart from the ACT.</w:t>
      </w:r>
      <w:r w:rsidR="00E5424C" w:rsidRPr="00C66550">
        <w:t xml:space="preserve"> </w:t>
      </w:r>
      <w:r w:rsidR="004B24C1" w:rsidRPr="00C66550">
        <w:t>For further discussion, see the sections on each jurisdiction</w:t>
      </w:r>
      <w:r w:rsidR="004661C1" w:rsidRPr="00C66550">
        <w:t>.</w:t>
      </w:r>
    </w:p>
    <w:p w:rsidR="004661C1" w:rsidRPr="00C66550" w:rsidRDefault="004661C1" w:rsidP="004661C1">
      <w:pPr>
        <w:pStyle w:val="BodyText"/>
      </w:pPr>
    </w:p>
    <w:p w:rsidR="009C6CA3" w:rsidRPr="00C66550" w:rsidRDefault="009C6CA3" w:rsidP="00FB4820">
      <w:pPr>
        <w:pStyle w:val="Figures"/>
      </w:pPr>
      <w:bookmarkStart w:id="54" w:name="_Ref355251056"/>
      <w:bookmarkStart w:id="55" w:name="_Toc365385018"/>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9</w:t>
      </w:r>
      <w:r w:rsidR="0062001A" w:rsidRPr="00C66550">
        <w:rPr>
          <w:noProof/>
        </w:rPr>
        <w:fldChar w:fldCharType="end"/>
      </w:r>
      <w:bookmarkEnd w:id="54"/>
      <w:r w:rsidRPr="00C66550">
        <w:t>:</w:t>
      </w:r>
      <w:r w:rsidRPr="00C66550">
        <w:tab/>
        <w:t>Australia 2010/11, total waste generation by waste stream and management (excluding ACT)</w:t>
      </w:r>
      <w:bookmarkEnd w:id="55"/>
    </w:p>
    <w:p w:rsidR="007A49F3" w:rsidRPr="00C66550" w:rsidRDefault="00B57F7E">
      <w:pPr>
        <w:spacing w:line="240" w:lineRule="auto"/>
        <w:rPr>
          <w:color w:val="080808"/>
          <w:sz w:val="22"/>
        </w:rPr>
      </w:pPr>
      <w:r w:rsidRPr="00C66550">
        <w:rPr>
          <w:noProof/>
          <w:lang w:eastAsia="en-AU"/>
        </w:rPr>
        <w:drawing>
          <wp:inline distT="0" distB="0" distL="0" distR="0">
            <wp:extent cx="8356821" cy="5055162"/>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8360030" cy="5057103"/>
                    </a:xfrm>
                    <a:prstGeom prst="rect">
                      <a:avLst/>
                    </a:prstGeom>
                  </pic:spPr>
                </pic:pic>
              </a:graphicData>
            </a:graphic>
          </wp:inline>
        </w:drawing>
      </w:r>
    </w:p>
    <w:p w:rsidR="007A49F3" w:rsidRPr="00C66550" w:rsidRDefault="007A49F3">
      <w:pPr>
        <w:spacing w:line="240" w:lineRule="auto"/>
        <w:rPr>
          <w:color w:val="080808"/>
          <w:sz w:val="22"/>
        </w:rPr>
        <w:sectPr w:rsidR="007A49F3" w:rsidRPr="00C66550" w:rsidSect="004661C1">
          <w:footerReference w:type="default" r:id="rId45"/>
          <w:pgSz w:w="16838" w:h="11906" w:orient="landscape"/>
          <w:pgMar w:top="1276" w:right="993" w:bottom="1440" w:left="1440" w:header="708" w:footer="708" w:gutter="0"/>
          <w:cols w:space="708"/>
          <w:docGrid w:linePitch="360"/>
        </w:sectPr>
      </w:pPr>
    </w:p>
    <w:p w:rsidR="007E35EF" w:rsidRPr="00C66550" w:rsidRDefault="00CB657F" w:rsidP="006D25F9">
      <w:pPr>
        <w:pStyle w:val="Heading2"/>
      </w:pPr>
      <w:bookmarkStart w:id="56" w:name="_Toc379466356"/>
      <w:r w:rsidRPr="00C66550">
        <w:lastRenderedPageBreak/>
        <w:t xml:space="preserve">Australia </w:t>
      </w:r>
      <w:r w:rsidR="00C749B8" w:rsidRPr="00C66550">
        <w:t xml:space="preserve">2010/11 </w:t>
      </w:r>
      <w:r w:rsidR="00C241F6">
        <w:t xml:space="preserve">data by </w:t>
      </w:r>
      <w:r w:rsidR="00C749B8" w:rsidRPr="00C66550">
        <w:t>m</w:t>
      </w:r>
      <w:r w:rsidR="006C5DFB" w:rsidRPr="00C66550">
        <w:t>aterial category</w:t>
      </w:r>
      <w:bookmarkEnd w:id="56"/>
    </w:p>
    <w:p w:rsidR="00E70022" w:rsidRPr="00C66550" w:rsidRDefault="0062001A" w:rsidP="00E36FA6">
      <w:pPr>
        <w:pStyle w:val="BodyText"/>
      </w:pPr>
      <w:r w:rsidRPr="00C66550">
        <w:fldChar w:fldCharType="begin"/>
      </w:r>
      <w:r w:rsidR="003A09E6" w:rsidRPr="00C66550">
        <w:instrText xml:space="preserve"> REF _Ref349659993 \h </w:instrText>
      </w:r>
      <w:r w:rsidRPr="00C66550">
        <w:fldChar w:fldCharType="separate"/>
      </w:r>
      <w:r w:rsidR="00D96003" w:rsidRPr="00C66550">
        <w:t xml:space="preserve">Figure </w:t>
      </w:r>
      <w:r w:rsidR="00D96003">
        <w:rPr>
          <w:noProof/>
        </w:rPr>
        <w:t>10</w:t>
      </w:r>
      <w:r w:rsidRPr="00C66550">
        <w:fldChar w:fldCharType="end"/>
      </w:r>
      <w:r w:rsidR="003A09E6" w:rsidRPr="00C66550">
        <w:t xml:space="preserve"> </w:t>
      </w:r>
      <w:r w:rsidR="00DF31FD" w:rsidRPr="00C66550">
        <w:t>shows</w:t>
      </w:r>
      <w:r w:rsidR="004B24C1" w:rsidRPr="00C66550">
        <w:t xml:space="preserve"> the</w:t>
      </w:r>
      <w:r w:rsidR="001A06AB" w:rsidRPr="00C66550">
        <w:t xml:space="preserve"> quantity of</w:t>
      </w:r>
      <w:r w:rsidR="004B24C1" w:rsidRPr="00C66550">
        <w:t xml:space="preserve"> waste generated in</w:t>
      </w:r>
      <w:r w:rsidR="00DF31FD" w:rsidRPr="00C66550">
        <w:t xml:space="preserve"> Australia </w:t>
      </w:r>
      <w:r w:rsidR="001A06AB" w:rsidRPr="00C66550">
        <w:t>by material category in 2010/11,</w:t>
      </w:r>
      <w:r w:rsidR="00DF31FD" w:rsidRPr="00C66550">
        <w:t xml:space="preserve"> and also how </w:t>
      </w:r>
      <w:r w:rsidR="001A06AB" w:rsidRPr="00C66550">
        <w:t xml:space="preserve">each </w:t>
      </w:r>
      <w:r w:rsidR="00DF31FD" w:rsidRPr="00C66550">
        <w:t>material w</w:t>
      </w:r>
      <w:r w:rsidR="001A06AB" w:rsidRPr="00C66550">
        <w:t>as</w:t>
      </w:r>
      <w:r w:rsidR="00DF31FD" w:rsidRPr="00C66550">
        <w:t xml:space="preserve"> managed.</w:t>
      </w:r>
      <w:r w:rsidR="001A06AB" w:rsidRPr="00C66550">
        <w:t xml:space="preserve"> Note that these data rely on estimates of landfill composition that have a significant degree of uncertainty.</w:t>
      </w:r>
      <w:r w:rsidR="00DF31FD" w:rsidRPr="00C66550">
        <w:t xml:space="preserve"> </w:t>
      </w:r>
      <w:r w:rsidR="005E68B4" w:rsidRPr="00C66550">
        <w:t xml:space="preserve">The discussion that follows provides a high level analysis of each </w:t>
      </w:r>
      <w:r w:rsidR="00637017" w:rsidRPr="00C66550">
        <w:t xml:space="preserve">material </w:t>
      </w:r>
      <w:r w:rsidR="00192C44" w:rsidRPr="00C66550">
        <w:t>category</w:t>
      </w:r>
      <w:r w:rsidR="00D524FE" w:rsidRPr="00C66550">
        <w:t xml:space="preserve"> </w:t>
      </w:r>
      <w:r w:rsidR="00637017" w:rsidRPr="00C66550">
        <w:t>shown</w:t>
      </w:r>
      <w:r w:rsidR="005E68B4" w:rsidRPr="00C66550">
        <w:t xml:space="preserve"> </w:t>
      </w:r>
      <w:r w:rsidR="00D524FE" w:rsidRPr="00C66550">
        <w:t>in the chart.</w:t>
      </w:r>
    </w:p>
    <w:p w:rsidR="00F96CFB" w:rsidRPr="00C66550" w:rsidRDefault="00F96CFB" w:rsidP="00E36FA6">
      <w:pPr>
        <w:pStyle w:val="BodyText"/>
      </w:pPr>
    </w:p>
    <w:p w:rsidR="00EF4CAA" w:rsidRPr="00C66550" w:rsidRDefault="00EF4CAA" w:rsidP="00FB4820">
      <w:pPr>
        <w:pStyle w:val="Figures"/>
      </w:pPr>
      <w:bookmarkStart w:id="57" w:name="_Ref349659993"/>
      <w:bookmarkStart w:id="58" w:name="_Toc365385019"/>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10</w:t>
      </w:r>
      <w:r w:rsidR="0062001A" w:rsidRPr="00C66550">
        <w:rPr>
          <w:noProof/>
        </w:rPr>
        <w:fldChar w:fldCharType="end"/>
      </w:r>
      <w:bookmarkEnd w:id="57"/>
      <w:r w:rsidR="001B255A" w:rsidRPr="00C66550">
        <w:t>:</w:t>
      </w:r>
      <w:r w:rsidR="001B255A" w:rsidRPr="00C66550">
        <w:tab/>
      </w:r>
      <w:r w:rsidRPr="00C66550">
        <w:t xml:space="preserve">Australia 2010/11, total </w:t>
      </w:r>
      <w:r w:rsidR="00422307" w:rsidRPr="00C66550">
        <w:t xml:space="preserve">waste generation </w:t>
      </w:r>
      <w:r w:rsidRPr="00C66550">
        <w:t>by material category and management</w:t>
      </w:r>
      <w:bookmarkEnd w:id="58"/>
      <w:r w:rsidRPr="00C66550">
        <w:t xml:space="preserve"> </w:t>
      </w:r>
    </w:p>
    <w:p w:rsidR="009A7F50" w:rsidRDefault="009A7F50" w:rsidP="00B44873">
      <w:pPr>
        <w:pStyle w:val="FigureTableinfo"/>
        <w:rPr>
          <w:sz w:val="20"/>
        </w:rPr>
      </w:pPr>
      <w:r w:rsidRPr="009A7F50">
        <w:rPr>
          <w:noProof/>
          <w:lang w:eastAsia="en-AU"/>
        </w:rPr>
        <w:drawing>
          <wp:inline distT="0" distB="0" distL="0" distR="0">
            <wp:extent cx="5731510" cy="2304851"/>
            <wp:effectExtent l="0" t="0" r="254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31510" cy="2304851"/>
                    </a:xfrm>
                    <a:prstGeom prst="rect">
                      <a:avLst/>
                    </a:prstGeom>
                  </pic:spPr>
                </pic:pic>
              </a:graphicData>
            </a:graphic>
          </wp:inline>
        </w:drawing>
      </w:r>
    </w:p>
    <w:p w:rsidR="00B44873" w:rsidRPr="00C66550" w:rsidRDefault="00B44873" w:rsidP="00B44873">
      <w:pPr>
        <w:pStyle w:val="FigureTableinfo"/>
        <w:rPr>
          <w:sz w:val="20"/>
        </w:rPr>
      </w:pPr>
      <w:r w:rsidRPr="00C66550">
        <w:rPr>
          <w:sz w:val="20"/>
        </w:rPr>
        <w:t xml:space="preserve">Note: the sum of all materials listed </w:t>
      </w:r>
      <w:r w:rsidR="002B49F5" w:rsidRPr="00C66550">
        <w:rPr>
          <w:sz w:val="20"/>
        </w:rPr>
        <w:t>above</w:t>
      </w:r>
      <w:r w:rsidRPr="00C66550">
        <w:rPr>
          <w:sz w:val="20"/>
        </w:rPr>
        <w:t xml:space="preserve"> is about 2 Mt less than the national total for waste generation because some waste was not attributable to a particular category. </w:t>
      </w:r>
    </w:p>
    <w:p w:rsidR="00E55BCB" w:rsidRPr="00C66550" w:rsidRDefault="00E55BCB" w:rsidP="006D25F9">
      <w:pPr>
        <w:pStyle w:val="Heading3"/>
      </w:pPr>
      <w:r w:rsidRPr="00C66550">
        <w:t>Masonry material</w:t>
      </w:r>
    </w:p>
    <w:p w:rsidR="009E7307" w:rsidRPr="00C66550" w:rsidRDefault="00FF1FE4" w:rsidP="00A923D5">
      <w:pPr>
        <w:pStyle w:val="BodyText"/>
      </w:pPr>
      <w:r w:rsidRPr="00C66550">
        <w:t>About</w:t>
      </w:r>
      <w:r w:rsidR="00E55BCB" w:rsidRPr="00C66550">
        <w:t xml:space="preserve"> 15 </w:t>
      </w:r>
      <w:r w:rsidR="00B80855" w:rsidRPr="00C66550">
        <w:t>Mt</w:t>
      </w:r>
      <w:r w:rsidR="009E7307" w:rsidRPr="00C66550">
        <w:t xml:space="preserve"> </w:t>
      </w:r>
      <w:r w:rsidR="00E55BCB" w:rsidRPr="00C66550">
        <w:t xml:space="preserve">of </w:t>
      </w:r>
      <w:r w:rsidR="00A923D5" w:rsidRPr="00C66550">
        <w:t xml:space="preserve">waste masonry materials were generated, 70% of which were recycled. This category includes </w:t>
      </w:r>
      <w:r w:rsidR="009E7307" w:rsidRPr="00C66550">
        <w:t xml:space="preserve">‘heavy’ waste types such as concrete, bricks and rubble. </w:t>
      </w:r>
      <w:r w:rsidR="003A09E6" w:rsidRPr="00C66550">
        <w:t>Typically</w:t>
      </w:r>
      <w:r w:rsidR="001A06AB" w:rsidRPr="00C66550">
        <w:t xml:space="preserve"> the masonry material</w:t>
      </w:r>
      <w:r w:rsidR="009E7307" w:rsidRPr="00C66550">
        <w:t xml:space="preserve"> types </w:t>
      </w:r>
      <w:r w:rsidR="001A06AB" w:rsidRPr="00C66550">
        <w:t>with lower</w:t>
      </w:r>
      <w:r w:rsidR="009E7307" w:rsidRPr="00C66550">
        <w:t xml:space="preserve"> recovery rates are </w:t>
      </w:r>
      <w:r w:rsidR="001A06AB" w:rsidRPr="00C66550">
        <w:t xml:space="preserve">mixed loads of demolition waste, which are often contain </w:t>
      </w:r>
      <w:r w:rsidR="001F4D11" w:rsidRPr="00C66550">
        <w:t>substantial amounts of rubble and</w:t>
      </w:r>
      <w:r w:rsidR="001A06AB" w:rsidRPr="00C66550">
        <w:t xml:space="preserve"> </w:t>
      </w:r>
      <w:r w:rsidR="009E7307" w:rsidRPr="00C66550">
        <w:t>plasterboard.</w:t>
      </w:r>
    </w:p>
    <w:p w:rsidR="00E55BCB" w:rsidRPr="00C66550" w:rsidRDefault="00E55BCB" w:rsidP="006D25F9">
      <w:pPr>
        <w:pStyle w:val="Heading3"/>
      </w:pPr>
      <w:r w:rsidRPr="00C66550">
        <w:t>Metals</w:t>
      </w:r>
    </w:p>
    <w:p w:rsidR="00E70022" w:rsidRPr="00C66550" w:rsidRDefault="00A923D5" w:rsidP="00A923D5">
      <w:pPr>
        <w:pStyle w:val="BodyText"/>
      </w:pPr>
      <w:r w:rsidRPr="00C66550">
        <w:t>Some</w:t>
      </w:r>
      <w:r w:rsidR="005913EA" w:rsidRPr="00C66550">
        <w:t xml:space="preserve"> 5.6 </w:t>
      </w:r>
      <w:r w:rsidR="00B80855" w:rsidRPr="00C66550">
        <w:t>Mt</w:t>
      </w:r>
      <w:r w:rsidR="005913EA" w:rsidRPr="00C66550">
        <w:t xml:space="preserve"> of </w:t>
      </w:r>
      <w:r w:rsidRPr="00C66550">
        <w:t xml:space="preserve">metals </w:t>
      </w:r>
      <w:r w:rsidR="005913EA" w:rsidRPr="00C66550">
        <w:t>waste</w:t>
      </w:r>
      <w:r w:rsidR="005E68B4" w:rsidRPr="00C66550">
        <w:t xml:space="preserve"> </w:t>
      </w:r>
      <w:r w:rsidRPr="00C66550">
        <w:t xml:space="preserve">was produced </w:t>
      </w:r>
      <w:r w:rsidR="001F4D11" w:rsidRPr="00C66550">
        <w:t>of which</w:t>
      </w:r>
      <w:r w:rsidRPr="00C66550">
        <w:t xml:space="preserve"> 91% was recycled, representing the </w:t>
      </w:r>
      <w:r w:rsidR="00E4267A" w:rsidRPr="00C66550">
        <w:t xml:space="preserve">highest </w:t>
      </w:r>
      <w:r w:rsidR="005E68B4" w:rsidRPr="00C66550">
        <w:t xml:space="preserve">resource recovery rate </w:t>
      </w:r>
      <w:r w:rsidRPr="00C66550">
        <w:t>of all the</w:t>
      </w:r>
      <w:r w:rsidR="000D5E3B" w:rsidRPr="00C66550">
        <w:t xml:space="preserve"> </w:t>
      </w:r>
      <w:r w:rsidRPr="00C66550">
        <w:t>material categories</w:t>
      </w:r>
      <w:r w:rsidR="005E68B4" w:rsidRPr="00C66550">
        <w:t>.</w:t>
      </w:r>
      <w:r w:rsidRPr="00C66550">
        <w:t xml:space="preserve"> Metal recycling is advanced in every jurisdiction and boomed with high commodity prices.</w:t>
      </w:r>
      <w:r w:rsidR="005E68B4" w:rsidRPr="00C66550">
        <w:t xml:space="preserve"> </w:t>
      </w:r>
      <w:r w:rsidRPr="00C66550">
        <w:t xml:space="preserve">Some </w:t>
      </w:r>
      <w:r w:rsidR="00E4267A" w:rsidRPr="00C66550">
        <w:t>toxic metals (such as cadmium</w:t>
      </w:r>
      <w:r w:rsidR="00655C93" w:rsidRPr="00C66550">
        <w:t xml:space="preserve"> and</w:t>
      </w:r>
      <w:r w:rsidR="00E4267A" w:rsidRPr="00C66550">
        <w:t xml:space="preserve"> cobalt) and rare and precious </w:t>
      </w:r>
      <w:r w:rsidR="005E68B4" w:rsidRPr="00C66550">
        <w:t>metals</w:t>
      </w:r>
      <w:r w:rsidR="00E4267A" w:rsidRPr="00C66550">
        <w:t xml:space="preserve"> (such as gold and palladium)</w:t>
      </w:r>
      <w:r w:rsidR="005E68B4" w:rsidRPr="00C66550">
        <w:t xml:space="preserve"> are still being landfill</w:t>
      </w:r>
      <w:r w:rsidR="00655C93" w:rsidRPr="00C66550">
        <w:t>ed</w:t>
      </w:r>
      <w:r w:rsidR="005E68B4" w:rsidRPr="00C66550">
        <w:t xml:space="preserve"> with </w:t>
      </w:r>
      <w:r w:rsidR="00E4267A" w:rsidRPr="00C66550">
        <w:t xml:space="preserve">composite material </w:t>
      </w:r>
      <w:r w:rsidR="005E68B4" w:rsidRPr="00C66550">
        <w:t>products such as electronic waste</w:t>
      </w:r>
      <w:r w:rsidRPr="00C66550">
        <w:t xml:space="preserve"> (see </w:t>
      </w:r>
      <w:r w:rsidR="00912151" w:rsidRPr="00C66550">
        <w:t>section</w:t>
      </w:r>
      <w:r w:rsidR="000D5E3B" w:rsidRPr="00C66550">
        <w:t xml:space="preserve"> </w:t>
      </w:r>
      <w:fldSimple w:instr=" REF _Ref349059095 \w \h  \* MERGEFORMAT ">
        <w:r w:rsidR="00D96003">
          <w:t>20.3</w:t>
        </w:r>
      </w:fldSimple>
      <w:r w:rsidRPr="00C66550">
        <w:t>). Whilst</w:t>
      </w:r>
      <w:r w:rsidR="005E68B4" w:rsidRPr="00C66550">
        <w:t xml:space="preserve"> the tonnages may be low</w:t>
      </w:r>
      <w:r w:rsidRPr="00C66550">
        <w:t>,</w:t>
      </w:r>
      <w:r w:rsidR="005E68B4" w:rsidRPr="00C66550">
        <w:t xml:space="preserve"> the potential environmental</w:t>
      </w:r>
      <w:r w:rsidRPr="00C66550">
        <w:t xml:space="preserve"> impacts</w:t>
      </w:r>
      <w:r w:rsidR="005E68B4" w:rsidRPr="00C66550">
        <w:t xml:space="preserve"> </w:t>
      </w:r>
      <w:r w:rsidR="00E4267A" w:rsidRPr="00C66550">
        <w:t>and</w:t>
      </w:r>
      <w:r w:rsidRPr="00C66550">
        <w:t xml:space="preserve"> value of the lost</w:t>
      </w:r>
      <w:r w:rsidR="00E4267A" w:rsidRPr="00C66550">
        <w:t xml:space="preserve"> resource</w:t>
      </w:r>
      <w:r w:rsidRPr="00C66550">
        <w:t>s</w:t>
      </w:r>
      <w:r w:rsidR="00E4267A" w:rsidRPr="00C66550">
        <w:t xml:space="preserve"> are</w:t>
      </w:r>
      <w:r w:rsidR="005E68B4" w:rsidRPr="00C66550">
        <w:t xml:space="preserve"> high.</w:t>
      </w:r>
    </w:p>
    <w:p w:rsidR="00E55BCB" w:rsidRPr="00C66550" w:rsidRDefault="00E55BCB" w:rsidP="006D25F9">
      <w:pPr>
        <w:pStyle w:val="Heading3"/>
      </w:pPr>
      <w:r w:rsidRPr="00C66550">
        <w:t>Organics</w:t>
      </w:r>
    </w:p>
    <w:p w:rsidR="00D12CA6" w:rsidRPr="00C66550" w:rsidRDefault="003D1477" w:rsidP="00A923D5">
      <w:pPr>
        <w:pStyle w:val="BodyText"/>
      </w:pPr>
      <w:r w:rsidRPr="00C66550">
        <w:t>In th</w:t>
      </w:r>
      <w:r>
        <w:t>e</w:t>
      </w:r>
      <w:r w:rsidRPr="00C66550">
        <w:t xml:space="preserve"> </w:t>
      </w:r>
      <w:r>
        <w:t xml:space="preserve">bulk of this </w:t>
      </w:r>
      <w:r w:rsidRPr="00C66550">
        <w:t xml:space="preserve">report, </w:t>
      </w:r>
      <w:r>
        <w:t>‘</w:t>
      </w:r>
      <w:r w:rsidRPr="00C66550">
        <w:t>organics</w:t>
      </w:r>
      <w:r>
        <w:t xml:space="preserve">’ </w:t>
      </w:r>
      <w:r w:rsidRPr="00C66550">
        <w:t>includes food, garden wastes, timber and biosolids from sewage treatment works but excludes paper, cardboard, rubber and leather</w:t>
      </w:r>
      <w:r>
        <w:rPr>
          <w:rStyle w:val="FootnoteReference"/>
        </w:rPr>
        <w:footnoteReference w:id="4"/>
      </w:r>
      <w:r w:rsidRPr="00C66550">
        <w:t xml:space="preserve">. </w:t>
      </w:r>
      <w:r w:rsidR="00514692" w:rsidRPr="00C66550">
        <w:t>A</w:t>
      </w:r>
      <w:r w:rsidR="005913EA" w:rsidRPr="00C66550">
        <w:t xml:space="preserve">round </w:t>
      </w:r>
      <w:r w:rsidR="00F63F89" w:rsidRPr="00C66550">
        <w:t>14</w:t>
      </w:r>
      <w:r w:rsidR="00816296" w:rsidRPr="00C66550">
        <w:t xml:space="preserve"> </w:t>
      </w:r>
      <w:r w:rsidR="00B80855" w:rsidRPr="00C66550">
        <w:t>Mt</w:t>
      </w:r>
      <w:r w:rsidR="00816296" w:rsidRPr="00C66550">
        <w:t xml:space="preserve"> of </w:t>
      </w:r>
      <w:r w:rsidR="00514692" w:rsidRPr="00C66550">
        <w:t xml:space="preserve">organic </w:t>
      </w:r>
      <w:r w:rsidR="00816296" w:rsidRPr="00C66550">
        <w:t>waste</w:t>
      </w:r>
      <w:r w:rsidR="00514692" w:rsidRPr="00C66550">
        <w:t xml:space="preserve"> was generated. The recovery rate was </w:t>
      </w:r>
      <w:r w:rsidR="003A09E6" w:rsidRPr="00C66550">
        <w:t>5</w:t>
      </w:r>
      <w:r w:rsidR="00F63F89" w:rsidRPr="00C66550">
        <w:t>3</w:t>
      </w:r>
      <w:r w:rsidR="00816296" w:rsidRPr="00C66550">
        <w:t>%</w:t>
      </w:r>
      <w:r w:rsidR="00514692" w:rsidRPr="00C66550">
        <w:t xml:space="preserve">, </w:t>
      </w:r>
      <w:r w:rsidR="00F63F89" w:rsidRPr="00C66550">
        <w:t>of which 83</w:t>
      </w:r>
      <w:r w:rsidR="00514692" w:rsidRPr="00C66550">
        <w:t xml:space="preserve">% </w:t>
      </w:r>
      <w:r w:rsidR="00F63F89" w:rsidRPr="00C66550">
        <w:t xml:space="preserve">was </w:t>
      </w:r>
      <w:r w:rsidR="001F4D11" w:rsidRPr="00C66550">
        <w:t>recycled</w:t>
      </w:r>
      <w:r w:rsidR="00816296" w:rsidRPr="00C66550">
        <w:t xml:space="preserve"> </w:t>
      </w:r>
      <w:r w:rsidR="00E4267A" w:rsidRPr="00C66550">
        <w:t>(</w:t>
      </w:r>
      <w:r w:rsidR="00816296" w:rsidRPr="00C66550">
        <w:t xml:space="preserve">predominantly </w:t>
      </w:r>
      <w:r w:rsidR="00514692" w:rsidRPr="00C66550">
        <w:t>composting of</w:t>
      </w:r>
      <w:r w:rsidR="00816296" w:rsidRPr="00C66550">
        <w:t xml:space="preserve"> garden organics</w:t>
      </w:r>
      <w:r w:rsidR="00E4267A" w:rsidRPr="00C66550">
        <w:t>)</w:t>
      </w:r>
      <w:r w:rsidR="00816296" w:rsidRPr="00C66550">
        <w:t xml:space="preserve"> </w:t>
      </w:r>
      <w:r w:rsidR="00514692" w:rsidRPr="00C66550">
        <w:t xml:space="preserve">and </w:t>
      </w:r>
      <w:r w:rsidR="00F63F89" w:rsidRPr="00C66550">
        <w:t>17</w:t>
      </w:r>
      <w:r w:rsidR="00816296" w:rsidRPr="00C66550">
        <w:t xml:space="preserve">% </w:t>
      </w:r>
      <w:r w:rsidR="00F63F89" w:rsidRPr="00C66550">
        <w:t xml:space="preserve">was </w:t>
      </w:r>
      <w:r w:rsidR="00816296" w:rsidRPr="00C66550">
        <w:t xml:space="preserve">energy recovery </w:t>
      </w:r>
      <w:r w:rsidR="00E4267A" w:rsidRPr="00C66550">
        <w:t>(</w:t>
      </w:r>
      <w:r w:rsidR="00816296" w:rsidRPr="00C66550">
        <w:t>predominantly from organics sent to landfills with</w:t>
      </w:r>
      <w:r w:rsidR="00637017" w:rsidRPr="00C66550">
        <w:t xml:space="preserve"> </w:t>
      </w:r>
      <w:r w:rsidR="001F4D11" w:rsidRPr="00C66550">
        <w:t>gas collection systems linked to the electricity grid</w:t>
      </w:r>
      <w:r w:rsidR="00E4267A" w:rsidRPr="00C66550">
        <w:t>)</w:t>
      </w:r>
      <w:r w:rsidR="00816296" w:rsidRPr="00C66550">
        <w:t xml:space="preserve">. </w:t>
      </w:r>
      <w:r w:rsidR="000D5E3B" w:rsidRPr="00C66550">
        <w:t>O</w:t>
      </w:r>
      <w:r w:rsidR="00816296" w:rsidRPr="00C66550">
        <w:t xml:space="preserve">pportunities remain to improve organics resource recovery rates by diverting </w:t>
      </w:r>
      <w:r w:rsidR="00637017" w:rsidRPr="00C66550">
        <w:t xml:space="preserve">organic </w:t>
      </w:r>
      <w:r w:rsidR="00816296" w:rsidRPr="00C66550">
        <w:t>waste</w:t>
      </w:r>
      <w:r w:rsidR="00637017" w:rsidRPr="00C66550">
        <w:t>s</w:t>
      </w:r>
      <w:r w:rsidR="00655C93" w:rsidRPr="00C66550">
        <w:t>—</w:t>
      </w:r>
      <w:r w:rsidR="00514692" w:rsidRPr="00C66550">
        <w:t>especially food</w:t>
      </w:r>
      <w:r w:rsidR="00E75758" w:rsidRPr="00C66550">
        <w:t>—</w:t>
      </w:r>
      <w:r w:rsidR="00514692" w:rsidRPr="00C66550">
        <w:t xml:space="preserve">to </w:t>
      </w:r>
      <w:r w:rsidR="00E4267A" w:rsidRPr="00C66550">
        <w:t xml:space="preserve">resource </w:t>
      </w:r>
      <w:r w:rsidR="00D12CA6" w:rsidRPr="00C66550">
        <w:t>recovery facilities</w:t>
      </w:r>
      <w:r w:rsidR="00514692" w:rsidRPr="00C66550">
        <w:t>,</w:t>
      </w:r>
      <w:r w:rsidR="00D12CA6" w:rsidRPr="00C66550">
        <w:t xml:space="preserve"> or by improving the landfill gas capture rates at landfills.</w:t>
      </w:r>
      <w:r w:rsidR="00637017" w:rsidRPr="00C66550">
        <w:t xml:space="preserve"> </w:t>
      </w:r>
    </w:p>
    <w:p w:rsidR="00E55BCB" w:rsidRPr="00C66550" w:rsidRDefault="00E55BCB" w:rsidP="006D25F9">
      <w:pPr>
        <w:pStyle w:val="Heading3"/>
      </w:pPr>
      <w:r w:rsidRPr="00C66550">
        <w:t>Paper and cardboard</w:t>
      </w:r>
    </w:p>
    <w:p w:rsidR="000C7045" w:rsidRPr="00C66550" w:rsidRDefault="00231A20" w:rsidP="00287E5E">
      <w:pPr>
        <w:pStyle w:val="BodyText"/>
      </w:pPr>
      <w:r w:rsidRPr="00C66550">
        <w:lastRenderedPageBreak/>
        <w:t>The paper and cardboard category</w:t>
      </w:r>
      <w:r w:rsidR="00514692" w:rsidRPr="00C66550">
        <w:t xml:space="preserve"> </w:t>
      </w:r>
      <w:r w:rsidR="00014B71" w:rsidRPr="00C66550">
        <w:t>totals</w:t>
      </w:r>
      <w:r w:rsidRPr="00C66550">
        <w:t xml:space="preserve"> </w:t>
      </w:r>
      <w:r w:rsidR="007C093D" w:rsidRPr="00C66550">
        <w:t xml:space="preserve">about </w:t>
      </w:r>
      <w:r w:rsidR="006E247E" w:rsidRPr="00C66550">
        <w:t>5.0</w:t>
      </w:r>
      <w:r w:rsidR="005913EA" w:rsidRPr="00C66550">
        <w:t xml:space="preserve"> </w:t>
      </w:r>
      <w:r w:rsidR="00B80855" w:rsidRPr="00C66550">
        <w:t>Mt</w:t>
      </w:r>
      <w:r w:rsidRPr="00C66550">
        <w:t xml:space="preserve"> </w:t>
      </w:r>
      <w:r w:rsidR="005913EA" w:rsidRPr="00C66550">
        <w:t>of waste</w:t>
      </w:r>
      <w:r w:rsidR="00014B71" w:rsidRPr="00C66550">
        <w:t>, with</w:t>
      </w:r>
      <w:r w:rsidR="00514692" w:rsidRPr="00C66550">
        <w:t xml:space="preserve"> </w:t>
      </w:r>
      <w:r w:rsidRPr="00C66550">
        <w:t>resource recovery of 6</w:t>
      </w:r>
      <w:r w:rsidR="007C093D" w:rsidRPr="00C66550">
        <w:t>5</w:t>
      </w:r>
      <w:r w:rsidRPr="00C66550">
        <w:t>%</w:t>
      </w:r>
      <w:r w:rsidR="00514692" w:rsidRPr="00C66550">
        <w:t>. The main</w:t>
      </w:r>
      <w:r w:rsidR="00E55BCB" w:rsidRPr="00C66550">
        <w:t xml:space="preserve"> o</w:t>
      </w:r>
      <w:r w:rsidRPr="00C66550">
        <w:t>pportunit</w:t>
      </w:r>
      <w:r w:rsidR="00514692" w:rsidRPr="00C66550">
        <w:t xml:space="preserve">y </w:t>
      </w:r>
      <w:r w:rsidR="00E55BCB" w:rsidRPr="00C66550">
        <w:t xml:space="preserve">for </w:t>
      </w:r>
      <w:r w:rsidR="00514692" w:rsidRPr="00C66550">
        <w:t xml:space="preserve">greater </w:t>
      </w:r>
      <w:r w:rsidR="00E55BCB" w:rsidRPr="00C66550">
        <w:t xml:space="preserve">resource recovery </w:t>
      </w:r>
      <w:r w:rsidR="00514692" w:rsidRPr="00C66550">
        <w:t xml:space="preserve">would be to divert </w:t>
      </w:r>
      <w:r w:rsidR="00E55BCB" w:rsidRPr="00C66550">
        <w:t xml:space="preserve">paper and cardboard </w:t>
      </w:r>
      <w:r w:rsidR="000C7045" w:rsidRPr="00C66550">
        <w:t xml:space="preserve">to </w:t>
      </w:r>
      <w:r w:rsidR="003F1E21" w:rsidRPr="00C66550">
        <w:t>recycling facilities</w:t>
      </w:r>
      <w:r w:rsidR="00E55BCB" w:rsidRPr="00C66550">
        <w:t xml:space="preserve">. </w:t>
      </w:r>
    </w:p>
    <w:p w:rsidR="00231A20" w:rsidRPr="00C66550" w:rsidRDefault="00E55BCB" w:rsidP="006D25F9">
      <w:pPr>
        <w:pStyle w:val="Heading3"/>
      </w:pPr>
      <w:r w:rsidRPr="00C66550">
        <w:t>Plastics</w:t>
      </w:r>
      <w:r w:rsidR="00FF12A8" w:rsidRPr="00C66550">
        <w:t xml:space="preserve"> </w:t>
      </w:r>
    </w:p>
    <w:p w:rsidR="005E68B4" w:rsidRPr="00C66550" w:rsidRDefault="000C7045" w:rsidP="00A923D5">
      <w:pPr>
        <w:pStyle w:val="BodyText"/>
      </w:pPr>
      <w:r w:rsidRPr="00C66550">
        <w:t>About</w:t>
      </w:r>
      <w:r w:rsidR="003A09E6" w:rsidRPr="00C66550">
        <w:t xml:space="preserve"> 2.</w:t>
      </w:r>
      <w:r w:rsidR="001F4D11" w:rsidRPr="00C66550">
        <w:t>2</w:t>
      </w:r>
      <w:r w:rsidR="005913EA" w:rsidRPr="00C66550">
        <w:t xml:space="preserve"> </w:t>
      </w:r>
      <w:r w:rsidR="00B80855" w:rsidRPr="00C66550">
        <w:t>Mt</w:t>
      </w:r>
      <w:r w:rsidR="005913EA" w:rsidRPr="00C66550">
        <w:t xml:space="preserve"> of</w:t>
      </w:r>
      <w:r w:rsidRPr="00C66550">
        <w:t xml:space="preserve"> plastic </w:t>
      </w:r>
      <w:r w:rsidR="005913EA" w:rsidRPr="00C66550">
        <w:t>waste</w:t>
      </w:r>
      <w:r w:rsidRPr="00C66550">
        <w:t xml:space="preserve"> was generated</w:t>
      </w:r>
      <w:r w:rsidR="005913EA" w:rsidRPr="00C66550">
        <w:t xml:space="preserve"> and </w:t>
      </w:r>
      <w:r w:rsidRPr="00C66550">
        <w:t xml:space="preserve">about </w:t>
      </w:r>
      <w:r w:rsidR="005913EA" w:rsidRPr="00C66550">
        <w:t>14%</w:t>
      </w:r>
      <w:r w:rsidRPr="00C66550">
        <w:t xml:space="preserve"> was recovered</w:t>
      </w:r>
      <w:r w:rsidR="005913EA" w:rsidRPr="00C66550">
        <w:t xml:space="preserve">. </w:t>
      </w:r>
      <w:r w:rsidR="00B104B2" w:rsidRPr="00C66550">
        <w:t>Given the generally strong commodity value of plastics and a well-established recycling industry in Australia</w:t>
      </w:r>
      <w:r w:rsidRPr="00C66550">
        <w:t xml:space="preserve">, </w:t>
      </w:r>
      <w:r w:rsidR="00B104B2" w:rsidRPr="00C66550">
        <w:t xml:space="preserve">plastics may be the ‘low hanging fruit’ for improving resource recovery rates. Where </w:t>
      </w:r>
      <w:r w:rsidR="006A663B" w:rsidRPr="00C66550">
        <w:t>the value of</w:t>
      </w:r>
      <w:r w:rsidR="00B104B2" w:rsidRPr="00C66550">
        <w:t xml:space="preserve"> plastics </w:t>
      </w:r>
      <w:r w:rsidR="006A663B" w:rsidRPr="00C66550">
        <w:t xml:space="preserve">is </w:t>
      </w:r>
      <w:r w:rsidR="00B104B2" w:rsidRPr="00C66550">
        <w:t xml:space="preserve">too low </w:t>
      </w:r>
      <w:r w:rsidR="006A663B" w:rsidRPr="00C66550">
        <w:t xml:space="preserve">for </w:t>
      </w:r>
      <w:r w:rsidR="00B104B2" w:rsidRPr="00C66550">
        <w:t>recycl</w:t>
      </w:r>
      <w:r w:rsidR="006A663B" w:rsidRPr="00C66550">
        <w:t>ing</w:t>
      </w:r>
      <w:r w:rsidR="00964C77" w:rsidRPr="00C66550">
        <w:t xml:space="preserve">, </w:t>
      </w:r>
      <w:r w:rsidR="006A663B" w:rsidRPr="00C66550">
        <w:t xml:space="preserve">processing plastics into </w:t>
      </w:r>
      <w:r w:rsidR="00240089" w:rsidRPr="00C66550">
        <w:t>r</w:t>
      </w:r>
      <w:r w:rsidR="00B104B2" w:rsidRPr="00C66550">
        <w:t>efuse</w:t>
      </w:r>
      <w:r w:rsidR="006A663B" w:rsidRPr="00C66550">
        <w:t>-</w:t>
      </w:r>
      <w:r w:rsidR="00B104B2" w:rsidRPr="00C66550">
        <w:t xml:space="preserve">derived fuels </w:t>
      </w:r>
      <w:r w:rsidR="003F1E21" w:rsidRPr="00C66550">
        <w:t>c</w:t>
      </w:r>
      <w:r w:rsidR="00964C77" w:rsidRPr="00C66550">
        <w:t xml:space="preserve">ould </w:t>
      </w:r>
      <w:r w:rsidR="00B104B2" w:rsidRPr="00C66550">
        <w:t xml:space="preserve">be </w:t>
      </w:r>
      <w:r w:rsidR="006A663B" w:rsidRPr="00C66550">
        <w:t>an alternative</w:t>
      </w:r>
      <w:r w:rsidR="00B104B2" w:rsidRPr="00C66550">
        <w:t>.</w:t>
      </w:r>
      <w:r w:rsidR="00FF12A8" w:rsidRPr="00C66550">
        <w:t xml:space="preserve"> </w:t>
      </w:r>
    </w:p>
    <w:p w:rsidR="00240089" w:rsidRPr="00C66550" w:rsidRDefault="00240089" w:rsidP="006D25F9">
      <w:pPr>
        <w:pStyle w:val="Heading3"/>
      </w:pPr>
      <w:r w:rsidRPr="00C66550">
        <w:t>Glass</w:t>
      </w:r>
    </w:p>
    <w:p w:rsidR="00240089" w:rsidRPr="00C66550" w:rsidRDefault="00240089" w:rsidP="00A923D5">
      <w:pPr>
        <w:pStyle w:val="BodyText"/>
        <w:rPr>
          <w:color w:val="auto"/>
        </w:rPr>
      </w:pPr>
      <w:r w:rsidRPr="00C66550">
        <w:rPr>
          <w:color w:val="auto"/>
        </w:rPr>
        <w:t xml:space="preserve">The </w:t>
      </w:r>
      <w:r w:rsidR="006A663B" w:rsidRPr="00C66550">
        <w:rPr>
          <w:color w:val="auto"/>
        </w:rPr>
        <w:t xml:space="preserve">amount of waste glass </w:t>
      </w:r>
      <w:r w:rsidR="00A72DF5" w:rsidRPr="00C66550">
        <w:rPr>
          <w:color w:val="auto"/>
        </w:rPr>
        <w:t xml:space="preserve">generated </w:t>
      </w:r>
      <w:r w:rsidR="006A663B" w:rsidRPr="00C66550">
        <w:rPr>
          <w:color w:val="auto"/>
        </w:rPr>
        <w:t>was around</w:t>
      </w:r>
      <w:r w:rsidRPr="00C66550">
        <w:rPr>
          <w:color w:val="auto"/>
        </w:rPr>
        <w:t xml:space="preserve"> 1</w:t>
      </w:r>
      <w:r w:rsidR="003A09E6" w:rsidRPr="00C66550">
        <w:rPr>
          <w:color w:val="auto"/>
        </w:rPr>
        <w:t>.</w:t>
      </w:r>
      <w:r w:rsidR="001F4D11" w:rsidRPr="00C66550">
        <w:rPr>
          <w:color w:val="auto"/>
        </w:rPr>
        <w:t>1</w:t>
      </w:r>
      <w:r w:rsidRPr="00C66550">
        <w:rPr>
          <w:color w:val="auto"/>
        </w:rPr>
        <w:t xml:space="preserve"> </w:t>
      </w:r>
      <w:r w:rsidR="00B80855" w:rsidRPr="00C66550">
        <w:rPr>
          <w:color w:val="auto"/>
        </w:rPr>
        <w:t>Mt</w:t>
      </w:r>
      <w:r w:rsidR="006A663B" w:rsidRPr="00C66550">
        <w:rPr>
          <w:color w:val="auto"/>
        </w:rPr>
        <w:t>, with</w:t>
      </w:r>
      <w:r w:rsidRPr="00C66550">
        <w:rPr>
          <w:color w:val="auto"/>
        </w:rPr>
        <w:t xml:space="preserve"> a resource recovery rate of 59%</w:t>
      </w:r>
      <w:r w:rsidR="006A663B" w:rsidRPr="00C66550">
        <w:rPr>
          <w:color w:val="auto"/>
        </w:rPr>
        <w:t xml:space="preserve">. This </w:t>
      </w:r>
      <w:r w:rsidRPr="00C66550">
        <w:rPr>
          <w:color w:val="auto"/>
        </w:rPr>
        <w:t xml:space="preserve">is reasonable given the relatively low </w:t>
      </w:r>
      <w:r w:rsidR="000D5E3B" w:rsidRPr="00C66550">
        <w:rPr>
          <w:color w:val="auto"/>
        </w:rPr>
        <w:t xml:space="preserve">commodity </w:t>
      </w:r>
      <w:r w:rsidRPr="00C66550">
        <w:rPr>
          <w:color w:val="auto"/>
        </w:rPr>
        <w:t>value of glass (compared to plastic or cardboard)</w:t>
      </w:r>
      <w:r w:rsidR="000D5E3B" w:rsidRPr="00C66550">
        <w:rPr>
          <w:color w:val="auto"/>
        </w:rPr>
        <w:t xml:space="preserve"> and the relative difficulty of recovering glass from mixed waste loads</w:t>
      </w:r>
      <w:r w:rsidRPr="00C66550">
        <w:rPr>
          <w:color w:val="auto"/>
        </w:rPr>
        <w:t>.</w:t>
      </w:r>
      <w:r w:rsidR="000D5E3B" w:rsidRPr="00C66550">
        <w:rPr>
          <w:color w:val="auto"/>
        </w:rPr>
        <w:t xml:space="preserve"> Automated sorting equipment tends to break glass and it ends up in smaller and smaller </w:t>
      </w:r>
      <w:r w:rsidR="003D4CD8" w:rsidRPr="00C66550">
        <w:rPr>
          <w:color w:val="auto"/>
        </w:rPr>
        <w:t xml:space="preserve">pieces </w:t>
      </w:r>
      <w:r w:rsidR="000D5E3B" w:rsidRPr="00C66550">
        <w:rPr>
          <w:color w:val="auto"/>
        </w:rPr>
        <w:t>until it is not readily recoverable.</w:t>
      </w:r>
      <w:r w:rsidR="004B24C1" w:rsidRPr="00C66550">
        <w:rPr>
          <w:color w:val="auto"/>
        </w:rPr>
        <w:t xml:space="preserve"> Improved source-</w:t>
      </w:r>
      <w:r w:rsidR="00964C77" w:rsidRPr="00C66550">
        <w:rPr>
          <w:color w:val="auto"/>
        </w:rPr>
        <w:t>separation of glass into recycling systems would increase resource recovery rates.</w:t>
      </w:r>
    </w:p>
    <w:p w:rsidR="00DF31FD" w:rsidRPr="00C66550" w:rsidRDefault="00240089" w:rsidP="006D25F9">
      <w:pPr>
        <w:pStyle w:val="Heading3"/>
      </w:pPr>
      <w:r w:rsidRPr="00C66550">
        <w:t xml:space="preserve">Other </w:t>
      </w:r>
    </w:p>
    <w:p w:rsidR="00374BF9" w:rsidRPr="00C66550" w:rsidRDefault="00240089" w:rsidP="00A923D5">
      <w:pPr>
        <w:pStyle w:val="BodyText"/>
      </w:pPr>
      <w:r w:rsidRPr="00C66550">
        <w:t xml:space="preserve">This </w:t>
      </w:r>
      <w:r w:rsidR="006A663B" w:rsidRPr="00C66550">
        <w:t xml:space="preserve">waste </w:t>
      </w:r>
      <w:r w:rsidRPr="00C66550">
        <w:t>category consists of leather</w:t>
      </w:r>
      <w:r w:rsidR="006A663B" w:rsidRPr="00C66550">
        <w:t xml:space="preserve">, </w:t>
      </w:r>
      <w:r w:rsidRPr="00C66550">
        <w:t>textiles</w:t>
      </w:r>
      <w:r w:rsidR="006A663B" w:rsidRPr="00C66550">
        <w:t xml:space="preserve">, </w:t>
      </w:r>
      <w:r w:rsidRPr="00C66550">
        <w:t>tyres and other rubber</w:t>
      </w:r>
      <w:r w:rsidR="006A663B" w:rsidRPr="00C66550">
        <w:t xml:space="preserve">. About </w:t>
      </w:r>
      <w:r w:rsidR="00E94DB8" w:rsidRPr="00C66550">
        <w:t>1.</w:t>
      </w:r>
      <w:r w:rsidR="009A7F50">
        <w:t>0</w:t>
      </w:r>
      <w:r w:rsidR="00E94DB8" w:rsidRPr="00C66550">
        <w:t xml:space="preserve"> </w:t>
      </w:r>
      <w:r w:rsidR="00B80855" w:rsidRPr="00C66550">
        <w:t>Mt</w:t>
      </w:r>
      <w:r w:rsidR="00E94DB8" w:rsidRPr="00C66550">
        <w:t xml:space="preserve"> </w:t>
      </w:r>
      <w:r w:rsidR="006A663B" w:rsidRPr="00C66550">
        <w:t>was generated and</w:t>
      </w:r>
      <w:r w:rsidR="00E94DB8" w:rsidRPr="00C66550">
        <w:t xml:space="preserve"> </w:t>
      </w:r>
      <w:r w:rsidR="0011713B">
        <w:t>48</w:t>
      </w:r>
      <w:r w:rsidR="00E94DB8" w:rsidRPr="00C66550">
        <w:t>%</w:t>
      </w:r>
      <w:r w:rsidR="006A663B" w:rsidRPr="00C66550">
        <w:t xml:space="preserve"> recovered</w:t>
      </w:r>
      <w:r w:rsidR="00E94DB8" w:rsidRPr="00C66550">
        <w:t>. Increasing energy recovery from this category may be the best opportunity</w:t>
      </w:r>
      <w:r w:rsidR="001D4163" w:rsidRPr="00C66550">
        <w:t xml:space="preserve"> for improving recovery. F</w:t>
      </w:r>
      <w:r w:rsidR="00E94DB8" w:rsidRPr="00C66550">
        <w:t>or example</w:t>
      </w:r>
      <w:r w:rsidR="001D4163" w:rsidRPr="00C66550">
        <w:t>,</w:t>
      </w:r>
      <w:r w:rsidR="00E94DB8" w:rsidRPr="00C66550">
        <w:t xml:space="preserve"> more</w:t>
      </w:r>
      <w:r w:rsidR="001D4163" w:rsidRPr="00C66550">
        <w:t xml:space="preserve"> waste</w:t>
      </w:r>
      <w:r w:rsidR="00E94DB8" w:rsidRPr="00C66550">
        <w:t xml:space="preserve"> tyres could be sent to cement kilns to offset fossil fuel requirements.</w:t>
      </w:r>
      <w:r w:rsidR="00FF12A8" w:rsidRPr="00C66550">
        <w:t xml:space="preserve"> </w:t>
      </w:r>
    </w:p>
    <w:p w:rsidR="00E94DB8" w:rsidRPr="00C66550" w:rsidRDefault="00E94DB8" w:rsidP="006D25F9">
      <w:pPr>
        <w:pStyle w:val="Heading3"/>
      </w:pPr>
      <w:r w:rsidRPr="00C66550">
        <w:t>Hazardous</w:t>
      </w:r>
    </w:p>
    <w:p w:rsidR="00E94DB8" w:rsidRPr="00C66550" w:rsidRDefault="00E94DB8" w:rsidP="00A12876">
      <w:pPr>
        <w:pStyle w:val="BodyText"/>
      </w:pPr>
      <w:r w:rsidRPr="00C66550">
        <w:t>The hazardous materi</w:t>
      </w:r>
      <w:r w:rsidR="003A09E6" w:rsidRPr="00C66550">
        <w:t xml:space="preserve">al category </w:t>
      </w:r>
      <w:r w:rsidR="001D4163" w:rsidRPr="00C66550">
        <w:t>comprised</w:t>
      </w:r>
      <w:r w:rsidR="003A09E6" w:rsidRPr="00C66550">
        <w:t xml:space="preserve"> 2.3</w:t>
      </w:r>
      <w:r w:rsidR="007C093D" w:rsidRPr="00C66550">
        <w:t>5</w:t>
      </w:r>
      <w:r w:rsidRPr="00C66550">
        <w:t xml:space="preserve"> </w:t>
      </w:r>
      <w:r w:rsidR="00B80855" w:rsidRPr="00C66550">
        <w:t>Mt</w:t>
      </w:r>
      <w:r w:rsidRPr="00C66550">
        <w:t xml:space="preserve"> of waste</w:t>
      </w:r>
      <w:r w:rsidR="001D4163" w:rsidRPr="00C66550">
        <w:t xml:space="preserve"> with </w:t>
      </w:r>
      <w:r w:rsidRPr="00C66550">
        <w:t>a resource recovery rate of</w:t>
      </w:r>
      <w:r w:rsidR="003F1E21" w:rsidRPr="00C66550">
        <w:t xml:space="preserve"> just </w:t>
      </w:r>
      <w:r w:rsidR="00FA7213" w:rsidRPr="00C66550">
        <w:t>4</w:t>
      </w:r>
      <w:r w:rsidRPr="00C66550">
        <w:t>%</w:t>
      </w:r>
      <w:r w:rsidR="004F6EB5" w:rsidRPr="00C66550">
        <w:t xml:space="preserve"> </w:t>
      </w:r>
      <w:r w:rsidR="004F6EB5" w:rsidRPr="00C66550">
        <w:rPr>
          <w:rStyle w:val="FootnoteReference"/>
        </w:rPr>
        <w:footnoteReference w:id="5"/>
      </w:r>
      <w:r w:rsidR="001D4163" w:rsidRPr="00C66550">
        <w:t>. The</w:t>
      </w:r>
      <w:r w:rsidRPr="00C66550">
        <w:t xml:space="preserve"> bulk of </w:t>
      </w:r>
      <w:r w:rsidR="001D4163" w:rsidRPr="00C66550">
        <w:t xml:space="preserve">this </w:t>
      </w:r>
      <w:r w:rsidRPr="00C66550">
        <w:t>category is contaminated soils</w:t>
      </w:r>
      <w:r w:rsidR="00FD5E6F" w:rsidRPr="00C66550">
        <w:t xml:space="preserve">. </w:t>
      </w:r>
      <w:r w:rsidR="001D4163" w:rsidRPr="00C66550">
        <w:t>For many types of contamination, t</w:t>
      </w:r>
      <w:r w:rsidR="00F96CFB" w:rsidRPr="00C66550">
        <w:t>reatment op</w:t>
      </w:r>
      <w:r w:rsidR="001D4163" w:rsidRPr="00C66550">
        <w:t xml:space="preserve">tions </w:t>
      </w:r>
      <w:r w:rsidR="00F96CFB" w:rsidRPr="00C66550">
        <w:t>are available</w:t>
      </w:r>
      <w:r w:rsidR="001D4163" w:rsidRPr="00C66550">
        <w:t xml:space="preserve"> </w:t>
      </w:r>
      <w:r w:rsidR="00F96CFB" w:rsidRPr="00C66550">
        <w:t>to r</w:t>
      </w:r>
      <w:r w:rsidR="00964C77" w:rsidRPr="00C66550">
        <w:t xml:space="preserve">emove the hazard and enable </w:t>
      </w:r>
      <w:r w:rsidR="00F96CFB" w:rsidRPr="00C66550">
        <w:t>reuse.</w:t>
      </w:r>
      <w:r w:rsidR="00FF12A8" w:rsidRPr="00C66550">
        <w:t xml:space="preserve"> </w:t>
      </w:r>
      <w:r w:rsidR="00B80855" w:rsidRPr="00C66550">
        <w:t xml:space="preserve">The data on hazardous waste is likely to be of lower quality than most other streams because material may be recycled without recording of the input data, or may be treated to non-hazardous waste prior to being recorded. </w:t>
      </w:r>
    </w:p>
    <w:p w:rsidR="00F96CFB" w:rsidRPr="00C66550" w:rsidRDefault="006635AE" w:rsidP="006D25F9">
      <w:pPr>
        <w:pStyle w:val="Heading3"/>
      </w:pPr>
      <w:r w:rsidRPr="00C66550">
        <w:t>Fly ash</w:t>
      </w:r>
    </w:p>
    <w:p w:rsidR="001B50DE" w:rsidRPr="00C66550" w:rsidRDefault="006635AE" w:rsidP="00287E5E">
      <w:pPr>
        <w:pStyle w:val="BodyText"/>
      </w:pPr>
      <w:r w:rsidRPr="00C66550">
        <w:t xml:space="preserve">Australia generated around </w:t>
      </w:r>
      <w:r w:rsidR="007C093D" w:rsidRPr="00C66550">
        <w:t>1</w:t>
      </w:r>
      <w:r w:rsidR="00B80855" w:rsidRPr="00C66550">
        <w:t>4</w:t>
      </w:r>
      <w:r w:rsidRPr="00C66550">
        <w:t xml:space="preserve"> </w:t>
      </w:r>
      <w:r w:rsidR="00B80855" w:rsidRPr="00C66550">
        <w:t>Mt</w:t>
      </w:r>
      <w:r w:rsidRPr="00C66550">
        <w:t xml:space="preserve"> of fly ash in 2010/11. Around </w:t>
      </w:r>
      <w:r w:rsidR="007C093D" w:rsidRPr="00C66550">
        <w:t>7.</w:t>
      </w:r>
      <w:r w:rsidR="00B80855" w:rsidRPr="00C66550">
        <w:t>7</w:t>
      </w:r>
      <w:r w:rsidRPr="00C66550">
        <w:t xml:space="preserve"> </w:t>
      </w:r>
      <w:r w:rsidR="00B80855" w:rsidRPr="00C66550">
        <w:t>Mt</w:t>
      </w:r>
      <w:r w:rsidRPr="00C66550">
        <w:t xml:space="preserve"> was disposed to landfills (normally backfilling the coal mine void at the power station) and around </w:t>
      </w:r>
      <w:r w:rsidR="007C093D" w:rsidRPr="00C66550">
        <w:t>6</w:t>
      </w:r>
      <w:r w:rsidR="00B80855" w:rsidRPr="00C66550">
        <w:t>.0</w:t>
      </w:r>
      <w:r w:rsidRPr="00C66550">
        <w:t xml:space="preserve"> </w:t>
      </w:r>
      <w:r w:rsidR="00B80855" w:rsidRPr="00C66550">
        <w:t>Mt</w:t>
      </w:r>
      <w:r w:rsidRPr="00C66550">
        <w:t xml:space="preserve"> was recycled into products such as cement. With a resource recovery rate of </w:t>
      </w:r>
      <w:r w:rsidR="007C093D" w:rsidRPr="00C66550">
        <w:t>44</w:t>
      </w:r>
      <w:r w:rsidRPr="00C66550">
        <w:t>% opportunities may exi</w:t>
      </w:r>
      <w:r w:rsidR="00521189" w:rsidRPr="00C66550">
        <w:t>s</w:t>
      </w:r>
      <w:r w:rsidRPr="00C66550">
        <w:t>t to recycle more fly ash</w:t>
      </w:r>
      <w:r w:rsidR="00521189" w:rsidRPr="00C66550">
        <w:t>,</w:t>
      </w:r>
      <w:r w:rsidRPr="00C66550">
        <w:t xml:space="preserve"> provide</w:t>
      </w:r>
      <w:r w:rsidR="00964C77" w:rsidRPr="00C66550">
        <w:t>d</w:t>
      </w:r>
      <w:r w:rsidRPr="00C66550">
        <w:t xml:space="preserve"> contamination issues are appropriately managed. </w:t>
      </w:r>
      <w:r w:rsidR="001B50DE" w:rsidRPr="00C66550">
        <w:br w:type="page"/>
      </w:r>
    </w:p>
    <w:p w:rsidR="000A02F2" w:rsidRPr="00C66550" w:rsidRDefault="004C5DC7" w:rsidP="006D25F9">
      <w:pPr>
        <w:pStyle w:val="Heading1"/>
      </w:pPr>
      <w:bookmarkStart w:id="59" w:name="_Ref348715094"/>
      <w:bookmarkStart w:id="60" w:name="_Toc379466357"/>
      <w:r w:rsidRPr="00C66550">
        <w:lastRenderedPageBreak/>
        <w:t xml:space="preserve">National </w:t>
      </w:r>
      <w:r w:rsidR="000A02F2" w:rsidRPr="00C66550">
        <w:t>trends</w:t>
      </w:r>
      <w:r w:rsidR="00081CFB" w:rsidRPr="00C66550">
        <w:t>,</w:t>
      </w:r>
      <w:r w:rsidR="000A02F2" w:rsidRPr="00C66550">
        <w:t xml:space="preserve"> 2006/07 </w:t>
      </w:r>
      <w:r w:rsidR="00081CFB" w:rsidRPr="00C66550">
        <w:t>to</w:t>
      </w:r>
      <w:r w:rsidR="000A02F2" w:rsidRPr="00C66550">
        <w:t xml:space="preserve"> 2010/11</w:t>
      </w:r>
      <w:bookmarkEnd w:id="59"/>
      <w:bookmarkEnd w:id="60"/>
    </w:p>
    <w:p w:rsidR="00420DBF" w:rsidRPr="00C66550" w:rsidRDefault="00EE567B" w:rsidP="005834C7">
      <w:pPr>
        <w:pStyle w:val="BodyText"/>
      </w:pPr>
      <w:r w:rsidRPr="00C66550">
        <w:t xml:space="preserve">This </w:t>
      </w:r>
      <w:r w:rsidR="00912151" w:rsidRPr="00C66550">
        <w:t>section</w:t>
      </w:r>
      <w:r w:rsidRPr="00C66550">
        <w:t xml:space="preserve"> looks at the overall trends in waste generation and management (i.e. recycling, energy recovery or disposal) for Australia for the</w:t>
      </w:r>
      <w:r w:rsidR="00B80855" w:rsidRPr="00C66550">
        <w:t xml:space="preserve"> period</w:t>
      </w:r>
      <w:r w:rsidRPr="00C66550">
        <w:t xml:space="preserve"> 2006/07 </w:t>
      </w:r>
      <w:r w:rsidR="00B80855" w:rsidRPr="00C66550">
        <w:t>to</w:t>
      </w:r>
      <w:r w:rsidRPr="00C66550">
        <w:t xml:space="preserve"> 2010/11 </w:t>
      </w:r>
      <w:r w:rsidR="007026A2" w:rsidRPr="00C66550">
        <w:t>(excluding fly ash)</w:t>
      </w:r>
      <w:r w:rsidRPr="00C66550">
        <w:t>.</w:t>
      </w:r>
    </w:p>
    <w:p w:rsidR="00A62886" w:rsidRPr="00C66550" w:rsidRDefault="00A62886" w:rsidP="005834C7">
      <w:pPr>
        <w:pStyle w:val="BodyText"/>
      </w:pPr>
    </w:p>
    <w:p w:rsidR="003C282D" w:rsidRPr="00C66550" w:rsidRDefault="0062001A" w:rsidP="00BB4F4A">
      <w:pPr>
        <w:pStyle w:val="BodyText"/>
      </w:pPr>
      <w:r w:rsidRPr="00C66550">
        <w:fldChar w:fldCharType="begin"/>
      </w:r>
      <w:r w:rsidR="00EE567B" w:rsidRPr="00C66550">
        <w:instrText xml:space="preserve"> REF _Ref348963389 \h </w:instrText>
      </w:r>
      <w:r w:rsidRPr="00C66550">
        <w:fldChar w:fldCharType="separate"/>
      </w:r>
      <w:r w:rsidR="00D96003" w:rsidRPr="00C66550">
        <w:t xml:space="preserve">Figure </w:t>
      </w:r>
      <w:r w:rsidR="00D96003">
        <w:rPr>
          <w:noProof/>
        </w:rPr>
        <w:t>11</w:t>
      </w:r>
      <w:r w:rsidRPr="00C66550">
        <w:fldChar w:fldCharType="end"/>
      </w:r>
      <w:r w:rsidR="00EE567B" w:rsidRPr="00C66550">
        <w:t xml:space="preserve"> show</w:t>
      </w:r>
      <w:r w:rsidR="00414A02" w:rsidRPr="00C66550">
        <w:t>s</w:t>
      </w:r>
      <w:r w:rsidR="00EE567B" w:rsidRPr="00C66550">
        <w:t xml:space="preserve"> the </w:t>
      </w:r>
      <w:r w:rsidR="00EE567B" w:rsidRPr="00C66550">
        <w:rPr>
          <w:b/>
        </w:rPr>
        <w:t>per capita</w:t>
      </w:r>
      <w:r w:rsidR="00EE567B" w:rsidRPr="00C66550">
        <w:t xml:space="preserve"> waste generation </w:t>
      </w:r>
      <w:r w:rsidR="00414A02" w:rsidRPr="00C66550">
        <w:t xml:space="preserve">for Australia and how the waste </w:t>
      </w:r>
      <w:r w:rsidR="007026A2" w:rsidRPr="00C66550">
        <w:t>was</w:t>
      </w:r>
      <w:r w:rsidR="00414A02" w:rsidRPr="00C66550">
        <w:t xml:space="preserve"> </w:t>
      </w:r>
      <w:r w:rsidR="007026A2" w:rsidRPr="00C66550">
        <w:t>managed</w:t>
      </w:r>
      <w:r w:rsidR="00414A02" w:rsidRPr="00C66550">
        <w:t>.</w:t>
      </w:r>
      <w:r w:rsidR="004815D2" w:rsidRPr="00C66550">
        <w:t xml:space="preserve"> </w:t>
      </w:r>
    </w:p>
    <w:p w:rsidR="005834C7" w:rsidRPr="00C66550" w:rsidRDefault="005834C7" w:rsidP="005834C7">
      <w:pPr>
        <w:pStyle w:val="BodyText"/>
      </w:pPr>
    </w:p>
    <w:p w:rsidR="00F91F8F" w:rsidRPr="00C66550" w:rsidRDefault="00F22876" w:rsidP="00FB4820">
      <w:pPr>
        <w:pStyle w:val="Figures"/>
      </w:pPr>
      <w:bookmarkStart w:id="61" w:name="_Ref348963389"/>
      <w:bookmarkStart w:id="62" w:name="_Toc365385020"/>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11</w:t>
      </w:r>
      <w:r w:rsidR="0062001A" w:rsidRPr="00C66550">
        <w:rPr>
          <w:noProof/>
        </w:rPr>
        <w:fldChar w:fldCharType="end"/>
      </w:r>
      <w:bookmarkEnd w:id="61"/>
      <w:r w:rsidR="001B255A" w:rsidRPr="00C66550">
        <w:t>:</w:t>
      </w:r>
      <w:r w:rsidR="001B255A" w:rsidRPr="00C66550">
        <w:tab/>
      </w:r>
      <w:r w:rsidR="00081CFB" w:rsidRPr="00C66550">
        <w:t>T</w:t>
      </w:r>
      <w:r w:rsidR="00F91F8F" w:rsidRPr="00C66550">
        <w:t xml:space="preserve">rends in </w:t>
      </w:r>
      <w:r w:rsidR="00905154" w:rsidRPr="00C66550">
        <w:t xml:space="preserve">per capita </w:t>
      </w:r>
      <w:r w:rsidR="00422307" w:rsidRPr="00C66550">
        <w:t xml:space="preserve">waste </w:t>
      </w:r>
      <w:r w:rsidRPr="00C66550">
        <w:t>generation</w:t>
      </w:r>
      <w:r w:rsidR="001A4573" w:rsidRPr="00C66550">
        <w:t xml:space="preserve"> </w:t>
      </w:r>
      <w:r w:rsidR="00081CFB" w:rsidRPr="00C66550">
        <w:t>and</w:t>
      </w:r>
      <w:r w:rsidR="00CB657F" w:rsidRPr="00C66550">
        <w:t xml:space="preserve"> management</w:t>
      </w:r>
      <w:r w:rsidR="00081CFB" w:rsidRPr="00C66550">
        <w:t>, Australia 2006/07 to 2010/11</w:t>
      </w:r>
      <w:bookmarkEnd w:id="62"/>
    </w:p>
    <w:p w:rsidR="00A62886" w:rsidRPr="00C66550" w:rsidRDefault="00E33B42" w:rsidP="00452964">
      <w:pPr>
        <w:pStyle w:val="Monkey2"/>
      </w:pPr>
      <w:r w:rsidRPr="00C66550">
        <w:rPr>
          <w:noProof/>
          <w:lang w:eastAsia="en-AU"/>
        </w:rPr>
        <w:drawing>
          <wp:anchor distT="0" distB="0" distL="114300" distR="114300" simplePos="0" relativeHeight="251859968" behindDoc="0" locked="0" layoutInCell="1" allowOverlap="1">
            <wp:simplePos x="0" y="0"/>
            <wp:positionH relativeFrom="column">
              <wp:posOffset>520700</wp:posOffset>
            </wp:positionH>
            <wp:positionV relativeFrom="paragraph">
              <wp:posOffset>152400</wp:posOffset>
            </wp:positionV>
            <wp:extent cx="3358515" cy="2795905"/>
            <wp:effectExtent l="0" t="0" r="0" b="444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8515" cy="2795905"/>
                    </a:xfrm>
                    <a:prstGeom prst="rect">
                      <a:avLst/>
                    </a:prstGeom>
                  </pic:spPr>
                </pic:pic>
              </a:graphicData>
            </a:graphic>
          </wp:anchor>
        </w:drawing>
      </w: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A62886" w:rsidRPr="00C66550" w:rsidRDefault="00A62886" w:rsidP="0060479A">
      <w:pPr>
        <w:pStyle w:val="Monkey2"/>
      </w:pPr>
    </w:p>
    <w:p w:rsidR="005834C7" w:rsidRPr="00C66550" w:rsidRDefault="00E531BE" w:rsidP="0060479A">
      <w:pPr>
        <w:pStyle w:val="Monkey2"/>
      </w:pPr>
      <w:r w:rsidRPr="00C66550">
        <w:t>Relies on: population-based backwards</w:t>
      </w:r>
      <w:r w:rsidR="00E475B1" w:rsidRPr="00C66550">
        <w:t xml:space="preserve"> </w:t>
      </w:r>
      <w:r w:rsidRPr="00C66550">
        <w:t xml:space="preserve">extrapolation for NT (06/07 </w:t>
      </w:r>
      <w:r w:rsidR="00C30C95" w:rsidRPr="00C66550">
        <w:t>–</w:t>
      </w:r>
      <w:r w:rsidRPr="00C66550">
        <w:t xml:space="preserve"> 09/10) and </w:t>
      </w:r>
      <w:r w:rsidR="00BB3966">
        <w:t>Qld</w:t>
      </w:r>
      <w:r w:rsidRPr="00C66550">
        <w:t xml:space="preserve"> (06/07); and interpolation for all jurisdictions (07/08) and NSW (09/10). </w:t>
      </w:r>
    </w:p>
    <w:p w:rsidR="006441A2" w:rsidRPr="00C66550" w:rsidRDefault="006441A2" w:rsidP="006441A2">
      <w:pPr>
        <w:pStyle w:val="BodyText"/>
      </w:pPr>
    </w:p>
    <w:p w:rsidR="006441A2" w:rsidRPr="00C66550" w:rsidRDefault="006441A2" w:rsidP="006441A2">
      <w:pPr>
        <w:pStyle w:val="BodyText"/>
      </w:pPr>
      <w:r w:rsidRPr="00C66550">
        <w:t xml:space="preserve">Over </w:t>
      </w:r>
      <w:r w:rsidR="00ED1F2A">
        <w:t>this</w:t>
      </w:r>
      <w:r w:rsidRPr="00C66550">
        <w:t xml:space="preserve"> period the following </w:t>
      </w:r>
      <w:r w:rsidRPr="00C66550">
        <w:rPr>
          <w:b/>
        </w:rPr>
        <w:t>per capita</w:t>
      </w:r>
      <w:r w:rsidRPr="00C66550">
        <w:t xml:space="preserve"> trends are illustrated:</w:t>
      </w:r>
    </w:p>
    <w:p w:rsidR="006441A2" w:rsidRPr="00C66550" w:rsidRDefault="006441A2" w:rsidP="006441A2">
      <w:pPr>
        <w:pStyle w:val="Bullet1"/>
      </w:pPr>
      <w:r w:rsidRPr="00C66550">
        <w:t xml:space="preserve">Waste generation in Australia has been reasonably stable at around 2.1 tonnes per capita per </w:t>
      </w:r>
      <w:r w:rsidR="00AE2D3D" w:rsidRPr="00C66550">
        <w:t>year</w:t>
      </w:r>
      <w:r w:rsidRPr="00C66550">
        <w:t xml:space="preserve"> with a small increase of 2</w:t>
      </w:r>
      <w:r w:rsidR="00285B5C" w:rsidRPr="00C66550">
        <w:t>.6</w:t>
      </w:r>
      <w:r w:rsidRPr="00C66550">
        <w:t xml:space="preserve">% over the </w:t>
      </w:r>
      <w:r w:rsidR="00EF14A2">
        <w:t>review</w:t>
      </w:r>
      <w:r w:rsidRPr="00C66550">
        <w:t xml:space="preserve"> period, or 0.</w:t>
      </w:r>
      <w:r w:rsidR="00746FAF">
        <w:t>6</w:t>
      </w:r>
      <w:r w:rsidRPr="00C66550">
        <w:t xml:space="preserve">% per </w:t>
      </w:r>
      <w:r w:rsidR="00AE2D3D" w:rsidRPr="00C66550">
        <w:t>year</w:t>
      </w:r>
      <w:r w:rsidRPr="00C66550">
        <w:t xml:space="preserve">. </w:t>
      </w:r>
    </w:p>
    <w:p w:rsidR="006441A2" w:rsidRPr="00C66550" w:rsidRDefault="006441A2" w:rsidP="006441A2">
      <w:pPr>
        <w:pStyle w:val="Bullet1"/>
      </w:pPr>
      <w:r w:rsidRPr="00C66550">
        <w:t xml:space="preserve">The resource recovery rate in Australia increased from 51% to </w:t>
      </w:r>
      <w:r w:rsidR="00285B5C" w:rsidRPr="00C66550">
        <w:t>60</w:t>
      </w:r>
      <w:r w:rsidRPr="00C66550">
        <w:t>% over the period.</w:t>
      </w:r>
    </w:p>
    <w:p w:rsidR="006441A2" w:rsidRPr="00C66550" w:rsidRDefault="006441A2" w:rsidP="006441A2">
      <w:pPr>
        <w:pStyle w:val="Bullet1"/>
      </w:pPr>
      <w:r w:rsidRPr="00C66550">
        <w:t xml:space="preserve">Waste recycling in Australia increased significantly from around 1.0 tonne to around 1.2 tonnes per capita per </w:t>
      </w:r>
      <w:r w:rsidR="00AE2D3D" w:rsidRPr="00C66550">
        <w:t>year</w:t>
      </w:r>
      <w:r w:rsidRPr="00C66550">
        <w:t>, a</w:t>
      </w:r>
      <w:r w:rsidR="00B80855" w:rsidRPr="00C66550">
        <w:t xml:space="preserve"> rise</w:t>
      </w:r>
      <w:r w:rsidRPr="00C66550">
        <w:t xml:space="preserve"> of around </w:t>
      </w:r>
      <w:r w:rsidR="00285B5C" w:rsidRPr="00C66550">
        <w:t>20</w:t>
      </w:r>
      <w:r w:rsidRPr="00C66550">
        <w:t xml:space="preserve">% </w:t>
      </w:r>
      <w:r w:rsidR="00EF14A2">
        <w:t>in four</w:t>
      </w:r>
      <w:r w:rsidRPr="00C66550">
        <w:t xml:space="preserve"> years, or 4</w:t>
      </w:r>
      <w:r w:rsidR="00FC5EF2">
        <w:t>.6</w:t>
      </w:r>
      <w:r w:rsidRPr="00C66550">
        <w:t xml:space="preserve">% per </w:t>
      </w:r>
      <w:r w:rsidR="00AE2D3D" w:rsidRPr="00C66550">
        <w:t>year</w:t>
      </w:r>
      <w:r w:rsidRPr="00C66550">
        <w:t xml:space="preserve">. </w:t>
      </w:r>
    </w:p>
    <w:p w:rsidR="006441A2" w:rsidRPr="00C66550" w:rsidRDefault="00B80855" w:rsidP="00076F68">
      <w:pPr>
        <w:pStyle w:val="Bullet1"/>
      </w:pPr>
      <w:r w:rsidRPr="00C66550">
        <w:t xml:space="preserve">Material used for producing </w:t>
      </w:r>
      <w:r w:rsidR="006441A2" w:rsidRPr="00C66550">
        <w:t xml:space="preserve">EfW in Australia increased marginally from </w:t>
      </w:r>
      <w:r w:rsidR="00285B5C" w:rsidRPr="00C66550">
        <w:t>60</w:t>
      </w:r>
      <w:r w:rsidR="006441A2" w:rsidRPr="00C66550">
        <w:t xml:space="preserve"> to </w:t>
      </w:r>
      <w:r w:rsidR="00285B5C" w:rsidRPr="00C66550">
        <w:t>7</w:t>
      </w:r>
      <w:r w:rsidR="002E6A4C" w:rsidRPr="00C66550">
        <w:t>0</w:t>
      </w:r>
      <w:r w:rsidR="006441A2" w:rsidRPr="00C66550">
        <w:t xml:space="preserve"> kg per capita per </w:t>
      </w:r>
      <w:r w:rsidR="00AE2D3D" w:rsidRPr="00C66550">
        <w:t>year</w:t>
      </w:r>
      <w:r w:rsidR="006441A2" w:rsidRPr="00C66550">
        <w:t xml:space="preserve">, or </w:t>
      </w:r>
      <w:r w:rsidR="00285B5C" w:rsidRPr="00C66550">
        <w:t>8</w:t>
      </w:r>
      <w:r w:rsidR="006441A2" w:rsidRPr="00C66550">
        <w:t>%, or</w:t>
      </w:r>
      <w:r w:rsidRPr="00C66550">
        <w:t xml:space="preserve"> </w:t>
      </w:r>
      <w:r w:rsidR="00EF14A2">
        <w:t>2.0</w:t>
      </w:r>
      <w:r w:rsidR="006441A2" w:rsidRPr="00C66550">
        <w:t xml:space="preserve">% per </w:t>
      </w:r>
      <w:r w:rsidR="00AE2D3D" w:rsidRPr="00C66550">
        <w:t>year</w:t>
      </w:r>
      <w:r w:rsidR="006441A2" w:rsidRPr="00C66550">
        <w:t>.</w:t>
      </w:r>
    </w:p>
    <w:p w:rsidR="006441A2" w:rsidRPr="00C66550" w:rsidRDefault="006441A2" w:rsidP="006441A2">
      <w:pPr>
        <w:pStyle w:val="Bullet1"/>
      </w:pPr>
      <w:r w:rsidRPr="00C66550">
        <w:t>Waste disposal in Australia decreased signif</w:t>
      </w:r>
      <w:r w:rsidR="00715340" w:rsidRPr="00C66550">
        <w:t>icantly</w:t>
      </w:r>
      <w:r w:rsidR="00B80855" w:rsidRPr="00C66550">
        <w:t>,</w:t>
      </w:r>
      <w:r w:rsidR="00715340" w:rsidRPr="00C66550">
        <w:t xml:space="preserve"> falling from around 1.0</w:t>
      </w:r>
      <w:r w:rsidR="00285B5C" w:rsidRPr="00C66550">
        <w:t>3</w:t>
      </w:r>
      <w:r w:rsidRPr="00C66550">
        <w:t xml:space="preserve"> tonnes to around 0.8</w:t>
      </w:r>
      <w:r w:rsidR="00285B5C" w:rsidRPr="00C66550">
        <w:t>8</w:t>
      </w:r>
      <w:r w:rsidRPr="00C66550">
        <w:t xml:space="preserve"> tonnes per capita per </w:t>
      </w:r>
      <w:r w:rsidR="00AE2D3D" w:rsidRPr="00C66550">
        <w:t>year</w:t>
      </w:r>
      <w:r w:rsidRPr="00C66550">
        <w:t xml:space="preserve">, a fall of around 15% </w:t>
      </w:r>
      <w:r w:rsidR="00EF14A2">
        <w:t>in four</w:t>
      </w:r>
      <w:r w:rsidRPr="00C66550">
        <w:t xml:space="preserve"> years, or </w:t>
      </w:r>
      <w:r w:rsidR="00EF14A2">
        <w:t>4.0</w:t>
      </w:r>
      <w:r w:rsidRPr="00C66550">
        <w:t>% per</w:t>
      </w:r>
      <w:r w:rsidR="00DB2789" w:rsidRPr="00C66550">
        <w:t xml:space="preserve"> capita per</w:t>
      </w:r>
      <w:r w:rsidRPr="00C66550">
        <w:t xml:space="preserve"> </w:t>
      </w:r>
      <w:r w:rsidR="00AE2D3D" w:rsidRPr="00C66550">
        <w:t>year</w:t>
      </w:r>
      <w:r w:rsidRPr="00C66550">
        <w:t>.</w:t>
      </w:r>
    </w:p>
    <w:p w:rsidR="006441A2" w:rsidRPr="00C66550" w:rsidRDefault="006441A2">
      <w:pPr>
        <w:spacing w:line="240" w:lineRule="auto"/>
        <w:rPr>
          <w:color w:val="080808"/>
          <w:sz w:val="22"/>
        </w:rPr>
      </w:pPr>
      <w:r w:rsidRPr="00C66550">
        <w:br w:type="page"/>
      </w:r>
    </w:p>
    <w:p w:rsidR="003C282D" w:rsidRPr="00C66550" w:rsidRDefault="0062001A" w:rsidP="00A62886">
      <w:pPr>
        <w:pStyle w:val="BodyText"/>
      </w:pPr>
      <w:r w:rsidRPr="00C66550">
        <w:lastRenderedPageBreak/>
        <w:fldChar w:fldCharType="begin"/>
      </w:r>
      <w:r w:rsidR="00A62886" w:rsidRPr="00C66550">
        <w:instrText xml:space="preserve"> REF _Ref354673845 \h </w:instrText>
      </w:r>
      <w:r w:rsidRPr="00C66550">
        <w:fldChar w:fldCharType="separate"/>
      </w:r>
      <w:r w:rsidR="00D96003" w:rsidRPr="00C66550">
        <w:t xml:space="preserve">Figure </w:t>
      </w:r>
      <w:r w:rsidR="00D96003">
        <w:rPr>
          <w:noProof/>
        </w:rPr>
        <w:t>12</w:t>
      </w:r>
      <w:r w:rsidRPr="00C66550">
        <w:fldChar w:fldCharType="end"/>
      </w:r>
      <w:r w:rsidR="00A62886" w:rsidRPr="00C66550">
        <w:t xml:space="preserve"> shows the </w:t>
      </w:r>
      <w:r w:rsidR="00A62886" w:rsidRPr="00C66550">
        <w:rPr>
          <w:b/>
        </w:rPr>
        <w:t xml:space="preserve">total tonnage </w:t>
      </w:r>
      <w:r w:rsidR="0089707A" w:rsidRPr="00C66550">
        <w:t>of w</w:t>
      </w:r>
      <w:r w:rsidR="00A62886" w:rsidRPr="00C66550">
        <w:t>aste generat</w:t>
      </w:r>
      <w:r w:rsidR="0089707A" w:rsidRPr="00C66550">
        <w:t>ed in</w:t>
      </w:r>
      <w:r w:rsidR="00A62886" w:rsidRPr="00C66550">
        <w:t xml:space="preserve"> Australia and how the waste was managed. </w:t>
      </w:r>
    </w:p>
    <w:p w:rsidR="003C282D" w:rsidRPr="00C66550" w:rsidRDefault="003C282D" w:rsidP="00A62886">
      <w:pPr>
        <w:pStyle w:val="BodyText"/>
      </w:pPr>
    </w:p>
    <w:p w:rsidR="00A62886" w:rsidRPr="00C66550" w:rsidRDefault="00A62886" w:rsidP="00FB4820">
      <w:pPr>
        <w:pStyle w:val="Figures"/>
      </w:pPr>
      <w:bookmarkStart w:id="63" w:name="_Ref354673845"/>
      <w:bookmarkStart w:id="64" w:name="_Toc365385021"/>
      <w:r w:rsidRPr="00C66550">
        <w:t xml:space="preserve">Figure </w:t>
      </w:r>
      <w:r w:rsidR="0062001A" w:rsidRPr="00C66550">
        <w:fldChar w:fldCharType="begin"/>
      </w:r>
      <w:r w:rsidR="002E66B7" w:rsidRPr="00C66550">
        <w:instrText xml:space="preserve"> SEQ Figure \* ARABIC </w:instrText>
      </w:r>
      <w:r w:rsidR="0062001A" w:rsidRPr="00C66550">
        <w:fldChar w:fldCharType="separate"/>
      </w:r>
      <w:r w:rsidR="00D96003">
        <w:rPr>
          <w:noProof/>
        </w:rPr>
        <w:t>12</w:t>
      </w:r>
      <w:r w:rsidR="0062001A" w:rsidRPr="00C66550">
        <w:rPr>
          <w:noProof/>
        </w:rPr>
        <w:fldChar w:fldCharType="end"/>
      </w:r>
      <w:bookmarkEnd w:id="63"/>
      <w:r w:rsidRPr="00C66550">
        <w:tab/>
      </w:r>
      <w:r w:rsidR="00081CFB" w:rsidRPr="00C66550">
        <w:t>T</w:t>
      </w:r>
      <w:r w:rsidRPr="00C66550">
        <w:t xml:space="preserve">rends in total </w:t>
      </w:r>
      <w:r w:rsidR="001171DA" w:rsidRPr="00C66550">
        <w:t>waste</w:t>
      </w:r>
      <w:r w:rsidRPr="00C66550">
        <w:t xml:space="preserve"> generation </w:t>
      </w:r>
      <w:r w:rsidR="00081CFB" w:rsidRPr="00C66550">
        <w:t>and</w:t>
      </w:r>
      <w:r w:rsidRPr="00C66550">
        <w:t xml:space="preserve"> management</w:t>
      </w:r>
      <w:r w:rsidR="00081CFB" w:rsidRPr="00C66550">
        <w:t>, Australia 2006/07 to 2010/11</w:t>
      </w:r>
      <w:bookmarkEnd w:id="64"/>
    </w:p>
    <w:p w:rsidR="00A62886" w:rsidRPr="00C66550" w:rsidRDefault="00A62886" w:rsidP="005834C7">
      <w:pPr>
        <w:pStyle w:val="BodyText"/>
      </w:pPr>
    </w:p>
    <w:p w:rsidR="00A62886" w:rsidRPr="00C66550" w:rsidRDefault="00452964" w:rsidP="005834C7">
      <w:pPr>
        <w:pStyle w:val="BodyText"/>
      </w:pPr>
      <w:r w:rsidRPr="00C66550">
        <w:rPr>
          <w:noProof/>
          <w:lang w:eastAsia="en-AU"/>
        </w:rPr>
        <w:drawing>
          <wp:anchor distT="0" distB="0" distL="114300" distR="114300" simplePos="0" relativeHeight="251860992" behindDoc="0" locked="0" layoutInCell="1" allowOverlap="1">
            <wp:simplePos x="0" y="0"/>
            <wp:positionH relativeFrom="column">
              <wp:posOffset>435610</wp:posOffset>
            </wp:positionH>
            <wp:positionV relativeFrom="paragraph">
              <wp:posOffset>8890</wp:posOffset>
            </wp:positionV>
            <wp:extent cx="3284855" cy="2811780"/>
            <wp:effectExtent l="0" t="0" r="0" b="762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4855" cy="2811780"/>
                    </a:xfrm>
                    <a:prstGeom prst="rect">
                      <a:avLst/>
                    </a:prstGeom>
                  </pic:spPr>
                </pic:pic>
              </a:graphicData>
            </a:graphic>
          </wp:anchor>
        </w:drawing>
      </w: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5834C7">
      <w:pPr>
        <w:pStyle w:val="BodyText"/>
      </w:pPr>
    </w:p>
    <w:p w:rsidR="00A62886" w:rsidRPr="00C66550" w:rsidRDefault="00A62886" w:rsidP="00A62886">
      <w:pPr>
        <w:pStyle w:val="Monkey2"/>
      </w:pPr>
      <w:r w:rsidRPr="00C66550">
        <w:t xml:space="preserve">Relies on: population-based backwards extrapolation for NT (06/07 – 09/10) and </w:t>
      </w:r>
      <w:r w:rsidR="00BB3966">
        <w:t>Qld</w:t>
      </w:r>
      <w:r w:rsidRPr="00C66550">
        <w:t xml:space="preserve"> (06/07); and interpolation for all jurisdictions (07/08) and NSW (09/10). </w:t>
      </w:r>
    </w:p>
    <w:p w:rsidR="00A62886" w:rsidRPr="00C66550" w:rsidRDefault="00A62886" w:rsidP="005834C7">
      <w:pPr>
        <w:pStyle w:val="BodyText"/>
      </w:pPr>
    </w:p>
    <w:p w:rsidR="006441A2" w:rsidRPr="00C66550" w:rsidRDefault="006441A2" w:rsidP="006441A2">
      <w:pPr>
        <w:pStyle w:val="BodyText"/>
      </w:pPr>
      <w:r w:rsidRPr="00C66550">
        <w:t xml:space="preserve">Over the period the following </w:t>
      </w:r>
      <w:r w:rsidRPr="00ED1F2A">
        <w:rPr>
          <w:b/>
        </w:rPr>
        <w:t>total waste generation</w:t>
      </w:r>
      <w:r w:rsidRPr="00C66550">
        <w:t xml:space="preserve"> trends are illustrated:</w:t>
      </w:r>
    </w:p>
    <w:p w:rsidR="006441A2" w:rsidRPr="00C66550" w:rsidRDefault="006441A2" w:rsidP="006441A2">
      <w:pPr>
        <w:pStyle w:val="Bullet1"/>
      </w:pPr>
      <w:r w:rsidRPr="00C66550">
        <w:t>Australia continued to generate more waste as the population grew, with waste generation increasing from around 44 Mt to around 4</w:t>
      </w:r>
      <w:r w:rsidR="00285B5C" w:rsidRPr="00C66550">
        <w:t>8</w:t>
      </w:r>
      <w:r w:rsidRPr="00C66550">
        <w:t xml:space="preserve"> Mt per </w:t>
      </w:r>
      <w:r w:rsidR="00AE2D3D" w:rsidRPr="00C66550">
        <w:t>year</w:t>
      </w:r>
      <w:r w:rsidRPr="00C66550">
        <w:t>, an increase of 9</w:t>
      </w:r>
      <w:r w:rsidR="00285B5C" w:rsidRPr="00C66550">
        <w:t xml:space="preserve">.1% over </w:t>
      </w:r>
      <w:r w:rsidR="00ED1F2A">
        <w:t>in four</w:t>
      </w:r>
      <w:r w:rsidR="00285B5C" w:rsidRPr="00C66550">
        <w:t xml:space="preserve"> years, or </w:t>
      </w:r>
      <w:r w:rsidR="00FC5EF2">
        <w:t>2.2</w:t>
      </w:r>
      <w:r w:rsidRPr="00C66550">
        <w:t xml:space="preserve">% per </w:t>
      </w:r>
      <w:r w:rsidR="00AE2D3D" w:rsidRPr="00C66550">
        <w:t>year</w:t>
      </w:r>
      <w:r w:rsidRPr="00C66550">
        <w:t xml:space="preserve">. </w:t>
      </w:r>
      <w:r w:rsidR="00AE2D3D" w:rsidRPr="00C66550">
        <w:t>P</w:t>
      </w:r>
      <w:r w:rsidRPr="00C66550">
        <w:t>opulation increase</w:t>
      </w:r>
      <w:r w:rsidR="00AE2D3D" w:rsidRPr="00C66550">
        <w:t>d at</w:t>
      </w:r>
      <w:r w:rsidRPr="00C66550">
        <w:t xml:space="preserve"> around 1</w:t>
      </w:r>
      <w:r w:rsidR="00285B5C" w:rsidRPr="00C66550">
        <w:t>.</w:t>
      </w:r>
      <w:r w:rsidR="00FC5EF2">
        <w:t>6</w:t>
      </w:r>
      <w:r w:rsidRPr="00C66550">
        <w:t xml:space="preserve">% per </w:t>
      </w:r>
      <w:r w:rsidR="00AE2D3D" w:rsidRPr="00C66550">
        <w:t>year, so</w:t>
      </w:r>
      <w:r w:rsidRPr="00C66550">
        <w:t xml:space="preserve"> waste generation </w:t>
      </w:r>
      <w:r w:rsidR="00AE2D3D" w:rsidRPr="00C66550">
        <w:t>grew about</w:t>
      </w:r>
      <w:r w:rsidRPr="00C66550">
        <w:t xml:space="preserve"> </w:t>
      </w:r>
      <w:r w:rsidR="00EF14A2">
        <w:t>40</w:t>
      </w:r>
      <w:r w:rsidR="00AE2D3D" w:rsidRPr="00C66550">
        <w:t xml:space="preserve">% </w:t>
      </w:r>
      <w:r w:rsidR="00F31111" w:rsidRPr="00C66550">
        <w:t xml:space="preserve">more </w:t>
      </w:r>
      <w:r w:rsidR="00AE2D3D" w:rsidRPr="00C66550">
        <w:t>quick</w:t>
      </w:r>
      <w:r w:rsidR="00F31111" w:rsidRPr="00C66550">
        <w:t>ly</w:t>
      </w:r>
      <w:r w:rsidR="00AE2D3D" w:rsidRPr="00C66550">
        <w:t xml:space="preserve"> than </w:t>
      </w:r>
      <w:r w:rsidRPr="00C66550">
        <w:t xml:space="preserve">population </w:t>
      </w:r>
      <w:r w:rsidR="00AE2D3D" w:rsidRPr="00C66550">
        <w:t>during</w:t>
      </w:r>
      <w:r w:rsidRPr="00C66550">
        <w:t xml:space="preserve"> the period.</w:t>
      </w:r>
    </w:p>
    <w:p w:rsidR="006441A2" w:rsidRPr="00C66550" w:rsidRDefault="00AE2D3D" w:rsidP="006441A2">
      <w:pPr>
        <w:pStyle w:val="Bullet1"/>
      </w:pPr>
      <w:r w:rsidRPr="00C66550">
        <w:t>The total quantity of material recycled in Australia</w:t>
      </w:r>
      <w:r w:rsidR="006441A2" w:rsidRPr="00C66550">
        <w:t xml:space="preserve"> increased significantly from 21.</w:t>
      </w:r>
      <w:r w:rsidR="0011713B">
        <w:t>4</w:t>
      </w:r>
      <w:r w:rsidR="006441A2" w:rsidRPr="00C66550">
        <w:t xml:space="preserve"> Mt to 2</w:t>
      </w:r>
      <w:r w:rsidR="005B6034" w:rsidRPr="00C66550">
        <w:t>7</w:t>
      </w:r>
      <w:r w:rsidR="006441A2" w:rsidRPr="00C66550">
        <w:t>.</w:t>
      </w:r>
      <w:r w:rsidR="0011713B">
        <w:t>3</w:t>
      </w:r>
      <w:r w:rsidR="006441A2" w:rsidRPr="00C66550">
        <w:t xml:space="preserve"> Mt per </w:t>
      </w:r>
      <w:r w:rsidRPr="00C66550">
        <w:t>year</w:t>
      </w:r>
      <w:r w:rsidR="006441A2" w:rsidRPr="00C66550">
        <w:t>, or by about 2</w:t>
      </w:r>
      <w:r w:rsidR="005B6034" w:rsidRPr="00C66550">
        <w:t>7</w:t>
      </w:r>
      <w:r w:rsidR="006441A2" w:rsidRPr="00C66550">
        <w:t xml:space="preserve">% </w:t>
      </w:r>
      <w:r w:rsidR="00EF14A2">
        <w:t>in four</w:t>
      </w:r>
      <w:r w:rsidR="006441A2" w:rsidRPr="00C66550">
        <w:t xml:space="preserve"> years, or </w:t>
      </w:r>
      <w:r w:rsidR="00FC5EF2">
        <w:t>6.</w:t>
      </w:r>
      <w:r w:rsidR="0011713B">
        <w:t>3</w:t>
      </w:r>
      <w:r w:rsidR="006441A2" w:rsidRPr="00C66550">
        <w:t xml:space="preserve">% per </w:t>
      </w:r>
      <w:r w:rsidRPr="00C66550">
        <w:t>year</w:t>
      </w:r>
      <w:r w:rsidR="006441A2" w:rsidRPr="00C66550">
        <w:t>.</w:t>
      </w:r>
    </w:p>
    <w:p w:rsidR="006441A2" w:rsidRPr="00C66550" w:rsidRDefault="006441A2" w:rsidP="006441A2">
      <w:pPr>
        <w:pStyle w:val="Bullet1"/>
      </w:pPr>
      <w:r w:rsidRPr="00C66550">
        <w:t>Australia’s total energy recovery increased from about 1.</w:t>
      </w:r>
      <w:r w:rsidR="005B6034" w:rsidRPr="00C66550">
        <w:t>32</w:t>
      </w:r>
      <w:r w:rsidRPr="00C66550">
        <w:t xml:space="preserve"> Mt to 1.</w:t>
      </w:r>
      <w:r w:rsidR="005B6034" w:rsidRPr="00C66550">
        <w:t>52</w:t>
      </w:r>
      <w:r w:rsidRPr="00C66550">
        <w:t xml:space="preserve"> Mt per </w:t>
      </w:r>
      <w:r w:rsidR="00AE2D3D" w:rsidRPr="00C66550">
        <w:t>year</w:t>
      </w:r>
      <w:r w:rsidRPr="00C66550">
        <w:t>, or by about 1</w:t>
      </w:r>
      <w:r w:rsidR="005B6034" w:rsidRPr="00C66550">
        <w:t>5</w:t>
      </w:r>
      <w:r w:rsidRPr="00C66550">
        <w:t xml:space="preserve">% over </w:t>
      </w:r>
      <w:r w:rsidR="00EF14A2">
        <w:t>four</w:t>
      </w:r>
      <w:r w:rsidR="00EF14A2" w:rsidRPr="00C66550">
        <w:t xml:space="preserve"> </w:t>
      </w:r>
      <w:r w:rsidRPr="00C66550">
        <w:t xml:space="preserve">years, or </w:t>
      </w:r>
      <w:r w:rsidR="005B6034" w:rsidRPr="00C66550">
        <w:t>3</w:t>
      </w:r>
      <w:r w:rsidR="00FC5EF2">
        <w:t>.6</w:t>
      </w:r>
      <w:r w:rsidRPr="00C66550">
        <w:t xml:space="preserve">% per </w:t>
      </w:r>
      <w:r w:rsidR="00AE2D3D" w:rsidRPr="00C66550">
        <w:t>year.</w:t>
      </w:r>
    </w:p>
    <w:p w:rsidR="006441A2" w:rsidRPr="00C66550" w:rsidRDefault="006441A2" w:rsidP="006441A2">
      <w:pPr>
        <w:pStyle w:val="Bullet1"/>
      </w:pPr>
      <w:r w:rsidRPr="00C66550">
        <w:t>Australia’s total disposal tonnage decreased from about 21.</w:t>
      </w:r>
      <w:r w:rsidR="005B6034" w:rsidRPr="00C66550">
        <w:t>5</w:t>
      </w:r>
      <w:r w:rsidRPr="00C66550">
        <w:t xml:space="preserve"> Mt to about 19.</w:t>
      </w:r>
      <w:r w:rsidR="005B6034" w:rsidRPr="00C66550">
        <w:t>5</w:t>
      </w:r>
      <w:r w:rsidRPr="00C66550">
        <w:t xml:space="preserve"> Mt per </w:t>
      </w:r>
      <w:r w:rsidR="00AE2D3D" w:rsidRPr="00C66550">
        <w:t>year</w:t>
      </w:r>
      <w:r w:rsidRPr="00C66550">
        <w:t xml:space="preserve">, or by about </w:t>
      </w:r>
      <w:r w:rsidR="005B6034" w:rsidRPr="00C66550">
        <w:t>9</w:t>
      </w:r>
      <w:r w:rsidRPr="00C66550">
        <w:t xml:space="preserve">% over </w:t>
      </w:r>
      <w:r w:rsidR="00EF14A2">
        <w:t>four</w:t>
      </w:r>
      <w:r w:rsidR="00EF14A2" w:rsidRPr="00C66550">
        <w:t xml:space="preserve"> </w:t>
      </w:r>
      <w:r w:rsidRPr="00C66550">
        <w:t xml:space="preserve">years, or </w:t>
      </w:r>
      <w:r w:rsidR="00FC5EF2">
        <w:t>2.5</w:t>
      </w:r>
      <w:r w:rsidRPr="00C66550">
        <w:t xml:space="preserve">% per </w:t>
      </w:r>
      <w:r w:rsidR="00AE2D3D" w:rsidRPr="00C66550">
        <w:t>year</w:t>
      </w:r>
      <w:r w:rsidRPr="00C66550">
        <w:t>.</w:t>
      </w:r>
    </w:p>
    <w:p w:rsidR="00F31111" w:rsidRPr="00C66550" w:rsidRDefault="00F31111" w:rsidP="006441A2">
      <w:pPr>
        <w:pStyle w:val="Bullet1"/>
      </w:pPr>
      <w:r w:rsidRPr="00C66550">
        <w:t>The resource recovery rate in Australia increased from 51% to 60% between 2006/07 and 2010/11, an increase of 9% over the period.</w:t>
      </w:r>
    </w:p>
    <w:p w:rsidR="003C282D" w:rsidRPr="00C66550" w:rsidRDefault="003C282D" w:rsidP="005834C7">
      <w:pPr>
        <w:pStyle w:val="BodyText"/>
      </w:pPr>
    </w:p>
    <w:p w:rsidR="006441A2" w:rsidRPr="00C66550" w:rsidRDefault="006441A2">
      <w:pPr>
        <w:spacing w:line="240" w:lineRule="auto"/>
        <w:rPr>
          <w:color w:val="080808"/>
          <w:sz w:val="22"/>
        </w:rPr>
      </w:pPr>
    </w:p>
    <w:p w:rsidR="001C33E2" w:rsidRPr="00C66550" w:rsidRDefault="0062001A" w:rsidP="005B7AD2">
      <w:pPr>
        <w:pStyle w:val="BodyText"/>
      </w:pPr>
      <w:r w:rsidRPr="00C66550">
        <w:fldChar w:fldCharType="begin"/>
      </w:r>
      <w:r w:rsidR="006F2CE3" w:rsidRPr="00C66550">
        <w:instrText xml:space="preserve"> REF _Ref349837964 \h </w:instrText>
      </w:r>
      <w:r w:rsidRPr="00C66550">
        <w:fldChar w:fldCharType="separate"/>
      </w:r>
      <w:r w:rsidR="00D96003" w:rsidRPr="00C66550">
        <w:t xml:space="preserve">Figure </w:t>
      </w:r>
      <w:r w:rsidR="00D96003">
        <w:rPr>
          <w:noProof/>
        </w:rPr>
        <w:t>13</w:t>
      </w:r>
      <w:r w:rsidRPr="00C66550">
        <w:fldChar w:fldCharType="end"/>
      </w:r>
      <w:r w:rsidR="006F2CE3" w:rsidRPr="00C66550">
        <w:t xml:space="preserve"> </w:t>
      </w:r>
      <w:r w:rsidR="000A4B59" w:rsidRPr="00C66550">
        <w:t xml:space="preserve">shows the trends in </w:t>
      </w:r>
      <w:r w:rsidR="003708E7" w:rsidRPr="00C66550">
        <w:rPr>
          <w:b/>
        </w:rPr>
        <w:t>per capita</w:t>
      </w:r>
      <w:r w:rsidR="003708E7" w:rsidRPr="00C66550">
        <w:t xml:space="preserve"> </w:t>
      </w:r>
      <w:r w:rsidR="000A4B59" w:rsidRPr="00C66550">
        <w:t>waste generation for each jurisdiction</w:t>
      </w:r>
      <w:r w:rsidR="006F2CE3" w:rsidRPr="00C66550">
        <w:t xml:space="preserve"> over the </w:t>
      </w:r>
      <w:r w:rsidR="00AA7EAD" w:rsidRPr="00C66550">
        <w:t>period</w:t>
      </w:r>
      <w:r w:rsidR="00AE2D3D" w:rsidRPr="00C66550">
        <w:rPr>
          <w:rStyle w:val="FootnoteReference"/>
        </w:rPr>
        <w:footnoteReference w:id="6"/>
      </w:r>
      <w:r w:rsidR="000A4B59" w:rsidRPr="00C66550">
        <w:t>.</w:t>
      </w:r>
      <w:r w:rsidR="00EB3F52" w:rsidRPr="00C66550">
        <w:t xml:space="preserve"> Some surprising trends are shown, especially for WA, </w:t>
      </w:r>
      <w:r w:rsidR="00DF4FB7">
        <w:t>Qld</w:t>
      </w:r>
      <w:r w:rsidR="00EB3F52" w:rsidRPr="00C66550">
        <w:t xml:space="preserve"> and the ACT. </w:t>
      </w:r>
      <w:r w:rsidR="001C33E2" w:rsidRPr="00C66550">
        <w:t xml:space="preserve">These may have a range of causes, including </w:t>
      </w:r>
      <w:r w:rsidR="004845CD" w:rsidRPr="00C66550">
        <w:t>variability</w:t>
      </w:r>
      <w:r w:rsidR="001C33E2" w:rsidRPr="00C66550">
        <w:t xml:space="preserve"> in rainfall and, potentially, data quality. It is noteworthy that </w:t>
      </w:r>
      <w:r w:rsidR="002740BE" w:rsidRPr="00C66550">
        <w:t>WA generat</w:t>
      </w:r>
      <w:r w:rsidR="001C33E2" w:rsidRPr="00C66550">
        <w:t>ed more waste</w:t>
      </w:r>
      <w:r w:rsidR="002740BE" w:rsidRPr="00C66550">
        <w:t xml:space="preserve"> per capita</w:t>
      </w:r>
      <w:r w:rsidR="001C33E2" w:rsidRPr="00C66550">
        <w:t xml:space="preserve"> than the other jurisdictions – this </w:t>
      </w:r>
      <w:r w:rsidR="00ED3850" w:rsidRPr="00C66550">
        <w:t>could</w:t>
      </w:r>
      <w:r w:rsidR="0083105E" w:rsidRPr="00C66550">
        <w:t xml:space="preserve"> be </w:t>
      </w:r>
      <w:r w:rsidR="00AE2D3D" w:rsidRPr="00C66550">
        <w:t>related to</w:t>
      </w:r>
      <w:r w:rsidR="0083105E" w:rsidRPr="00C66550">
        <w:t xml:space="preserve"> WA</w:t>
      </w:r>
      <w:r w:rsidR="00ED3850" w:rsidRPr="00C66550">
        <w:t>’s method of estimating</w:t>
      </w:r>
      <w:r w:rsidR="0083105E" w:rsidRPr="00C66550">
        <w:t xml:space="preserve"> </w:t>
      </w:r>
      <w:r w:rsidR="00ED3850" w:rsidRPr="00C66550">
        <w:t>landfill</w:t>
      </w:r>
      <w:r w:rsidR="0083105E" w:rsidRPr="00C66550">
        <w:t xml:space="preserve"> tonnage</w:t>
      </w:r>
      <w:r w:rsidR="00ED3850" w:rsidRPr="00C66550">
        <w:t>s</w:t>
      </w:r>
      <w:r w:rsidR="00AE2D3D" w:rsidRPr="00C66550">
        <w:t>,</w:t>
      </w:r>
      <w:r w:rsidR="00C70806" w:rsidRPr="00C66550">
        <w:t xml:space="preserve"> which is discussed in</w:t>
      </w:r>
      <w:r w:rsidR="002A28D8" w:rsidRPr="00C66550">
        <w:t xml:space="preserve"> section </w:t>
      </w:r>
      <w:r w:rsidRPr="00C66550">
        <w:fldChar w:fldCharType="begin"/>
      </w:r>
      <w:r w:rsidR="002A28D8" w:rsidRPr="00C66550">
        <w:instrText xml:space="preserve"> REF _Ref354675207 \r \h </w:instrText>
      </w:r>
      <w:r w:rsidRPr="00C66550">
        <w:fldChar w:fldCharType="separate"/>
      </w:r>
      <w:r w:rsidR="00D96003">
        <w:t>13</w:t>
      </w:r>
      <w:r w:rsidRPr="00C66550">
        <w:fldChar w:fldCharType="end"/>
      </w:r>
      <w:r w:rsidR="00C70806" w:rsidRPr="00C66550">
        <w:t>.</w:t>
      </w:r>
      <w:r w:rsidR="00E67E3A" w:rsidRPr="00C66550">
        <w:t xml:space="preserve"> </w:t>
      </w:r>
    </w:p>
    <w:p w:rsidR="001C33E2" w:rsidRPr="00C66550" w:rsidRDefault="001C33E2" w:rsidP="005B7AD2">
      <w:pPr>
        <w:pStyle w:val="BodyText"/>
      </w:pPr>
    </w:p>
    <w:p w:rsidR="004D2A1D" w:rsidRPr="00C66550" w:rsidRDefault="00AE2D3D" w:rsidP="005B7AD2">
      <w:pPr>
        <w:pStyle w:val="BodyText"/>
      </w:pPr>
      <w:r w:rsidRPr="00C66550">
        <w:t>Waste generation trends are</w:t>
      </w:r>
      <w:r w:rsidR="00AA7EAD" w:rsidRPr="00C66550">
        <w:t xml:space="preserve"> </w:t>
      </w:r>
      <w:r w:rsidR="00BC02DC" w:rsidRPr="00C66550">
        <w:t>analys</w:t>
      </w:r>
      <w:r w:rsidRPr="00C66550">
        <w:t>ed further</w:t>
      </w:r>
      <w:r w:rsidR="00BC02DC" w:rsidRPr="00C66550">
        <w:t xml:space="preserve"> in the</w:t>
      </w:r>
      <w:r w:rsidR="00EB3F52" w:rsidRPr="00C66550">
        <w:t xml:space="preserve"> sections of the report dedicated to each</w:t>
      </w:r>
      <w:r w:rsidR="00BC02DC" w:rsidRPr="00C66550">
        <w:t xml:space="preserve"> jurisdiction. </w:t>
      </w:r>
    </w:p>
    <w:p w:rsidR="005B7AD2" w:rsidRPr="00C66550" w:rsidRDefault="005B7AD2" w:rsidP="006F2CE3">
      <w:pPr>
        <w:pStyle w:val="BodyText"/>
      </w:pPr>
      <w:bookmarkStart w:id="65" w:name="_Ref348972623"/>
    </w:p>
    <w:p w:rsidR="00EE567B" w:rsidRPr="00C66550" w:rsidRDefault="00EE567B" w:rsidP="00FB4820">
      <w:pPr>
        <w:pStyle w:val="Figures"/>
      </w:pPr>
      <w:bookmarkStart w:id="66" w:name="_Ref349837964"/>
      <w:bookmarkStart w:id="67" w:name="_Toc365385022"/>
      <w:r w:rsidRPr="00C66550">
        <w:lastRenderedPageBreak/>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13</w:t>
      </w:r>
      <w:r w:rsidR="0062001A" w:rsidRPr="00C66550">
        <w:rPr>
          <w:noProof/>
        </w:rPr>
        <w:fldChar w:fldCharType="end"/>
      </w:r>
      <w:bookmarkEnd w:id="65"/>
      <w:bookmarkEnd w:id="66"/>
      <w:r w:rsidR="001B255A" w:rsidRPr="00C66550">
        <w:t>:</w:t>
      </w:r>
      <w:r w:rsidR="001B255A" w:rsidRPr="00C66550">
        <w:tab/>
      </w:r>
      <w:r w:rsidR="00081CFB" w:rsidRPr="00C66550">
        <w:t>T</w:t>
      </w:r>
      <w:r w:rsidRPr="00C66550">
        <w:t xml:space="preserve">rends in per capita </w:t>
      </w:r>
      <w:r w:rsidR="00414A02" w:rsidRPr="00C66550">
        <w:t>waste generation</w:t>
      </w:r>
      <w:r w:rsidR="00081CFB" w:rsidRPr="00C66550">
        <w:t xml:space="preserve"> by jurisdiction</w:t>
      </w:r>
      <w:r w:rsidR="00BC28E9" w:rsidRPr="00C66550">
        <w:t xml:space="preserve"> over the reporting period</w:t>
      </w:r>
      <w:bookmarkEnd w:id="67"/>
      <w:r w:rsidRPr="00C66550">
        <w:t xml:space="preserve"> </w:t>
      </w:r>
    </w:p>
    <w:p w:rsidR="005801C4" w:rsidRPr="00C66550" w:rsidRDefault="008A0297" w:rsidP="00FB4820">
      <w:pPr>
        <w:pStyle w:val="Figures"/>
      </w:pPr>
      <w:r w:rsidRPr="00C66550">
        <w:rPr>
          <w:noProof/>
          <w:lang w:eastAsia="en-AU"/>
        </w:rPr>
        <w:drawing>
          <wp:anchor distT="0" distB="0" distL="114300" distR="114300" simplePos="0" relativeHeight="251862016" behindDoc="0" locked="0" layoutInCell="1" allowOverlap="1">
            <wp:simplePos x="0" y="0"/>
            <wp:positionH relativeFrom="column">
              <wp:posOffset>381635</wp:posOffset>
            </wp:positionH>
            <wp:positionV relativeFrom="paragraph">
              <wp:posOffset>128270</wp:posOffset>
            </wp:positionV>
            <wp:extent cx="4714240" cy="263779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14240" cy="2637790"/>
                    </a:xfrm>
                    <a:prstGeom prst="rect">
                      <a:avLst/>
                    </a:prstGeom>
                  </pic:spPr>
                </pic:pic>
              </a:graphicData>
            </a:graphic>
          </wp:anchor>
        </w:drawing>
      </w:r>
    </w:p>
    <w:p w:rsidR="00F91F8F" w:rsidRPr="00C66550" w:rsidRDefault="00FC2D1C" w:rsidP="0060479A">
      <w:pPr>
        <w:pStyle w:val="Monkey2"/>
      </w:pPr>
      <w:r>
        <w:t>R</w:t>
      </w:r>
      <w:r w:rsidR="00420DBF" w:rsidRPr="00C66550">
        <w:t>elies on interpolation for all jurisdictions (07/08) and NSW (09/10).</w:t>
      </w:r>
    </w:p>
    <w:p w:rsidR="007E0F05" w:rsidRPr="00C66550" w:rsidRDefault="007E0F05">
      <w:pPr>
        <w:spacing w:line="240" w:lineRule="auto"/>
        <w:rPr>
          <w:noProof/>
          <w:lang w:eastAsia="en-AU"/>
        </w:rPr>
      </w:pPr>
    </w:p>
    <w:p w:rsidR="007E0F05" w:rsidRPr="00C66550" w:rsidRDefault="0062001A" w:rsidP="007E0F05">
      <w:pPr>
        <w:pStyle w:val="BodyText"/>
        <w:spacing w:before="120"/>
      </w:pPr>
      <w:r w:rsidRPr="00C66550">
        <w:fldChar w:fldCharType="begin"/>
      </w:r>
      <w:r w:rsidR="007E0F05" w:rsidRPr="00C66550">
        <w:instrText xml:space="preserve"> REF _Ref360788867 \h </w:instrText>
      </w:r>
      <w:r w:rsidRPr="00C66550">
        <w:fldChar w:fldCharType="separate"/>
      </w:r>
      <w:r w:rsidR="00D96003" w:rsidRPr="00C66550">
        <w:t xml:space="preserve">Table </w:t>
      </w:r>
      <w:r w:rsidR="00D96003">
        <w:rPr>
          <w:noProof/>
        </w:rPr>
        <w:t>2</w:t>
      </w:r>
      <w:r w:rsidRPr="00C66550">
        <w:fldChar w:fldCharType="end"/>
      </w:r>
      <w:r w:rsidR="007E0F05" w:rsidRPr="00C66550">
        <w:t xml:space="preserve"> provides a summary of the per capita change in the reporting parameters for each jurisdiction between 2006/07 and 2010/11 (for </w:t>
      </w:r>
      <w:r w:rsidR="00DF4FB7">
        <w:t>Qld</w:t>
      </w:r>
      <w:r w:rsidR="007E0F05" w:rsidRPr="00C66550">
        <w:t>, between 2008/09 and 2011/12).</w:t>
      </w:r>
    </w:p>
    <w:p w:rsidR="007E0F05" w:rsidRPr="00C66550" w:rsidRDefault="007E0F05" w:rsidP="007E0F05">
      <w:pPr>
        <w:pStyle w:val="Figures"/>
        <w:spacing w:after="120"/>
      </w:pPr>
    </w:p>
    <w:p w:rsidR="007E0F05" w:rsidRPr="00C66550" w:rsidRDefault="007E0F05" w:rsidP="007E0F05">
      <w:pPr>
        <w:pStyle w:val="Figures"/>
      </w:pPr>
      <w:bookmarkStart w:id="68" w:name="_Ref360788867"/>
      <w:bookmarkStart w:id="69" w:name="_Toc308623316"/>
      <w:bookmarkStart w:id="70" w:name="_Toc365038846"/>
      <w:r w:rsidRPr="00C66550">
        <w:t xml:space="preserve">Table </w:t>
      </w:r>
      <w:r w:rsidR="0062001A">
        <w:fldChar w:fldCharType="begin"/>
      </w:r>
      <w:r w:rsidR="00D30041">
        <w:instrText xml:space="preserve"> SEQ Table \* ARABIC </w:instrText>
      </w:r>
      <w:r w:rsidR="0062001A">
        <w:fldChar w:fldCharType="separate"/>
      </w:r>
      <w:r w:rsidR="00D96003">
        <w:rPr>
          <w:noProof/>
        </w:rPr>
        <w:t>2</w:t>
      </w:r>
      <w:r w:rsidR="0062001A">
        <w:rPr>
          <w:noProof/>
        </w:rPr>
        <w:fldChar w:fldCharType="end"/>
      </w:r>
      <w:bookmarkEnd w:id="68"/>
      <w:r w:rsidRPr="00C66550">
        <w:t xml:space="preserve">: </w:t>
      </w:r>
      <w:bookmarkEnd w:id="69"/>
      <w:r w:rsidRPr="00C66550">
        <w:tab/>
        <w:t>Change in per capita data by jurisdiction</w:t>
      </w:r>
      <w:r w:rsidR="00BC28E9" w:rsidRPr="00C66550">
        <w:t xml:space="preserve"> over the reporting period</w:t>
      </w:r>
      <w:r w:rsidRPr="00C66550">
        <w:t xml:space="preserve"> (excluding fly ash)</w:t>
      </w:r>
      <w:bookmarkEnd w:id="70"/>
    </w:p>
    <w:tbl>
      <w:tblPr>
        <w:tblStyle w:val="BETable1"/>
        <w:tblW w:w="4917" w:type="pct"/>
        <w:jc w:val="center"/>
        <w:tblInd w:w="-2223" w:type="dxa"/>
        <w:tblLook w:val="04A0"/>
      </w:tblPr>
      <w:tblGrid>
        <w:gridCol w:w="2660"/>
        <w:gridCol w:w="726"/>
        <w:gridCol w:w="947"/>
        <w:gridCol w:w="780"/>
        <w:gridCol w:w="793"/>
        <w:gridCol w:w="674"/>
        <w:gridCol w:w="832"/>
        <w:gridCol w:w="717"/>
        <w:gridCol w:w="859"/>
      </w:tblGrid>
      <w:tr w:rsidR="00435814" w:rsidRPr="00D77851" w:rsidTr="00493639">
        <w:trPr>
          <w:cnfStyle w:val="100000000000"/>
          <w:jc w:val="center"/>
        </w:trPr>
        <w:tc>
          <w:tcPr>
            <w:cnfStyle w:val="001000000000"/>
            <w:tcW w:w="1480" w:type="pct"/>
            <w:tcBorders>
              <w:bottom w:val="single" w:sz="4" w:space="0" w:color="7F7F7F" w:themeColor="background2"/>
            </w:tcBorders>
          </w:tcPr>
          <w:p w:rsidR="00435814" w:rsidRPr="00D77851" w:rsidRDefault="00435814" w:rsidP="00591B74">
            <w:pPr>
              <w:jc w:val="right"/>
              <w:rPr>
                <w:szCs w:val="20"/>
              </w:rPr>
            </w:pPr>
            <w:r w:rsidRPr="00D77851">
              <w:rPr>
                <w:szCs w:val="20"/>
              </w:rPr>
              <w:t> </w:t>
            </w:r>
          </w:p>
        </w:tc>
        <w:tc>
          <w:tcPr>
            <w:tcW w:w="404" w:type="pct"/>
            <w:tcBorders>
              <w:bottom w:val="single" w:sz="4" w:space="0" w:color="7F7F7F" w:themeColor="background2"/>
            </w:tcBorders>
          </w:tcPr>
          <w:p w:rsidR="00435814" w:rsidRPr="00D77851" w:rsidRDefault="00435814" w:rsidP="00591B74">
            <w:pPr>
              <w:jc w:val="center"/>
              <w:cnfStyle w:val="100000000000"/>
              <w:rPr>
                <w:szCs w:val="20"/>
              </w:rPr>
            </w:pPr>
            <w:r w:rsidRPr="00D77851">
              <w:rPr>
                <w:szCs w:val="20"/>
              </w:rPr>
              <w:t>ACT</w:t>
            </w:r>
          </w:p>
        </w:tc>
        <w:tc>
          <w:tcPr>
            <w:tcW w:w="527" w:type="pct"/>
            <w:tcBorders>
              <w:bottom w:val="single" w:sz="4" w:space="0" w:color="7F7F7F" w:themeColor="background2"/>
            </w:tcBorders>
          </w:tcPr>
          <w:p w:rsidR="00435814" w:rsidRPr="00D77851" w:rsidRDefault="00435814" w:rsidP="00591B74">
            <w:pPr>
              <w:jc w:val="center"/>
              <w:cnfStyle w:val="100000000000"/>
              <w:rPr>
                <w:szCs w:val="20"/>
              </w:rPr>
            </w:pPr>
            <w:r w:rsidRPr="00D77851">
              <w:rPr>
                <w:szCs w:val="20"/>
              </w:rPr>
              <w:t>NSW</w:t>
            </w:r>
          </w:p>
        </w:tc>
        <w:tc>
          <w:tcPr>
            <w:tcW w:w="434" w:type="pct"/>
            <w:tcBorders>
              <w:bottom w:val="single" w:sz="4" w:space="0" w:color="7F7F7F" w:themeColor="background2"/>
            </w:tcBorders>
          </w:tcPr>
          <w:p w:rsidR="00435814" w:rsidRPr="00D77851" w:rsidRDefault="00435814" w:rsidP="00591B74">
            <w:pPr>
              <w:jc w:val="center"/>
              <w:cnfStyle w:val="100000000000"/>
              <w:rPr>
                <w:szCs w:val="20"/>
              </w:rPr>
            </w:pPr>
            <w:r w:rsidRPr="00D77851">
              <w:rPr>
                <w:szCs w:val="20"/>
              </w:rPr>
              <w:t>Qld</w:t>
            </w:r>
          </w:p>
        </w:tc>
        <w:tc>
          <w:tcPr>
            <w:tcW w:w="441" w:type="pct"/>
            <w:tcBorders>
              <w:bottom w:val="single" w:sz="4" w:space="0" w:color="7F7F7F" w:themeColor="background2"/>
            </w:tcBorders>
          </w:tcPr>
          <w:p w:rsidR="00435814" w:rsidRPr="00D77851" w:rsidRDefault="00435814" w:rsidP="00591B74">
            <w:pPr>
              <w:jc w:val="center"/>
              <w:cnfStyle w:val="100000000000"/>
              <w:rPr>
                <w:szCs w:val="20"/>
              </w:rPr>
            </w:pPr>
            <w:r w:rsidRPr="00D77851">
              <w:rPr>
                <w:szCs w:val="20"/>
              </w:rPr>
              <w:t>SA</w:t>
            </w:r>
          </w:p>
        </w:tc>
        <w:tc>
          <w:tcPr>
            <w:tcW w:w="375" w:type="pct"/>
            <w:tcBorders>
              <w:bottom w:val="single" w:sz="4" w:space="0" w:color="7F7F7F" w:themeColor="background2"/>
            </w:tcBorders>
          </w:tcPr>
          <w:p w:rsidR="00435814" w:rsidRPr="00D77851" w:rsidRDefault="00435814" w:rsidP="00591B74">
            <w:pPr>
              <w:jc w:val="center"/>
              <w:cnfStyle w:val="100000000000"/>
              <w:rPr>
                <w:szCs w:val="20"/>
              </w:rPr>
            </w:pPr>
            <w:r w:rsidRPr="00D77851">
              <w:rPr>
                <w:szCs w:val="20"/>
              </w:rPr>
              <w:t>Tas</w:t>
            </w:r>
          </w:p>
        </w:tc>
        <w:tc>
          <w:tcPr>
            <w:tcW w:w="463" w:type="pct"/>
            <w:tcBorders>
              <w:bottom w:val="single" w:sz="4" w:space="0" w:color="7F7F7F" w:themeColor="background2"/>
            </w:tcBorders>
          </w:tcPr>
          <w:p w:rsidR="00435814" w:rsidRPr="00D77851" w:rsidRDefault="00435814" w:rsidP="00591B74">
            <w:pPr>
              <w:jc w:val="center"/>
              <w:cnfStyle w:val="100000000000"/>
              <w:rPr>
                <w:szCs w:val="20"/>
              </w:rPr>
            </w:pPr>
            <w:r w:rsidRPr="00D77851">
              <w:rPr>
                <w:szCs w:val="20"/>
              </w:rPr>
              <w:t>Vic</w:t>
            </w:r>
          </w:p>
        </w:tc>
        <w:tc>
          <w:tcPr>
            <w:tcW w:w="399" w:type="pct"/>
            <w:tcBorders>
              <w:bottom w:val="single" w:sz="4" w:space="0" w:color="7F7F7F" w:themeColor="background2"/>
            </w:tcBorders>
          </w:tcPr>
          <w:p w:rsidR="00435814" w:rsidRPr="00D77851" w:rsidRDefault="00435814" w:rsidP="00591B74">
            <w:pPr>
              <w:jc w:val="center"/>
              <w:cnfStyle w:val="100000000000"/>
              <w:rPr>
                <w:szCs w:val="20"/>
              </w:rPr>
            </w:pPr>
            <w:r w:rsidRPr="00D77851">
              <w:rPr>
                <w:szCs w:val="20"/>
              </w:rPr>
              <w:t>WA</w:t>
            </w:r>
          </w:p>
        </w:tc>
        <w:tc>
          <w:tcPr>
            <w:tcW w:w="478" w:type="pct"/>
            <w:tcBorders>
              <w:bottom w:val="single" w:sz="4" w:space="0" w:color="7F7F7F" w:themeColor="background2"/>
            </w:tcBorders>
          </w:tcPr>
          <w:p w:rsidR="00435814" w:rsidRPr="00D77851" w:rsidRDefault="00435814" w:rsidP="00591B74">
            <w:pPr>
              <w:jc w:val="center"/>
              <w:cnfStyle w:val="100000000000"/>
              <w:rPr>
                <w:bCs/>
                <w:szCs w:val="20"/>
              </w:rPr>
            </w:pPr>
            <w:r w:rsidRPr="00D77851">
              <w:rPr>
                <w:bCs/>
                <w:szCs w:val="20"/>
              </w:rPr>
              <w:t>Australia</w:t>
            </w:r>
          </w:p>
        </w:tc>
      </w:tr>
      <w:tr w:rsidR="00435814" w:rsidRPr="00D77851" w:rsidTr="00493639">
        <w:trPr>
          <w:jc w:val="center"/>
        </w:trPr>
        <w:tc>
          <w:tcPr>
            <w:cnfStyle w:val="001000000000"/>
            <w:tcW w:w="1480" w:type="pct"/>
            <w:tcBorders>
              <w:bottom w:val="nil"/>
            </w:tcBorders>
          </w:tcPr>
          <w:p w:rsidR="00435814" w:rsidRPr="00D77851" w:rsidRDefault="00435814" w:rsidP="00591B74">
            <w:pPr>
              <w:rPr>
                <w:b/>
                <w:szCs w:val="20"/>
              </w:rPr>
            </w:pPr>
            <w:r w:rsidRPr="00D77851">
              <w:rPr>
                <w:b/>
                <w:szCs w:val="20"/>
              </w:rPr>
              <w:t>Disposal</w:t>
            </w:r>
          </w:p>
        </w:tc>
        <w:tc>
          <w:tcPr>
            <w:tcW w:w="404" w:type="pct"/>
            <w:tcBorders>
              <w:bottom w:val="nil"/>
            </w:tcBorders>
          </w:tcPr>
          <w:p w:rsidR="00435814" w:rsidRPr="00D77851" w:rsidRDefault="00435814" w:rsidP="00591B74">
            <w:pPr>
              <w:jc w:val="right"/>
              <w:cnfStyle w:val="000000000000"/>
              <w:rPr>
                <w:szCs w:val="20"/>
              </w:rPr>
            </w:pPr>
            <w:r w:rsidRPr="00D77851">
              <w:rPr>
                <w:szCs w:val="20"/>
              </w:rPr>
              <w:t>16%</w:t>
            </w:r>
          </w:p>
        </w:tc>
        <w:tc>
          <w:tcPr>
            <w:tcW w:w="527" w:type="pct"/>
            <w:tcBorders>
              <w:bottom w:val="nil"/>
            </w:tcBorders>
          </w:tcPr>
          <w:p w:rsidR="00435814" w:rsidRPr="00D77851" w:rsidRDefault="00435814" w:rsidP="00591B74">
            <w:pPr>
              <w:jc w:val="right"/>
              <w:cnfStyle w:val="000000000000"/>
              <w:rPr>
                <w:szCs w:val="20"/>
              </w:rPr>
            </w:pPr>
            <w:r w:rsidRPr="00D77851">
              <w:rPr>
                <w:szCs w:val="20"/>
              </w:rPr>
              <w:t>-19%</w:t>
            </w:r>
          </w:p>
        </w:tc>
        <w:tc>
          <w:tcPr>
            <w:tcW w:w="434" w:type="pct"/>
            <w:tcBorders>
              <w:bottom w:val="nil"/>
            </w:tcBorders>
          </w:tcPr>
          <w:p w:rsidR="00435814" w:rsidRPr="00D77851" w:rsidRDefault="00435814" w:rsidP="00591B74">
            <w:pPr>
              <w:jc w:val="right"/>
              <w:cnfStyle w:val="000000000000"/>
              <w:rPr>
                <w:szCs w:val="20"/>
              </w:rPr>
            </w:pPr>
            <w:r w:rsidRPr="00D77851">
              <w:rPr>
                <w:szCs w:val="20"/>
              </w:rPr>
              <w:t>-10%</w:t>
            </w:r>
          </w:p>
        </w:tc>
        <w:tc>
          <w:tcPr>
            <w:tcW w:w="441" w:type="pct"/>
            <w:tcBorders>
              <w:bottom w:val="nil"/>
            </w:tcBorders>
          </w:tcPr>
          <w:p w:rsidR="00435814" w:rsidRPr="00D77851" w:rsidRDefault="00435814" w:rsidP="00591B74">
            <w:pPr>
              <w:jc w:val="right"/>
              <w:cnfStyle w:val="000000000000"/>
              <w:rPr>
                <w:szCs w:val="20"/>
              </w:rPr>
            </w:pPr>
            <w:r w:rsidRPr="00D77851">
              <w:rPr>
                <w:szCs w:val="20"/>
              </w:rPr>
              <w:t>-16%</w:t>
            </w:r>
          </w:p>
        </w:tc>
        <w:tc>
          <w:tcPr>
            <w:tcW w:w="375" w:type="pct"/>
            <w:tcBorders>
              <w:bottom w:val="nil"/>
            </w:tcBorders>
          </w:tcPr>
          <w:p w:rsidR="00435814" w:rsidRPr="00D77851" w:rsidRDefault="00435814" w:rsidP="00591B74">
            <w:pPr>
              <w:jc w:val="right"/>
              <w:cnfStyle w:val="000000000000"/>
              <w:rPr>
                <w:szCs w:val="20"/>
              </w:rPr>
            </w:pPr>
            <w:r w:rsidRPr="00D77851">
              <w:rPr>
                <w:szCs w:val="20"/>
              </w:rPr>
              <w:t>-5%</w:t>
            </w:r>
          </w:p>
        </w:tc>
        <w:tc>
          <w:tcPr>
            <w:tcW w:w="463" w:type="pct"/>
            <w:tcBorders>
              <w:bottom w:val="nil"/>
            </w:tcBorders>
          </w:tcPr>
          <w:p w:rsidR="00435814" w:rsidRPr="00D77851" w:rsidRDefault="00435814" w:rsidP="00591B74">
            <w:pPr>
              <w:jc w:val="right"/>
              <w:cnfStyle w:val="000000000000"/>
              <w:rPr>
                <w:szCs w:val="20"/>
              </w:rPr>
            </w:pPr>
            <w:r w:rsidRPr="00D77851">
              <w:rPr>
                <w:szCs w:val="20"/>
              </w:rPr>
              <w:t>-13%</w:t>
            </w:r>
          </w:p>
        </w:tc>
        <w:tc>
          <w:tcPr>
            <w:tcW w:w="399" w:type="pct"/>
            <w:tcBorders>
              <w:bottom w:val="nil"/>
            </w:tcBorders>
          </w:tcPr>
          <w:p w:rsidR="00435814" w:rsidRPr="00D77851" w:rsidRDefault="00435814" w:rsidP="00591B74">
            <w:pPr>
              <w:jc w:val="right"/>
              <w:cnfStyle w:val="000000000000"/>
              <w:rPr>
                <w:szCs w:val="20"/>
              </w:rPr>
            </w:pPr>
            <w:r w:rsidRPr="00D77851">
              <w:rPr>
                <w:szCs w:val="20"/>
              </w:rPr>
              <w:t>-12%</w:t>
            </w:r>
          </w:p>
        </w:tc>
        <w:tc>
          <w:tcPr>
            <w:tcW w:w="478" w:type="pct"/>
            <w:tcBorders>
              <w:bottom w:val="nil"/>
            </w:tcBorders>
          </w:tcPr>
          <w:p w:rsidR="00435814" w:rsidRPr="00D77851" w:rsidRDefault="00435814" w:rsidP="00591B74">
            <w:pPr>
              <w:jc w:val="right"/>
              <w:cnfStyle w:val="000000000000"/>
              <w:rPr>
                <w:b/>
                <w:bCs/>
                <w:szCs w:val="20"/>
              </w:rPr>
            </w:pPr>
            <w:r w:rsidRPr="00D77851">
              <w:rPr>
                <w:b/>
                <w:bCs/>
                <w:szCs w:val="20"/>
              </w:rPr>
              <w:t>-15%</w:t>
            </w:r>
          </w:p>
        </w:tc>
      </w:tr>
      <w:tr w:rsidR="00435814" w:rsidRPr="00D77851" w:rsidTr="00493639">
        <w:trPr>
          <w:jc w:val="center"/>
        </w:trPr>
        <w:tc>
          <w:tcPr>
            <w:cnfStyle w:val="001000000000"/>
            <w:tcW w:w="1480" w:type="pct"/>
            <w:tcBorders>
              <w:top w:val="nil"/>
              <w:bottom w:val="nil"/>
            </w:tcBorders>
          </w:tcPr>
          <w:p w:rsidR="00435814" w:rsidRPr="00D77851" w:rsidRDefault="00435814" w:rsidP="00591B74">
            <w:pPr>
              <w:rPr>
                <w:b/>
                <w:szCs w:val="20"/>
              </w:rPr>
            </w:pPr>
            <w:r w:rsidRPr="00D77851">
              <w:rPr>
                <w:b/>
                <w:szCs w:val="20"/>
              </w:rPr>
              <w:t>Recycling</w:t>
            </w:r>
          </w:p>
        </w:tc>
        <w:tc>
          <w:tcPr>
            <w:tcW w:w="404" w:type="pct"/>
            <w:tcBorders>
              <w:top w:val="nil"/>
              <w:bottom w:val="nil"/>
            </w:tcBorders>
          </w:tcPr>
          <w:p w:rsidR="00435814" w:rsidRPr="00D77851" w:rsidRDefault="00435814" w:rsidP="00591B74">
            <w:pPr>
              <w:jc w:val="right"/>
              <w:cnfStyle w:val="000000000000"/>
              <w:rPr>
                <w:szCs w:val="20"/>
              </w:rPr>
            </w:pPr>
            <w:r w:rsidRPr="00D77851">
              <w:rPr>
                <w:szCs w:val="20"/>
              </w:rPr>
              <w:t>21%</w:t>
            </w:r>
          </w:p>
        </w:tc>
        <w:tc>
          <w:tcPr>
            <w:tcW w:w="527" w:type="pct"/>
            <w:tcBorders>
              <w:top w:val="nil"/>
              <w:bottom w:val="nil"/>
            </w:tcBorders>
          </w:tcPr>
          <w:p w:rsidR="00435814" w:rsidRPr="00D77851" w:rsidRDefault="00435814" w:rsidP="00591B74">
            <w:pPr>
              <w:jc w:val="right"/>
              <w:cnfStyle w:val="000000000000"/>
              <w:rPr>
                <w:szCs w:val="20"/>
              </w:rPr>
            </w:pPr>
            <w:r w:rsidRPr="00D77851">
              <w:rPr>
                <w:szCs w:val="20"/>
              </w:rPr>
              <w:t>28%</w:t>
            </w:r>
          </w:p>
        </w:tc>
        <w:tc>
          <w:tcPr>
            <w:tcW w:w="434" w:type="pct"/>
            <w:tcBorders>
              <w:top w:val="nil"/>
              <w:bottom w:val="nil"/>
            </w:tcBorders>
          </w:tcPr>
          <w:p w:rsidR="00435814" w:rsidRPr="00D77851" w:rsidRDefault="00435814" w:rsidP="00591B74">
            <w:pPr>
              <w:jc w:val="right"/>
              <w:cnfStyle w:val="000000000000"/>
              <w:rPr>
                <w:szCs w:val="20"/>
              </w:rPr>
            </w:pPr>
            <w:r w:rsidRPr="00D77851">
              <w:rPr>
                <w:szCs w:val="20"/>
              </w:rPr>
              <w:t>-20%</w:t>
            </w:r>
          </w:p>
        </w:tc>
        <w:tc>
          <w:tcPr>
            <w:tcW w:w="441" w:type="pct"/>
            <w:tcBorders>
              <w:top w:val="nil"/>
              <w:bottom w:val="nil"/>
            </w:tcBorders>
          </w:tcPr>
          <w:p w:rsidR="00435814" w:rsidRPr="00D77851" w:rsidRDefault="00435814" w:rsidP="00591B74">
            <w:pPr>
              <w:jc w:val="right"/>
              <w:cnfStyle w:val="000000000000"/>
              <w:rPr>
                <w:szCs w:val="20"/>
              </w:rPr>
            </w:pPr>
            <w:r w:rsidRPr="00D77851">
              <w:rPr>
                <w:szCs w:val="20"/>
              </w:rPr>
              <w:t>31%</w:t>
            </w:r>
          </w:p>
        </w:tc>
        <w:tc>
          <w:tcPr>
            <w:tcW w:w="375" w:type="pct"/>
            <w:tcBorders>
              <w:top w:val="nil"/>
              <w:bottom w:val="nil"/>
            </w:tcBorders>
          </w:tcPr>
          <w:p w:rsidR="00435814" w:rsidRPr="00D77851" w:rsidRDefault="00435814" w:rsidP="00591B74">
            <w:pPr>
              <w:jc w:val="right"/>
              <w:cnfStyle w:val="000000000000"/>
              <w:rPr>
                <w:szCs w:val="20"/>
              </w:rPr>
            </w:pPr>
            <w:r w:rsidRPr="00D77851">
              <w:rPr>
                <w:szCs w:val="20"/>
              </w:rPr>
              <w:t>89%</w:t>
            </w:r>
          </w:p>
        </w:tc>
        <w:tc>
          <w:tcPr>
            <w:tcW w:w="463" w:type="pct"/>
            <w:tcBorders>
              <w:top w:val="nil"/>
              <w:bottom w:val="nil"/>
            </w:tcBorders>
          </w:tcPr>
          <w:p w:rsidR="00435814" w:rsidRPr="00D77851" w:rsidRDefault="00435814" w:rsidP="00591B74">
            <w:pPr>
              <w:jc w:val="right"/>
              <w:cnfStyle w:val="000000000000"/>
              <w:rPr>
                <w:szCs w:val="20"/>
              </w:rPr>
            </w:pPr>
            <w:r w:rsidRPr="00D77851">
              <w:rPr>
                <w:szCs w:val="20"/>
              </w:rPr>
              <w:t>15%</w:t>
            </w:r>
          </w:p>
        </w:tc>
        <w:tc>
          <w:tcPr>
            <w:tcW w:w="399" w:type="pct"/>
            <w:tcBorders>
              <w:top w:val="nil"/>
              <w:bottom w:val="nil"/>
            </w:tcBorders>
          </w:tcPr>
          <w:p w:rsidR="00435814" w:rsidRPr="00D77851" w:rsidRDefault="00435814" w:rsidP="00591B74">
            <w:pPr>
              <w:jc w:val="right"/>
              <w:cnfStyle w:val="000000000000"/>
              <w:rPr>
                <w:szCs w:val="20"/>
              </w:rPr>
            </w:pPr>
            <w:r w:rsidRPr="00D77851">
              <w:rPr>
                <w:szCs w:val="20"/>
              </w:rPr>
              <w:t>29%</w:t>
            </w:r>
          </w:p>
        </w:tc>
        <w:tc>
          <w:tcPr>
            <w:tcW w:w="478" w:type="pct"/>
            <w:tcBorders>
              <w:top w:val="nil"/>
              <w:bottom w:val="nil"/>
            </w:tcBorders>
          </w:tcPr>
          <w:p w:rsidR="00435814" w:rsidRPr="00D77851" w:rsidRDefault="00435814" w:rsidP="00591B74">
            <w:pPr>
              <w:jc w:val="right"/>
              <w:cnfStyle w:val="000000000000"/>
              <w:rPr>
                <w:b/>
                <w:bCs/>
                <w:szCs w:val="20"/>
              </w:rPr>
            </w:pPr>
            <w:r w:rsidRPr="00D77851">
              <w:rPr>
                <w:b/>
                <w:bCs/>
                <w:szCs w:val="20"/>
              </w:rPr>
              <w:t>20%</w:t>
            </w:r>
          </w:p>
        </w:tc>
      </w:tr>
      <w:tr w:rsidR="00435814" w:rsidRPr="00D77851" w:rsidTr="00493639">
        <w:trPr>
          <w:jc w:val="center"/>
        </w:trPr>
        <w:tc>
          <w:tcPr>
            <w:cnfStyle w:val="001000000000"/>
            <w:tcW w:w="1480" w:type="pct"/>
            <w:tcBorders>
              <w:top w:val="nil"/>
              <w:bottom w:val="nil"/>
            </w:tcBorders>
          </w:tcPr>
          <w:p w:rsidR="00435814" w:rsidRPr="00D77851" w:rsidRDefault="00435814" w:rsidP="00591B74">
            <w:pPr>
              <w:rPr>
                <w:b/>
                <w:szCs w:val="20"/>
              </w:rPr>
            </w:pPr>
            <w:r w:rsidRPr="00D77851">
              <w:rPr>
                <w:b/>
                <w:szCs w:val="20"/>
              </w:rPr>
              <w:t>Energy recovery</w:t>
            </w:r>
          </w:p>
        </w:tc>
        <w:tc>
          <w:tcPr>
            <w:tcW w:w="404" w:type="pct"/>
            <w:tcBorders>
              <w:top w:val="nil"/>
              <w:bottom w:val="nil"/>
            </w:tcBorders>
          </w:tcPr>
          <w:p w:rsidR="00435814" w:rsidRPr="00D77851" w:rsidRDefault="00435814" w:rsidP="00591B74">
            <w:pPr>
              <w:jc w:val="right"/>
              <w:cnfStyle w:val="000000000000"/>
              <w:rPr>
                <w:szCs w:val="20"/>
              </w:rPr>
            </w:pPr>
            <w:r w:rsidRPr="00D77851">
              <w:rPr>
                <w:szCs w:val="20"/>
              </w:rPr>
              <w:t>-23%</w:t>
            </w:r>
          </w:p>
        </w:tc>
        <w:tc>
          <w:tcPr>
            <w:tcW w:w="527" w:type="pct"/>
            <w:tcBorders>
              <w:top w:val="nil"/>
              <w:bottom w:val="nil"/>
            </w:tcBorders>
          </w:tcPr>
          <w:p w:rsidR="00435814" w:rsidRPr="00D77851" w:rsidRDefault="00435814" w:rsidP="00591B74">
            <w:pPr>
              <w:jc w:val="right"/>
              <w:cnfStyle w:val="000000000000"/>
              <w:rPr>
                <w:szCs w:val="20"/>
              </w:rPr>
            </w:pPr>
            <w:r w:rsidRPr="00D77851">
              <w:rPr>
                <w:szCs w:val="20"/>
              </w:rPr>
              <w:t>31%</w:t>
            </w:r>
          </w:p>
        </w:tc>
        <w:tc>
          <w:tcPr>
            <w:tcW w:w="434" w:type="pct"/>
            <w:tcBorders>
              <w:top w:val="nil"/>
              <w:bottom w:val="nil"/>
            </w:tcBorders>
          </w:tcPr>
          <w:p w:rsidR="00435814" w:rsidRPr="00D77851" w:rsidRDefault="00435814" w:rsidP="00591B74">
            <w:pPr>
              <w:jc w:val="right"/>
              <w:cnfStyle w:val="000000000000"/>
              <w:rPr>
                <w:szCs w:val="20"/>
              </w:rPr>
            </w:pPr>
            <w:r w:rsidRPr="00D77851">
              <w:rPr>
                <w:szCs w:val="20"/>
              </w:rPr>
              <w:t>0%</w:t>
            </w:r>
          </w:p>
        </w:tc>
        <w:tc>
          <w:tcPr>
            <w:tcW w:w="441" w:type="pct"/>
            <w:tcBorders>
              <w:top w:val="nil"/>
              <w:bottom w:val="nil"/>
            </w:tcBorders>
          </w:tcPr>
          <w:p w:rsidR="00435814" w:rsidRPr="00D77851" w:rsidRDefault="00435814" w:rsidP="00591B74">
            <w:pPr>
              <w:jc w:val="right"/>
              <w:cnfStyle w:val="000000000000"/>
              <w:rPr>
                <w:szCs w:val="20"/>
              </w:rPr>
            </w:pPr>
            <w:r w:rsidRPr="00D77851">
              <w:rPr>
                <w:szCs w:val="20"/>
              </w:rPr>
              <w:t>26%</w:t>
            </w:r>
          </w:p>
        </w:tc>
        <w:tc>
          <w:tcPr>
            <w:tcW w:w="375" w:type="pct"/>
            <w:tcBorders>
              <w:top w:val="nil"/>
              <w:bottom w:val="nil"/>
            </w:tcBorders>
          </w:tcPr>
          <w:p w:rsidR="00435814" w:rsidRPr="00D77851" w:rsidRDefault="00435814" w:rsidP="00591B74">
            <w:pPr>
              <w:jc w:val="right"/>
              <w:cnfStyle w:val="000000000000"/>
              <w:rPr>
                <w:szCs w:val="20"/>
              </w:rPr>
            </w:pPr>
            <w:r w:rsidRPr="00D77851">
              <w:rPr>
                <w:szCs w:val="20"/>
              </w:rPr>
              <w:t>5%</w:t>
            </w:r>
          </w:p>
        </w:tc>
        <w:tc>
          <w:tcPr>
            <w:tcW w:w="463" w:type="pct"/>
            <w:tcBorders>
              <w:top w:val="nil"/>
              <w:bottom w:val="nil"/>
            </w:tcBorders>
          </w:tcPr>
          <w:p w:rsidR="00435814" w:rsidRPr="00D77851" w:rsidRDefault="00435814" w:rsidP="00591B74">
            <w:pPr>
              <w:jc w:val="right"/>
              <w:cnfStyle w:val="000000000000"/>
              <w:rPr>
                <w:szCs w:val="20"/>
              </w:rPr>
            </w:pPr>
            <w:r w:rsidRPr="00D77851">
              <w:rPr>
                <w:szCs w:val="20"/>
              </w:rPr>
              <w:t>9%</w:t>
            </w:r>
          </w:p>
        </w:tc>
        <w:tc>
          <w:tcPr>
            <w:tcW w:w="399" w:type="pct"/>
            <w:tcBorders>
              <w:top w:val="nil"/>
              <w:bottom w:val="nil"/>
            </w:tcBorders>
          </w:tcPr>
          <w:p w:rsidR="00435814" w:rsidRPr="00D77851" w:rsidRDefault="00435814" w:rsidP="00591B74">
            <w:pPr>
              <w:jc w:val="right"/>
              <w:cnfStyle w:val="000000000000"/>
              <w:rPr>
                <w:szCs w:val="20"/>
              </w:rPr>
            </w:pPr>
            <w:r w:rsidRPr="00D77851">
              <w:rPr>
                <w:szCs w:val="20"/>
              </w:rPr>
              <w:t>-28%</w:t>
            </w:r>
          </w:p>
        </w:tc>
        <w:tc>
          <w:tcPr>
            <w:tcW w:w="478" w:type="pct"/>
            <w:tcBorders>
              <w:top w:val="nil"/>
              <w:bottom w:val="nil"/>
            </w:tcBorders>
          </w:tcPr>
          <w:p w:rsidR="00435814" w:rsidRPr="00D77851" w:rsidRDefault="00435814" w:rsidP="00591B74">
            <w:pPr>
              <w:jc w:val="right"/>
              <w:cnfStyle w:val="000000000000"/>
              <w:rPr>
                <w:b/>
                <w:bCs/>
                <w:szCs w:val="20"/>
              </w:rPr>
            </w:pPr>
            <w:r w:rsidRPr="00D77851">
              <w:rPr>
                <w:b/>
                <w:bCs/>
                <w:szCs w:val="20"/>
              </w:rPr>
              <w:t>8.3%</w:t>
            </w:r>
          </w:p>
        </w:tc>
      </w:tr>
      <w:tr w:rsidR="00435814" w:rsidRPr="00D77851" w:rsidTr="00493639">
        <w:trPr>
          <w:jc w:val="center"/>
        </w:trPr>
        <w:tc>
          <w:tcPr>
            <w:cnfStyle w:val="001000000000"/>
            <w:tcW w:w="1480" w:type="pct"/>
            <w:tcBorders>
              <w:top w:val="nil"/>
              <w:bottom w:val="nil"/>
            </w:tcBorders>
          </w:tcPr>
          <w:p w:rsidR="00435814" w:rsidRPr="00D77851" w:rsidRDefault="00435814" w:rsidP="00591B74">
            <w:pPr>
              <w:rPr>
                <w:b/>
                <w:szCs w:val="20"/>
              </w:rPr>
            </w:pPr>
            <w:r w:rsidRPr="00D77851">
              <w:rPr>
                <w:b/>
                <w:szCs w:val="20"/>
              </w:rPr>
              <w:t>Resource recovery rate</w:t>
            </w:r>
          </w:p>
        </w:tc>
        <w:tc>
          <w:tcPr>
            <w:tcW w:w="404" w:type="pct"/>
            <w:tcBorders>
              <w:top w:val="nil"/>
              <w:bottom w:val="nil"/>
            </w:tcBorders>
          </w:tcPr>
          <w:p w:rsidR="00435814" w:rsidRPr="00D77851" w:rsidRDefault="00435814" w:rsidP="00591B74">
            <w:pPr>
              <w:jc w:val="right"/>
              <w:cnfStyle w:val="000000000000"/>
              <w:rPr>
                <w:szCs w:val="20"/>
              </w:rPr>
            </w:pPr>
            <w:r w:rsidRPr="00D77851">
              <w:rPr>
                <w:szCs w:val="20"/>
              </w:rPr>
              <w:t>0%</w:t>
            </w:r>
          </w:p>
        </w:tc>
        <w:tc>
          <w:tcPr>
            <w:tcW w:w="527" w:type="pct"/>
            <w:tcBorders>
              <w:top w:val="nil"/>
              <w:bottom w:val="nil"/>
            </w:tcBorders>
          </w:tcPr>
          <w:p w:rsidR="00435814" w:rsidRPr="00D77851" w:rsidRDefault="00435814" w:rsidP="00591B74">
            <w:pPr>
              <w:jc w:val="right"/>
              <w:cnfStyle w:val="000000000000"/>
              <w:rPr>
                <w:szCs w:val="20"/>
              </w:rPr>
            </w:pPr>
            <w:r w:rsidRPr="00D77851">
              <w:rPr>
                <w:szCs w:val="20"/>
              </w:rPr>
              <w:t>20%</w:t>
            </w:r>
          </w:p>
        </w:tc>
        <w:tc>
          <w:tcPr>
            <w:tcW w:w="434" w:type="pct"/>
            <w:tcBorders>
              <w:top w:val="nil"/>
              <w:bottom w:val="nil"/>
            </w:tcBorders>
          </w:tcPr>
          <w:p w:rsidR="00435814" w:rsidRPr="00D77851" w:rsidRDefault="00435814" w:rsidP="00591B74">
            <w:pPr>
              <w:jc w:val="right"/>
              <w:cnfStyle w:val="000000000000"/>
              <w:rPr>
                <w:szCs w:val="20"/>
              </w:rPr>
            </w:pPr>
            <w:r w:rsidRPr="00D77851">
              <w:rPr>
                <w:szCs w:val="20"/>
              </w:rPr>
              <w:t>-5%</w:t>
            </w:r>
          </w:p>
        </w:tc>
        <w:tc>
          <w:tcPr>
            <w:tcW w:w="441" w:type="pct"/>
            <w:tcBorders>
              <w:top w:val="nil"/>
              <w:bottom w:val="nil"/>
            </w:tcBorders>
          </w:tcPr>
          <w:p w:rsidR="00435814" w:rsidRPr="00D77851" w:rsidRDefault="00435814" w:rsidP="00591B74">
            <w:pPr>
              <w:jc w:val="right"/>
              <w:cnfStyle w:val="000000000000"/>
              <w:rPr>
                <w:szCs w:val="20"/>
              </w:rPr>
            </w:pPr>
            <w:r w:rsidRPr="00D77851">
              <w:rPr>
                <w:szCs w:val="20"/>
              </w:rPr>
              <w:t>13%</w:t>
            </w:r>
          </w:p>
        </w:tc>
        <w:tc>
          <w:tcPr>
            <w:tcW w:w="375" w:type="pct"/>
            <w:tcBorders>
              <w:top w:val="nil"/>
              <w:bottom w:val="nil"/>
            </w:tcBorders>
          </w:tcPr>
          <w:p w:rsidR="00435814" w:rsidRPr="00D77851" w:rsidRDefault="00435814" w:rsidP="00591B74">
            <w:pPr>
              <w:jc w:val="right"/>
              <w:cnfStyle w:val="000000000000"/>
              <w:rPr>
                <w:szCs w:val="20"/>
              </w:rPr>
            </w:pPr>
            <w:r w:rsidRPr="00D77851">
              <w:rPr>
                <w:szCs w:val="20"/>
              </w:rPr>
              <w:t>48%</w:t>
            </w:r>
          </w:p>
        </w:tc>
        <w:tc>
          <w:tcPr>
            <w:tcW w:w="463" w:type="pct"/>
            <w:tcBorders>
              <w:top w:val="nil"/>
              <w:bottom w:val="nil"/>
            </w:tcBorders>
          </w:tcPr>
          <w:p w:rsidR="00435814" w:rsidRPr="00D77851" w:rsidRDefault="00435814" w:rsidP="00591B74">
            <w:pPr>
              <w:jc w:val="right"/>
              <w:cnfStyle w:val="000000000000"/>
              <w:rPr>
                <w:szCs w:val="20"/>
              </w:rPr>
            </w:pPr>
            <w:r w:rsidRPr="00D77851">
              <w:rPr>
                <w:szCs w:val="20"/>
              </w:rPr>
              <w:t>12%</w:t>
            </w:r>
          </w:p>
        </w:tc>
        <w:tc>
          <w:tcPr>
            <w:tcW w:w="399" w:type="pct"/>
            <w:tcBorders>
              <w:top w:val="nil"/>
              <w:bottom w:val="nil"/>
            </w:tcBorders>
          </w:tcPr>
          <w:p w:rsidR="00435814" w:rsidRPr="00D77851" w:rsidRDefault="00435814" w:rsidP="00591B74">
            <w:pPr>
              <w:jc w:val="right"/>
              <w:cnfStyle w:val="000000000000"/>
              <w:rPr>
                <w:szCs w:val="20"/>
              </w:rPr>
            </w:pPr>
            <w:r w:rsidRPr="00D77851">
              <w:rPr>
                <w:szCs w:val="20"/>
              </w:rPr>
              <w:t>23%</w:t>
            </w:r>
          </w:p>
        </w:tc>
        <w:tc>
          <w:tcPr>
            <w:tcW w:w="478" w:type="pct"/>
            <w:tcBorders>
              <w:top w:val="nil"/>
              <w:bottom w:val="nil"/>
            </w:tcBorders>
          </w:tcPr>
          <w:p w:rsidR="00435814" w:rsidRPr="00D77851" w:rsidRDefault="00435814" w:rsidP="00591B74">
            <w:pPr>
              <w:jc w:val="right"/>
              <w:cnfStyle w:val="000000000000"/>
              <w:rPr>
                <w:b/>
                <w:bCs/>
                <w:szCs w:val="20"/>
              </w:rPr>
            </w:pPr>
            <w:r w:rsidRPr="00D77851">
              <w:rPr>
                <w:b/>
                <w:bCs/>
                <w:szCs w:val="20"/>
              </w:rPr>
              <w:t>16%</w:t>
            </w:r>
          </w:p>
        </w:tc>
      </w:tr>
      <w:tr w:rsidR="00435814" w:rsidRPr="00D77851" w:rsidTr="00493639">
        <w:trPr>
          <w:jc w:val="center"/>
        </w:trPr>
        <w:tc>
          <w:tcPr>
            <w:cnfStyle w:val="001000000000"/>
            <w:tcW w:w="1480" w:type="pct"/>
            <w:tcBorders>
              <w:top w:val="nil"/>
              <w:bottom w:val="single" w:sz="18" w:space="0" w:color="7F7F7F" w:themeColor="background2"/>
            </w:tcBorders>
          </w:tcPr>
          <w:p w:rsidR="00435814" w:rsidRPr="00D77851" w:rsidRDefault="00435814" w:rsidP="00591B74">
            <w:pPr>
              <w:rPr>
                <w:b/>
                <w:szCs w:val="20"/>
              </w:rPr>
            </w:pPr>
            <w:r w:rsidRPr="00D77851">
              <w:rPr>
                <w:b/>
                <w:szCs w:val="20"/>
              </w:rPr>
              <w:t>Generation</w:t>
            </w:r>
          </w:p>
        </w:tc>
        <w:tc>
          <w:tcPr>
            <w:tcW w:w="404" w:type="pct"/>
            <w:tcBorders>
              <w:top w:val="nil"/>
              <w:bottom w:val="single" w:sz="18" w:space="0" w:color="7F7F7F" w:themeColor="background2"/>
            </w:tcBorders>
          </w:tcPr>
          <w:p w:rsidR="00435814" w:rsidRPr="00D77851" w:rsidRDefault="00435814" w:rsidP="00591B74">
            <w:pPr>
              <w:jc w:val="right"/>
              <w:cnfStyle w:val="000000000000"/>
              <w:rPr>
                <w:szCs w:val="20"/>
              </w:rPr>
            </w:pPr>
            <w:r w:rsidRPr="00D77851">
              <w:rPr>
                <w:szCs w:val="20"/>
              </w:rPr>
              <w:t>18%</w:t>
            </w:r>
          </w:p>
        </w:tc>
        <w:tc>
          <w:tcPr>
            <w:tcW w:w="527" w:type="pct"/>
            <w:tcBorders>
              <w:top w:val="nil"/>
              <w:bottom w:val="single" w:sz="18" w:space="0" w:color="7F7F7F" w:themeColor="background2"/>
            </w:tcBorders>
          </w:tcPr>
          <w:p w:rsidR="00435814" w:rsidRPr="00D77851" w:rsidRDefault="00435814" w:rsidP="00591B74">
            <w:pPr>
              <w:jc w:val="right"/>
              <w:cnfStyle w:val="000000000000"/>
              <w:rPr>
                <w:szCs w:val="20"/>
              </w:rPr>
            </w:pPr>
            <w:r w:rsidRPr="00D77851">
              <w:rPr>
                <w:szCs w:val="20"/>
              </w:rPr>
              <w:t>7%</w:t>
            </w:r>
          </w:p>
        </w:tc>
        <w:tc>
          <w:tcPr>
            <w:tcW w:w="434" w:type="pct"/>
            <w:tcBorders>
              <w:top w:val="nil"/>
              <w:bottom w:val="single" w:sz="18" w:space="0" w:color="7F7F7F" w:themeColor="background2"/>
            </w:tcBorders>
          </w:tcPr>
          <w:p w:rsidR="00435814" w:rsidRPr="00D77851" w:rsidRDefault="00435814" w:rsidP="00591B74">
            <w:pPr>
              <w:jc w:val="right"/>
              <w:cnfStyle w:val="000000000000"/>
              <w:rPr>
                <w:szCs w:val="20"/>
              </w:rPr>
            </w:pPr>
            <w:r w:rsidRPr="00D77851">
              <w:rPr>
                <w:szCs w:val="20"/>
              </w:rPr>
              <w:t>-14%</w:t>
            </w:r>
          </w:p>
        </w:tc>
        <w:tc>
          <w:tcPr>
            <w:tcW w:w="441" w:type="pct"/>
            <w:tcBorders>
              <w:top w:val="nil"/>
              <w:bottom w:val="single" w:sz="18" w:space="0" w:color="7F7F7F" w:themeColor="background2"/>
            </w:tcBorders>
          </w:tcPr>
          <w:p w:rsidR="00435814" w:rsidRPr="00D77851" w:rsidRDefault="00435814" w:rsidP="00591B74">
            <w:pPr>
              <w:jc w:val="right"/>
              <w:cnfStyle w:val="000000000000"/>
              <w:rPr>
                <w:szCs w:val="20"/>
              </w:rPr>
            </w:pPr>
            <w:r w:rsidRPr="00D77851">
              <w:rPr>
                <w:szCs w:val="20"/>
              </w:rPr>
              <w:t>16%</w:t>
            </w:r>
          </w:p>
        </w:tc>
        <w:tc>
          <w:tcPr>
            <w:tcW w:w="375" w:type="pct"/>
            <w:tcBorders>
              <w:top w:val="nil"/>
              <w:bottom w:val="single" w:sz="18" w:space="0" w:color="7F7F7F" w:themeColor="background2"/>
            </w:tcBorders>
          </w:tcPr>
          <w:p w:rsidR="00435814" w:rsidRPr="00D77851" w:rsidRDefault="00435814" w:rsidP="00591B74">
            <w:pPr>
              <w:jc w:val="right"/>
              <w:cnfStyle w:val="000000000000"/>
              <w:rPr>
                <w:szCs w:val="20"/>
              </w:rPr>
            </w:pPr>
            <w:r w:rsidRPr="00D77851">
              <w:rPr>
                <w:szCs w:val="20"/>
              </w:rPr>
              <w:t>10%</w:t>
            </w:r>
          </w:p>
        </w:tc>
        <w:tc>
          <w:tcPr>
            <w:tcW w:w="463" w:type="pct"/>
            <w:tcBorders>
              <w:top w:val="nil"/>
              <w:bottom w:val="single" w:sz="18" w:space="0" w:color="7F7F7F" w:themeColor="background2"/>
            </w:tcBorders>
          </w:tcPr>
          <w:p w:rsidR="00435814" w:rsidRPr="00D77851" w:rsidRDefault="00435814" w:rsidP="00591B74">
            <w:pPr>
              <w:jc w:val="right"/>
              <w:cnfStyle w:val="000000000000"/>
              <w:rPr>
                <w:szCs w:val="20"/>
              </w:rPr>
            </w:pPr>
            <w:r w:rsidRPr="00D77851">
              <w:rPr>
                <w:szCs w:val="20"/>
              </w:rPr>
              <w:t>2%</w:t>
            </w:r>
          </w:p>
        </w:tc>
        <w:tc>
          <w:tcPr>
            <w:tcW w:w="399" w:type="pct"/>
            <w:tcBorders>
              <w:top w:val="nil"/>
              <w:bottom w:val="single" w:sz="18" w:space="0" w:color="7F7F7F" w:themeColor="background2"/>
            </w:tcBorders>
          </w:tcPr>
          <w:p w:rsidR="00435814" w:rsidRPr="00D77851" w:rsidRDefault="00435814" w:rsidP="00591B74">
            <w:pPr>
              <w:jc w:val="right"/>
              <w:cnfStyle w:val="000000000000"/>
              <w:rPr>
                <w:szCs w:val="20"/>
              </w:rPr>
            </w:pPr>
            <w:r w:rsidRPr="00D77851">
              <w:rPr>
                <w:szCs w:val="20"/>
              </w:rPr>
              <w:t>-1%</w:t>
            </w:r>
          </w:p>
        </w:tc>
        <w:tc>
          <w:tcPr>
            <w:tcW w:w="478" w:type="pct"/>
            <w:tcBorders>
              <w:top w:val="nil"/>
              <w:bottom w:val="single" w:sz="18" w:space="0" w:color="7F7F7F" w:themeColor="background2"/>
            </w:tcBorders>
          </w:tcPr>
          <w:p w:rsidR="00435814" w:rsidRPr="00D77851" w:rsidRDefault="00435814" w:rsidP="00591B74">
            <w:pPr>
              <w:jc w:val="right"/>
              <w:cnfStyle w:val="000000000000"/>
              <w:rPr>
                <w:b/>
                <w:bCs/>
                <w:szCs w:val="20"/>
              </w:rPr>
            </w:pPr>
            <w:r w:rsidRPr="00D77851">
              <w:rPr>
                <w:b/>
                <w:bCs/>
                <w:szCs w:val="20"/>
              </w:rPr>
              <w:t>2.6%</w:t>
            </w:r>
          </w:p>
        </w:tc>
      </w:tr>
    </w:tbl>
    <w:p w:rsidR="007E0F05" w:rsidRPr="00C66550" w:rsidRDefault="007E0F05" w:rsidP="007E0F05">
      <w:pPr>
        <w:pStyle w:val="BodyText"/>
        <w:rPr>
          <w:b/>
        </w:rPr>
      </w:pPr>
    </w:p>
    <w:p w:rsidR="005047ED" w:rsidRPr="00C66550" w:rsidRDefault="00934A08" w:rsidP="00934A08">
      <w:pPr>
        <w:pStyle w:val="BodyText"/>
        <w:rPr>
          <w:noProof/>
          <w:lang w:eastAsia="en-AU"/>
        </w:rPr>
      </w:pPr>
      <w:r w:rsidRPr="00C66550">
        <w:t>The data show mixed outcomes across the jurisdictions. Per capita</w:t>
      </w:r>
      <w:r w:rsidR="00575602">
        <w:t xml:space="preserve"> </w:t>
      </w:r>
      <w:r w:rsidRPr="00C66550">
        <w:t xml:space="preserve">generation rates increased in all jurisdictions except </w:t>
      </w:r>
      <w:r w:rsidR="00DF4FB7">
        <w:t>Qld</w:t>
      </w:r>
      <w:r w:rsidRPr="00C66550">
        <w:t xml:space="preserve"> and WA, and resource recovery rates grew in all except </w:t>
      </w:r>
      <w:r w:rsidR="00DF4FB7">
        <w:t>Qld</w:t>
      </w:r>
      <w:r w:rsidRPr="00C66550">
        <w:t>. Disposal rates fell everywhere except the ACT.</w:t>
      </w:r>
      <w:r w:rsidR="00575602">
        <w:t xml:space="preserve"> </w:t>
      </w:r>
      <w:r w:rsidR="005047ED" w:rsidRPr="00C66550">
        <w:rPr>
          <w:noProof/>
          <w:lang w:eastAsia="en-AU"/>
        </w:rPr>
        <w:br w:type="page"/>
      </w:r>
    </w:p>
    <w:p w:rsidR="00E532F8" w:rsidRPr="00C66550" w:rsidRDefault="00E532F8" w:rsidP="006D25F9">
      <w:pPr>
        <w:pStyle w:val="Heading1"/>
      </w:pPr>
      <w:bookmarkStart w:id="71" w:name="_Toc379466358"/>
      <w:r w:rsidRPr="00C66550">
        <w:lastRenderedPageBreak/>
        <w:t>International data comparison</w:t>
      </w:r>
      <w:bookmarkEnd w:id="71"/>
    </w:p>
    <w:p w:rsidR="00E532F8" w:rsidRPr="00C66550" w:rsidRDefault="00E532F8" w:rsidP="00925721">
      <w:pPr>
        <w:pStyle w:val="BodyText"/>
      </w:pPr>
      <w:r w:rsidRPr="00C66550">
        <w:t xml:space="preserve">This </w:t>
      </w:r>
      <w:r w:rsidR="00912151" w:rsidRPr="00C66550">
        <w:t>section</w:t>
      </w:r>
      <w:r w:rsidRPr="00C66550">
        <w:t xml:space="preserve"> considers Australia’s waste generation, disposal and recycling relative to other</w:t>
      </w:r>
      <w:r w:rsidR="0036735A" w:rsidRPr="00C66550">
        <w:t xml:space="preserve"> </w:t>
      </w:r>
      <w:r w:rsidRPr="00C66550">
        <w:t xml:space="preserve">OECD nations. </w:t>
      </w:r>
      <w:r w:rsidR="00893380" w:rsidRPr="00C66550">
        <w:t xml:space="preserve">A few </w:t>
      </w:r>
      <w:r w:rsidRPr="00C66550">
        <w:t xml:space="preserve">nations have been selected for more detailed analysis </w:t>
      </w:r>
      <w:r w:rsidR="007D5875" w:rsidRPr="00C66550">
        <w:t>because they are likely to have similar cultural and socio-demographic characteristics as Australia.</w:t>
      </w:r>
      <w:r w:rsidR="00575602">
        <w:t xml:space="preserve"> </w:t>
      </w:r>
    </w:p>
    <w:p w:rsidR="00E532F8" w:rsidRPr="00C66550" w:rsidRDefault="008621EC" w:rsidP="006D25F9">
      <w:pPr>
        <w:pStyle w:val="Heading2"/>
        <w:rPr>
          <w:rFonts w:eastAsiaTheme="minorHAnsi"/>
        </w:rPr>
      </w:pPr>
      <w:bookmarkStart w:id="72" w:name="_Toc379466359"/>
      <w:r w:rsidRPr="00C66550">
        <w:rPr>
          <w:rFonts w:eastAsiaTheme="minorHAnsi"/>
        </w:rPr>
        <w:t>W</w:t>
      </w:r>
      <w:r w:rsidR="00E532F8" w:rsidRPr="00C66550">
        <w:rPr>
          <w:rFonts w:eastAsiaTheme="minorHAnsi"/>
        </w:rPr>
        <w:t>aste generation</w:t>
      </w:r>
      <w:bookmarkEnd w:id="72"/>
    </w:p>
    <w:p w:rsidR="00E532F8" w:rsidRPr="00C66550" w:rsidRDefault="00E532F8" w:rsidP="00925721">
      <w:pPr>
        <w:pStyle w:val="BodyText"/>
      </w:pPr>
      <w:r w:rsidRPr="00C66550">
        <w:t>A summary of the waste generation, disposal and recycling performance between selected countries is shown in</w:t>
      </w:r>
      <w:r w:rsidR="001B5371" w:rsidRPr="00C66550">
        <w:t xml:space="preserve"> </w:t>
      </w:r>
      <w:fldSimple w:instr=" REF _Ref349763672 \h  \* MERGEFORMAT ">
        <w:r w:rsidR="00D96003" w:rsidRPr="00D96003">
          <w:rPr>
            <w:rFonts w:cs="Calibri"/>
            <w:color w:val="auto"/>
            <w:szCs w:val="20"/>
          </w:rPr>
          <w:t>Table 3</w:t>
        </w:r>
      </w:fldSimple>
      <w:r w:rsidR="001B5371" w:rsidRPr="00C66550">
        <w:t xml:space="preserve"> and</w:t>
      </w:r>
      <w:r w:rsidRPr="00C66550">
        <w:t xml:space="preserve"> </w:t>
      </w:r>
      <w:fldSimple w:instr=" REF _Ref348939047 \h  \* MERGEFORMAT ">
        <w:r w:rsidR="00D96003" w:rsidRPr="00D96003">
          <w:rPr>
            <w:rFonts w:cs="Calibri"/>
            <w:color w:val="auto"/>
            <w:szCs w:val="20"/>
          </w:rPr>
          <w:t>Table 4</w:t>
        </w:r>
      </w:fldSimple>
      <w:r w:rsidRPr="00C66550">
        <w:rPr>
          <w:color w:val="auto"/>
        </w:rPr>
        <w:t>, w</w:t>
      </w:r>
      <w:r w:rsidRPr="00C66550">
        <w:t xml:space="preserve">hich show data </w:t>
      </w:r>
      <w:r w:rsidR="001B5371" w:rsidRPr="00C66550">
        <w:t>on</w:t>
      </w:r>
      <w:r w:rsidRPr="00C66550">
        <w:t xml:space="preserve"> per capita solid waste</w:t>
      </w:r>
      <w:r w:rsidR="001B5371" w:rsidRPr="00C66550">
        <w:t xml:space="preserve"> and</w:t>
      </w:r>
      <w:r w:rsidRPr="00C66550">
        <w:t xml:space="preserve"> </w:t>
      </w:r>
      <w:r w:rsidR="001B5371" w:rsidRPr="00C66550">
        <w:t xml:space="preserve">total solid waste </w:t>
      </w:r>
      <w:r w:rsidRPr="00C66550">
        <w:t>respectively</w:t>
      </w:r>
      <w:r w:rsidR="00893380" w:rsidRPr="00C66550">
        <w:t xml:space="preserve"> in 2006/07 and 2010/11</w:t>
      </w:r>
      <w:r w:rsidRPr="00C66550">
        <w:t>. The</w:t>
      </w:r>
      <w:r w:rsidR="007D5875" w:rsidRPr="00C66550">
        <w:t xml:space="preserve"> tables</w:t>
      </w:r>
      <w:r w:rsidRPr="00C66550">
        <w:t xml:space="preserve"> show:</w:t>
      </w:r>
    </w:p>
    <w:p w:rsidR="00925721" w:rsidRPr="00C66550" w:rsidRDefault="00E532F8" w:rsidP="00893380">
      <w:pPr>
        <w:pStyle w:val="Bullet1"/>
      </w:pPr>
      <w:r w:rsidRPr="00C66550">
        <w:t>As would be expected, the more populous industrialised count</w:t>
      </w:r>
      <w:r w:rsidR="00893380" w:rsidRPr="00C66550">
        <w:t xml:space="preserve">ries produce more waste. </w:t>
      </w:r>
      <w:r w:rsidRPr="00C66550">
        <w:t xml:space="preserve">Germany and the </w:t>
      </w:r>
      <w:r w:rsidR="00D306E8" w:rsidRPr="00C66550">
        <w:t>US</w:t>
      </w:r>
      <w:r w:rsidRPr="00C66550">
        <w:t xml:space="preserve"> </w:t>
      </w:r>
      <w:r w:rsidR="00893380" w:rsidRPr="00C66550">
        <w:t>generate</w:t>
      </w:r>
      <w:r w:rsidRPr="00C66550">
        <w:t xml:space="preserve"> eight to nine times as much solid waste as Australia. </w:t>
      </w:r>
    </w:p>
    <w:p w:rsidR="00E532F8" w:rsidRPr="00C66550" w:rsidRDefault="00E532F8" w:rsidP="00893380">
      <w:pPr>
        <w:pStyle w:val="Bullet1"/>
      </w:pPr>
      <w:r w:rsidRPr="00C66550">
        <w:t>Differences in per capita waste generation figures may</w:t>
      </w:r>
      <w:r w:rsidR="007D5875" w:rsidRPr="00C66550">
        <w:t>,</w:t>
      </w:r>
      <w:r w:rsidRPr="00C66550">
        <w:t xml:space="preserve"> in part</w:t>
      </w:r>
      <w:r w:rsidR="007D5875" w:rsidRPr="00C66550">
        <w:t>,</w:t>
      </w:r>
      <w:r w:rsidRPr="00C66550">
        <w:t xml:space="preserve"> reflect different methods of data classification and collection. Germany has a very high rate of resource recovery, reflecting directives for mandatory rec</w:t>
      </w:r>
      <w:r w:rsidR="00893380" w:rsidRPr="00C66550">
        <w:t>overy and the prohibition of unprocessed or un</w:t>
      </w:r>
      <w:r w:rsidRPr="00C66550">
        <w:t>sorted materials from landfill, as well as extensive use of thermal energy recovery from waste. Germany also records high per capita generation of waste, reflecting high levels of heavy industry and possibly more extensive reporting of waste recovery than other nations.</w:t>
      </w:r>
      <w:r w:rsidR="00FF12A8" w:rsidRPr="00C66550">
        <w:t xml:space="preserve"> </w:t>
      </w:r>
      <w:r w:rsidRPr="00C66550">
        <w:t>The observed increase in recovery rate and total waste generation in Germany is likely to be partly due to the capture of new sou</w:t>
      </w:r>
      <w:r w:rsidR="00717D92" w:rsidRPr="00C66550">
        <w:t>rces of information about waste, including from mining and treatment of mineral resources.</w:t>
      </w:r>
    </w:p>
    <w:p w:rsidR="00E532F8" w:rsidRPr="00C66550" w:rsidRDefault="00E532F8" w:rsidP="00893380">
      <w:pPr>
        <w:pStyle w:val="Bullet1"/>
      </w:pPr>
      <w:r w:rsidRPr="00C66550">
        <w:t xml:space="preserve">Australia </w:t>
      </w:r>
      <w:r w:rsidR="00717D92" w:rsidRPr="00C66550">
        <w:t>generate</w:t>
      </w:r>
      <w:r w:rsidR="00376C5E" w:rsidRPr="00C66550">
        <w:t>d</w:t>
      </w:r>
      <w:r w:rsidR="00717D92" w:rsidRPr="00C66550">
        <w:t xml:space="preserve"> more waste</w:t>
      </w:r>
      <w:r w:rsidRPr="00C66550">
        <w:t xml:space="preserve"> per capita waste </w:t>
      </w:r>
      <w:r w:rsidR="00717D92" w:rsidRPr="00C66550">
        <w:t>than the US, Canada and NZ</w:t>
      </w:r>
      <w:r w:rsidRPr="00C66550">
        <w:t>.</w:t>
      </w:r>
      <w:r w:rsidR="00717D92" w:rsidRPr="00C66550">
        <w:t xml:space="preserve"> Again, this may be partly a manifestation of better data collection systems.</w:t>
      </w:r>
      <w:r w:rsidRPr="00C66550">
        <w:t xml:space="preserve"> </w:t>
      </w:r>
    </w:p>
    <w:p w:rsidR="00E532F8" w:rsidRPr="00C66550" w:rsidRDefault="00E532F8" w:rsidP="00893380">
      <w:pPr>
        <w:pStyle w:val="Bullet1"/>
      </w:pPr>
      <w:r w:rsidRPr="00C66550">
        <w:t xml:space="preserve">Australia’s recovery rate of </w:t>
      </w:r>
      <w:r w:rsidR="008E1F95" w:rsidRPr="00C66550">
        <w:t>60</w:t>
      </w:r>
      <w:r w:rsidRPr="00C66550">
        <w:t xml:space="preserve">% by weight compares well to nations other than Germany and the UK. Their higher level of performance reflects directives prohibiting unsorted waste going to landfill and greater use of </w:t>
      </w:r>
      <w:r w:rsidR="00FE6942" w:rsidRPr="00C66550">
        <w:t xml:space="preserve">advanced waste processing and </w:t>
      </w:r>
      <w:r w:rsidR="0036735A" w:rsidRPr="00C66550">
        <w:t>EfW</w:t>
      </w:r>
      <w:r w:rsidRPr="00C66550">
        <w:t xml:space="preserve"> facilities. </w:t>
      </w:r>
      <w:r w:rsidR="00FE6942" w:rsidRPr="00C66550">
        <w:t xml:space="preserve">It </w:t>
      </w:r>
      <w:r w:rsidRPr="00C66550">
        <w:t xml:space="preserve">may also reflect greater viability of recycling due to higher waste disposal costs and </w:t>
      </w:r>
      <w:r w:rsidR="00717D92" w:rsidRPr="00C66550">
        <w:t>denser populations</w:t>
      </w:r>
      <w:r w:rsidRPr="00C66550">
        <w:t>.</w:t>
      </w:r>
    </w:p>
    <w:p w:rsidR="00E532F8" w:rsidRPr="00C66550" w:rsidRDefault="00E532F8" w:rsidP="00717D92">
      <w:pPr>
        <w:pStyle w:val="Bullet1"/>
      </w:pPr>
      <w:r w:rsidRPr="00C66550">
        <w:t>Canada</w:t>
      </w:r>
      <w:r w:rsidR="00717D92" w:rsidRPr="00C66550">
        <w:t xml:space="preserve">’s low diversion rate of </w:t>
      </w:r>
      <w:r w:rsidRPr="00C66550">
        <w:t>22% in 2006</w:t>
      </w:r>
      <w:r w:rsidR="00717D92" w:rsidRPr="00C66550">
        <w:t>/07</w:t>
      </w:r>
      <w:r w:rsidRPr="00C66550">
        <w:t xml:space="preserve"> </w:t>
      </w:r>
      <w:r w:rsidR="00717D92" w:rsidRPr="00C66550">
        <w:t xml:space="preserve">and </w:t>
      </w:r>
      <w:r w:rsidRPr="00C66550">
        <w:t>24% in 20</w:t>
      </w:r>
      <w:r w:rsidR="00717D92" w:rsidRPr="00C66550">
        <w:t xml:space="preserve">10/11 </w:t>
      </w:r>
      <w:r w:rsidRPr="00C66550">
        <w:t>may be primarily due to the exclusion of a range of materials (such as asphalt, concrete, bricks, etc., which are considered to be waste) from waste data collected by Statistics Canada.</w:t>
      </w:r>
    </w:p>
    <w:p w:rsidR="001B5371" w:rsidRPr="00C66550" w:rsidRDefault="001B5371" w:rsidP="001B5371">
      <w:pPr>
        <w:pStyle w:val="Bullet1"/>
        <w:numPr>
          <w:ilvl w:val="0"/>
          <w:numId w:val="0"/>
        </w:numPr>
        <w:ind w:left="454" w:hanging="454"/>
      </w:pPr>
    </w:p>
    <w:p w:rsidR="001B5371" w:rsidRPr="00C66550" w:rsidRDefault="001B5371" w:rsidP="00FB4820">
      <w:pPr>
        <w:pStyle w:val="Figures"/>
      </w:pPr>
      <w:bookmarkStart w:id="73" w:name="_Ref349763672"/>
      <w:bookmarkStart w:id="74" w:name="_Toc365038847"/>
      <w:r w:rsidRPr="00C66550">
        <w:t xml:space="preserve">Table </w:t>
      </w:r>
      <w:r w:rsidR="0062001A">
        <w:fldChar w:fldCharType="begin"/>
      </w:r>
      <w:r w:rsidR="00D30041">
        <w:instrText xml:space="preserve"> SEQ Table \* ARABIC </w:instrText>
      </w:r>
      <w:r w:rsidR="0062001A">
        <w:fldChar w:fldCharType="separate"/>
      </w:r>
      <w:r w:rsidR="00D96003">
        <w:rPr>
          <w:noProof/>
        </w:rPr>
        <w:t>3</w:t>
      </w:r>
      <w:r w:rsidR="0062001A">
        <w:rPr>
          <w:noProof/>
        </w:rPr>
        <w:fldChar w:fldCharType="end"/>
      </w:r>
      <w:bookmarkEnd w:id="73"/>
      <w:r w:rsidRPr="00C66550">
        <w:t>:</w:t>
      </w:r>
      <w:r w:rsidRPr="00C66550">
        <w:tab/>
        <w:t>Comparison of per capita solid waste generation, disposal and recovery in selected OECD nations</w:t>
      </w:r>
      <w:bookmarkEnd w:id="74"/>
    </w:p>
    <w:tbl>
      <w:tblPr>
        <w:tblStyle w:val="BETable15"/>
        <w:tblW w:w="8816" w:type="dxa"/>
        <w:tblLook w:val="04A0"/>
      </w:tblPr>
      <w:tblGrid>
        <w:gridCol w:w="993"/>
        <w:gridCol w:w="992"/>
        <w:gridCol w:w="992"/>
        <w:gridCol w:w="992"/>
        <w:gridCol w:w="878"/>
        <w:gridCol w:w="974"/>
        <w:gridCol w:w="1021"/>
        <w:gridCol w:w="1096"/>
        <w:gridCol w:w="878"/>
      </w:tblGrid>
      <w:tr w:rsidR="001B5371" w:rsidRPr="00C66550" w:rsidTr="00543286">
        <w:trPr>
          <w:cnfStyle w:val="100000000000"/>
          <w:trHeight w:val="188"/>
        </w:trPr>
        <w:tc>
          <w:tcPr>
            <w:cnfStyle w:val="001000000000"/>
            <w:tcW w:w="993" w:type="dxa"/>
            <w:vMerge w:val="restart"/>
            <w:hideMark/>
          </w:tcPr>
          <w:p w:rsidR="001B5371" w:rsidRPr="00C66550" w:rsidRDefault="001B5371" w:rsidP="00543286">
            <w:pPr>
              <w:spacing w:line="240" w:lineRule="auto"/>
              <w:rPr>
                <w:rFonts w:asciiTheme="minorHAnsi" w:hAnsiTheme="minorHAnsi" w:cs="Times New Roman"/>
                <w:b w:val="0"/>
                <w:bCs/>
                <w:color w:val="000000"/>
                <w:szCs w:val="20"/>
                <w:lang w:eastAsia="en-GB"/>
              </w:rPr>
            </w:pPr>
            <w:r w:rsidRPr="00C66550">
              <w:rPr>
                <w:rFonts w:asciiTheme="minorHAnsi" w:hAnsiTheme="minorHAnsi" w:cs="Times New Roman"/>
                <w:bCs/>
                <w:color w:val="000000"/>
                <w:szCs w:val="20"/>
                <w:lang w:eastAsia="en-GB"/>
              </w:rPr>
              <w:t>Country</w:t>
            </w:r>
          </w:p>
          <w:p w:rsidR="001B5371" w:rsidRPr="00C66550" w:rsidRDefault="001B5371" w:rsidP="00543286">
            <w:pPr>
              <w:rPr>
                <w:rFonts w:asciiTheme="minorHAnsi" w:hAnsiTheme="minorHAnsi" w:cs="Times New Roman"/>
                <w:szCs w:val="20"/>
                <w:lang w:eastAsia="en-GB"/>
              </w:rPr>
            </w:pPr>
          </w:p>
        </w:tc>
        <w:tc>
          <w:tcPr>
            <w:tcW w:w="1984" w:type="dxa"/>
            <w:gridSpan w:val="2"/>
            <w:hideMark/>
          </w:tcPr>
          <w:p w:rsidR="001B5371" w:rsidRPr="00C66550" w:rsidRDefault="001B5371" w:rsidP="00543286">
            <w:pPr>
              <w:jc w:val="center"/>
              <w:cnfStyle w:val="100000000000"/>
              <w:rPr>
                <w:rFonts w:asciiTheme="minorHAnsi" w:hAnsiTheme="minorHAnsi"/>
                <w:szCs w:val="20"/>
              </w:rPr>
            </w:pPr>
            <w:r w:rsidRPr="00C66550">
              <w:rPr>
                <w:rFonts w:asciiTheme="minorHAnsi" w:hAnsiTheme="minorHAnsi"/>
                <w:szCs w:val="20"/>
              </w:rPr>
              <w:t>Disposal</w:t>
            </w:r>
          </w:p>
        </w:tc>
        <w:tc>
          <w:tcPr>
            <w:tcW w:w="1870" w:type="dxa"/>
            <w:gridSpan w:val="2"/>
            <w:hideMark/>
          </w:tcPr>
          <w:p w:rsidR="001B5371" w:rsidRPr="00C66550" w:rsidRDefault="001B5371" w:rsidP="00543286">
            <w:pPr>
              <w:jc w:val="center"/>
              <w:cnfStyle w:val="100000000000"/>
              <w:rPr>
                <w:rFonts w:asciiTheme="minorHAnsi" w:hAnsiTheme="minorHAnsi"/>
                <w:szCs w:val="20"/>
              </w:rPr>
            </w:pPr>
            <w:r w:rsidRPr="00C66550">
              <w:rPr>
                <w:rFonts w:asciiTheme="minorHAnsi" w:hAnsiTheme="minorHAnsi"/>
                <w:szCs w:val="20"/>
              </w:rPr>
              <w:t>Resource recovery</w:t>
            </w:r>
          </w:p>
        </w:tc>
        <w:tc>
          <w:tcPr>
            <w:tcW w:w="1995" w:type="dxa"/>
            <w:gridSpan w:val="2"/>
            <w:hideMark/>
          </w:tcPr>
          <w:p w:rsidR="001B5371" w:rsidRPr="00C66550" w:rsidRDefault="001B5371" w:rsidP="00543286">
            <w:pPr>
              <w:jc w:val="center"/>
              <w:cnfStyle w:val="100000000000"/>
              <w:rPr>
                <w:rFonts w:asciiTheme="minorHAnsi" w:hAnsiTheme="minorHAnsi"/>
                <w:szCs w:val="20"/>
              </w:rPr>
            </w:pPr>
            <w:r w:rsidRPr="00C66550">
              <w:rPr>
                <w:rFonts w:asciiTheme="minorHAnsi" w:hAnsiTheme="minorHAnsi"/>
                <w:szCs w:val="20"/>
              </w:rPr>
              <w:t>Waste generation</w:t>
            </w:r>
          </w:p>
        </w:tc>
        <w:tc>
          <w:tcPr>
            <w:tcW w:w="1974" w:type="dxa"/>
            <w:gridSpan w:val="2"/>
            <w:vMerge w:val="restart"/>
            <w:hideMark/>
          </w:tcPr>
          <w:p w:rsidR="001B5371" w:rsidRPr="00C66550" w:rsidRDefault="001B5371" w:rsidP="00543286">
            <w:pPr>
              <w:jc w:val="center"/>
              <w:cnfStyle w:val="100000000000"/>
              <w:rPr>
                <w:rFonts w:asciiTheme="minorHAnsi" w:hAnsiTheme="minorHAnsi"/>
                <w:szCs w:val="20"/>
              </w:rPr>
            </w:pPr>
            <w:r w:rsidRPr="00C66550">
              <w:rPr>
                <w:rFonts w:asciiTheme="minorHAnsi" w:hAnsiTheme="minorHAnsi"/>
                <w:szCs w:val="20"/>
              </w:rPr>
              <w:t>Resource recovery rate (%)</w:t>
            </w:r>
          </w:p>
        </w:tc>
      </w:tr>
      <w:tr w:rsidR="001B5371" w:rsidRPr="00C66550" w:rsidTr="00543286">
        <w:trPr>
          <w:trHeight w:val="217"/>
        </w:trPr>
        <w:tc>
          <w:tcPr>
            <w:cnfStyle w:val="001000000000"/>
            <w:tcW w:w="993" w:type="dxa"/>
            <w:vMerge/>
            <w:hideMark/>
          </w:tcPr>
          <w:p w:rsidR="001B5371" w:rsidRPr="00C66550" w:rsidRDefault="001B5371" w:rsidP="00543286">
            <w:pPr>
              <w:spacing w:line="240" w:lineRule="auto"/>
              <w:rPr>
                <w:rFonts w:asciiTheme="minorHAnsi" w:hAnsiTheme="minorHAnsi" w:cs="Times New Roman"/>
                <w:b/>
                <w:bCs/>
                <w:color w:val="000000"/>
                <w:szCs w:val="20"/>
                <w:lang w:eastAsia="en-GB"/>
              </w:rPr>
            </w:pPr>
          </w:p>
        </w:tc>
        <w:tc>
          <w:tcPr>
            <w:tcW w:w="5849" w:type="dxa"/>
            <w:gridSpan w:val="6"/>
            <w:hideMark/>
          </w:tcPr>
          <w:p w:rsidR="001B5371" w:rsidRPr="00C66550" w:rsidRDefault="001B5371" w:rsidP="001B5371">
            <w:pPr>
              <w:spacing w:line="240" w:lineRule="auto"/>
              <w:jc w:val="center"/>
              <w:cnfStyle w:val="000000000000"/>
              <w:rPr>
                <w:rFonts w:asciiTheme="minorHAnsi" w:hAnsiTheme="minorHAnsi" w:cs="Times New Roman"/>
                <w:i/>
                <w:color w:val="000000"/>
                <w:szCs w:val="20"/>
                <w:lang w:eastAsia="en-GB"/>
              </w:rPr>
            </w:pPr>
            <w:r w:rsidRPr="00C66550">
              <w:rPr>
                <w:rFonts w:asciiTheme="minorHAnsi" w:hAnsiTheme="minorHAnsi" w:cs="Times New Roman"/>
                <w:i/>
                <w:color w:val="000000"/>
                <w:szCs w:val="20"/>
                <w:lang w:eastAsia="en-GB"/>
              </w:rPr>
              <w:t>kg per capita</w:t>
            </w:r>
          </w:p>
        </w:tc>
        <w:tc>
          <w:tcPr>
            <w:tcW w:w="1974" w:type="dxa"/>
            <w:gridSpan w:val="2"/>
            <w:vMerge/>
            <w:hideMark/>
          </w:tcPr>
          <w:p w:rsidR="001B5371" w:rsidRPr="00C66550" w:rsidRDefault="001B5371" w:rsidP="00543286">
            <w:pPr>
              <w:spacing w:line="240" w:lineRule="auto"/>
              <w:cnfStyle w:val="000000000000"/>
              <w:rPr>
                <w:rFonts w:asciiTheme="minorHAnsi" w:hAnsiTheme="minorHAnsi" w:cs="Times New Roman"/>
                <w:b/>
                <w:bCs/>
                <w:color w:val="000000"/>
                <w:szCs w:val="20"/>
                <w:lang w:eastAsia="en-GB"/>
              </w:rPr>
            </w:pPr>
          </w:p>
        </w:tc>
      </w:tr>
      <w:tr w:rsidR="001B5371" w:rsidRPr="00C66550" w:rsidTr="00543286">
        <w:trPr>
          <w:trHeight w:val="227"/>
        </w:trPr>
        <w:tc>
          <w:tcPr>
            <w:cnfStyle w:val="001000000000"/>
            <w:tcW w:w="993" w:type="dxa"/>
            <w:vMerge/>
            <w:tcBorders>
              <w:bottom w:val="single" w:sz="4" w:space="0" w:color="7F7F7F" w:themeColor="background2"/>
            </w:tcBorders>
            <w:hideMark/>
          </w:tcPr>
          <w:p w:rsidR="001B5371" w:rsidRPr="00C66550" w:rsidRDefault="001B5371" w:rsidP="00543286">
            <w:pPr>
              <w:spacing w:line="240" w:lineRule="auto"/>
              <w:rPr>
                <w:rFonts w:asciiTheme="minorHAnsi" w:hAnsiTheme="minorHAnsi" w:cs="Times New Roman"/>
                <w:b/>
                <w:bCs/>
                <w:color w:val="000000"/>
                <w:szCs w:val="20"/>
                <w:lang w:eastAsia="en-GB"/>
              </w:rPr>
            </w:pPr>
          </w:p>
        </w:tc>
        <w:tc>
          <w:tcPr>
            <w:tcW w:w="992" w:type="dxa"/>
            <w:tcBorders>
              <w:bottom w:val="single" w:sz="4" w:space="0" w:color="7F7F7F" w:themeColor="background2"/>
            </w:tcBorders>
            <w:vAlign w:val="bottom"/>
            <w:hideMark/>
          </w:tcPr>
          <w:p w:rsidR="001B5371" w:rsidRPr="00C66550" w:rsidRDefault="001B5371" w:rsidP="00543286">
            <w:pPr>
              <w:spacing w:line="240" w:lineRule="auto"/>
              <w:jc w:val="right"/>
              <w:cnfStyle w:val="000000000000"/>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2006/07</w:t>
            </w:r>
            <w:r w:rsidRPr="00C66550">
              <w:rPr>
                <w:rFonts w:asciiTheme="minorHAnsi" w:hAnsiTheme="minorHAnsi" w:cs="Times New Roman"/>
                <w:b/>
                <w:bCs/>
                <w:iCs/>
                <w:color w:val="000000"/>
                <w:szCs w:val="20"/>
                <w:vertAlign w:val="superscript"/>
                <w:lang w:eastAsia="en-GB"/>
              </w:rPr>
              <w:t>1,2</w:t>
            </w:r>
          </w:p>
        </w:tc>
        <w:tc>
          <w:tcPr>
            <w:tcW w:w="992" w:type="dxa"/>
            <w:tcBorders>
              <w:bottom w:val="single" w:sz="4" w:space="0" w:color="7F7F7F" w:themeColor="background2"/>
            </w:tcBorders>
            <w:vAlign w:val="bottom"/>
            <w:hideMark/>
          </w:tcPr>
          <w:p w:rsidR="001B5371" w:rsidRPr="00C66550" w:rsidRDefault="001B5371" w:rsidP="00543286">
            <w:pPr>
              <w:spacing w:line="240" w:lineRule="auto"/>
              <w:jc w:val="right"/>
              <w:cnfStyle w:val="000000000000"/>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2010/11</w:t>
            </w:r>
          </w:p>
        </w:tc>
        <w:tc>
          <w:tcPr>
            <w:tcW w:w="992" w:type="dxa"/>
            <w:tcBorders>
              <w:bottom w:val="single" w:sz="4" w:space="0" w:color="7F7F7F" w:themeColor="background2"/>
            </w:tcBorders>
            <w:vAlign w:val="bottom"/>
            <w:hideMark/>
          </w:tcPr>
          <w:p w:rsidR="001B5371" w:rsidRPr="00C66550" w:rsidRDefault="001B5371" w:rsidP="00543286">
            <w:pPr>
              <w:spacing w:line="240" w:lineRule="auto"/>
              <w:jc w:val="right"/>
              <w:cnfStyle w:val="000000000000"/>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2006/07</w:t>
            </w:r>
            <w:r w:rsidRPr="00C66550">
              <w:rPr>
                <w:rFonts w:asciiTheme="minorHAnsi" w:hAnsiTheme="minorHAnsi" w:cs="Times New Roman"/>
                <w:b/>
                <w:bCs/>
                <w:iCs/>
                <w:color w:val="000000"/>
                <w:szCs w:val="20"/>
                <w:vertAlign w:val="superscript"/>
                <w:lang w:eastAsia="en-GB"/>
              </w:rPr>
              <w:t>1,2</w:t>
            </w:r>
          </w:p>
        </w:tc>
        <w:tc>
          <w:tcPr>
            <w:tcW w:w="878" w:type="dxa"/>
            <w:tcBorders>
              <w:bottom w:val="single" w:sz="4" w:space="0" w:color="7F7F7F" w:themeColor="background2"/>
            </w:tcBorders>
            <w:vAlign w:val="bottom"/>
            <w:hideMark/>
          </w:tcPr>
          <w:p w:rsidR="001B5371" w:rsidRPr="00C66550" w:rsidRDefault="001B5371" w:rsidP="00543286">
            <w:pPr>
              <w:spacing w:line="240" w:lineRule="auto"/>
              <w:jc w:val="right"/>
              <w:cnfStyle w:val="000000000000"/>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2010/11</w:t>
            </w:r>
          </w:p>
        </w:tc>
        <w:tc>
          <w:tcPr>
            <w:tcW w:w="974" w:type="dxa"/>
            <w:tcBorders>
              <w:bottom w:val="single" w:sz="4" w:space="0" w:color="7F7F7F" w:themeColor="background2"/>
            </w:tcBorders>
            <w:vAlign w:val="bottom"/>
            <w:hideMark/>
          </w:tcPr>
          <w:p w:rsidR="001B5371" w:rsidRPr="00C66550" w:rsidRDefault="001B5371" w:rsidP="00543286">
            <w:pPr>
              <w:spacing w:line="240" w:lineRule="auto"/>
              <w:jc w:val="right"/>
              <w:cnfStyle w:val="000000000000"/>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2006/07</w:t>
            </w:r>
            <w:r w:rsidRPr="00C66550">
              <w:rPr>
                <w:rFonts w:asciiTheme="minorHAnsi" w:hAnsiTheme="minorHAnsi" w:cs="Times New Roman"/>
                <w:b/>
                <w:bCs/>
                <w:iCs/>
                <w:color w:val="000000"/>
                <w:szCs w:val="20"/>
                <w:vertAlign w:val="superscript"/>
                <w:lang w:eastAsia="en-GB"/>
              </w:rPr>
              <w:t>1,2</w:t>
            </w:r>
          </w:p>
        </w:tc>
        <w:tc>
          <w:tcPr>
            <w:tcW w:w="1021" w:type="dxa"/>
            <w:tcBorders>
              <w:bottom w:val="single" w:sz="4" w:space="0" w:color="7F7F7F" w:themeColor="background2"/>
            </w:tcBorders>
            <w:vAlign w:val="bottom"/>
            <w:hideMark/>
          </w:tcPr>
          <w:p w:rsidR="001B5371" w:rsidRPr="00C66550" w:rsidRDefault="001B5371" w:rsidP="00543286">
            <w:pPr>
              <w:spacing w:line="240" w:lineRule="auto"/>
              <w:jc w:val="right"/>
              <w:cnfStyle w:val="000000000000"/>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2010/11</w:t>
            </w:r>
          </w:p>
        </w:tc>
        <w:tc>
          <w:tcPr>
            <w:tcW w:w="1096" w:type="dxa"/>
            <w:tcBorders>
              <w:bottom w:val="single" w:sz="4" w:space="0" w:color="7F7F7F" w:themeColor="background2"/>
            </w:tcBorders>
            <w:vAlign w:val="bottom"/>
            <w:hideMark/>
          </w:tcPr>
          <w:p w:rsidR="001B5371" w:rsidRPr="00C66550" w:rsidRDefault="001B5371" w:rsidP="00543286">
            <w:pPr>
              <w:spacing w:line="240" w:lineRule="auto"/>
              <w:jc w:val="right"/>
              <w:cnfStyle w:val="000000000000"/>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2006/07</w:t>
            </w:r>
            <w:r w:rsidRPr="00C66550">
              <w:rPr>
                <w:rFonts w:asciiTheme="minorHAnsi" w:hAnsiTheme="minorHAnsi" w:cs="Times New Roman"/>
                <w:b/>
                <w:bCs/>
                <w:iCs/>
                <w:color w:val="000000"/>
                <w:szCs w:val="20"/>
                <w:vertAlign w:val="superscript"/>
                <w:lang w:eastAsia="en-GB"/>
              </w:rPr>
              <w:t>1,2</w:t>
            </w:r>
          </w:p>
        </w:tc>
        <w:tc>
          <w:tcPr>
            <w:tcW w:w="878" w:type="dxa"/>
            <w:tcBorders>
              <w:bottom w:val="single" w:sz="4" w:space="0" w:color="7F7F7F" w:themeColor="background2"/>
            </w:tcBorders>
            <w:vAlign w:val="bottom"/>
            <w:hideMark/>
          </w:tcPr>
          <w:p w:rsidR="001B5371" w:rsidRPr="00C66550" w:rsidRDefault="001B5371" w:rsidP="00543286">
            <w:pPr>
              <w:spacing w:line="240" w:lineRule="auto"/>
              <w:jc w:val="right"/>
              <w:cnfStyle w:val="000000000000"/>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2010/11</w:t>
            </w:r>
          </w:p>
        </w:tc>
      </w:tr>
      <w:tr w:rsidR="001B5371" w:rsidRPr="00C66550" w:rsidTr="00543286">
        <w:trPr>
          <w:trHeight w:val="75"/>
        </w:trPr>
        <w:tc>
          <w:tcPr>
            <w:cnfStyle w:val="001000000000"/>
            <w:tcW w:w="993" w:type="dxa"/>
            <w:tcBorders>
              <w:bottom w:val="nil"/>
            </w:tcBorders>
            <w:vAlign w:val="bottom"/>
            <w:hideMark/>
          </w:tcPr>
          <w:p w:rsidR="001B5371" w:rsidRPr="00C66550" w:rsidRDefault="001B5371" w:rsidP="00543286">
            <w:pPr>
              <w:spacing w:line="240" w:lineRule="auto"/>
              <w:rPr>
                <w:rFonts w:asciiTheme="minorHAnsi" w:hAnsiTheme="minorHAnsi" w:cs="Arial"/>
                <w:color w:val="000000"/>
                <w:szCs w:val="20"/>
                <w:lang w:eastAsia="en-GB"/>
              </w:rPr>
            </w:pPr>
            <w:r w:rsidRPr="00C66550">
              <w:rPr>
                <w:rFonts w:asciiTheme="minorHAnsi" w:hAnsiTheme="minorHAnsi" w:cs="Arial"/>
                <w:color w:val="000000"/>
                <w:szCs w:val="20"/>
                <w:lang w:eastAsia="en-GB"/>
              </w:rPr>
              <w:t>Canada</w:t>
            </w:r>
          </w:p>
        </w:tc>
        <w:tc>
          <w:tcPr>
            <w:tcW w:w="992" w:type="dxa"/>
            <w:tcBorders>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862</w:t>
            </w:r>
          </w:p>
        </w:tc>
        <w:tc>
          <w:tcPr>
            <w:tcW w:w="992" w:type="dxa"/>
            <w:tcBorders>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773</w:t>
            </w:r>
          </w:p>
        </w:tc>
        <w:tc>
          <w:tcPr>
            <w:tcW w:w="992" w:type="dxa"/>
            <w:tcBorders>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245</w:t>
            </w:r>
          </w:p>
        </w:tc>
        <w:tc>
          <w:tcPr>
            <w:tcW w:w="878" w:type="dxa"/>
            <w:tcBorders>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243</w:t>
            </w:r>
          </w:p>
        </w:tc>
        <w:tc>
          <w:tcPr>
            <w:tcW w:w="974" w:type="dxa"/>
            <w:tcBorders>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1,107</w:t>
            </w:r>
          </w:p>
        </w:tc>
        <w:tc>
          <w:tcPr>
            <w:tcW w:w="1021" w:type="dxa"/>
            <w:tcBorders>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1,016</w:t>
            </w:r>
          </w:p>
        </w:tc>
        <w:tc>
          <w:tcPr>
            <w:tcW w:w="1096" w:type="dxa"/>
            <w:tcBorders>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22%</w:t>
            </w:r>
          </w:p>
        </w:tc>
        <w:tc>
          <w:tcPr>
            <w:tcW w:w="878" w:type="dxa"/>
            <w:tcBorders>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24%</w:t>
            </w:r>
          </w:p>
        </w:tc>
      </w:tr>
      <w:tr w:rsidR="001B5371" w:rsidRPr="00C66550" w:rsidTr="00543286">
        <w:trPr>
          <w:trHeight w:val="179"/>
        </w:trPr>
        <w:tc>
          <w:tcPr>
            <w:cnfStyle w:val="001000000000"/>
            <w:tcW w:w="993" w:type="dxa"/>
            <w:tcBorders>
              <w:top w:val="nil"/>
              <w:bottom w:val="nil"/>
            </w:tcBorders>
            <w:vAlign w:val="bottom"/>
            <w:hideMark/>
          </w:tcPr>
          <w:p w:rsidR="001B5371" w:rsidRPr="00C66550" w:rsidRDefault="001B5371" w:rsidP="00543286">
            <w:pPr>
              <w:spacing w:line="240" w:lineRule="auto"/>
              <w:rPr>
                <w:rFonts w:asciiTheme="minorHAnsi" w:hAnsiTheme="minorHAnsi" w:cs="Arial"/>
                <w:color w:val="000000"/>
                <w:szCs w:val="20"/>
                <w:lang w:eastAsia="en-GB"/>
              </w:rPr>
            </w:pPr>
            <w:r w:rsidRPr="00C66550">
              <w:rPr>
                <w:rFonts w:asciiTheme="minorHAnsi" w:hAnsiTheme="minorHAnsi" w:cs="Arial"/>
                <w:color w:val="000000"/>
                <w:szCs w:val="20"/>
                <w:lang w:eastAsia="en-GB"/>
              </w:rPr>
              <w:t>US</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n/a</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812</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n/a</w:t>
            </w:r>
          </w:p>
        </w:tc>
        <w:tc>
          <w:tcPr>
            <w:tcW w:w="878"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535</w:t>
            </w:r>
          </w:p>
        </w:tc>
        <w:tc>
          <w:tcPr>
            <w:tcW w:w="974"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n/a</w:t>
            </w:r>
          </w:p>
        </w:tc>
        <w:tc>
          <w:tcPr>
            <w:tcW w:w="1021"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1,348</w:t>
            </w:r>
          </w:p>
        </w:tc>
        <w:tc>
          <w:tcPr>
            <w:tcW w:w="1096"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n/a</w:t>
            </w:r>
          </w:p>
        </w:tc>
        <w:tc>
          <w:tcPr>
            <w:tcW w:w="878"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40%</w:t>
            </w:r>
          </w:p>
        </w:tc>
      </w:tr>
      <w:tr w:rsidR="001B5371" w:rsidRPr="00C66550" w:rsidTr="00543286">
        <w:trPr>
          <w:trHeight w:val="155"/>
        </w:trPr>
        <w:tc>
          <w:tcPr>
            <w:cnfStyle w:val="001000000000"/>
            <w:tcW w:w="993" w:type="dxa"/>
            <w:tcBorders>
              <w:top w:val="nil"/>
              <w:bottom w:val="nil"/>
            </w:tcBorders>
            <w:vAlign w:val="bottom"/>
            <w:hideMark/>
          </w:tcPr>
          <w:p w:rsidR="001B5371" w:rsidRPr="00C66550" w:rsidRDefault="001B5371" w:rsidP="00543286">
            <w:pPr>
              <w:spacing w:line="240" w:lineRule="auto"/>
              <w:rPr>
                <w:rFonts w:asciiTheme="minorHAnsi" w:hAnsiTheme="minorHAnsi" w:cs="Arial"/>
                <w:color w:val="000000"/>
                <w:szCs w:val="20"/>
                <w:lang w:eastAsia="en-GB"/>
              </w:rPr>
            </w:pPr>
            <w:r w:rsidRPr="00C66550">
              <w:rPr>
                <w:rFonts w:asciiTheme="minorHAnsi" w:hAnsiTheme="minorHAnsi" w:cs="Arial"/>
                <w:color w:val="000000"/>
                <w:szCs w:val="20"/>
                <w:lang w:eastAsia="en-GB"/>
              </w:rPr>
              <w:t>Germany</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639</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416</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2,418</w:t>
            </w:r>
          </w:p>
        </w:tc>
        <w:tc>
          <w:tcPr>
            <w:tcW w:w="878"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4,222</w:t>
            </w:r>
          </w:p>
        </w:tc>
        <w:tc>
          <w:tcPr>
            <w:tcW w:w="974"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3,058</w:t>
            </w:r>
          </w:p>
        </w:tc>
        <w:tc>
          <w:tcPr>
            <w:tcW w:w="1021"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4,638</w:t>
            </w:r>
          </w:p>
        </w:tc>
        <w:tc>
          <w:tcPr>
            <w:tcW w:w="1096"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79%</w:t>
            </w:r>
          </w:p>
        </w:tc>
        <w:tc>
          <w:tcPr>
            <w:tcW w:w="878"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91%</w:t>
            </w:r>
          </w:p>
        </w:tc>
      </w:tr>
      <w:tr w:rsidR="001B5371" w:rsidRPr="00C66550" w:rsidTr="00543286">
        <w:trPr>
          <w:trHeight w:val="117"/>
        </w:trPr>
        <w:tc>
          <w:tcPr>
            <w:cnfStyle w:val="001000000000"/>
            <w:tcW w:w="993" w:type="dxa"/>
            <w:tcBorders>
              <w:top w:val="nil"/>
              <w:bottom w:val="nil"/>
            </w:tcBorders>
            <w:vAlign w:val="bottom"/>
            <w:hideMark/>
          </w:tcPr>
          <w:p w:rsidR="001B5371" w:rsidRPr="00C66550" w:rsidRDefault="001B5371" w:rsidP="00543286">
            <w:pPr>
              <w:spacing w:line="240" w:lineRule="auto"/>
              <w:rPr>
                <w:rFonts w:asciiTheme="minorHAnsi" w:hAnsiTheme="minorHAnsi" w:cs="Arial"/>
                <w:color w:val="000000"/>
                <w:szCs w:val="20"/>
                <w:lang w:eastAsia="en-GB"/>
              </w:rPr>
            </w:pPr>
            <w:r w:rsidRPr="00C66550">
              <w:rPr>
                <w:rFonts w:asciiTheme="minorHAnsi" w:hAnsiTheme="minorHAnsi" w:cs="Arial"/>
                <w:color w:val="000000"/>
                <w:szCs w:val="20"/>
                <w:lang w:eastAsia="en-GB"/>
              </w:rPr>
              <w:t>UK</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n/a</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899</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n/a</w:t>
            </w:r>
          </w:p>
        </w:tc>
        <w:tc>
          <w:tcPr>
            <w:tcW w:w="878"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1,655</w:t>
            </w:r>
          </w:p>
        </w:tc>
        <w:tc>
          <w:tcPr>
            <w:tcW w:w="974"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n/a</w:t>
            </w:r>
          </w:p>
        </w:tc>
        <w:tc>
          <w:tcPr>
            <w:tcW w:w="1021"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2,553</w:t>
            </w:r>
          </w:p>
        </w:tc>
        <w:tc>
          <w:tcPr>
            <w:tcW w:w="1096"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n/a</w:t>
            </w:r>
          </w:p>
        </w:tc>
        <w:tc>
          <w:tcPr>
            <w:tcW w:w="878"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Arial"/>
                <w:color w:val="000000"/>
                <w:szCs w:val="20"/>
                <w:lang w:eastAsia="en-GB"/>
              </w:rPr>
            </w:pPr>
            <w:r w:rsidRPr="00C66550">
              <w:rPr>
                <w:rFonts w:asciiTheme="minorHAnsi" w:hAnsiTheme="minorHAnsi" w:cs="Arial"/>
                <w:color w:val="000000"/>
                <w:szCs w:val="20"/>
                <w:lang w:eastAsia="en-GB"/>
              </w:rPr>
              <w:t>65%</w:t>
            </w:r>
          </w:p>
        </w:tc>
      </w:tr>
      <w:tr w:rsidR="001B5371" w:rsidRPr="00C66550" w:rsidTr="00543286">
        <w:trPr>
          <w:trHeight w:val="107"/>
        </w:trPr>
        <w:tc>
          <w:tcPr>
            <w:cnfStyle w:val="001000000000"/>
            <w:tcW w:w="993" w:type="dxa"/>
            <w:tcBorders>
              <w:top w:val="nil"/>
              <w:bottom w:val="nil"/>
            </w:tcBorders>
            <w:vAlign w:val="bottom"/>
            <w:hideMark/>
          </w:tcPr>
          <w:p w:rsidR="001B5371" w:rsidRPr="00C66550" w:rsidRDefault="001B5371" w:rsidP="00543286">
            <w:pPr>
              <w:spacing w:line="240" w:lineRule="auto"/>
              <w:rPr>
                <w:rFonts w:asciiTheme="minorHAnsi" w:hAnsiTheme="minorHAnsi" w:cs="Arial"/>
                <w:color w:val="000000"/>
                <w:szCs w:val="20"/>
                <w:lang w:eastAsia="en-GB"/>
              </w:rPr>
            </w:pPr>
            <w:r w:rsidRPr="00C66550">
              <w:rPr>
                <w:rFonts w:asciiTheme="minorHAnsi" w:hAnsiTheme="minorHAnsi" w:cs="Arial"/>
                <w:color w:val="000000"/>
                <w:szCs w:val="20"/>
                <w:lang w:eastAsia="en-GB"/>
              </w:rPr>
              <w:t>Australia</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olor w:val="000000"/>
                <w:szCs w:val="20"/>
              </w:rPr>
              <w:t>933</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olor w:val="000000"/>
                <w:szCs w:val="20"/>
              </w:rPr>
              <w:t>1,026</w:t>
            </w:r>
          </w:p>
        </w:tc>
        <w:tc>
          <w:tcPr>
            <w:tcW w:w="992"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olor w:val="000000"/>
                <w:szCs w:val="20"/>
              </w:rPr>
              <w:t>1,383</w:t>
            </w:r>
          </w:p>
        </w:tc>
        <w:tc>
          <w:tcPr>
            <w:tcW w:w="878"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olor w:val="000000"/>
                <w:szCs w:val="20"/>
              </w:rPr>
              <w:t>1,300</w:t>
            </w:r>
          </w:p>
        </w:tc>
        <w:tc>
          <w:tcPr>
            <w:tcW w:w="974"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olor w:val="000000"/>
                <w:szCs w:val="20"/>
              </w:rPr>
              <w:t>2,122</w:t>
            </w:r>
          </w:p>
        </w:tc>
        <w:tc>
          <w:tcPr>
            <w:tcW w:w="1021"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olor w:val="000000"/>
                <w:szCs w:val="20"/>
              </w:rPr>
              <w:t>2,178</w:t>
            </w:r>
          </w:p>
        </w:tc>
        <w:tc>
          <w:tcPr>
            <w:tcW w:w="1096"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51%</w:t>
            </w:r>
          </w:p>
        </w:tc>
        <w:tc>
          <w:tcPr>
            <w:tcW w:w="878" w:type="dxa"/>
            <w:tcBorders>
              <w:top w:val="nil"/>
              <w:bottom w:val="nil"/>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60%</w:t>
            </w:r>
          </w:p>
        </w:tc>
      </w:tr>
      <w:tr w:rsidR="001B5371" w:rsidRPr="00C66550" w:rsidTr="00543286">
        <w:trPr>
          <w:trHeight w:val="69"/>
        </w:trPr>
        <w:tc>
          <w:tcPr>
            <w:cnfStyle w:val="001000000000"/>
            <w:tcW w:w="993" w:type="dxa"/>
            <w:tcBorders>
              <w:top w:val="nil"/>
              <w:bottom w:val="single" w:sz="4" w:space="0" w:color="808080" w:themeColor="background1" w:themeShade="80"/>
            </w:tcBorders>
            <w:vAlign w:val="bottom"/>
            <w:hideMark/>
          </w:tcPr>
          <w:p w:rsidR="001B5371" w:rsidRPr="00C66550" w:rsidRDefault="001B5371" w:rsidP="00543286">
            <w:pPr>
              <w:spacing w:line="240" w:lineRule="auto"/>
              <w:rPr>
                <w:rFonts w:asciiTheme="minorHAnsi" w:hAnsiTheme="minorHAnsi" w:cs="Arial"/>
                <w:color w:val="000000"/>
                <w:szCs w:val="20"/>
                <w:lang w:eastAsia="en-GB"/>
              </w:rPr>
            </w:pPr>
            <w:r w:rsidRPr="00C66550">
              <w:rPr>
                <w:rFonts w:asciiTheme="minorHAnsi" w:hAnsiTheme="minorHAnsi" w:cs="Arial"/>
                <w:color w:val="000000"/>
                <w:szCs w:val="20"/>
                <w:lang w:eastAsia="en-GB"/>
              </w:rPr>
              <w:t>NZ</w:t>
            </w:r>
          </w:p>
        </w:tc>
        <w:tc>
          <w:tcPr>
            <w:tcW w:w="992" w:type="dxa"/>
            <w:tcBorders>
              <w:top w:val="nil"/>
              <w:bottom w:val="single" w:sz="4" w:space="0" w:color="808080" w:themeColor="background1" w:themeShade="80"/>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992" w:type="dxa"/>
            <w:tcBorders>
              <w:top w:val="nil"/>
              <w:bottom w:val="single" w:sz="4" w:space="0" w:color="808080" w:themeColor="background1" w:themeShade="80"/>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1,443</w:t>
            </w:r>
          </w:p>
        </w:tc>
        <w:tc>
          <w:tcPr>
            <w:tcW w:w="992" w:type="dxa"/>
            <w:tcBorders>
              <w:top w:val="nil"/>
              <w:bottom w:val="single" w:sz="4" w:space="0" w:color="808080" w:themeColor="background1" w:themeShade="80"/>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878" w:type="dxa"/>
            <w:tcBorders>
              <w:top w:val="nil"/>
              <w:bottom w:val="single" w:sz="4" w:space="0" w:color="808080" w:themeColor="background1" w:themeShade="80"/>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550</w:t>
            </w:r>
          </w:p>
        </w:tc>
        <w:tc>
          <w:tcPr>
            <w:tcW w:w="974" w:type="dxa"/>
            <w:tcBorders>
              <w:top w:val="nil"/>
              <w:bottom w:val="single" w:sz="4" w:space="0" w:color="808080" w:themeColor="background1" w:themeShade="80"/>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021" w:type="dxa"/>
            <w:tcBorders>
              <w:top w:val="nil"/>
              <w:bottom w:val="single" w:sz="4" w:space="0" w:color="808080" w:themeColor="background1" w:themeShade="80"/>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1,992</w:t>
            </w:r>
          </w:p>
        </w:tc>
        <w:tc>
          <w:tcPr>
            <w:tcW w:w="1096" w:type="dxa"/>
            <w:tcBorders>
              <w:top w:val="nil"/>
              <w:bottom w:val="single" w:sz="4" w:space="0" w:color="808080" w:themeColor="background1" w:themeShade="80"/>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878" w:type="dxa"/>
            <w:tcBorders>
              <w:top w:val="nil"/>
              <w:bottom w:val="single" w:sz="4" w:space="0" w:color="808080" w:themeColor="background1" w:themeShade="80"/>
            </w:tcBorders>
            <w:vAlign w:val="bottom"/>
            <w:hideMark/>
          </w:tcPr>
          <w:p w:rsidR="001B5371" w:rsidRPr="00C66550" w:rsidRDefault="001B5371" w:rsidP="00543286">
            <w:pPr>
              <w:spacing w:line="240" w:lineRule="auto"/>
              <w:jc w:val="right"/>
              <w:cnfStyle w:val="000000000000"/>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28%</w:t>
            </w:r>
          </w:p>
        </w:tc>
      </w:tr>
    </w:tbl>
    <w:p w:rsidR="001B5371" w:rsidRPr="00C66550" w:rsidRDefault="001B5371" w:rsidP="001B5371">
      <w:pPr>
        <w:spacing w:before="80" w:line="240" w:lineRule="auto"/>
        <w:rPr>
          <w:rFonts w:cs="Arial"/>
          <w:color w:val="0000FF"/>
          <w:sz w:val="18"/>
          <w:szCs w:val="18"/>
        </w:rPr>
      </w:pPr>
    </w:p>
    <w:p w:rsidR="001B5371" w:rsidRPr="00C66550" w:rsidRDefault="001B5371" w:rsidP="001B5371">
      <w:pPr>
        <w:pStyle w:val="Bullet1"/>
        <w:numPr>
          <w:ilvl w:val="0"/>
          <w:numId w:val="0"/>
        </w:numPr>
        <w:ind w:left="454" w:hanging="454"/>
      </w:pPr>
    </w:p>
    <w:p w:rsidR="00E532F8" w:rsidRPr="00C66550" w:rsidRDefault="00E532F8" w:rsidP="00893380">
      <w:pPr>
        <w:spacing w:before="80"/>
        <w:rPr>
          <w:highlight w:val="yellow"/>
        </w:rPr>
        <w:sectPr w:rsidR="00E532F8" w:rsidRPr="00C66550" w:rsidSect="007A49F3">
          <w:footerReference w:type="default" r:id="rId48"/>
          <w:pgSz w:w="11906" w:h="16838"/>
          <w:pgMar w:top="1440" w:right="1440" w:bottom="993" w:left="1440" w:header="708" w:footer="708" w:gutter="0"/>
          <w:cols w:space="708"/>
          <w:docGrid w:linePitch="360"/>
        </w:sectPr>
      </w:pPr>
    </w:p>
    <w:p w:rsidR="00E532F8" w:rsidRPr="00C66550" w:rsidRDefault="00E532F8" w:rsidP="00FB4820">
      <w:pPr>
        <w:pStyle w:val="Figures"/>
      </w:pPr>
      <w:bookmarkStart w:id="75" w:name="_Ref348939047"/>
      <w:bookmarkStart w:id="76" w:name="_Toc365038848"/>
      <w:r w:rsidRPr="00C66550">
        <w:lastRenderedPageBreak/>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4</w:t>
      </w:r>
      <w:r w:rsidR="0062001A" w:rsidRPr="00C66550">
        <w:fldChar w:fldCharType="end"/>
      </w:r>
      <w:bookmarkEnd w:id="75"/>
      <w:r w:rsidRPr="00C66550">
        <w:t>:</w:t>
      </w:r>
      <w:r w:rsidR="001B255A" w:rsidRPr="00C66550">
        <w:tab/>
      </w:r>
      <w:r w:rsidRPr="00C66550">
        <w:t>Comparison of total solid waste generation, disposal and recovery in selected</w:t>
      </w:r>
      <w:r w:rsidR="00FC2D1C">
        <w:t xml:space="preserve"> </w:t>
      </w:r>
      <w:r w:rsidRPr="00C66550">
        <w:t xml:space="preserve"> OECD nations</w:t>
      </w:r>
      <w:bookmarkEnd w:id="76"/>
    </w:p>
    <w:tbl>
      <w:tblPr>
        <w:tblW w:w="14185" w:type="dxa"/>
        <w:tblInd w:w="98" w:type="dxa"/>
        <w:tblLayout w:type="fixed"/>
        <w:tblLook w:val="04A0"/>
      </w:tblPr>
      <w:tblGrid>
        <w:gridCol w:w="1570"/>
        <w:gridCol w:w="1275"/>
        <w:gridCol w:w="1134"/>
        <w:gridCol w:w="1223"/>
        <w:gridCol w:w="1187"/>
        <w:gridCol w:w="1329"/>
        <w:gridCol w:w="1223"/>
        <w:gridCol w:w="1293"/>
        <w:gridCol w:w="1258"/>
        <w:gridCol w:w="1418"/>
        <w:gridCol w:w="1275"/>
      </w:tblGrid>
      <w:tr w:rsidR="006D030C" w:rsidRPr="00C66550" w:rsidTr="00491EE4">
        <w:trPr>
          <w:trHeight w:val="472"/>
        </w:trPr>
        <w:tc>
          <w:tcPr>
            <w:tcW w:w="1570"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rsidR="006D030C" w:rsidRPr="00C66550" w:rsidRDefault="006D030C" w:rsidP="00F33D31">
            <w:pPr>
              <w:spacing w:line="240" w:lineRule="auto"/>
              <w:jc w:val="center"/>
              <w:rPr>
                <w:rFonts w:asciiTheme="minorHAnsi" w:hAnsiTheme="minorHAnsi" w:cs="Times New Roman"/>
                <w:b/>
                <w:bCs/>
                <w:color w:val="000000"/>
                <w:szCs w:val="20"/>
                <w:lang w:eastAsia="en-GB"/>
              </w:rPr>
            </w:pPr>
            <w:r w:rsidRPr="00C66550">
              <w:rPr>
                <w:rFonts w:asciiTheme="minorHAnsi" w:hAnsiTheme="minorHAnsi" w:cs="Times New Roman"/>
                <w:b/>
                <w:bCs/>
                <w:color w:val="000000"/>
                <w:szCs w:val="20"/>
                <w:lang w:eastAsia="en-GB"/>
              </w:rPr>
              <w:t>Country</w:t>
            </w:r>
          </w:p>
        </w:tc>
        <w:tc>
          <w:tcPr>
            <w:tcW w:w="2409"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rsidR="006D030C" w:rsidRPr="00C66550" w:rsidRDefault="006D030C" w:rsidP="00F33D31">
            <w:pPr>
              <w:spacing w:line="240" w:lineRule="auto"/>
              <w:jc w:val="center"/>
              <w:rPr>
                <w:rFonts w:asciiTheme="minorHAnsi" w:hAnsiTheme="minorHAnsi" w:cs="Times New Roman"/>
                <w:b/>
                <w:bCs/>
                <w:color w:val="000000"/>
                <w:szCs w:val="20"/>
                <w:lang w:eastAsia="en-GB"/>
              </w:rPr>
            </w:pPr>
            <w:r w:rsidRPr="00C66550">
              <w:rPr>
                <w:rFonts w:asciiTheme="minorHAnsi" w:hAnsiTheme="minorHAnsi" w:cs="Times New Roman"/>
                <w:b/>
                <w:bCs/>
                <w:color w:val="000000"/>
                <w:szCs w:val="20"/>
                <w:lang w:eastAsia="en-GB"/>
              </w:rPr>
              <w:t>Population (‘000)</w:t>
            </w:r>
          </w:p>
        </w:tc>
        <w:tc>
          <w:tcPr>
            <w:tcW w:w="2410" w:type="dxa"/>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hideMark/>
          </w:tcPr>
          <w:p w:rsidR="006D030C" w:rsidRPr="00C66550" w:rsidRDefault="006D030C" w:rsidP="00F33D31">
            <w:pPr>
              <w:jc w:val="center"/>
              <w:rPr>
                <w:b/>
                <w:szCs w:val="20"/>
              </w:rPr>
            </w:pPr>
            <w:r w:rsidRPr="00C66550">
              <w:rPr>
                <w:b/>
                <w:szCs w:val="20"/>
              </w:rPr>
              <w:t>Disposal</w:t>
            </w:r>
          </w:p>
        </w:tc>
        <w:tc>
          <w:tcPr>
            <w:tcW w:w="2552" w:type="dxa"/>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hideMark/>
          </w:tcPr>
          <w:p w:rsidR="006D030C" w:rsidRPr="00C66550" w:rsidRDefault="006D030C" w:rsidP="00F33D31">
            <w:pPr>
              <w:jc w:val="center"/>
              <w:rPr>
                <w:b/>
                <w:szCs w:val="20"/>
              </w:rPr>
            </w:pPr>
            <w:r w:rsidRPr="00C66550">
              <w:rPr>
                <w:b/>
                <w:szCs w:val="20"/>
              </w:rPr>
              <w:t>Resource recovery</w:t>
            </w:r>
          </w:p>
        </w:tc>
        <w:tc>
          <w:tcPr>
            <w:tcW w:w="2551" w:type="dxa"/>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hideMark/>
          </w:tcPr>
          <w:p w:rsidR="006D030C" w:rsidRPr="00C66550" w:rsidRDefault="006D030C" w:rsidP="00F33D31">
            <w:pPr>
              <w:jc w:val="center"/>
              <w:rPr>
                <w:b/>
                <w:szCs w:val="20"/>
              </w:rPr>
            </w:pPr>
            <w:r w:rsidRPr="00C66550">
              <w:rPr>
                <w:b/>
                <w:szCs w:val="20"/>
              </w:rPr>
              <w:t>Waste generation</w:t>
            </w:r>
          </w:p>
        </w:tc>
        <w:tc>
          <w:tcPr>
            <w:tcW w:w="2693"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hideMark/>
          </w:tcPr>
          <w:p w:rsidR="006D030C" w:rsidRPr="00C66550" w:rsidRDefault="006D030C" w:rsidP="00F33D31">
            <w:pPr>
              <w:jc w:val="center"/>
              <w:rPr>
                <w:b/>
                <w:szCs w:val="20"/>
              </w:rPr>
            </w:pPr>
            <w:r w:rsidRPr="00C66550">
              <w:rPr>
                <w:b/>
                <w:szCs w:val="20"/>
              </w:rPr>
              <w:t>Resource recovery rate (%)</w:t>
            </w:r>
          </w:p>
        </w:tc>
      </w:tr>
      <w:tr w:rsidR="002C302A" w:rsidRPr="00C66550" w:rsidTr="00491EE4">
        <w:trPr>
          <w:trHeight w:val="258"/>
        </w:trPr>
        <w:tc>
          <w:tcPr>
            <w:tcW w:w="1570"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2C302A" w:rsidRPr="00C66550" w:rsidRDefault="002C302A" w:rsidP="00E532F8">
            <w:pPr>
              <w:spacing w:line="240" w:lineRule="auto"/>
              <w:rPr>
                <w:rFonts w:asciiTheme="minorHAnsi" w:hAnsiTheme="minorHAnsi" w:cs="Times New Roman"/>
                <w:b/>
                <w:bCs/>
                <w:color w:val="000000"/>
                <w:szCs w:val="20"/>
                <w:lang w:eastAsia="en-GB"/>
              </w:rPr>
            </w:pPr>
          </w:p>
        </w:tc>
        <w:tc>
          <w:tcPr>
            <w:tcW w:w="2409"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2C302A" w:rsidRPr="00C66550" w:rsidRDefault="002C302A" w:rsidP="00E532F8">
            <w:pPr>
              <w:spacing w:line="240" w:lineRule="auto"/>
              <w:jc w:val="center"/>
              <w:rPr>
                <w:rFonts w:asciiTheme="minorHAnsi" w:hAnsiTheme="minorHAnsi" w:cs="Times New Roman"/>
                <w:b/>
                <w:bCs/>
                <w:color w:val="000000"/>
                <w:szCs w:val="20"/>
                <w:lang w:eastAsia="en-GB"/>
              </w:rPr>
            </w:pPr>
          </w:p>
        </w:tc>
        <w:tc>
          <w:tcPr>
            <w:tcW w:w="7513" w:type="dxa"/>
            <w:gridSpan w:val="6"/>
            <w:tcBorders>
              <w:left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auto"/>
            <w:vAlign w:val="center"/>
            <w:hideMark/>
          </w:tcPr>
          <w:p w:rsidR="002C302A" w:rsidRPr="00C66550" w:rsidRDefault="005560A4" w:rsidP="00E532F8">
            <w:pPr>
              <w:spacing w:line="240" w:lineRule="auto"/>
              <w:jc w:val="center"/>
              <w:rPr>
                <w:rFonts w:asciiTheme="minorHAnsi" w:hAnsiTheme="minorHAnsi" w:cs="Times New Roman"/>
                <w:i/>
                <w:color w:val="000000"/>
                <w:szCs w:val="20"/>
                <w:lang w:eastAsia="en-GB"/>
              </w:rPr>
            </w:pPr>
            <w:r>
              <w:rPr>
                <w:rFonts w:asciiTheme="minorHAnsi" w:hAnsiTheme="minorHAnsi" w:cs="Times New Roman"/>
                <w:i/>
                <w:color w:val="000000"/>
                <w:szCs w:val="20"/>
                <w:lang w:eastAsia="en-GB"/>
              </w:rPr>
              <w:t>Millions of tonnes</w:t>
            </w:r>
          </w:p>
        </w:tc>
        <w:tc>
          <w:tcPr>
            <w:tcW w:w="2693" w:type="dxa"/>
            <w:gridSpan w:val="2"/>
            <w:vMerge/>
            <w:tcBorders>
              <w:top w:val="single" w:sz="4" w:space="0" w:color="808080" w:themeColor="background1" w:themeShade="80"/>
              <w:left w:val="single" w:sz="4" w:space="0" w:color="BFBFBF" w:themeColor="background1" w:themeShade="BF"/>
              <w:bottom w:val="single" w:sz="4" w:space="0" w:color="808080" w:themeColor="background1" w:themeShade="80"/>
            </w:tcBorders>
            <w:shd w:val="clear" w:color="auto" w:fill="auto"/>
            <w:vAlign w:val="center"/>
            <w:hideMark/>
          </w:tcPr>
          <w:p w:rsidR="002C302A" w:rsidRPr="00C66550" w:rsidRDefault="002C302A" w:rsidP="00E532F8">
            <w:pPr>
              <w:spacing w:line="240" w:lineRule="auto"/>
              <w:jc w:val="center"/>
              <w:rPr>
                <w:rFonts w:asciiTheme="minorHAnsi" w:hAnsiTheme="minorHAnsi" w:cs="Times New Roman"/>
                <w:b/>
                <w:bCs/>
                <w:color w:val="000000"/>
                <w:szCs w:val="20"/>
                <w:lang w:eastAsia="en-GB"/>
              </w:rPr>
            </w:pPr>
          </w:p>
        </w:tc>
      </w:tr>
      <w:tr w:rsidR="00E532F8" w:rsidRPr="00C66550" w:rsidTr="005C7AF4">
        <w:trPr>
          <w:trHeight w:val="325"/>
        </w:trPr>
        <w:tc>
          <w:tcPr>
            <w:tcW w:w="157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hideMark/>
          </w:tcPr>
          <w:p w:rsidR="00E532F8" w:rsidRPr="00C66550" w:rsidRDefault="00E532F8" w:rsidP="001B255A">
            <w:pPr>
              <w:spacing w:line="240" w:lineRule="auto"/>
              <w:rPr>
                <w:rFonts w:asciiTheme="minorHAnsi" w:hAnsiTheme="minorHAnsi" w:cs="Times New Roman"/>
                <w:b/>
                <w:bCs/>
                <w:color w:val="000000"/>
                <w:szCs w:val="20"/>
                <w:lang w:eastAsia="en-GB"/>
              </w:rPr>
            </w:pP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bottom"/>
            <w:hideMark/>
          </w:tcPr>
          <w:p w:rsidR="00E532F8" w:rsidRPr="00C66550" w:rsidRDefault="002C302A" w:rsidP="00F129B2">
            <w:pPr>
              <w:spacing w:line="240" w:lineRule="auto"/>
              <w:jc w:val="right"/>
              <w:rPr>
                <w:rFonts w:asciiTheme="minorHAnsi" w:hAnsiTheme="minorHAnsi" w:cs="Times New Roman"/>
                <w:b/>
                <w:bCs/>
                <w:iCs/>
                <w:color w:val="000000"/>
                <w:szCs w:val="20"/>
                <w:vertAlign w:val="superscript"/>
                <w:lang w:eastAsia="en-GB"/>
              </w:rPr>
            </w:pPr>
            <w:r w:rsidRPr="00C66550">
              <w:rPr>
                <w:rFonts w:asciiTheme="minorHAnsi" w:hAnsiTheme="minorHAnsi" w:cs="Times New Roman"/>
                <w:b/>
                <w:bCs/>
                <w:iCs/>
                <w:color w:val="000000"/>
                <w:szCs w:val="20"/>
                <w:lang w:eastAsia="en-GB"/>
              </w:rPr>
              <w:t>2006</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r w:rsidR="00E532F8" w:rsidRPr="00C66550">
              <w:rPr>
                <w:rFonts w:asciiTheme="minorHAnsi" w:hAnsiTheme="minorHAnsi" w:cs="Times New Roman"/>
                <w:b/>
                <w:bCs/>
                <w:iCs/>
                <w:color w:val="000000"/>
                <w:szCs w:val="20"/>
                <w:vertAlign w:val="superscript"/>
                <w:lang w:eastAsia="en-GB"/>
              </w:rPr>
              <w:t>1,2</w:t>
            </w:r>
          </w:p>
        </w:tc>
        <w:tc>
          <w:tcPr>
            <w:tcW w:w="113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hideMark/>
          </w:tcPr>
          <w:p w:rsidR="00E532F8" w:rsidRPr="00C66550" w:rsidRDefault="00925721" w:rsidP="00F129B2">
            <w:pPr>
              <w:spacing w:line="240" w:lineRule="auto"/>
              <w:jc w:val="right"/>
              <w:rPr>
                <w:rFonts w:asciiTheme="minorHAnsi" w:hAnsiTheme="minorHAnsi" w:cs="Times New Roman"/>
                <w:b/>
                <w:bCs/>
                <w:iCs/>
                <w:color w:val="000000"/>
                <w:szCs w:val="20"/>
                <w:vertAlign w:val="superscript"/>
                <w:lang w:eastAsia="en-GB"/>
              </w:rPr>
            </w:pPr>
            <w:r w:rsidRPr="00C66550">
              <w:rPr>
                <w:rFonts w:asciiTheme="minorHAnsi" w:hAnsiTheme="minorHAnsi" w:cs="Times New Roman"/>
                <w:b/>
                <w:bCs/>
                <w:iCs/>
                <w:color w:val="000000"/>
                <w:szCs w:val="20"/>
                <w:lang w:eastAsia="en-GB"/>
              </w:rPr>
              <w:t>2010</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11</w:t>
            </w:r>
            <w:r w:rsidR="00E532F8" w:rsidRPr="00C66550">
              <w:rPr>
                <w:rFonts w:asciiTheme="minorHAnsi" w:hAnsiTheme="minorHAnsi" w:cs="Times New Roman"/>
                <w:b/>
                <w:bCs/>
                <w:iCs/>
                <w:color w:val="000000"/>
                <w:szCs w:val="20"/>
                <w:vertAlign w:val="superscript"/>
                <w:lang w:eastAsia="en-GB"/>
              </w:rPr>
              <w:t>3</w:t>
            </w:r>
          </w:p>
        </w:tc>
        <w:tc>
          <w:tcPr>
            <w:tcW w:w="122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bottom"/>
            <w:hideMark/>
          </w:tcPr>
          <w:p w:rsidR="00E532F8" w:rsidRPr="00C66550" w:rsidRDefault="00ED7E1D" w:rsidP="00F129B2">
            <w:pPr>
              <w:spacing w:line="240" w:lineRule="auto"/>
              <w:jc w:val="right"/>
              <w:rPr>
                <w:rFonts w:asciiTheme="minorHAnsi" w:hAnsiTheme="minorHAnsi" w:cs="Times New Roman"/>
                <w:b/>
                <w:bCs/>
                <w:iCs/>
                <w:color w:val="000000"/>
                <w:szCs w:val="20"/>
                <w:vertAlign w:val="superscript"/>
                <w:lang w:eastAsia="en-GB"/>
              </w:rPr>
            </w:pPr>
            <w:r w:rsidRPr="00C66550">
              <w:rPr>
                <w:rFonts w:asciiTheme="minorHAnsi" w:hAnsiTheme="minorHAnsi" w:cs="Times New Roman"/>
                <w:b/>
                <w:bCs/>
                <w:iCs/>
                <w:color w:val="000000"/>
                <w:szCs w:val="20"/>
                <w:lang w:eastAsia="en-GB"/>
              </w:rPr>
              <w:t>2006</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r w:rsidRPr="00C66550">
              <w:rPr>
                <w:rFonts w:asciiTheme="minorHAnsi" w:hAnsiTheme="minorHAnsi" w:cs="Times New Roman"/>
                <w:b/>
                <w:bCs/>
                <w:iCs/>
                <w:color w:val="000000"/>
                <w:szCs w:val="20"/>
                <w:vertAlign w:val="superscript"/>
                <w:lang w:eastAsia="en-GB"/>
              </w:rPr>
              <w:t>1,2</w:t>
            </w:r>
          </w:p>
        </w:tc>
        <w:tc>
          <w:tcPr>
            <w:tcW w:w="1187"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hideMark/>
          </w:tcPr>
          <w:p w:rsidR="00E532F8" w:rsidRPr="00C66550" w:rsidRDefault="00925721" w:rsidP="00F129B2">
            <w:pPr>
              <w:spacing w:line="240" w:lineRule="auto"/>
              <w:jc w:val="right"/>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2010</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11</w:t>
            </w:r>
          </w:p>
        </w:tc>
        <w:tc>
          <w:tcPr>
            <w:tcW w:w="132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bottom"/>
            <w:hideMark/>
          </w:tcPr>
          <w:p w:rsidR="00E532F8" w:rsidRPr="00C66550" w:rsidRDefault="00ED7E1D" w:rsidP="00F129B2">
            <w:pPr>
              <w:spacing w:line="240" w:lineRule="auto"/>
              <w:jc w:val="right"/>
              <w:rPr>
                <w:rFonts w:asciiTheme="minorHAnsi" w:hAnsiTheme="minorHAnsi" w:cs="Times New Roman"/>
                <w:b/>
                <w:bCs/>
                <w:iCs/>
                <w:color w:val="000000"/>
                <w:szCs w:val="20"/>
                <w:vertAlign w:val="superscript"/>
                <w:lang w:eastAsia="en-GB"/>
              </w:rPr>
            </w:pPr>
            <w:r w:rsidRPr="00C66550">
              <w:rPr>
                <w:rFonts w:asciiTheme="minorHAnsi" w:hAnsiTheme="minorHAnsi" w:cs="Times New Roman"/>
                <w:b/>
                <w:bCs/>
                <w:iCs/>
                <w:color w:val="000000"/>
                <w:szCs w:val="20"/>
                <w:lang w:eastAsia="en-GB"/>
              </w:rPr>
              <w:t>2006</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r w:rsidRPr="00C66550">
              <w:rPr>
                <w:rFonts w:asciiTheme="minorHAnsi" w:hAnsiTheme="minorHAnsi" w:cs="Times New Roman"/>
                <w:b/>
                <w:bCs/>
                <w:iCs/>
                <w:color w:val="000000"/>
                <w:szCs w:val="20"/>
                <w:vertAlign w:val="superscript"/>
                <w:lang w:eastAsia="en-GB"/>
              </w:rPr>
              <w:t>1,2</w:t>
            </w:r>
          </w:p>
        </w:tc>
        <w:tc>
          <w:tcPr>
            <w:tcW w:w="122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hideMark/>
          </w:tcPr>
          <w:p w:rsidR="00E532F8" w:rsidRPr="00C66550" w:rsidRDefault="00E6241E" w:rsidP="00F129B2">
            <w:pPr>
              <w:spacing w:line="240" w:lineRule="auto"/>
              <w:jc w:val="right"/>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2010</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11</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bottom"/>
            <w:hideMark/>
          </w:tcPr>
          <w:p w:rsidR="00E532F8" w:rsidRPr="00C66550" w:rsidRDefault="00ED7E1D" w:rsidP="00F129B2">
            <w:pPr>
              <w:spacing w:line="240" w:lineRule="auto"/>
              <w:jc w:val="right"/>
              <w:rPr>
                <w:rFonts w:asciiTheme="minorHAnsi" w:hAnsiTheme="minorHAnsi" w:cs="Times New Roman"/>
                <w:b/>
                <w:bCs/>
                <w:iCs/>
                <w:color w:val="000000"/>
                <w:szCs w:val="20"/>
                <w:vertAlign w:val="superscript"/>
                <w:lang w:eastAsia="en-GB"/>
              </w:rPr>
            </w:pPr>
            <w:r w:rsidRPr="00C66550">
              <w:rPr>
                <w:rFonts w:asciiTheme="minorHAnsi" w:hAnsiTheme="minorHAnsi" w:cs="Times New Roman"/>
                <w:b/>
                <w:bCs/>
                <w:iCs/>
                <w:color w:val="000000"/>
                <w:szCs w:val="20"/>
                <w:lang w:eastAsia="en-GB"/>
              </w:rPr>
              <w:t>2006</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r w:rsidRPr="00C66550">
              <w:rPr>
                <w:rFonts w:asciiTheme="minorHAnsi" w:hAnsiTheme="minorHAnsi" w:cs="Times New Roman"/>
                <w:b/>
                <w:bCs/>
                <w:iCs/>
                <w:color w:val="000000"/>
                <w:szCs w:val="20"/>
                <w:vertAlign w:val="superscript"/>
                <w:lang w:eastAsia="en-GB"/>
              </w:rPr>
              <w:t>1,2</w:t>
            </w:r>
          </w:p>
        </w:tc>
        <w:tc>
          <w:tcPr>
            <w:tcW w:w="125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bottom"/>
            <w:hideMark/>
          </w:tcPr>
          <w:p w:rsidR="00E532F8" w:rsidRPr="00C66550" w:rsidRDefault="00925721" w:rsidP="00F129B2">
            <w:pPr>
              <w:spacing w:line="240" w:lineRule="auto"/>
              <w:jc w:val="right"/>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2010</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11</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bottom"/>
            <w:hideMark/>
          </w:tcPr>
          <w:p w:rsidR="00E532F8" w:rsidRPr="00C66550" w:rsidRDefault="00ED7E1D" w:rsidP="00F129B2">
            <w:pPr>
              <w:spacing w:line="240" w:lineRule="auto"/>
              <w:jc w:val="right"/>
              <w:rPr>
                <w:rFonts w:asciiTheme="minorHAnsi" w:hAnsiTheme="minorHAnsi" w:cs="Times New Roman"/>
                <w:b/>
                <w:bCs/>
                <w:iCs/>
                <w:color w:val="000000"/>
                <w:szCs w:val="20"/>
                <w:vertAlign w:val="superscript"/>
                <w:lang w:eastAsia="en-GB"/>
              </w:rPr>
            </w:pPr>
            <w:r w:rsidRPr="00C66550">
              <w:rPr>
                <w:rFonts w:asciiTheme="minorHAnsi" w:hAnsiTheme="minorHAnsi" w:cs="Times New Roman"/>
                <w:b/>
                <w:bCs/>
                <w:iCs/>
                <w:color w:val="000000"/>
                <w:szCs w:val="20"/>
                <w:lang w:eastAsia="en-GB"/>
              </w:rPr>
              <w:t>2006</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r w:rsidRPr="00C66550">
              <w:rPr>
                <w:rFonts w:asciiTheme="minorHAnsi" w:hAnsiTheme="minorHAnsi" w:cs="Times New Roman"/>
                <w:b/>
                <w:bCs/>
                <w:iCs/>
                <w:color w:val="000000"/>
                <w:szCs w:val="20"/>
                <w:vertAlign w:val="superscript"/>
                <w:lang w:eastAsia="en-GB"/>
              </w:rPr>
              <w:t>1,2</w:t>
            </w:r>
          </w:p>
        </w:tc>
        <w:tc>
          <w:tcPr>
            <w:tcW w:w="1275" w:type="dxa"/>
            <w:tcBorders>
              <w:top w:val="single" w:sz="4" w:space="0" w:color="808080" w:themeColor="background1" w:themeShade="80"/>
              <w:bottom w:val="single" w:sz="4" w:space="0" w:color="808080" w:themeColor="background1" w:themeShade="80"/>
            </w:tcBorders>
            <w:shd w:val="clear" w:color="auto" w:fill="auto"/>
            <w:vAlign w:val="bottom"/>
            <w:hideMark/>
          </w:tcPr>
          <w:p w:rsidR="00E532F8" w:rsidRPr="00C66550" w:rsidRDefault="00925721" w:rsidP="00F129B2">
            <w:pPr>
              <w:spacing w:line="240" w:lineRule="auto"/>
              <w:jc w:val="right"/>
              <w:rPr>
                <w:rFonts w:asciiTheme="minorHAnsi" w:hAnsiTheme="minorHAnsi" w:cs="Times New Roman"/>
                <w:b/>
                <w:bCs/>
                <w:iCs/>
                <w:color w:val="000000"/>
                <w:szCs w:val="20"/>
                <w:lang w:eastAsia="en-GB"/>
              </w:rPr>
            </w:pPr>
            <w:r w:rsidRPr="00C66550">
              <w:rPr>
                <w:rFonts w:asciiTheme="minorHAnsi" w:hAnsiTheme="minorHAnsi" w:cs="Times New Roman"/>
                <w:b/>
                <w:bCs/>
                <w:iCs/>
                <w:color w:val="000000"/>
                <w:szCs w:val="20"/>
                <w:lang w:eastAsia="en-GB"/>
              </w:rPr>
              <w:t>2010</w:t>
            </w:r>
            <w:r w:rsidR="00F129B2"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11</w:t>
            </w:r>
          </w:p>
        </w:tc>
      </w:tr>
      <w:tr w:rsidR="00E532F8" w:rsidRPr="00C66550" w:rsidTr="001B5371">
        <w:trPr>
          <w:trHeight w:val="330"/>
        </w:trPr>
        <w:tc>
          <w:tcPr>
            <w:tcW w:w="157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1B255A">
            <w:pPr>
              <w:spacing w:line="240" w:lineRule="auto"/>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Canada</w:t>
            </w:r>
            <w:r w:rsidRPr="00C66550">
              <w:rPr>
                <w:rFonts w:asciiTheme="minorHAnsi" w:hAnsiTheme="minorHAnsi" w:cs="Arial"/>
                <w:color w:val="000000"/>
                <w:szCs w:val="20"/>
                <w:vertAlign w:val="superscript"/>
                <w:lang w:eastAsia="en-GB"/>
              </w:rPr>
              <w:t>4</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31,613</w:t>
            </w:r>
          </w:p>
        </w:tc>
        <w:tc>
          <w:tcPr>
            <w:tcW w:w="113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33,477</w:t>
            </w:r>
          </w:p>
        </w:tc>
        <w:tc>
          <w:tcPr>
            <w:tcW w:w="122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27</w:t>
            </w:r>
            <w:r w:rsidR="005560A4">
              <w:rPr>
                <w:rFonts w:asciiTheme="minorHAnsi" w:hAnsiTheme="minorHAnsi" w:cs="Times New Roman"/>
                <w:color w:val="000000"/>
                <w:szCs w:val="20"/>
                <w:lang w:eastAsia="en-GB"/>
              </w:rPr>
              <w:t>.3</w:t>
            </w:r>
          </w:p>
        </w:tc>
        <w:tc>
          <w:tcPr>
            <w:tcW w:w="1187"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25</w:t>
            </w:r>
            <w:r w:rsidR="005560A4">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8</w:t>
            </w:r>
          </w:p>
        </w:tc>
        <w:tc>
          <w:tcPr>
            <w:tcW w:w="132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7</w:t>
            </w:r>
            <w:r w:rsidR="00676333">
              <w:rPr>
                <w:rFonts w:asciiTheme="minorHAnsi" w:hAnsiTheme="minorHAnsi" w:cs="Times New Roman"/>
                <w:color w:val="000000"/>
                <w:szCs w:val="20"/>
                <w:lang w:eastAsia="en-GB"/>
              </w:rPr>
              <w:t>.7</w:t>
            </w:r>
          </w:p>
        </w:tc>
        <w:tc>
          <w:tcPr>
            <w:tcW w:w="122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w:t>
            </w:r>
            <w:r w:rsidR="00676333">
              <w:rPr>
                <w:rFonts w:asciiTheme="minorHAnsi" w:hAnsiTheme="minorHAnsi" w:cs="Times New Roman"/>
                <w:color w:val="000000"/>
                <w:szCs w:val="20"/>
                <w:lang w:eastAsia="en-GB"/>
              </w:rPr>
              <w:t>.1</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w:t>
            </w:r>
            <w:r w:rsidR="00676333">
              <w:rPr>
                <w:rFonts w:asciiTheme="minorHAnsi" w:hAnsiTheme="minorHAnsi" w:cs="Times New Roman"/>
                <w:color w:val="000000"/>
                <w:szCs w:val="20"/>
                <w:lang w:eastAsia="en-GB"/>
              </w:rPr>
              <w:t>5.0</w:t>
            </w:r>
          </w:p>
        </w:tc>
        <w:tc>
          <w:tcPr>
            <w:tcW w:w="125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34</w:t>
            </w:r>
            <w:r w:rsidR="00676333">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0</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22%</w:t>
            </w:r>
          </w:p>
        </w:tc>
        <w:tc>
          <w:tcPr>
            <w:tcW w:w="1275" w:type="dxa"/>
            <w:tcBorders>
              <w:top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24%</w:t>
            </w:r>
          </w:p>
        </w:tc>
      </w:tr>
      <w:tr w:rsidR="00E532F8" w:rsidRPr="00C66550" w:rsidTr="001B5371">
        <w:trPr>
          <w:trHeight w:val="330"/>
        </w:trPr>
        <w:tc>
          <w:tcPr>
            <w:tcW w:w="1570" w:type="dxa"/>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1B255A" w:rsidP="00656446">
            <w:pPr>
              <w:spacing w:line="240" w:lineRule="auto"/>
              <w:rPr>
                <w:rFonts w:asciiTheme="minorHAnsi" w:hAnsiTheme="minorHAnsi" w:cs="Arial"/>
                <w:color w:val="000000"/>
                <w:szCs w:val="20"/>
                <w:lang w:eastAsia="en-GB"/>
              </w:rPr>
            </w:pPr>
            <w:r w:rsidRPr="00C66550">
              <w:rPr>
                <w:rFonts w:asciiTheme="minorHAnsi" w:hAnsiTheme="minorHAnsi" w:cs="Arial"/>
                <w:color w:val="000000"/>
                <w:szCs w:val="20"/>
                <w:lang w:eastAsia="en-GB"/>
              </w:rPr>
              <w:t>US</w:t>
            </w:r>
          </w:p>
        </w:tc>
        <w:tc>
          <w:tcPr>
            <w:tcW w:w="1275"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298,75</w:t>
            </w:r>
          </w:p>
        </w:tc>
        <w:tc>
          <w:tcPr>
            <w:tcW w:w="1134" w:type="dxa"/>
            <w:vMerge w:val="restart"/>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311,592</w:t>
            </w:r>
          </w:p>
        </w:tc>
        <w:tc>
          <w:tcPr>
            <w:tcW w:w="1223"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187" w:type="dxa"/>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253</w:t>
            </w:r>
            <w:r w:rsidR="005560A4">
              <w:rPr>
                <w:rFonts w:asciiTheme="minorHAnsi" w:hAnsiTheme="minorHAnsi" w:cs="Times New Roman"/>
                <w:color w:val="000000"/>
                <w:szCs w:val="20"/>
                <w:lang w:eastAsia="en-GB"/>
              </w:rPr>
              <w:t>.1</w:t>
            </w:r>
          </w:p>
        </w:tc>
        <w:tc>
          <w:tcPr>
            <w:tcW w:w="1329"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23" w:type="dxa"/>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166</w:t>
            </w:r>
            <w:r w:rsidR="00676333">
              <w:rPr>
                <w:rFonts w:asciiTheme="minorHAnsi" w:hAnsiTheme="minorHAnsi" w:cs="Times New Roman"/>
                <w:color w:val="000000"/>
                <w:szCs w:val="20"/>
                <w:lang w:eastAsia="en-GB"/>
              </w:rPr>
              <w:t>.7</w:t>
            </w:r>
          </w:p>
        </w:tc>
        <w:tc>
          <w:tcPr>
            <w:tcW w:w="1293"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58" w:type="dxa"/>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419</w:t>
            </w:r>
            <w:r w:rsidR="00676333">
              <w:rPr>
                <w:rFonts w:asciiTheme="minorHAnsi" w:hAnsiTheme="minorHAnsi" w:cs="Times New Roman"/>
                <w:color w:val="000000"/>
                <w:szCs w:val="20"/>
                <w:lang w:eastAsia="en-GB"/>
              </w:rPr>
              <w:t>.9</w:t>
            </w:r>
          </w:p>
        </w:tc>
        <w:tc>
          <w:tcPr>
            <w:tcW w:w="1418"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75" w:type="dxa"/>
            <w:tcBorders>
              <w:top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40%</w:t>
            </w:r>
          </w:p>
        </w:tc>
      </w:tr>
      <w:tr w:rsidR="00E532F8" w:rsidRPr="00C66550" w:rsidTr="001B5371">
        <w:trPr>
          <w:trHeight w:val="330"/>
        </w:trPr>
        <w:tc>
          <w:tcPr>
            <w:tcW w:w="1570" w:type="dxa"/>
            <w:tcBorders>
              <w:right w:val="single" w:sz="4" w:space="0" w:color="808080" w:themeColor="background1" w:themeShade="80"/>
            </w:tcBorders>
            <w:shd w:val="clear" w:color="auto" w:fill="auto"/>
            <w:vAlign w:val="center"/>
            <w:hideMark/>
          </w:tcPr>
          <w:p w:rsidR="00E532F8" w:rsidRPr="00C66550" w:rsidRDefault="00E532F8" w:rsidP="001B255A">
            <w:pPr>
              <w:spacing w:line="240" w:lineRule="auto"/>
              <w:ind w:firstLineChars="100" w:firstLine="200"/>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 MSW/C&amp;I</w:t>
            </w:r>
            <w:r w:rsidRPr="00C66550">
              <w:rPr>
                <w:rFonts w:asciiTheme="minorHAnsi" w:hAnsiTheme="minorHAnsi" w:cs="Arial"/>
                <w:color w:val="000000"/>
                <w:szCs w:val="20"/>
                <w:vertAlign w:val="superscript"/>
                <w:lang w:eastAsia="en-GB"/>
              </w:rPr>
              <w:t>5</w:t>
            </w:r>
          </w:p>
        </w:tc>
        <w:tc>
          <w:tcPr>
            <w:tcW w:w="1275"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34" w:type="dxa"/>
            <w:vMerge/>
            <w:tcBorders>
              <w:righ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87" w:type="dxa"/>
            <w:tcBorders>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164</w:t>
            </w:r>
            <w:r w:rsidR="005560A4">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7</w:t>
            </w:r>
          </w:p>
        </w:tc>
        <w:tc>
          <w:tcPr>
            <w:tcW w:w="1329"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tcBorders>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85</w:t>
            </w:r>
            <w:r w:rsidR="00676333">
              <w:rPr>
                <w:rFonts w:asciiTheme="minorHAnsi" w:hAnsiTheme="minorHAnsi" w:cs="Times New Roman"/>
                <w:color w:val="000000"/>
                <w:szCs w:val="20"/>
                <w:lang w:eastAsia="en-GB"/>
              </w:rPr>
              <w:t>.1</w:t>
            </w:r>
          </w:p>
        </w:tc>
        <w:tc>
          <w:tcPr>
            <w:tcW w:w="1293"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58" w:type="dxa"/>
            <w:tcBorders>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w:t>
            </w:r>
            <w:r w:rsidR="00676333">
              <w:rPr>
                <w:rFonts w:asciiTheme="minorHAnsi" w:hAnsiTheme="minorHAnsi" w:cs="Times New Roman"/>
                <w:color w:val="000000"/>
                <w:szCs w:val="20"/>
                <w:lang w:eastAsia="en-GB"/>
              </w:rPr>
              <w:t>50.0</w:t>
            </w:r>
          </w:p>
        </w:tc>
        <w:tc>
          <w:tcPr>
            <w:tcW w:w="1418"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75" w:type="dxa"/>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34%</w:t>
            </w:r>
          </w:p>
        </w:tc>
      </w:tr>
      <w:tr w:rsidR="00E532F8" w:rsidRPr="00C66550" w:rsidTr="001B5371">
        <w:trPr>
          <w:trHeight w:val="330"/>
        </w:trPr>
        <w:tc>
          <w:tcPr>
            <w:tcW w:w="1570" w:type="dxa"/>
            <w:tcBorders>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1B255A">
            <w:pPr>
              <w:spacing w:line="240" w:lineRule="auto"/>
              <w:ind w:firstLineChars="100" w:firstLine="200"/>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 C&amp;D</w:t>
            </w:r>
            <w:r w:rsidRPr="00C66550">
              <w:rPr>
                <w:rFonts w:asciiTheme="minorHAnsi" w:hAnsiTheme="minorHAnsi" w:cs="Arial"/>
                <w:color w:val="000000"/>
                <w:szCs w:val="20"/>
                <w:vertAlign w:val="superscript"/>
                <w:lang w:eastAsia="en-GB"/>
              </w:rPr>
              <w:t>6</w:t>
            </w:r>
          </w:p>
        </w:tc>
        <w:tc>
          <w:tcPr>
            <w:tcW w:w="1275"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34" w:type="dxa"/>
            <w:vMerge/>
            <w:tcBorders>
              <w:bottom w:val="single" w:sz="4" w:space="0" w:color="808080" w:themeColor="background1" w:themeShade="80"/>
              <w:righ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87" w:type="dxa"/>
            <w:tcBorders>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88</w:t>
            </w:r>
            <w:r w:rsidR="005560A4">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4</w:t>
            </w:r>
          </w:p>
        </w:tc>
        <w:tc>
          <w:tcPr>
            <w:tcW w:w="1329"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tcBorders>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81</w:t>
            </w:r>
            <w:r w:rsidR="00676333">
              <w:rPr>
                <w:rFonts w:asciiTheme="minorHAnsi" w:hAnsiTheme="minorHAnsi" w:cs="Times New Roman"/>
                <w:color w:val="000000"/>
                <w:szCs w:val="20"/>
                <w:lang w:eastAsia="en-GB"/>
              </w:rPr>
              <w:t>.6</w:t>
            </w:r>
          </w:p>
        </w:tc>
        <w:tc>
          <w:tcPr>
            <w:tcW w:w="1293"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58" w:type="dxa"/>
            <w:tcBorders>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170</w:t>
            </w:r>
            <w:r w:rsidR="00676333">
              <w:rPr>
                <w:rFonts w:asciiTheme="minorHAnsi" w:hAnsiTheme="minorHAnsi" w:cs="Times New Roman"/>
                <w:color w:val="000000"/>
                <w:szCs w:val="20"/>
                <w:lang w:eastAsia="en-GB"/>
              </w:rPr>
              <w:t>.0</w:t>
            </w:r>
          </w:p>
        </w:tc>
        <w:tc>
          <w:tcPr>
            <w:tcW w:w="1418"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75" w:type="dxa"/>
            <w:tcBorders>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48%</w:t>
            </w:r>
          </w:p>
        </w:tc>
      </w:tr>
      <w:tr w:rsidR="00E532F8" w:rsidRPr="00C66550" w:rsidTr="001B5371">
        <w:trPr>
          <w:trHeight w:val="330"/>
        </w:trPr>
        <w:tc>
          <w:tcPr>
            <w:tcW w:w="157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1B255A">
            <w:pPr>
              <w:spacing w:line="240" w:lineRule="auto"/>
              <w:rPr>
                <w:rFonts w:asciiTheme="minorHAnsi" w:hAnsiTheme="minorHAnsi" w:cs="Arial"/>
                <w:color w:val="000000"/>
                <w:szCs w:val="20"/>
                <w:lang w:eastAsia="en-GB"/>
              </w:rPr>
            </w:pPr>
            <w:r w:rsidRPr="00C66550">
              <w:rPr>
                <w:rFonts w:asciiTheme="minorHAnsi" w:hAnsiTheme="minorHAnsi" w:cs="Arial"/>
                <w:color w:val="000000"/>
                <w:szCs w:val="20"/>
                <w:lang w:eastAsia="en-GB"/>
              </w:rPr>
              <w:t>Germany</w:t>
            </w:r>
            <w:r w:rsidRPr="00C66550">
              <w:rPr>
                <w:rFonts w:asciiTheme="minorHAnsi" w:hAnsiTheme="minorHAnsi" w:cs="Arial"/>
                <w:color w:val="000000"/>
                <w:szCs w:val="20"/>
                <w:vertAlign w:val="superscript"/>
                <w:lang w:eastAsia="en-GB"/>
              </w:rPr>
              <w:t>7,8</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82,438</w:t>
            </w:r>
          </w:p>
        </w:tc>
        <w:tc>
          <w:tcPr>
            <w:tcW w:w="113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81,800</w:t>
            </w:r>
          </w:p>
        </w:tc>
        <w:tc>
          <w:tcPr>
            <w:tcW w:w="122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52</w:t>
            </w:r>
            <w:r w:rsidR="005560A4">
              <w:rPr>
                <w:rFonts w:asciiTheme="minorHAnsi" w:hAnsiTheme="minorHAnsi" w:cs="Times New Roman"/>
                <w:color w:val="000000"/>
                <w:szCs w:val="20"/>
                <w:lang w:eastAsia="en-GB"/>
              </w:rPr>
              <w:t>.7</w:t>
            </w:r>
          </w:p>
        </w:tc>
        <w:tc>
          <w:tcPr>
            <w:tcW w:w="1187"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5560A4" w:rsidP="006D030C">
            <w:pPr>
              <w:spacing w:line="240" w:lineRule="auto"/>
              <w:jc w:val="right"/>
              <w:rPr>
                <w:rFonts w:asciiTheme="minorHAnsi" w:hAnsiTheme="minorHAnsi" w:cs="Times New Roman"/>
                <w:color w:val="000000"/>
                <w:szCs w:val="20"/>
                <w:lang w:eastAsia="en-GB"/>
              </w:rPr>
            </w:pPr>
            <w:r>
              <w:rPr>
                <w:rFonts w:asciiTheme="minorHAnsi" w:hAnsiTheme="minorHAnsi" w:cs="Times New Roman"/>
                <w:color w:val="000000"/>
                <w:szCs w:val="20"/>
                <w:lang w:eastAsia="en-GB"/>
              </w:rPr>
              <w:t>34.0</w:t>
            </w:r>
          </w:p>
        </w:tc>
        <w:tc>
          <w:tcPr>
            <w:tcW w:w="132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199</w:t>
            </w:r>
            <w:r w:rsidR="00676333">
              <w:rPr>
                <w:rFonts w:asciiTheme="minorHAnsi" w:hAnsiTheme="minorHAnsi" w:cs="Times New Roman"/>
                <w:color w:val="000000"/>
                <w:szCs w:val="20"/>
                <w:lang w:eastAsia="en-GB"/>
              </w:rPr>
              <w:t>.4</w:t>
            </w:r>
          </w:p>
        </w:tc>
        <w:tc>
          <w:tcPr>
            <w:tcW w:w="122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345</w:t>
            </w:r>
            <w:r w:rsidR="00676333">
              <w:rPr>
                <w:rFonts w:asciiTheme="minorHAnsi" w:hAnsiTheme="minorHAnsi" w:cs="Times New Roman"/>
                <w:color w:val="000000"/>
                <w:szCs w:val="20"/>
                <w:lang w:eastAsia="en-GB"/>
              </w:rPr>
              <w:t>.4</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252</w:t>
            </w:r>
            <w:r w:rsidR="00676333">
              <w:rPr>
                <w:rFonts w:asciiTheme="minorHAnsi" w:hAnsiTheme="minorHAnsi" w:cs="Times New Roman"/>
                <w:color w:val="000000"/>
                <w:szCs w:val="20"/>
                <w:lang w:eastAsia="en-GB"/>
              </w:rPr>
              <w:t>.1</w:t>
            </w:r>
          </w:p>
        </w:tc>
        <w:tc>
          <w:tcPr>
            <w:tcW w:w="125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379</w:t>
            </w:r>
            <w:r w:rsidR="00676333">
              <w:rPr>
                <w:rFonts w:asciiTheme="minorHAnsi" w:hAnsiTheme="minorHAnsi" w:cs="Times New Roman"/>
                <w:color w:val="000000"/>
                <w:szCs w:val="20"/>
                <w:lang w:eastAsia="en-GB"/>
              </w:rPr>
              <w:t>.4</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79%</w:t>
            </w:r>
          </w:p>
        </w:tc>
        <w:tc>
          <w:tcPr>
            <w:tcW w:w="1275" w:type="dxa"/>
            <w:tcBorders>
              <w:top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91%</w:t>
            </w:r>
          </w:p>
        </w:tc>
      </w:tr>
      <w:tr w:rsidR="00E532F8" w:rsidRPr="00C66550" w:rsidTr="001B5371">
        <w:trPr>
          <w:trHeight w:val="330"/>
        </w:trPr>
        <w:tc>
          <w:tcPr>
            <w:tcW w:w="1570" w:type="dxa"/>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1B255A">
            <w:pPr>
              <w:spacing w:line="240" w:lineRule="auto"/>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UK</w:t>
            </w:r>
            <w:r w:rsidRPr="00C66550">
              <w:rPr>
                <w:rFonts w:asciiTheme="minorHAnsi" w:hAnsiTheme="minorHAnsi" w:cs="Arial"/>
                <w:color w:val="000000"/>
                <w:szCs w:val="20"/>
                <w:vertAlign w:val="superscript"/>
                <w:lang w:eastAsia="en-GB"/>
              </w:rPr>
              <w:t>7,9</w:t>
            </w:r>
          </w:p>
        </w:tc>
        <w:tc>
          <w:tcPr>
            <w:tcW w:w="1275"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50,793</w:t>
            </w:r>
          </w:p>
        </w:tc>
        <w:tc>
          <w:tcPr>
            <w:tcW w:w="1134" w:type="dxa"/>
            <w:vMerge w:val="restart"/>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63,200</w:t>
            </w:r>
          </w:p>
        </w:tc>
        <w:tc>
          <w:tcPr>
            <w:tcW w:w="1223"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187" w:type="dxa"/>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56</w:t>
            </w:r>
            <w:r w:rsidR="005560A4">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8</w:t>
            </w:r>
          </w:p>
        </w:tc>
        <w:tc>
          <w:tcPr>
            <w:tcW w:w="1329"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23" w:type="dxa"/>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104</w:t>
            </w:r>
            <w:r w:rsidR="00676333">
              <w:rPr>
                <w:rFonts w:asciiTheme="minorHAnsi" w:hAnsiTheme="minorHAnsi" w:cs="Times New Roman"/>
                <w:color w:val="000000"/>
                <w:szCs w:val="20"/>
                <w:lang w:eastAsia="en-GB"/>
              </w:rPr>
              <w:t>.6</w:t>
            </w:r>
          </w:p>
        </w:tc>
        <w:tc>
          <w:tcPr>
            <w:tcW w:w="1293"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58" w:type="dxa"/>
            <w:tcBorders>
              <w:top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161</w:t>
            </w:r>
            <w:r w:rsidR="00676333">
              <w:rPr>
                <w:rFonts w:asciiTheme="minorHAnsi" w:hAnsiTheme="minorHAnsi" w:cs="Times New Roman"/>
                <w:color w:val="000000"/>
                <w:szCs w:val="20"/>
                <w:lang w:eastAsia="en-GB"/>
              </w:rPr>
              <w:t>.3</w:t>
            </w:r>
          </w:p>
        </w:tc>
        <w:tc>
          <w:tcPr>
            <w:tcW w:w="1418" w:type="dxa"/>
            <w:vMerge w:val="restart"/>
            <w:tcBorders>
              <w:top w:val="single" w:sz="4" w:space="0" w:color="808080" w:themeColor="background1" w:themeShade="80"/>
              <w:lef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75" w:type="dxa"/>
            <w:tcBorders>
              <w:top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65%</w:t>
            </w:r>
          </w:p>
        </w:tc>
      </w:tr>
      <w:tr w:rsidR="00E532F8" w:rsidRPr="00C66550" w:rsidTr="001B5371">
        <w:trPr>
          <w:trHeight w:val="330"/>
        </w:trPr>
        <w:tc>
          <w:tcPr>
            <w:tcW w:w="1570" w:type="dxa"/>
            <w:tcBorders>
              <w:right w:val="single" w:sz="4" w:space="0" w:color="808080" w:themeColor="background1" w:themeShade="80"/>
            </w:tcBorders>
            <w:shd w:val="clear" w:color="auto" w:fill="auto"/>
            <w:vAlign w:val="center"/>
            <w:hideMark/>
          </w:tcPr>
          <w:p w:rsidR="00E532F8" w:rsidRPr="00C66550" w:rsidRDefault="00E532F8" w:rsidP="001B255A">
            <w:pPr>
              <w:spacing w:line="240" w:lineRule="auto"/>
              <w:ind w:firstLineChars="100" w:firstLine="200"/>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 MSW</w:t>
            </w:r>
          </w:p>
        </w:tc>
        <w:tc>
          <w:tcPr>
            <w:tcW w:w="1275"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34" w:type="dxa"/>
            <w:vMerge/>
            <w:tcBorders>
              <w:righ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87" w:type="dxa"/>
            <w:tcBorders>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12</w:t>
            </w:r>
            <w:r w:rsidR="005560A4">
              <w:rPr>
                <w:rFonts w:asciiTheme="minorHAnsi" w:hAnsiTheme="minorHAnsi" w:cs="Times New Roman"/>
                <w:color w:val="000000"/>
                <w:szCs w:val="20"/>
                <w:lang w:eastAsia="en-GB"/>
              </w:rPr>
              <w:t>.5</w:t>
            </w:r>
          </w:p>
        </w:tc>
        <w:tc>
          <w:tcPr>
            <w:tcW w:w="1329"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tcBorders>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14</w:t>
            </w:r>
            <w:r w:rsidR="00676333">
              <w:rPr>
                <w:rFonts w:asciiTheme="minorHAnsi" w:hAnsiTheme="minorHAnsi" w:cs="Times New Roman"/>
                <w:color w:val="000000"/>
                <w:szCs w:val="20"/>
                <w:lang w:eastAsia="en-GB"/>
              </w:rPr>
              <w:t>.1</w:t>
            </w:r>
          </w:p>
        </w:tc>
        <w:tc>
          <w:tcPr>
            <w:tcW w:w="1293"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58" w:type="dxa"/>
            <w:tcBorders>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26</w:t>
            </w:r>
            <w:r w:rsidR="00676333">
              <w:rPr>
                <w:rFonts w:asciiTheme="minorHAnsi" w:hAnsiTheme="minorHAnsi" w:cs="Times New Roman"/>
                <w:color w:val="000000"/>
                <w:szCs w:val="20"/>
                <w:lang w:eastAsia="en-GB"/>
              </w:rPr>
              <w:t>.5</w:t>
            </w:r>
          </w:p>
        </w:tc>
        <w:tc>
          <w:tcPr>
            <w:tcW w:w="1418"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75" w:type="dxa"/>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53%</w:t>
            </w:r>
          </w:p>
        </w:tc>
      </w:tr>
      <w:tr w:rsidR="00E532F8" w:rsidRPr="00C66550" w:rsidTr="001B5371">
        <w:trPr>
          <w:trHeight w:val="330"/>
        </w:trPr>
        <w:tc>
          <w:tcPr>
            <w:tcW w:w="1570" w:type="dxa"/>
            <w:tcBorders>
              <w:right w:val="single" w:sz="4" w:space="0" w:color="808080" w:themeColor="background1" w:themeShade="80"/>
            </w:tcBorders>
            <w:shd w:val="clear" w:color="auto" w:fill="auto"/>
            <w:vAlign w:val="center"/>
            <w:hideMark/>
          </w:tcPr>
          <w:p w:rsidR="00E532F8" w:rsidRPr="00C66550" w:rsidRDefault="00E532F8" w:rsidP="001B255A">
            <w:pPr>
              <w:spacing w:line="240" w:lineRule="auto"/>
              <w:ind w:firstLineChars="100" w:firstLine="200"/>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-C&amp;I</w:t>
            </w:r>
          </w:p>
        </w:tc>
        <w:tc>
          <w:tcPr>
            <w:tcW w:w="1275"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34" w:type="dxa"/>
            <w:vMerge/>
            <w:tcBorders>
              <w:righ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87" w:type="dxa"/>
            <w:tcBorders>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11</w:t>
            </w:r>
            <w:r w:rsidR="005560A4">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3</w:t>
            </w:r>
          </w:p>
        </w:tc>
        <w:tc>
          <w:tcPr>
            <w:tcW w:w="1329"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tcBorders>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36</w:t>
            </w:r>
            <w:r w:rsidR="00676333">
              <w:rPr>
                <w:rFonts w:asciiTheme="minorHAnsi" w:hAnsiTheme="minorHAnsi" w:cs="Times New Roman"/>
                <w:color w:val="000000"/>
                <w:szCs w:val="20"/>
                <w:lang w:eastAsia="en-GB"/>
              </w:rPr>
              <w:t>.6</w:t>
            </w:r>
          </w:p>
        </w:tc>
        <w:tc>
          <w:tcPr>
            <w:tcW w:w="1293"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58" w:type="dxa"/>
            <w:tcBorders>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47</w:t>
            </w:r>
            <w:r w:rsidR="00676333">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9</w:t>
            </w:r>
          </w:p>
        </w:tc>
        <w:tc>
          <w:tcPr>
            <w:tcW w:w="1418" w:type="dxa"/>
            <w:vMerge/>
            <w:tcBorders>
              <w:lef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75" w:type="dxa"/>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76%</w:t>
            </w:r>
          </w:p>
        </w:tc>
      </w:tr>
      <w:tr w:rsidR="00E532F8" w:rsidRPr="00C66550" w:rsidTr="001B5371">
        <w:trPr>
          <w:trHeight w:val="330"/>
        </w:trPr>
        <w:tc>
          <w:tcPr>
            <w:tcW w:w="1570" w:type="dxa"/>
            <w:tcBorders>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1B255A">
            <w:pPr>
              <w:spacing w:line="240" w:lineRule="auto"/>
              <w:ind w:firstLineChars="100" w:firstLine="200"/>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 C&amp;D</w:t>
            </w:r>
          </w:p>
        </w:tc>
        <w:tc>
          <w:tcPr>
            <w:tcW w:w="1275"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34" w:type="dxa"/>
            <w:vMerge/>
            <w:tcBorders>
              <w:bottom w:val="single" w:sz="4" w:space="0" w:color="808080" w:themeColor="background1" w:themeShade="80"/>
              <w:right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87" w:type="dxa"/>
            <w:tcBorders>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33</w:t>
            </w:r>
            <w:r w:rsidR="005560A4">
              <w:rPr>
                <w:rFonts w:asciiTheme="minorHAnsi" w:hAnsiTheme="minorHAnsi" w:cs="Times New Roman"/>
                <w:color w:val="000000"/>
                <w:szCs w:val="20"/>
                <w:lang w:eastAsia="en-GB"/>
              </w:rPr>
              <w:t>.0</w:t>
            </w:r>
          </w:p>
        </w:tc>
        <w:tc>
          <w:tcPr>
            <w:tcW w:w="1329"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23" w:type="dxa"/>
            <w:tcBorders>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53</w:t>
            </w:r>
            <w:r w:rsidR="00676333">
              <w:rPr>
                <w:rFonts w:asciiTheme="minorHAnsi" w:hAnsiTheme="minorHAnsi" w:cs="Times New Roman"/>
                <w:color w:val="000000"/>
                <w:szCs w:val="20"/>
                <w:lang w:eastAsia="en-GB"/>
              </w:rPr>
              <w:t>.9</w:t>
            </w:r>
          </w:p>
        </w:tc>
        <w:tc>
          <w:tcPr>
            <w:tcW w:w="1293"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58" w:type="dxa"/>
            <w:tcBorders>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86</w:t>
            </w:r>
            <w:r w:rsidR="00676333">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9</w:t>
            </w:r>
          </w:p>
        </w:tc>
        <w:tc>
          <w:tcPr>
            <w:tcW w:w="1418" w:type="dxa"/>
            <w:vMerge/>
            <w:tcBorders>
              <w:left w:val="single" w:sz="4" w:space="0" w:color="808080" w:themeColor="background1" w:themeShade="80"/>
              <w:bottom w:val="single" w:sz="4" w:space="0" w:color="808080" w:themeColor="background1" w:themeShade="80"/>
            </w:tcBorders>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275" w:type="dxa"/>
            <w:tcBorders>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62%</w:t>
            </w:r>
          </w:p>
        </w:tc>
      </w:tr>
      <w:tr w:rsidR="00E532F8" w:rsidRPr="00C66550" w:rsidTr="001B5371">
        <w:trPr>
          <w:trHeight w:val="330"/>
        </w:trPr>
        <w:tc>
          <w:tcPr>
            <w:tcW w:w="157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1B255A">
            <w:pPr>
              <w:spacing w:line="240" w:lineRule="auto"/>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Australia</w:t>
            </w:r>
            <w:r w:rsidRPr="00C66550">
              <w:rPr>
                <w:rFonts w:asciiTheme="minorHAnsi" w:hAnsiTheme="minorHAnsi" w:cs="Arial"/>
                <w:color w:val="000000"/>
                <w:szCs w:val="20"/>
                <w:vertAlign w:val="superscript"/>
                <w:lang w:eastAsia="en-GB"/>
              </w:rPr>
              <w:t>2</w:t>
            </w:r>
            <w:r w:rsidR="00F3324F" w:rsidRPr="00C66550">
              <w:rPr>
                <w:rFonts w:asciiTheme="minorHAnsi" w:hAnsiTheme="minorHAnsi" w:cs="Arial"/>
                <w:color w:val="000000"/>
                <w:szCs w:val="20"/>
                <w:vertAlign w:val="superscript"/>
                <w:lang w:eastAsia="en-GB"/>
              </w:rPr>
              <w:t>, 11</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C0C0C" w:themeColor="text1"/>
                <w:szCs w:val="20"/>
                <w:vertAlign w:val="superscript"/>
                <w:lang w:eastAsia="en-GB"/>
              </w:rPr>
            </w:pPr>
            <w:r w:rsidRPr="00C66550">
              <w:rPr>
                <w:rFonts w:asciiTheme="minorHAnsi" w:hAnsiTheme="minorHAnsi"/>
                <w:color w:val="0C0C0C" w:themeColor="text1"/>
                <w:szCs w:val="20"/>
              </w:rPr>
              <w:t>20,893</w:t>
            </w:r>
            <w:r w:rsidRPr="00C66550">
              <w:rPr>
                <w:rFonts w:asciiTheme="minorHAnsi" w:hAnsiTheme="minorHAnsi"/>
                <w:color w:val="0C0C0C" w:themeColor="text1"/>
                <w:szCs w:val="20"/>
                <w:vertAlign w:val="superscript"/>
              </w:rPr>
              <w:t>2</w:t>
            </w:r>
          </w:p>
        </w:tc>
        <w:tc>
          <w:tcPr>
            <w:tcW w:w="113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C0C0C" w:themeColor="text1"/>
                <w:szCs w:val="20"/>
                <w:lang w:eastAsia="en-GB"/>
              </w:rPr>
            </w:pPr>
            <w:r w:rsidRPr="00C66550">
              <w:rPr>
                <w:rFonts w:asciiTheme="minorHAnsi" w:hAnsiTheme="minorHAnsi"/>
                <w:color w:val="0C0C0C" w:themeColor="text1"/>
                <w:szCs w:val="20"/>
              </w:rPr>
              <w:t>22,222</w:t>
            </w:r>
          </w:p>
        </w:tc>
        <w:tc>
          <w:tcPr>
            <w:tcW w:w="122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C0C0C" w:themeColor="text1"/>
                <w:szCs w:val="20"/>
                <w:vertAlign w:val="superscript"/>
                <w:lang w:eastAsia="en-GB"/>
              </w:rPr>
            </w:pPr>
            <w:r w:rsidRPr="00C66550">
              <w:rPr>
                <w:rFonts w:asciiTheme="minorHAnsi" w:hAnsiTheme="minorHAnsi"/>
                <w:color w:val="0C0C0C" w:themeColor="text1"/>
                <w:szCs w:val="20"/>
              </w:rPr>
              <w:t>21</w:t>
            </w:r>
            <w:r w:rsidR="005560A4">
              <w:rPr>
                <w:rFonts w:asciiTheme="minorHAnsi" w:hAnsiTheme="minorHAnsi"/>
                <w:color w:val="0C0C0C" w:themeColor="text1"/>
                <w:szCs w:val="20"/>
              </w:rPr>
              <w:t>.5</w:t>
            </w:r>
          </w:p>
        </w:tc>
        <w:tc>
          <w:tcPr>
            <w:tcW w:w="1187"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C0C0C" w:themeColor="text1"/>
                <w:szCs w:val="20"/>
                <w:lang w:eastAsia="en-GB"/>
              </w:rPr>
            </w:pPr>
            <w:r w:rsidRPr="00C66550">
              <w:rPr>
                <w:rFonts w:asciiTheme="minorHAnsi" w:hAnsiTheme="minorHAnsi"/>
                <w:color w:val="0C0C0C" w:themeColor="text1"/>
                <w:szCs w:val="20"/>
              </w:rPr>
              <w:t>19</w:t>
            </w:r>
            <w:r w:rsidR="005560A4">
              <w:rPr>
                <w:rFonts w:asciiTheme="minorHAnsi" w:hAnsiTheme="minorHAnsi"/>
                <w:color w:val="0C0C0C" w:themeColor="text1"/>
                <w:szCs w:val="20"/>
              </w:rPr>
              <w:t>.5</w:t>
            </w:r>
          </w:p>
        </w:tc>
        <w:tc>
          <w:tcPr>
            <w:tcW w:w="132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C0C0C" w:themeColor="text1"/>
                <w:szCs w:val="20"/>
                <w:vertAlign w:val="superscript"/>
                <w:lang w:eastAsia="en-GB"/>
              </w:rPr>
            </w:pPr>
            <w:r w:rsidRPr="00C66550">
              <w:rPr>
                <w:rFonts w:asciiTheme="minorHAnsi" w:hAnsiTheme="minorHAnsi"/>
                <w:color w:val="0C0C0C" w:themeColor="text1"/>
                <w:szCs w:val="20"/>
              </w:rPr>
              <w:t>22</w:t>
            </w:r>
            <w:r w:rsidR="00676333">
              <w:rPr>
                <w:rFonts w:asciiTheme="minorHAnsi" w:hAnsiTheme="minorHAnsi"/>
                <w:color w:val="0C0C0C" w:themeColor="text1"/>
                <w:szCs w:val="20"/>
              </w:rPr>
              <w:t>.8</w:t>
            </w:r>
            <w:r w:rsidRPr="00C66550">
              <w:rPr>
                <w:rFonts w:asciiTheme="minorHAnsi" w:hAnsiTheme="minorHAnsi"/>
                <w:color w:val="0C0C0C" w:themeColor="text1"/>
                <w:szCs w:val="20"/>
                <w:vertAlign w:val="superscript"/>
              </w:rPr>
              <w:t>2</w:t>
            </w:r>
          </w:p>
        </w:tc>
        <w:tc>
          <w:tcPr>
            <w:tcW w:w="122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C0C0C" w:themeColor="text1"/>
                <w:szCs w:val="20"/>
                <w:lang w:eastAsia="en-GB"/>
              </w:rPr>
            </w:pPr>
            <w:r w:rsidRPr="00C66550">
              <w:rPr>
                <w:rFonts w:asciiTheme="minorHAnsi" w:hAnsiTheme="minorHAnsi"/>
                <w:color w:val="0C0C0C" w:themeColor="text1"/>
                <w:szCs w:val="20"/>
              </w:rPr>
              <w:t>28</w:t>
            </w:r>
            <w:r w:rsidR="00676333">
              <w:rPr>
                <w:rFonts w:asciiTheme="minorHAnsi" w:hAnsiTheme="minorHAnsi"/>
                <w:color w:val="0C0C0C" w:themeColor="text1"/>
                <w:szCs w:val="20"/>
              </w:rPr>
              <w:t>.9</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C0C0C" w:themeColor="text1"/>
                <w:szCs w:val="20"/>
                <w:vertAlign w:val="superscript"/>
                <w:lang w:eastAsia="en-GB"/>
              </w:rPr>
            </w:pPr>
            <w:r w:rsidRPr="00C66550">
              <w:rPr>
                <w:rFonts w:asciiTheme="minorHAnsi" w:hAnsiTheme="minorHAnsi"/>
                <w:color w:val="0C0C0C" w:themeColor="text1"/>
                <w:szCs w:val="20"/>
              </w:rPr>
              <w:t>4</w:t>
            </w:r>
            <w:r w:rsidR="006E574F" w:rsidRPr="00C66550">
              <w:rPr>
                <w:rFonts w:asciiTheme="minorHAnsi" w:hAnsiTheme="minorHAnsi"/>
                <w:color w:val="0C0C0C" w:themeColor="text1"/>
                <w:szCs w:val="20"/>
              </w:rPr>
              <w:t>4</w:t>
            </w:r>
            <w:r w:rsidR="00676333">
              <w:rPr>
                <w:rFonts w:asciiTheme="minorHAnsi" w:hAnsiTheme="minorHAnsi"/>
                <w:color w:val="0C0C0C" w:themeColor="text1"/>
                <w:szCs w:val="20"/>
              </w:rPr>
              <w:t>.3</w:t>
            </w:r>
            <w:r w:rsidRPr="00C66550">
              <w:rPr>
                <w:rFonts w:asciiTheme="minorHAnsi" w:hAnsiTheme="minorHAnsi"/>
                <w:color w:val="0C0C0C" w:themeColor="text1"/>
                <w:szCs w:val="20"/>
                <w:vertAlign w:val="superscript"/>
              </w:rPr>
              <w:t>2</w:t>
            </w:r>
          </w:p>
        </w:tc>
        <w:tc>
          <w:tcPr>
            <w:tcW w:w="125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DE0B24">
            <w:pPr>
              <w:spacing w:line="240" w:lineRule="auto"/>
              <w:jc w:val="right"/>
              <w:rPr>
                <w:rFonts w:asciiTheme="minorHAnsi" w:hAnsiTheme="minorHAnsi" w:cs="Times New Roman"/>
                <w:color w:val="0C0C0C" w:themeColor="text1"/>
                <w:szCs w:val="20"/>
                <w:lang w:eastAsia="en-GB"/>
              </w:rPr>
            </w:pPr>
            <w:r w:rsidRPr="00C66550">
              <w:rPr>
                <w:rFonts w:asciiTheme="minorHAnsi" w:hAnsiTheme="minorHAnsi"/>
                <w:color w:val="0C0C0C" w:themeColor="text1"/>
                <w:szCs w:val="20"/>
              </w:rPr>
              <w:t>4</w:t>
            </w:r>
            <w:r w:rsidR="006E574F" w:rsidRPr="00C66550">
              <w:rPr>
                <w:rFonts w:asciiTheme="minorHAnsi" w:hAnsiTheme="minorHAnsi"/>
                <w:color w:val="0C0C0C" w:themeColor="text1"/>
                <w:szCs w:val="20"/>
              </w:rPr>
              <w:t>8</w:t>
            </w:r>
            <w:r w:rsidR="00676333">
              <w:rPr>
                <w:rFonts w:asciiTheme="minorHAnsi" w:hAnsiTheme="minorHAnsi"/>
                <w:color w:val="0C0C0C" w:themeColor="text1"/>
                <w:szCs w:val="20"/>
              </w:rPr>
              <w:t>.</w:t>
            </w:r>
            <w:r w:rsidR="00DE0B24">
              <w:rPr>
                <w:rFonts w:asciiTheme="minorHAnsi" w:hAnsiTheme="minorHAnsi"/>
                <w:color w:val="0C0C0C" w:themeColor="text1"/>
                <w:szCs w:val="20"/>
              </w:rPr>
              <w:t>3</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8E1F95" w:rsidP="006E574F">
            <w:pPr>
              <w:spacing w:line="240" w:lineRule="auto"/>
              <w:jc w:val="right"/>
              <w:rPr>
                <w:rFonts w:asciiTheme="minorHAnsi" w:hAnsiTheme="minorHAnsi" w:cs="Times New Roman"/>
                <w:color w:val="0C0C0C" w:themeColor="text1"/>
                <w:szCs w:val="20"/>
                <w:vertAlign w:val="superscript"/>
                <w:lang w:eastAsia="en-GB"/>
              </w:rPr>
            </w:pPr>
            <w:r w:rsidRPr="00C66550">
              <w:rPr>
                <w:rFonts w:asciiTheme="minorHAnsi" w:hAnsiTheme="minorHAnsi"/>
                <w:color w:val="0C0C0C" w:themeColor="text1"/>
                <w:szCs w:val="20"/>
              </w:rPr>
              <w:t>5</w:t>
            </w:r>
            <w:r w:rsidR="006E574F" w:rsidRPr="00C66550">
              <w:rPr>
                <w:rFonts w:asciiTheme="minorHAnsi" w:hAnsiTheme="minorHAnsi"/>
                <w:color w:val="0C0C0C" w:themeColor="text1"/>
                <w:szCs w:val="20"/>
              </w:rPr>
              <w:t>1</w:t>
            </w:r>
            <w:r w:rsidR="00E532F8" w:rsidRPr="00C66550">
              <w:rPr>
                <w:rFonts w:asciiTheme="minorHAnsi" w:hAnsiTheme="minorHAnsi"/>
                <w:color w:val="0C0C0C" w:themeColor="text1"/>
                <w:szCs w:val="20"/>
              </w:rPr>
              <w:t>%</w:t>
            </w:r>
            <w:r w:rsidR="00E532F8" w:rsidRPr="00C66550">
              <w:rPr>
                <w:rFonts w:asciiTheme="minorHAnsi" w:hAnsiTheme="minorHAnsi"/>
                <w:color w:val="0C0C0C" w:themeColor="text1"/>
                <w:szCs w:val="20"/>
                <w:vertAlign w:val="superscript"/>
              </w:rPr>
              <w:t>2</w:t>
            </w:r>
          </w:p>
        </w:tc>
        <w:tc>
          <w:tcPr>
            <w:tcW w:w="1275" w:type="dxa"/>
            <w:tcBorders>
              <w:top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8E1F95" w:rsidP="006D030C">
            <w:pPr>
              <w:spacing w:line="240" w:lineRule="auto"/>
              <w:jc w:val="right"/>
              <w:rPr>
                <w:rFonts w:asciiTheme="minorHAnsi" w:hAnsiTheme="minorHAnsi" w:cs="Times New Roman"/>
                <w:color w:val="0C0C0C" w:themeColor="text1"/>
                <w:szCs w:val="20"/>
                <w:lang w:eastAsia="en-GB"/>
              </w:rPr>
            </w:pPr>
            <w:r w:rsidRPr="00C66550">
              <w:rPr>
                <w:rFonts w:asciiTheme="minorHAnsi" w:hAnsiTheme="minorHAnsi"/>
                <w:color w:val="0C0C0C" w:themeColor="text1"/>
                <w:szCs w:val="20"/>
              </w:rPr>
              <w:t>60</w:t>
            </w:r>
            <w:r w:rsidR="00E532F8" w:rsidRPr="00C66550">
              <w:rPr>
                <w:rFonts w:asciiTheme="minorHAnsi" w:hAnsiTheme="minorHAnsi"/>
                <w:color w:val="0C0C0C" w:themeColor="text1"/>
                <w:szCs w:val="20"/>
              </w:rPr>
              <w:t>%</w:t>
            </w:r>
          </w:p>
        </w:tc>
      </w:tr>
      <w:tr w:rsidR="00E532F8" w:rsidRPr="00C66550" w:rsidTr="001B5371">
        <w:trPr>
          <w:trHeight w:val="330"/>
        </w:trPr>
        <w:tc>
          <w:tcPr>
            <w:tcW w:w="157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121145" w:rsidP="001B255A">
            <w:pPr>
              <w:spacing w:line="240" w:lineRule="auto"/>
              <w:rPr>
                <w:rFonts w:asciiTheme="minorHAnsi" w:hAnsiTheme="minorHAnsi" w:cs="Arial"/>
                <w:color w:val="000000"/>
                <w:szCs w:val="20"/>
                <w:vertAlign w:val="superscript"/>
                <w:lang w:eastAsia="en-GB"/>
              </w:rPr>
            </w:pPr>
            <w:r w:rsidRPr="00C66550">
              <w:rPr>
                <w:rFonts w:asciiTheme="minorHAnsi" w:hAnsiTheme="minorHAnsi" w:cs="Arial"/>
                <w:color w:val="000000"/>
                <w:szCs w:val="20"/>
                <w:lang w:eastAsia="en-GB"/>
              </w:rPr>
              <w:t>NZ</w:t>
            </w:r>
            <w:r w:rsidR="00E532F8" w:rsidRPr="00C66550">
              <w:rPr>
                <w:rFonts w:asciiTheme="minorHAnsi" w:hAnsiTheme="minorHAnsi" w:cs="Arial"/>
                <w:color w:val="000000"/>
                <w:szCs w:val="20"/>
                <w:vertAlign w:val="superscript"/>
                <w:lang w:eastAsia="en-GB"/>
              </w:rPr>
              <w:t>10</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p>
        </w:tc>
        <w:tc>
          <w:tcPr>
            <w:tcW w:w="113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4,367</w:t>
            </w:r>
          </w:p>
        </w:tc>
        <w:tc>
          <w:tcPr>
            <w:tcW w:w="122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187"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5560A4">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6</w:t>
            </w:r>
            <w:r w:rsidR="005560A4">
              <w:rPr>
                <w:rFonts w:asciiTheme="minorHAnsi" w:hAnsiTheme="minorHAnsi" w:cs="Times New Roman"/>
                <w:color w:val="000000"/>
                <w:szCs w:val="20"/>
                <w:lang w:eastAsia="en-GB"/>
              </w:rPr>
              <w:t>.3</w:t>
            </w:r>
          </w:p>
        </w:tc>
        <w:tc>
          <w:tcPr>
            <w:tcW w:w="132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2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w:t>
            </w:r>
            <w:r w:rsidR="00676333">
              <w:rPr>
                <w:rFonts w:asciiTheme="minorHAnsi" w:hAnsiTheme="minorHAnsi" w:cs="Times New Roman"/>
                <w:color w:val="000000"/>
                <w:szCs w:val="20"/>
                <w:lang w:eastAsia="en-GB"/>
              </w:rPr>
              <w:t>.4</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5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E532F8" w:rsidRPr="00C66550" w:rsidRDefault="00E532F8" w:rsidP="00676333">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8</w:t>
            </w:r>
            <w:r w:rsidR="00676333">
              <w:rPr>
                <w:rFonts w:asciiTheme="minorHAnsi" w:hAnsiTheme="minorHAnsi" w:cs="Times New Roman"/>
                <w:color w:val="000000"/>
                <w:szCs w:val="20"/>
                <w:lang w:eastAsia="en-GB"/>
              </w:rPr>
              <w:t>.</w:t>
            </w:r>
            <w:r w:rsidRPr="00C66550">
              <w:rPr>
                <w:rFonts w:asciiTheme="minorHAnsi" w:hAnsiTheme="minorHAnsi" w:cs="Times New Roman"/>
                <w:color w:val="000000"/>
                <w:szCs w:val="20"/>
                <w:lang w:eastAsia="en-GB"/>
              </w:rPr>
              <w:t>7</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n/a</w:t>
            </w:r>
          </w:p>
        </w:tc>
        <w:tc>
          <w:tcPr>
            <w:tcW w:w="1275" w:type="dxa"/>
            <w:tcBorders>
              <w:top w:val="single" w:sz="4" w:space="0" w:color="808080" w:themeColor="background1" w:themeShade="80"/>
              <w:bottom w:val="single" w:sz="4" w:space="0" w:color="808080" w:themeColor="background1" w:themeShade="80"/>
            </w:tcBorders>
            <w:shd w:val="clear" w:color="auto" w:fill="auto"/>
            <w:vAlign w:val="center"/>
            <w:hideMark/>
          </w:tcPr>
          <w:p w:rsidR="00E532F8" w:rsidRPr="00C66550" w:rsidRDefault="00E532F8" w:rsidP="006D030C">
            <w:pPr>
              <w:spacing w:line="240" w:lineRule="auto"/>
              <w:jc w:val="right"/>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28%</w:t>
            </w:r>
          </w:p>
        </w:tc>
      </w:tr>
      <w:tr w:rsidR="00E532F8" w:rsidRPr="00C66550" w:rsidTr="005C7AF4">
        <w:trPr>
          <w:trHeight w:val="3318"/>
        </w:trPr>
        <w:tc>
          <w:tcPr>
            <w:tcW w:w="14185" w:type="dxa"/>
            <w:gridSpan w:val="11"/>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rsidR="00E532F8" w:rsidRPr="00C66550" w:rsidRDefault="00E532F8" w:rsidP="00E532F8">
            <w:pPr>
              <w:spacing w:line="240" w:lineRule="auto"/>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Notes:</w:t>
            </w:r>
          </w:p>
          <w:p w:rsidR="00E532F8" w:rsidRPr="00C66550" w:rsidRDefault="00E532F8" w:rsidP="00944615">
            <w:pPr>
              <w:numPr>
                <w:ilvl w:val="0"/>
                <w:numId w:val="7"/>
              </w:numPr>
              <w:spacing w:line="240" w:lineRule="auto"/>
              <w:contextualSpacing/>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All figures others than those for Australia</w:t>
            </w:r>
            <w:r w:rsidR="00FE6942" w:rsidRPr="00C66550">
              <w:rPr>
                <w:rFonts w:asciiTheme="minorHAnsi" w:hAnsiTheme="minorHAnsi" w:cs="Times New Roman"/>
                <w:color w:val="000000"/>
                <w:szCs w:val="20"/>
                <w:lang w:eastAsia="en-GB"/>
              </w:rPr>
              <w:t xml:space="preserve"> and </w:t>
            </w:r>
            <w:r w:rsidR="00121145" w:rsidRPr="00C66550">
              <w:rPr>
                <w:rFonts w:asciiTheme="minorHAnsi" w:hAnsiTheme="minorHAnsi" w:cs="Times New Roman"/>
                <w:color w:val="000000"/>
                <w:szCs w:val="20"/>
                <w:lang w:eastAsia="en-GB"/>
              </w:rPr>
              <w:t>NZ</w:t>
            </w:r>
            <w:r w:rsidRPr="00C66550">
              <w:rPr>
                <w:rFonts w:asciiTheme="minorHAnsi" w:hAnsiTheme="minorHAnsi" w:cs="Times New Roman"/>
                <w:color w:val="000000"/>
                <w:szCs w:val="20"/>
                <w:lang w:eastAsia="en-GB"/>
              </w:rPr>
              <w:t xml:space="preserve"> are taken </w:t>
            </w:r>
            <w:r w:rsidRPr="00CB4E18">
              <w:rPr>
                <w:rFonts w:asciiTheme="minorHAnsi" w:hAnsiTheme="minorHAnsi" w:cs="Times New Roman"/>
                <w:color w:val="000000"/>
                <w:szCs w:val="20"/>
                <w:lang w:eastAsia="en-GB"/>
              </w:rPr>
              <w:t xml:space="preserve">from the </w:t>
            </w:r>
            <w:r w:rsidR="004B1E3C" w:rsidRPr="00CB4E18">
              <w:rPr>
                <w:i/>
                <w:color w:val="080808"/>
                <w:szCs w:val="20"/>
              </w:rPr>
              <w:t xml:space="preserve">Waste and Recycling in Australia </w:t>
            </w:r>
            <w:r w:rsidR="004B1E3C" w:rsidRPr="00CB4E18">
              <w:rPr>
                <w:i/>
                <w:szCs w:val="20"/>
              </w:rPr>
              <w:t>2009</w:t>
            </w:r>
            <w:r w:rsidRPr="00CB4E18">
              <w:rPr>
                <w:rFonts w:asciiTheme="minorHAnsi" w:hAnsiTheme="minorHAnsi" w:cs="Times New Roman"/>
                <w:color w:val="000000"/>
                <w:szCs w:val="20"/>
                <w:lang w:eastAsia="en-GB"/>
              </w:rPr>
              <w:t xml:space="preserve"> report</w:t>
            </w:r>
            <w:r w:rsidRPr="00C66550">
              <w:rPr>
                <w:rFonts w:asciiTheme="minorHAnsi" w:hAnsiTheme="minorHAnsi" w:cs="Times New Roman"/>
                <w:color w:val="000000"/>
                <w:szCs w:val="20"/>
                <w:lang w:eastAsia="en-GB"/>
              </w:rPr>
              <w:t>.</w:t>
            </w:r>
          </w:p>
          <w:p w:rsidR="00E532F8" w:rsidRPr="00C66550" w:rsidRDefault="00E532F8" w:rsidP="00944615">
            <w:pPr>
              <w:numPr>
                <w:ilvl w:val="0"/>
                <w:numId w:val="7"/>
              </w:numPr>
              <w:spacing w:line="240" w:lineRule="auto"/>
              <w:contextualSpacing/>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 xml:space="preserve">The figures for Australia shown are the revised estimates for 2006/07, which is a similar reference period to the other nations included in the 2009 report and shown here. </w:t>
            </w:r>
            <w:r w:rsidR="00EC550C" w:rsidRPr="00C66550">
              <w:rPr>
                <w:rFonts w:asciiTheme="minorHAnsi" w:hAnsiTheme="minorHAnsi" w:cs="Times New Roman"/>
                <w:color w:val="000000"/>
                <w:szCs w:val="20"/>
                <w:lang w:eastAsia="en-GB"/>
              </w:rPr>
              <w:t xml:space="preserve">The figures exclude fly ash tonnages </w:t>
            </w:r>
          </w:p>
          <w:p w:rsidR="00E532F8" w:rsidRPr="00C66550" w:rsidRDefault="00E532F8" w:rsidP="00944615">
            <w:pPr>
              <w:numPr>
                <w:ilvl w:val="0"/>
                <w:numId w:val="7"/>
              </w:numPr>
              <w:spacing w:line="240" w:lineRule="auto"/>
              <w:contextualSpacing/>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 xml:space="preserve">Demographic information for nations other than Australia is from OECD via </w:t>
            </w:r>
            <w:hyperlink r:id="rId49" w:history="1">
              <w:r w:rsidRPr="00C66550">
                <w:rPr>
                  <w:rFonts w:asciiTheme="minorHAnsi" w:hAnsiTheme="minorHAnsi" w:cs="Times New Roman"/>
                  <w:color w:val="0000FF"/>
                  <w:szCs w:val="20"/>
                  <w:u w:val="single"/>
                  <w:lang w:eastAsia="en-GB"/>
                </w:rPr>
                <w:t>http://stats.oecd.org</w:t>
              </w:r>
            </w:hyperlink>
            <w:r w:rsidRPr="00C66550">
              <w:rPr>
                <w:rFonts w:asciiTheme="minorHAnsi" w:hAnsiTheme="minorHAnsi" w:cs="Times New Roman"/>
                <w:color w:val="000000"/>
                <w:szCs w:val="20"/>
                <w:lang w:eastAsia="en-GB"/>
              </w:rPr>
              <w:t xml:space="preserve"> </w:t>
            </w:r>
          </w:p>
          <w:p w:rsidR="00E532F8" w:rsidRPr="00C66550" w:rsidRDefault="00E532F8" w:rsidP="00944615">
            <w:pPr>
              <w:numPr>
                <w:ilvl w:val="0"/>
                <w:numId w:val="7"/>
              </w:numPr>
              <w:spacing w:line="240" w:lineRule="auto"/>
              <w:contextualSpacing/>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 xml:space="preserve">Statistics Canada (2012) </w:t>
            </w:r>
          </w:p>
          <w:p w:rsidR="00E532F8" w:rsidRPr="00C66550" w:rsidRDefault="00E532F8" w:rsidP="00944615">
            <w:pPr>
              <w:numPr>
                <w:ilvl w:val="0"/>
                <w:numId w:val="7"/>
              </w:numPr>
              <w:spacing w:line="240" w:lineRule="auto"/>
              <w:contextualSpacing/>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 xml:space="preserve">US EPA (2011) </w:t>
            </w:r>
          </w:p>
          <w:p w:rsidR="00E532F8" w:rsidRPr="00C66550" w:rsidRDefault="00E532F8" w:rsidP="00944615">
            <w:pPr>
              <w:numPr>
                <w:ilvl w:val="0"/>
                <w:numId w:val="7"/>
              </w:numPr>
              <w:spacing w:line="240" w:lineRule="auto"/>
              <w:contextualSpacing/>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 xml:space="preserve">US EPA (2003) </w:t>
            </w:r>
          </w:p>
          <w:p w:rsidR="00E532F8" w:rsidRPr="00C66550" w:rsidRDefault="00E532F8" w:rsidP="00944615">
            <w:pPr>
              <w:numPr>
                <w:ilvl w:val="0"/>
                <w:numId w:val="7"/>
              </w:numPr>
              <w:spacing w:line="240" w:lineRule="auto"/>
              <w:contextualSpacing/>
              <w:rPr>
                <w:rFonts w:asciiTheme="minorHAnsi" w:hAnsiTheme="minorHAnsi" w:cs="Times New Roman"/>
                <w:color w:val="000000"/>
                <w:szCs w:val="20"/>
                <w:lang w:eastAsia="en-GB"/>
              </w:rPr>
            </w:pPr>
            <w:r w:rsidRPr="00C66550">
              <w:rPr>
                <w:rFonts w:asciiTheme="minorHAnsi" w:hAnsiTheme="minorHAnsi" w:cs="Times New Roman"/>
                <w:color w:val="000000"/>
                <w:szCs w:val="20"/>
                <w:lang w:eastAsia="en-GB"/>
              </w:rPr>
              <w:t>MSW data from OECD Stat Extracts</w:t>
            </w:r>
            <w:r w:rsidR="00FF12A8" w:rsidRPr="00C66550">
              <w:rPr>
                <w:rFonts w:asciiTheme="minorHAnsi" w:hAnsiTheme="minorHAnsi" w:cs="Times New Roman"/>
                <w:color w:val="000000"/>
                <w:szCs w:val="20"/>
                <w:lang w:eastAsia="en-GB"/>
              </w:rPr>
              <w:t xml:space="preserve"> </w:t>
            </w:r>
            <w:r w:rsidRPr="00C66550">
              <w:rPr>
                <w:rFonts w:asciiTheme="minorHAnsi" w:hAnsiTheme="minorHAnsi" w:cs="Times New Roman"/>
                <w:color w:val="000000"/>
                <w:szCs w:val="20"/>
                <w:lang w:eastAsia="en-GB"/>
              </w:rPr>
              <w:t xml:space="preserve">via </w:t>
            </w:r>
            <w:hyperlink r:id="rId50" w:history="1">
              <w:r w:rsidRPr="00C66550">
                <w:rPr>
                  <w:rFonts w:asciiTheme="minorHAnsi" w:hAnsiTheme="minorHAnsi"/>
                  <w:color w:val="0000FF"/>
                  <w:szCs w:val="20"/>
                  <w:u w:val="single"/>
                </w:rPr>
                <w:t>http://stats.oecd.org/index.aspx?r=571968</w:t>
              </w:r>
            </w:hyperlink>
          </w:p>
          <w:p w:rsidR="00E532F8" w:rsidRPr="00C66550" w:rsidRDefault="00E532F8" w:rsidP="00944615">
            <w:pPr>
              <w:numPr>
                <w:ilvl w:val="0"/>
                <w:numId w:val="7"/>
              </w:numPr>
              <w:contextualSpacing/>
              <w:rPr>
                <w:rFonts w:asciiTheme="minorHAnsi" w:hAnsiTheme="minorHAnsi"/>
                <w:szCs w:val="20"/>
              </w:rPr>
            </w:pPr>
            <w:r w:rsidRPr="00C66550">
              <w:rPr>
                <w:rFonts w:asciiTheme="minorHAnsi" w:hAnsiTheme="minorHAnsi" w:cs="Arial"/>
                <w:szCs w:val="20"/>
                <w:lang w:eastAsia="en-AU"/>
              </w:rPr>
              <w:t>Statistisches Bundesamt (2010) via</w:t>
            </w:r>
            <w:r w:rsidR="00FF12A8" w:rsidRPr="00C66550">
              <w:rPr>
                <w:rFonts w:asciiTheme="minorHAnsi" w:hAnsiTheme="minorHAnsi" w:cs="Arial"/>
                <w:szCs w:val="20"/>
                <w:lang w:eastAsia="en-AU"/>
              </w:rPr>
              <w:t xml:space="preserve"> </w:t>
            </w:r>
            <w:r w:rsidRPr="00C66550">
              <w:rPr>
                <w:rFonts w:asciiTheme="minorHAnsi" w:hAnsiTheme="minorHAnsi"/>
                <w:szCs w:val="20"/>
              </w:rPr>
              <w:t>http://www.statistik-portal.de/Statistik-Portal/en/en_jb10_jahrtabu12.asp</w:t>
            </w:r>
          </w:p>
          <w:p w:rsidR="00E532F8" w:rsidRPr="00C66550" w:rsidRDefault="00E532F8" w:rsidP="0036735A">
            <w:pPr>
              <w:numPr>
                <w:ilvl w:val="0"/>
                <w:numId w:val="7"/>
              </w:numPr>
              <w:contextualSpacing/>
              <w:rPr>
                <w:rFonts w:asciiTheme="minorHAnsi" w:hAnsiTheme="minorHAnsi"/>
                <w:szCs w:val="20"/>
              </w:rPr>
            </w:pPr>
            <w:r w:rsidRPr="00C66550">
              <w:rPr>
                <w:rFonts w:asciiTheme="minorHAnsi" w:hAnsiTheme="minorHAnsi"/>
                <w:szCs w:val="20"/>
              </w:rPr>
              <w:t>DEFRA</w:t>
            </w:r>
            <w:r w:rsidR="0036735A" w:rsidRPr="00C66550">
              <w:rPr>
                <w:rFonts w:asciiTheme="minorHAnsi" w:hAnsiTheme="minorHAnsi"/>
                <w:szCs w:val="20"/>
              </w:rPr>
              <w:t xml:space="preserve"> (Department of Environment, Food and Rural Affairs)</w:t>
            </w:r>
            <w:r w:rsidR="00E5424C" w:rsidRPr="00C66550">
              <w:rPr>
                <w:rFonts w:asciiTheme="minorHAnsi" w:hAnsiTheme="minorHAnsi"/>
                <w:szCs w:val="20"/>
              </w:rPr>
              <w:t xml:space="preserve"> </w:t>
            </w:r>
            <w:hyperlink r:id="rId51" w:history="1">
              <w:r w:rsidRPr="00C66550">
                <w:rPr>
                  <w:rFonts w:asciiTheme="minorHAnsi" w:hAnsiTheme="minorHAnsi"/>
                  <w:color w:val="0000FF"/>
                  <w:szCs w:val="20"/>
                  <w:u w:val="single"/>
                </w:rPr>
                <w:t>http://www.defra.gov.uk/statistics/environment/waste/</w:t>
              </w:r>
            </w:hyperlink>
          </w:p>
          <w:p w:rsidR="00E532F8" w:rsidRPr="00C66550" w:rsidRDefault="00E532F8" w:rsidP="00944615">
            <w:pPr>
              <w:numPr>
                <w:ilvl w:val="0"/>
                <w:numId w:val="7"/>
              </w:numPr>
              <w:contextualSpacing/>
              <w:rPr>
                <w:rFonts w:asciiTheme="minorHAnsi" w:hAnsiTheme="minorHAnsi"/>
                <w:szCs w:val="20"/>
              </w:rPr>
            </w:pPr>
            <w:r w:rsidRPr="00C66550">
              <w:rPr>
                <w:rFonts w:asciiTheme="minorHAnsi" w:hAnsiTheme="minorHAnsi" w:cs="Times New Roman"/>
                <w:color w:val="000000"/>
                <w:szCs w:val="20"/>
                <w:lang w:eastAsia="en-GB"/>
              </w:rPr>
              <w:t xml:space="preserve">Environment NZ (2007) </w:t>
            </w:r>
          </w:p>
          <w:p w:rsidR="00E532F8" w:rsidRPr="00C66550" w:rsidRDefault="00F3324F" w:rsidP="00376C5E">
            <w:pPr>
              <w:numPr>
                <w:ilvl w:val="0"/>
                <w:numId w:val="7"/>
              </w:numPr>
              <w:contextualSpacing/>
              <w:rPr>
                <w:rFonts w:asciiTheme="minorHAnsi" w:hAnsiTheme="minorHAnsi"/>
                <w:szCs w:val="20"/>
              </w:rPr>
            </w:pPr>
            <w:r w:rsidRPr="00C66550">
              <w:rPr>
                <w:rFonts w:asciiTheme="minorHAnsi" w:hAnsiTheme="minorHAnsi"/>
                <w:szCs w:val="20"/>
              </w:rPr>
              <w:t xml:space="preserve">Australian </w:t>
            </w:r>
            <w:r w:rsidR="001B5371" w:rsidRPr="00C66550">
              <w:rPr>
                <w:rFonts w:asciiTheme="minorHAnsi" w:hAnsiTheme="minorHAnsi"/>
                <w:szCs w:val="20"/>
              </w:rPr>
              <w:t xml:space="preserve">resource recovery </w:t>
            </w:r>
            <w:r w:rsidRPr="00C66550">
              <w:rPr>
                <w:rFonts w:asciiTheme="minorHAnsi" w:hAnsiTheme="minorHAnsi"/>
                <w:szCs w:val="20"/>
              </w:rPr>
              <w:t>figures include recycling, organics recovery, and energy recovery including recovery of bio-gas energy from landfills.</w:t>
            </w:r>
          </w:p>
        </w:tc>
      </w:tr>
    </w:tbl>
    <w:p w:rsidR="00E532F8" w:rsidRPr="00C66550" w:rsidRDefault="00E532F8" w:rsidP="00E532F8">
      <w:pPr>
        <w:rPr>
          <w:szCs w:val="20"/>
          <w:highlight w:val="yellow"/>
        </w:rPr>
      </w:pPr>
    </w:p>
    <w:p w:rsidR="00E532F8" w:rsidRDefault="00E532F8" w:rsidP="00E532F8">
      <w:pPr>
        <w:rPr>
          <w:szCs w:val="20"/>
          <w:highlight w:val="yellow"/>
        </w:rPr>
      </w:pPr>
    </w:p>
    <w:p w:rsidR="00642B3C" w:rsidRPr="00642B3C" w:rsidRDefault="00642B3C" w:rsidP="00642B3C">
      <w:pPr>
        <w:spacing w:line="240" w:lineRule="auto"/>
        <w:contextualSpacing/>
        <w:rPr>
          <w:rFonts w:asciiTheme="minorHAnsi" w:hAnsiTheme="minorHAnsi" w:cs="Times New Roman"/>
          <w:color w:val="000000"/>
          <w:sz w:val="22"/>
          <w:lang w:eastAsia="en-GB"/>
        </w:rPr>
      </w:pPr>
      <w:r w:rsidRPr="00642B3C">
        <w:rPr>
          <w:rFonts w:asciiTheme="minorHAnsi" w:hAnsiTheme="minorHAnsi" w:cs="Times New Roman"/>
          <w:color w:val="000000"/>
          <w:sz w:val="22"/>
          <w:lang w:eastAsia="en-GB"/>
        </w:rPr>
        <w:t xml:space="preserve"> </w:t>
      </w:r>
    </w:p>
    <w:p w:rsidR="00642B3C" w:rsidRPr="00C66550" w:rsidRDefault="00642B3C" w:rsidP="00E532F8">
      <w:pPr>
        <w:rPr>
          <w:szCs w:val="20"/>
          <w:highlight w:val="yellow"/>
        </w:rPr>
        <w:sectPr w:rsidR="00642B3C" w:rsidRPr="00C66550" w:rsidSect="00E532F8">
          <w:headerReference w:type="default" r:id="rId52"/>
          <w:footerReference w:type="default" r:id="rId53"/>
          <w:pgSz w:w="16838" w:h="11906" w:orient="landscape"/>
          <w:pgMar w:top="851" w:right="1440" w:bottom="567" w:left="1440" w:header="708" w:footer="708" w:gutter="0"/>
          <w:cols w:space="708"/>
          <w:docGrid w:linePitch="360"/>
        </w:sectPr>
      </w:pPr>
    </w:p>
    <w:p w:rsidR="00E532F8" w:rsidRPr="00C66550" w:rsidRDefault="00E532F8" w:rsidP="006D25F9">
      <w:pPr>
        <w:pStyle w:val="Heading2"/>
      </w:pPr>
      <w:bookmarkStart w:id="77" w:name="_Toc379466360"/>
      <w:r w:rsidRPr="00C66550">
        <w:lastRenderedPageBreak/>
        <w:t xml:space="preserve">Municipal </w:t>
      </w:r>
      <w:r w:rsidR="0036735A" w:rsidRPr="00C66550">
        <w:t xml:space="preserve">solid </w:t>
      </w:r>
      <w:r w:rsidR="00777C18" w:rsidRPr="00C66550">
        <w:t>waste</w:t>
      </w:r>
      <w:r w:rsidR="005D3068" w:rsidRPr="00C66550">
        <w:t xml:space="preserve"> trends</w:t>
      </w:r>
      <w:bookmarkEnd w:id="77"/>
    </w:p>
    <w:p w:rsidR="00E532F8" w:rsidRPr="00C66550" w:rsidRDefault="00E532F8" w:rsidP="002C302A">
      <w:pPr>
        <w:pStyle w:val="BodyText"/>
      </w:pPr>
      <w:r w:rsidRPr="00C66550">
        <w:t xml:space="preserve">International data for MSW are more readily available, allowing broader international comparison of Australia’s MSW generation and management. Data from the OECD national reporting of MSW management have been used in the following assessment. </w:t>
      </w:r>
    </w:p>
    <w:p w:rsidR="00E532F8" w:rsidRPr="00C66550" w:rsidRDefault="00E532F8" w:rsidP="002C302A">
      <w:pPr>
        <w:pStyle w:val="BodyText"/>
        <w:rPr>
          <w:highlight w:val="yellow"/>
        </w:rPr>
      </w:pPr>
    </w:p>
    <w:p w:rsidR="00E532F8" w:rsidRPr="00C66550" w:rsidRDefault="0062001A" w:rsidP="002C302A">
      <w:pPr>
        <w:pStyle w:val="BodyText"/>
      </w:pPr>
      <w:fldSimple w:instr=" REF _Ref348939159 \h  \* MERGEFORMAT ">
        <w:r w:rsidR="00D96003" w:rsidRPr="00D96003">
          <w:rPr>
            <w:rFonts w:cs="Calibri"/>
            <w:color w:val="auto"/>
            <w:szCs w:val="20"/>
          </w:rPr>
          <w:t>Table 5</w:t>
        </w:r>
      </w:fldSimple>
      <w:r w:rsidR="00E532F8" w:rsidRPr="00C66550">
        <w:rPr>
          <w:color w:val="auto"/>
        </w:rPr>
        <w:t xml:space="preserve"> and</w:t>
      </w:r>
      <w:r w:rsidR="00C241F6">
        <w:rPr>
          <w:color w:val="auto"/>
        </w:rPr>
        <w:t xml:space="preserve"> </w:t>
      </w:r>
      <w:r>
        <w:rPr>
          <w:color w:val="auto"/>
        </w:rPr>
        <w:fldChar w:fldCharType="begin"/>
      </w:r>
      <w:r w:rsidR="00C241F6">
        <w:rPr>
          <w:color w:val="auto"/>
        </w:rPr>
        <w:instrText xml:space="preserve"> REF _Ref360816393 \h </w:instrText>
      </w:r>
      <w:r>
        <w:rPr>
          <w:color w:val="auto"/>
        </w:rPr>
      </w:r>
      <w:r>
        <w:rPr>
          <w:color w:val="auto"/>
        </w:rPr>
        <w:fldChar w:fldCharType="separate"/>
      </w:r>
      <w:r w:rsidR="00D96003" w:rsidRPr="00C66550">
        <w:t xml:space="preserve">Table </w:t>
      </w:r>
      <w:r w:rsidR="00D96003">
        <w:rPr>
          <w:noProof/>
        </w:rPr>
        <w:t>6</w:t>
      </w:r>
      <w:r>
        <w:rPr>
          <w:color w:val="auto"/>
        </w:rPr>
        <w:fldChar w:fldCharType="end"/>
      </w:r>
      <w:r w:rsidR="00E532F8" w:rsidRPr="00C66550">
        <w:t xml:space="preserve"> compare the selected countries’ MSW generation, disposal and </w:t>
      </w:r>
      <w:r w:rsidR="005D3068" w:rsidRPr="00C66550">
        <w:t>resource recovery</w:t>
      </w:r>
      <w:r w:rsidR="009B5C25" w:rsidRPr="00C66550">
        <w:t xml:space="preserve"> on a national</w:t>
      </w:r>
      <w:r w:rsidR="00BA37B9" w:rsidRPr="00C66550">
        <w:t xml:space="preserve"> and per capita </w:t>
      </w:r>
      <w:r w:rsidR="009B5C25" w:rsidRPr="00C66550">
        <w:t>basis respectively</w:t>
      </w:r>
      <w:r w:rsidR="00E532F8" w:rsidRPr="00C66550">
        <w:t xml:space="preserve">. </w:t>
      </w:r>
    </w:p>
    <w:p w:rsidR="00E532F8" w:rsidRPr="00C66550" w:rsidRDefault="00E532F8" w:rsidP="002C302A">
      <w:pPr>
        <w:pStyle w:val="BodyText"/>
      </w:pPr>
    </w:p>
    <w:p w:rsidR="00E532F8" w:rsidRPr="00C66550" w:rsidRDefault="00E532F8" w:rsidP="00FB4820">
      <w:pPr>
        <w:pStyle w:val="Figures"/>
      </w:pPr>
      <w:bookmarkStart w:id="78" w:name="_Ref348939159"/>
      <w:bookmarkStart w:id="79" w:name="_Toc365038849"/>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5</w:t>
      </w:r>
      <w:r w:rsidR="0062001A" w:rsidRPr="00C66550">
        <w:fldChar w:fldCharType="end"/>
      </w:r>
      <w:bookmarkEnd w:id="78"/>
      <w:r w:rsidR="005C7AF4" w:rsidRPr="00C66550">
        <w:t>:</w:t>
      </w:r>
      <w:r w:rsidR="005C7AF4" w:rsidRPr="00C66550">
        <w:tab/>
      </w:r>
      <w:r w:rsidRPr="00C66550">
        <w:t xml:space="preserve">Comparison of Australian total </w:t>
      </w:r>
      <w:r w:rsidR="0036735A" w:rsidRPr="00C66550">
        <w:t>MSW</w:t>
      </w:r>
      <w:r w:rsidRPr="00C66550">
        <w:t xml:space="preserve"> generation, disposal and recycling performance with other selected OECD nations</w:t>
      </w:r>
      <w:bookmarkEnd w:id="79"/>
    </w:p>
    <w:tbl>
      <w:tblPr>
        <w:tblW w:w="5045" w:type="pct"/>
        <w:tblInd w:w="-86"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left w:w="56" w:type="dxa"/>
          <w:right w:w="56" w:type="dxa"/>
        </w:tblCellMar>
        <w:tblLook w:val="0000"/>
      </w:tblPr>
      <w:tblGrid>
        <w:gridCol w:w="1036"/>
        <w:gridCol w:w="864"/>
        <w:gridCol w:w="856"/>
        <w:gridCol w:w="827"/>
        <w:gridCol w:w="862"/>
        <w:gridCol w:w="848"/>
        <w:gridCol w:w="854"/>
        <w:gridCol w:w="992"/>
        <w:gridCol w:w="808"/>
        <w:gridCol w:w="799"/>
        <w:gridCol w:w="807"/>
      </w:tblGrid>
      <w:tr w:rsidR="00AE78DC" w:rsidRPr="00C66550" w:rsidTr="00AE78DC">
        <w:tc>
          <w:tcPr>
            <w:tcW w:w="543" w:type="pct"/>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D7E1D" w:rsidRPr="00C66550" w:rsidRDefault="00ED7E1D" w:rsidP="00E532F8">
            <w:pPr>
              <w:spacing w:before="60" w:after="60" w:line="240" w:lineRule="auto"/>
              <w:rPr>
                <w:rFonts w:asciiTheme="minorHAnsi" w:hAnsiTheme="minorHAnsi" w:cs="Times New Roman"/>
                <w:b/>
                <w:color w:val="auto"/>
                <w:szCs w:val="20"/>
              </w:rPr>
            </w:pPr>
            <w:r w:rsidRPr="00C66550">
              <w:rPr>
                <w:rFonts w:asciiTheme="minorHAnsi" w:hAnsiTheme="minorHAnsi" w:cs="Times New Roman"/>
                <w:b/>
                <w:color w:val="auto"/>
                <w:szCs w:val="20"/>
              </w:rPr>
              <w:t>Country</w:t>
            </w:r>
          </w:p>
        </w:tc>
        <w:tc>
          <w:tcPr>
            <w:tcW w:w="899" w:type="pct"/>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D7E1D" w:rsidRPr="00C66550" w:rsidRDefault="00ED7E1D" w:rsidP="00E532F8">
            <w:pPr>
              <w:spacing w:before="60" w:after="60" w:line="240" w:lineRule="auto"/>
              <w:jc w:val="center"/>
              <w:rPr>
                <w:rFonts w:asciiTheme="minorHAnsi" w:hAnsiTheme="minorHAnsi" w:cs="Times New Roman"/>
                <w:b/>
                <w:color w:val="auto"/>
                <w:szCs w:val="20"/>
              </w:rPr>
            </w:pPr>
            <w:r w:rsidRPr="00C66550">
              <w:rPr>
                <w:rFonts w:asciiTheme="minorHAnsi" w:hAnsiTheme="minorHAnsi" w:cs="Times New Roman"/>
                <w:b/>
                <w:color w:val="auto"/>
                <w:szCs w:val="20"/>
              </w:rPr>
              <w:t>Population (‘000)</w:t>
            </w:r>
          </w:p>
        </w:tc>
        <w:tc>
          <w:tcPr>
            <w:tcW w:w="884" w:type="pct"/>
            <w:gridSpan w:val="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tcPr>
          <w:p w:rsidR="00ED7E1D" w:rsidRPr="00C66550" w:rsidRDefault="00ED7E1D" w:rsidP="00ED7E1D">
            <w:pPr>
              <w:spacing w:before="60" w:after="60" w:line="240" w:lineRule="auto"/>
              <w:jc w:val="center"/>
              <w:rPr>
                <w:rFonts w:asciiTheme="minorHAnsi" w:hAnsiTheme="minorHAnsi" w:cs="Times New Roman"/>
                <w:b/>
                <w:color w:val="auto"/>
                <w:szCs w:val="20"/>
              </w:rPr>
            </w:pPr>
            <w:r w:rsidRPr="00C66550">
              <w:rPr>
                <w:rFonts w:asciiTheme="minorHAnsi" w:hAnsiTheme="minorHAnsi" w:cs="Times New Roman"/>
                <w:b/>
                <w:color w:val="auto"/>
                <w:szCs w:val="20"/>
              </w:rPr>
              <w:t>Disposal</w:t>
            </w:r>
          </w:p>
        </w:tc>
        <w:tc>
          <w:tcPr>
            <w:tcW w:w="891" w:type="pct"/>
            <w:gridSpan w:val="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tcPr>
          <w:p w:rsidR="00ED7E1D" w:rsidRPr="00C66550" w:rsidRDefault="00ED7E1D" w:rsidP="00ED7E1D">
            <w:pPr>
              <w:spacing w:before="60" w:after="60" w:line="240" w:lineRule="auto"/>
              <w:jc w:val="center"/>
              <w:rPr>
                <w:rFonts w:asciiTheme="minorHAnsi" w:hAnsiTheme="minorHAnsi" w:cs="Times New Roman"/>
                <w:b/>
                <w:color w:val="auto"/>
                <w:szCs w:val="20"/>
              </w:rPr>
            </w:pPr>
            <w:r w:rsidRPr="00C66550">
              <w:rPr>
                <w:rFonts w:asciiTheme="minorHAnsi" w:hAnsiTheme="minorHAnsi" w:cs="Times New Roman"/>
                <w:b/>
                <w:color w:val="auto"/>
                <w:szCs w:val="20"/>
              </w:rPr>
              <w:t xml:space="preserve">Resource recovery </w:t>
            </w:r>
          </w:p>
        </w:tc>
        <w:tc>
          <w:tcPr>
            <w:tcW w:w="942" w:type="pct"/>
            <w:gridSpan w:val="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tcPr>
          <w:p w:rsidR="00ED7E1D" w:rsidRPr="00C66550" w:rsidRDefault="00ED7E1D" w:rsidP="006D030C">
            <w:pPr>
              <w:spacing w:before="60" w:after="60" w:line="240" w:lineRule="auto"/>
              <w:jc w:val="center"/>
              <w:rPr>
                <w:rFonts w:asciiTheme="minorHAnsi" w:hAnsiTheme="minorHAnsi" w:cs="Times New Roman"/>
                <w:b/>
                <w:color w:val="auto"/>
                <w:szCs w:val="20"/>
              </w:rPr>
            </w:pPr>
            <w:r w:rsidRPr="00C66550">
              <w:rPr>
                <w:rFonts w:asciiTheme="minorHAnsi" w:hAnsiTheme="minorHAnsi" w:cs="Times New Roman"/>
                <w:b/>
                <w:color w:val="auto"/>
                <w:szCs w:val="20"/>
              </w:rPr>
              <w:t>Waste generation</w:t>
            </w:r>
          </w:p>
        </w:tc>
        <w:tc>
          <w:tcPr>
            <w:tcW w:w="841" w:type="pct"/>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rsidR="00ED7E1D" w:rsidRPr="00C66550" w:rsidRDefault="006D030C" w:rsidP="006D030C">
            <w:pPr>
              <w:spacing w:before="60" w:after="60" w:line="240" w:lineRule="auto"/>
              <w:jc w:val="center"/>
              <w:rPr>
                <w:rFonts w:asciiTheme="minorHAnsi" w:hAnsiTheme="minorHAnsi" w:cs="Times New Roman"/>
                <w:b/>
                <w:color w:val="auto"/>
                <w:szCs w:val="20"/>
              </w:rPr>
            </w:pPr>
            <w:r w:rsidRPr="00C66550">
              <w:rPr>
                <w:rFonts w:asciiTheme="minorHAnsi" w:hAnsiTheme="minorHAnsi" w:cs="Times New Roman"/>
                <w:b/>
                <w:color w:val="auto"/>
                <w:szCs w:val="20"/>
              </w:rPr>
              <w:t>Resource recovery</w:t>
            </w:r>
            <w:r w:rsidR="00ED7E1D" w:rsidRPr="00C66550">
              <w:rPr>
                <w:rFonts w:asciiTheme="minorHAnsi" w:hAnsiTheme="minorHAnsi" w:cs="Times New Roman"/>
                <w:b/>
                <w:color w:val="auto"/>
                <w:szCs w:val="20"/>
              </w:rPr>
              <w:t xml:space="preserve"> rate (%)</w:t>
            </w:r>
          </w:p>
        </w:tc>
      </w:tr>
      <w:tr w:rsidR="00ED7E1D" w:rsidRPr="00C66550" w:rsidTr="00AE78DC">
        <w:tc>
          <w:tcPr>
            <w:tcW w:w="543" w:type="pct"/>
            <w:vMerge/>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D7E1D" w:rsidRPr="00C66550" w:rsidRDefault="00ED7E1D" w:rsidP="00E532F8">
            <w:pPr>
              <w:spacing w:before="60" w:after="60" w:line="240" w:lineRule="atLeast"/>
              <w:rPr>
                <w:rFonts w:asciiTheme="minorHAnsi" w:hAnsiTheme="minorHAnsi" w:cs="Times New Roman"/>
                <w:b/>
                <w:color w:val="auto"/>
                <w:szCs w:val="20"/>
              </w:rPr>
            </w:pPr>
          </w:p>
        </w:tc>
        <w:tc>
          <w:tcPr>
            <w:tcW w:w="899" w:type="pct"/>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D7E1D" w:rsidRPr="00C66550" w:rsidRDefault="00ED7E1D" w:rsidP="00E532F8">
            <w:pPr>
              <w:spacing w:before="60" w:after="60" w:line="240" w:lineRule="auto"/>
              <w:jc w:val="center"/>
              <w:rPr>
                <w:rFonts w:asciiTheme="minorHAnsi" w:hAnsiTheme="minorHAnsi" w:cs="Times New Roman"/>
                <w:b/>
                <w:color w:val="auto"/>
                <w:szCs w:val="20"/>
              </w:rPr>
            </w:pPr>
          </w:p>
        </w:tc>
        <w:tc>
          <w:tcPr>
            <w:tcW w:w="2716" w:type="pct"/>
            <w:gridSpan w:val="6"/>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D7E1D" w:rsidRPr="00C66550" w:rsidRDefault="00E0088B" w:rsidP="00E532F8">
            <w:pPr>
              <w:spacing w:before="60" w:after="60" w:line="240" w:lineRule="auto"/>
              <w:jc w:val="center"/>
              <w:rPr>
                <w:rFonts w:asciiTheme="minorHAnsi" w:hAnsiTheme="minorHAnsi" w:cs="Times New Roman"/>
                <w:i/>
                <w:color w:val="auto"/>
                <w:szCs w:val="20"/>
              </w:rPr>
            </w:pPr>
            <w:r>
              <w:rPr>
                <w:rFonts w:asciiTheme="minorHAnsi" w:hAnsiTheme="minorHAnsi" w:cs="Times New Roman"/>
                <w:i/>
                <w:color w:val="auto"/>
                <w:szCs w:val="20"/>
              </w:rPr>
              <w:t>Millions of tonnes</w:t>
            </w:r>
          </w:p>
        </w:tc>
        <w:tc>
          <w:tcPr>
            <w:tcW w:w="841" w:type="pct"/>
            <w:gridSpan w:val="2"/>
            <w:vMerge/>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rsidR="00ED7E1D" w:rsidRPr="00C66550" w:rsidRDefault="00ED7E1D" w:rsidP="00E532F8">
            <w:pPr>
              <w:spacing w:before="60" w:after="60" w:line="240" w:lineRule="auto"/>
              <w:jc w:val="center"/>
              <w:rPr>
                <w:rFonts w:asciiTheme="minorHAnsi" w:hAnsiTheme="minorHAnsi" w:cs="Times New Roman"/>
                <w:b/>
                <w:color w:val="auto"/>
                <w:szCs w:val="20"/>
              </w:rPr>
            </w:pPr>
          </w:p>
        </w:tc>
      </w:tr>
      <w:tr w:rsidR="00AE78DC" w:rsidRPr="00C66550" w:rsidTr="00AE78DC">
        <w:trPr>
          <w:trHeight w:val="331"/>
        </w:trPr>
        <w:tc>
          <w:tcPr>
            <w:tcW w:w="54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532F8" w:rsidRPr="00C66550" w:rsidRDefault="00E532F8" w:rsidP="00736812">
            <w:pPr>
              <w:spacing w:beforeLines="40" w:afterLines="40" w:line="240" w:lineRule="atLeast"/>
              <w:jc w:val="center"/>
              <w:rPr>
                <w:rFonts w:asciiTheme="minorHAnsi" w:hAnsiTheme="minorHAnsi" w:cs="Times New Roman"/>
                <w:b/>
                <w:color w:val="auto"/>
                <w:szCs w:val="20"/>
              </w:rPr>
            </w:pPr>
          </w:p>
        </w:tc>
        <w:tc>
          <w:tcPr>
            <w:tcW w:w="452"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rsidR="00E532F8" w:rsidRPr="00C66550" w:rsidRDefault="00ED7E1D" w:rsidP="00AE78DC">
            <w:pPr>
              <w:jc w:val="center"/>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351B20"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44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532F8" w:rsidRPr="00C66550" w:rsidRDefault="002C302A" w:rsidP="00AE78DC">
            <w:pPr>
              <w:jc w:val="center"/>
              <w:rPr>
                <w:rFonts w:asciiTheme="minorHAnsi" w:hAnsiTheme="minorHAnsi" w:cs="Arial"/>
                <w:b/>
                <w:szCs w:val="20"/>
              </w:rPr>
            </w:pPr>
            <w:r w:rsidRPr="00C66550">
              <w:rPr>
                <w:rFonts w:asciiTheme="minorHAnsi" w:hAnsiTheme="minorHAnsi" w:cs="Arial"/>
                <w:b/>
                <w:szCs w:val="20"/>
              </w:rPr>
              <w:t>2010</w:t>
            </w:r>
            <w:r w:rsidR="00351B20" w:rsidRPr="00C66550">
              <w:rPr>
                <w:rFonts w:asciiTheme="minorHAnsi" w:hAnsiTheme="minorHAnsi" w:cs="Arial"/>
                <w:b/>
                <w:szCs w:val="20"/>
              </w:rPr>
              <w:t>/</w:t>
            </w:r>
            <w:r w:rsidRPr="00C66550">
              <w:rPr>
                <w:rFonts w:asciiTheme="minorHAnsi" w:hAnsiTheme="minorHAnsi" w:cs="Arial"/>
                <w:b/>
                <w:szCs w:val="20"/>
              </w:rPr>
              <w:t>11</w:t>
            </w:r>
          </w:p>
        </w:tc>
        <w:tc>
          <w:tcPr>
            <w:tcW w:w="43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rsidR="00E532F8" w:rsidRPr="00C66550" w:rsidRDefault="00ED7E1D" w:rsidP="00AE78DC">
            <w:pPr>
              <w:jc w:val="center"/>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351B20"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45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532F8" w:rsidRPr="00C66550" w:rsidRDefault="002C302A" w:rsidP="00AE78DC">
            <w:pPr>
              <w:jc w:val="center"/>
              <w:rPr>
                <w:rFonts w:asciiTheme="minorHAnsi" w:hAnsiTheme="minorHAnsi" w:cs="Arial"/>
                <w:b/>
                <w:szCs w:val="20"/>
              </w:rPr>
            </w:pPr>
            <w:r w:rsidRPr="00C66550">
              <w:rPr>
                <w:rFonts w:asciiTheme="minorHAnsi" w:hAnsiTheme="minorHAnsi" w:cs="Arial"/>
                <w:b/>
                <w:szCs w:val="20"/>
              </w:rPr>
              <w:t>2010</w:t>
            </w:r>
            <w:r w:rsidR="00351B20" w:rsidRPr="00C66550">
              <w:rPr>
                <w:rFonts w:asciiTheme="minorHAnsi" w:hAnsiTheme="minorHAnsi" w:cs="Arial"/>
                <w:b/>
                <w:szCs w:val="20"/>
              </w:rPr>
              <w:t>/</w:t>
            </w:r>
            <w:r w:rsidRPr="00C66550">
              <w:rPr>
                <w:rFonts w:asciiTheme="minorHAnsi" w:hAnsiTheme="minorHAnsi" w:cs="Arial"/>
                <w:b/>
                <w:szCs w:val="20"/>
              </w:rPr>
              <w:t>11</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rsidR="00E532F8" w:rsidRPr="00C66550" w:rsidRDefault="00ED7E1D" w:rsidP="00AE78DC">
            <w:pPr>
              <w:jc w:val="center"/>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351B20"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446"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532F8" w:rsidRPr="00C66550" w:rsidRDefault="002C302A" w:rsidP="00AE78DC">
            <w:pPr>
              <w:jc w:val="center"/>
              <w:rPr>
                <w:rFonts w:asciiTheme="minorHAnsi" w:hAnsiTheme="minorHAnsi" w:cs="Arial"/>
                <w:b/>
                <w:szCs w:val="20"/>
              </w:rPr>
            </w:pPr>
            <w:r w:rsidRPr="00C66550">
              <w:rPr>
                <w:rFonts w:asciiTheme="minorHAnsi" w:hAnsiTheme="minorHAnsi" w:cs="Arial"/>
                <w:b/>
                <w:szCs w:val="20"/>
              </w:rPr>
              <w:t>2010</w:t>
            </w:r>
            <w:r w:rsidR="00351B20" w:rsidRPr="00C66550">
              <w:rPr>
                <w:rFonts w:asciiTheme="minorHAnsi" w:hAnsiTheme="minorHAnsi" w:cs="Arial"/>
                <w:b/>
                <w:szCs w:val="20"/>
              </w:rPr>
              <w:t>/</w:t>
            </w:r>
            <w:r w:rsidRPr="00C66550">
              <w:rPr>
                <w:rFonts w:asciiTheme="minorHAnsi" w:hAnsiTheme="minorHAnsi" w:cs="Arial"/>
                <w:b/>
                <w:szCs w:val="20"/>
              </w:rPr>
              <w:t>11</w:t>
            </w:r>
          </w:p>
        </w:tc>
        <w:tc>
          <w:tcPr>
            <w:tcW w:w="51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rsidR="00E532F8" w:rsidRPr="00C66550" w:rsidRDefault="00ED7E1D" w:rsidP="00AE78DC">
            <w:pPr>
              <w:jc w:val="center"/>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351B20"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42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532F8" w:rsidRPr="00C66550" w:rsidRDefault="002C302A" w:rsidP="00AE78DC">
            <w:pPr>
              <w:jc w:val="center"/>
              <w:rPr>
                <w:rFonts w:asciiTheme="minorHAnsi" w:hAnsiTheme="minorHAnsi" w:cs="Arial"/>
                <w:b/>
                <w:szCs w:val="20"/>
              </w:rPr>
            </w:pPr>
            <w:r w:rsidRPr="00C66550">
              <w:rPr>
                <w:rFonts w:asciiTheme="minorHAnsi" w:hAnsiTheme="minorHAnsi" w:cs="Arial"/>
                <w:b/>
                <w:szCs w:val="20"/>
              </w:rPr>
              <w:t>2010</w:t>
            </w:r>
            <w:r w:rsidR="00351B20" w:rsidRPr="00C66550">
              <w:rPr>
                <w:rFonts w:asciiTheme="minorHAnsi" w:hAnsiTheme="minorHAnsi" w:cs="Arial"/>
                <w:b/>
                <w:szCs w:val="20"/>
              </w:rPr>
              <w:t>/</w:t>
            </w:r>
            <w:r w:rsidRPr="00C66550">
              <w:rPr>
                <w:rFonts w:asciiTheme="minorHAnsi" w:hAnsiTheme="minorHAnsi" w:cs="Arial"/>
                <w:b/>
                <w:szCs w:val="20"/>
              </w:rPr>
              <w:t>11</w:t>
            </w:r>
          </w:p>
        </w:tc>
        <w:tc>
          <w:tcPr>
            <w:tcW w:w="418"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rsidR="00E532F8" w:rsidRPr="00C66550" w:rsidRDefault="00ED7E1D" w:rsidP="00AE78DC">
            <w:pPr>
              <w:ind w:left="-248" w:firstLine="107"/>
              <w:jc w:val="center"/>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351B20"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423" w:type="pct"/>
            <w:tcBorders>
              <w:top w:val="single" w:sz="4" w:space="0" w:color="808080" w:themeColor="background1" w:themeShade="80"/>
              <w:bottom w:val="single" w:sz="4" w:space="0" w:color="808080" w:themeColor="background1" w:themeShade="80"/>
            </w:tcBorders>
            <w:shd w:val="clear" w:color="auto" w:fill="auto"/>
            <w:vAlign w:val="center"/>
          </w:tcPr>
          <w:p w:rsidR="00E532F8" w:rsidRPr="00C66550" w:rsidRDefault="002C302A" w:rsidP="00AE78DC">
            <w:pPr>
              <w:jc w:val="center"/>
              <w:rPr>
                <w:rFonts w:asciiTheme="minorHAnsi" w:hAnsiTheme="minorHAnsi" w:cs="Arial"/>
                <w:b/>
                <w:szCs w:val="20"/>
              </w:rPr>
            </w:pPr>
            <w:r w:rsidRPr="00C66550">
              <w:rPr>
                <w:rFonts w:asciiTheme="minorHAnsi" w:hAnsiTheme="minorHAnsi" w:cs="Arial"/>
                <w:b/>
                <w:szCs w:val="20"/>
              </w:rPr>
              <w:t>2010</w:t>
            </w:r>
            <w:r w:rsidR="00351B20" w:rsidRPr="00C66550">
              <w:rPr>
                <w:rFonts w:asciiTheme="minorHAnsi" w:hAnsiTheme="minorHAnsi" w:cs="Arial"/>
                <w:b/>
                <w:szCs w:val="20"/>
              </w:rPr>
              <w:t>/</w:t>
            </w:r>
            <w:r w:rsidRPr="00C66550">
              <w:rPr>
                <w:rFonts w:asciiTheme="minorHAnsi" w:hAnsiTheme="minorHAnsi" w:cs="Arial"/>
                <w:b/>
                <w:szCs w:val="20"/>
              </w:rPr>
              <w:t>11</w:t>
            </w:r>
          </w:p>
        </w:tc>
      </w:tr>
      <w:tr w:rsidR="00AE78DC" w:rsidRPr="00C66550" w:rsidTr="00E0088B">
        <w:trPr>
          <w:trHeight w:val="310"/>
        </w:trPr>
        <w:tc>
          <w:tcPr>
            <w:tcW w:w="543" w:type="pct"/>
            <w:tcBorders>
              <w:top w:val="single" w:sz="4" w:space="0" w:color="808080" w:themeColor="background1" w:themeShade="80"/>
              <w:bottom w:val="nil"/>
              <w:right w:val="single" w:sz="4" w:space="0" w:color="808080" w:themeColor="background1" w:themeShade="80"/>
            </w:tcBorders>
            <w:vAlign w:val="bottom"/>
          </w:tcPr>
          <w:p w:rsidR="00E532F8" w:rsidRPr="00C66550" w:rsidRDefault="00E532F8" w:rsidP="00736812">
            <w:pPr>
              <w:spacing w:beforeLines="40" w:line="240" w:lineRule="atLeast"/>
              <w:rPr>
                <w:rFonts w:asciiTheme="minorHAnsi" w:hAnsiTheme="minorHAnsi" w:cs="Times New Roman"/>
                <w:color w:val="auto"/>
                <w:szCs w:val="20"/>
                <w:vertAlign w:val="superscript"/>
              </w:rPr>
            </w:pPr>
            <w:r w:rsidRPr="00C66550">
              <w:rPr>
                <w:rFonts w:asciiTheme="minorHAnsi" w:hAnsiTheme="minorHAnsi" w:cs="Times New Roman"/>
                <w:color w:val="auto"/>
                <w:szCs w:val="20"/>
              </w:rPr>
              <w:t>Canada</w:t>
            </w:r>
          </w:p>
        </w:tc>
        <w:tc>
          <w:tcPr>
            <w:tcW w:w="452" w:type="pct"/>
            <w:tcBorders>
              <w:top w:val="single" w:sz="4" w:space="0" w:color="808080" w:themeColor="background1" w:themeShade="80"/>
              <w:left w:val="single" w:sz="4" w:space="0" w:color="808080" w:themeColor="background1" w:themeShade="80"/>
              <w:bottom w:val="nil"/>
            </w:tcBorders>
            <w:vAlign w:val="bottom"/>
          </w:tcPr>
          <w:p w:rsidR="00E532F8" w:rsidRPr="00C66550" w:rsidRDefault="00E532F8" w:rsidP="0014187C">
            <w:pPr>
              <w:jc w:val="right"/>
              <w:rPr>
                <w:rFonts w:asciiTheme="minorHAnsi" w:hAnsiTheme="minorHAnsi" w:cs="Arial"/>
                <w:color w:val="0C0C0C" w:themeColor="text1"/>
                <w:szCs w:val="20"/>
              </w:rPr>
            </w:pPr>
            <w:r w:rsidRPr="00C66550">
              <w:rPr>
                <w:rFonts w:asciiTheme="minorHAnsi" w:hAnsiTheme="minorHAnsi"/>
                <w:color w:val="0C0C0C" w:themeColor="text1"/>
                <w:szCs w:val="20"/>
              </w:rPr>
              <w:t>3</w:t>
            </w:r>
            <w:r w:rsidR="0014187C" w:rsidRPr="00C66550">
              <w:rPr>
                <w:rFonts w:asciiTheme="minorHAnsi" w:hAnsiTheme="minorHAnsi"/>
                <w:color w:val="0C0C0C" w:themeColor="text1"/>
                <w:szCs w:val="20"/>
              </w:rPr>
              <w:t>2</w:t>
            </w:r>
            <w:r w:rsidRPr="00C66550">
              <w:rPr>
                <w:rFonts w:asciiTheme="minorHAnsi" w:hAnsiTheme="minorHAnsi"/>
                <w:color w:val="0C0C0C" w:themeColor="text1"/>
                <w:szCs w:val="20"/>
              </w:rPr>
              <w:t>,613</w:t>
            </w:r>
          </w:p>
        </w:tc>
        <w:tc>
          <w:tcPr>
            <w:tcW w:w="448" w:type="pct"/>
            <w:tcBorders>
              <w:top w:val="single" w:sz="4" w:space="0" w:color="808080" w:themeColor="background1" w:themeShade="80"/>
              <w:bottom w:val="nil"/>
              <w:right w:val="single" w:sz="4" w:space="0" w:color="808080" w:themeColor="background1" w:themeShade="80"/>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33,477</w:t>
            </w:r>
          </w:p>
        </w:tc>
        <w:tc>
          <w:tcPr>
            <w:tcW w:w="433" w:type="pct"/>
            <w:tcBorders>
              <w:top w:val="single" w:sz="4" w:space="0" w:color="808080" w:themeColor="background1" w:themeShade="80"/>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9</w:t>
            </w:r>
            <w:r w:rsidR="00AE78DC">
              <w:rPr>
                <w:rFonts w:asciiTheme="minorHAnsi" w:hAnsiTheme="minorHAnsi"/>
                <w:color w:val="0C0C0C" w:themeColor="text1"/>
                <w:szCs w:val="20"/>
              </w:rPr>
              <w:t>.</w:t>
            </w:r>
            <w:r w:rsidRPr="00C66550">
              <w:rPr>
                <w:rFonts w:asciiTheme="minorHAnsi" w:hAnsiTheme="minorHAnsi"/>
                <w:color w:val="0C0C0C" w:themeColor="text1"/>
                <w:szCs w:val="20"/>
              </w:rPr>
              <w:t>2</w:t>
            </w:r>
          </w:p>
        </w:tc>
        <w:tc>
          <w:tcPr>
            <w:tcW w:w="451" w:type="pct"/>
            <w:tcBorders>
              <w:top w:val="single" w:sz="4" w:space="0" w:color="808080" w:themeColor="background1" w:themeShade="80"/>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8</w:t>
            </w:r>
            <w:r w:rsidR="00AE78DC">
              <w:rPr>
                <w:rFonts w:asciiTheme="minorHAnsi" w:hAnsiTheme="minorHAnsi"/>
                <w:color w:val="0C0C0C" w:themeColor="text1"/>
                <w:szCs w:val="20"/>
              </w:rPr>
              <w:t>.</w:t>
            </w:r>
            <w:r w:rsidRPr="00C66550">
              <w:rPr>
                <w:rFonts w:asciiTheme="minorHAnsi" w:hAnsiTheme="minorHAnsi"/>
                <w:color w:val="0C0C0C" w:themeColor="text1"/>
                <w:szCs w:val="20"/>
              </w:rPr>
              <w:t>5</w:t>
            </w:r>
          </w:p>
        </w:tc>
        <w:tc>
          <w:tcPr>
            <w:tcW w:w="444" w:type="pct"/>
            <w:tcBorders>
              <w:top w:val="single" w:sz="4" w:space="0" w:color="808080" w:themeColor="background1" w:themeShade="80"/>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3</w:t>
            </w:r>
            <w:r w:rsidR="00AE78DC">
              <w:rPr>
                <w:rFonts w:asciiTheme="minorHAnsi" w:hAnsiTheme="minorHAnsi"/>
                <w:color w:val="0C0C0C" w:themeColor="text1"/>
                <w:szCs w:val="20"/>
              </w:rPr>
              <w:t>.</w:t>
            </w:r>
            <w:r w:rsidRPr="00C66550">
              <w:rPr>
                <w:rFonts w:asciiTheme="minorHAnsi" w:hAnsiTheme="minorHAnsi"/>
                <w:color w:val="0C0C0C" w:themeColor="text1"/>
                <w:szCs w:val="20"/>
              </w:rPr>
              <w:t>7</w:t>
            </w:r>
          </w:p>
        </w:tc>
        <w:tc>
          <w:tcPr>
            <w:tcW w:w="446" w:type="pct"/>
            <w:tcBorders>
              <w:top w:val="single" w:sz="4" w:space="0" w:color="808080" w:themeColor="background1" w:themeShade="80"/>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4</w:t>
            </w:r>
            <w:r w:rsidR="00AE78DC">
              <w:rPr>
                <w:rFonts w:asciiTheme="minorHAnsi" w:hAnsiTheme="minorHAnsi"/>
                <w:color w:val="0C0C0C" w:themeColor="text1"/>
                <w:szCs w:val="20"/>
              </w:rPr>
              <w:t>.4</w:t>
            </w:r>
          </w:p>
        </w:tc>
        <w:tc>
          <w:tcPr>
            <w:tcW w:w="519" w:type="pct"/>
            <w:tcBorders>
              <w:top w:val="single" w:sz="4" w:space="0" w:color="808080" w:themeColor="background1" w:themeShade="80"/>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1</w:t>
            </w:r>
            <w:r w:rsidR="00AE78DC">
              <w:rPr>
                <w:rFonts w:asciiTheme="minorHAnsi" w:hAnsiTheme="minorHAnsi"/>
                <w:color w:val="0C0C0C" w:themeColor="text1"/>
                <w:szCs w:val="20"/>
              </w:rPr>
              <w:t>3.0</w:t>
            </w:r>
          </w:p>
        </w:tc>
        <w:tc>
          <w:tcPr>
            <w:tcW w:w="422" w:type="pct"/>
            <w:tcBorders>
              <w:top w:val="single" w:sz="4" w:space="0" w:color="808080" w:themeColor="background1" w:themeShade="80"/>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12</w:t>
            </w:r>
            <w:r w:rsidR="00AE78DC">
              <w:rPr>
                <w:rFonts w:asciiTheme="minorHAnsi" w:hAnsiTheme="minorHAnsi"/>
                <w:color w:val="0C0C0C" w:themeColor="text1"/>
                <w:szCs w:val="20"/>
              </w:rPr>
              <w:t>.9</w:t>
            </w:r>
          </w:p>
        </w:tc>
        <w:tc>
          <w:tcPr>
            <w:tcW w:w="418" w:type="pct"/>
            <w:tcBorders>
              <w:top w:val="single" w:sz="4" w:space="0" w:color="808080" w:themeColor="background1" w:themeShade="80"/>
              <w:left w:val="single" w:sz="4" w:space="0" w:color="808080" w:themeColor="background1" w:themeShade="80"/>
              <w:bottom w:val="nil"/>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29%</w:t>
            </w:r>
          </w:p>
        </w:tc>
        <w:tc>
          <w:tcPr>
            <w:tcW w:w="423" w:type="pct"/>
            <w:tcBorders>
              <w:top w:val="single" w:sz="4" w:space="0" w:color="808080" w:themeColor="background1" w:themeShade="80"/>
              <w:bottom w:val="nil"/>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34%</w:t>
            </w:r>
          </w:p>
        </w:tc>
      </w:tr>
      <w:tr w:rsidR="00AE78DC" w:rsidRPr="00C66550" w:rsidTr="00E0088B">
        <w:tc>
          <w:tcPr>
            <w:tcW w:w="543" w:type="pct"/>
            <w:tcBorders>
              <w:top w:val="nil"/>
              <w:bottom w:val="nil"/>
              <w:right w:val="single" w:sz="4" w:space="0" w:color="808080" w:themeColor="background1" w:themeShade="80"/>
            </w:tcBorders>
            <w:vAlign w:val="bottom"/>
          </w:tcPr>
          <w:p w:rsidR="00E532F8" w:rsidRPr="00C66550" w:rsidRDefault="005C7AF4" w:rsidP="00736812">
            <w:pPr>
              <w:spacing w:beforeLines="40" w:line="240" w:lineRule="atLeast"/>
              <w:rPr>
                <w:rFonts w:asciiTheme="minorHAnsi" w:hAnsiTheme="minorHAnsi" w:cs="Times New Roman"/>
                <w:color w:val="auto"/>
                <w:szCs w:val="20"/>
                <w:vertAlign w:val="superscript"/>
              </w:rPr>
            </w:pPr>
            <w:r w:rsidRPr="00C66550">
              <w:rPr>
                <w:rFonts w:asciiTheme="minorHAnsi" w:hAnsiTheme="minorHAnsi" w:cs="Times New Roman"/>
                <w:color w:val="auto"/>
                <w:szCs w:val="20"/>
              </w:rPr>
              <w:t>US</w:t>
            </w:r>
          </w:p>
        </w:tc>
        <w:tc>
          <w:tcPr>
            <w:tcW w:w="452" w:type="pct"/>
            <w:tcBorders>
              <w:top w:val="nil"/>
              <w:left w:val="single" w:sz="4" w:space="0" w:color="808080" w:themeColor="background1" w:themeShade="80"/>
              <w:bottom w:val="nil"/>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298,755</w:t>
            </w:r>
          </w:p>
        </w:tc>
        <w:tc>
          <w:tcPr>
            <w:tcW w:w="448" w:type="pct"/>
            <w:tcBorders>
              <w:top w:val="nil"/>
              <w:bottom w:val="nil"/>
              <w:right w:val="single" w:sz="4" w:space="0" w:color="808080" w:themeColor="background1" w:themeShade="80"/>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311,592</w:t>
            </w:r>
          </w:p>
        </w:tc>
        <w:tc>
          <w:tcPr>
            <w:tcW w:w="433" w:type="pct"/>
            <w:tcBorders>
              <w:top w:val="nil"/>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186</w:t>
            </w:r>
            <w:r w:rsidR="00AE78DC">
              <w:rPr>
                <w:rFonts w:asciiTheme="minorHAnsi" w:hAnsiTheme="minorHAnsi"/>
                <w:color w:val="0C0C0C" w:themeColor="text1"/>
                <w:szCs w:val="20"/>
              </w:rPr>
              <w:t>.</w:t>
            </w:r>
            <w:r w:rsidRPr="00C66550">
              <w:rPr>
                <w:rFonts w:asciiTheme="minorHAnsi" w:hAnsiTheme="minorHAnsi"/>
                <w:color w:val="0C0C0C" w:themeColor="text1"/>
                <w:szCs w:val="20"/>
              </w:rPr>
              <w:t>8</w:t>
            </w:r>
          </w:p>
        </w:tc>
        <w:tc>
          <w:tcPr>
            <w:tcW w:w="451"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164</w:t>
            </w:r>
            <w:r w:rsidR="00AE78DC">
              <w:rPr>
                <w:rFonts w:asciiTheme="minorHAnsi" w:hAnsiTheme="minorHAnsi"/>
                <w:color w:val="0C0C0C" w:themeColor="text1"/>
                <w:szCs w:val="20"/>
              </w:rPr>
              <w:t>.</w:t>
            </w:r>
            <w:r w:rsidRPr="00C66550">
              <w:rPr>
                <w:rFonts w:asciiTheme="minorHAnsi" w:hAnsiTheme="minorHAnsi"/>
                <w:color w:val="0C0C0C" w:themeColor="text1"/>
                <w:szCs w:val="20"/>
              </w:rPr>
              <w:t>7</w:t>
            </w:r>
          </w:p>
        </w:tc>
        <w:tc>
          <w:tcPr>
            <w:tcW w:w="444" w:type="pct"/>
            <w:tcBorders>
              <w:top w:val="nil"/>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90</w:t>
            </w:r>
            <w:r w:rsidR="00AE78DC">
              <w:rPr>
                <w:rFonts w:asciiTheme="minorHAnsi" w:hAnsiTheme="minorHAnsi"/>
                <w:color w:val="0C0C0C" w:themeColor="text1"/>
                <w:szCs w:val="20"/>
              </w:rPr>
              <w:t>.2</w:t>
            </w:r>
          </w:p>
        </w:tc>
        <w:tc>
          <w:tcPr>
            <w:tcW w:w="446"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85</w:t>
            </w:r>
            <w:r w:rsidR="00AE78DC">
              <w:rPr>
                <w:rFonts w:asciiTheme="minorHAnsi" w:hAnsiTheme="minorHAnsi"/>
                <w:color w:val="0C0C0C" w:themeColor="text1"/>
                <w:szCs w:val="20"/>
              </w:rPr>
              <w:t>.1</w:t>
            </w:r>
          </w:p>
        </w:tc>
        <w:tc>
          <w:tcPr>
            <w:tcW w:w="519" w:type="pct"/>
            <w:tcBorders>
              <w:top w:val="nil"/>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277</w:t>
            </w:r>
            <w:r w:rsidR="00AE78DC">
              <w:rPr>
                <w:rFonts w:asciiTheme="minorHAnsi" w:hAnsiTheme="minorHAnsi"/>
                <w:color w:val="0C0C0C" w:themeColor="text1"/>
                <w:szCs w:val="20"/>
              </w:rPr>
              <w:t>.</w:t>
            </w:r>
            <w:r w:rsidRPr="00C66550">
              <w:rPr>
                <w:rFonts w:asciiTheme="minorHAnsi" w:hAnsiTheme="minorHAnsi"/>
                <w:color w:val="0C0C0C" w:themeColor="text1"/>
                <w:szCs w:val="20"/>
              </w:rPr>
              <w:t>0</w:t>
            </w:r>
          </w:p>
        </w:tc>
        <w:tc>
          <w:tcPr>
            <w:tcW w:w="422"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249</w:t>
            </w:r>
            <w:r w:rsidR="00AE78DC">
              <w:rPr>
                <w:rFonts w:asciiTheme="minorHAnsi" w:hAnsiTheme="minorHAnsi"/>
                <w:color w:val="0C0C0C" w:themeColor="text1"/>
                <w:szCs w:val="20"/>
              </w:rPr>
              <w:t>.9</w:t>
            </w:r>
          </w:p>
        </w:tc>
        <w:tc>
          <w:tcPr>
            <w:tcW w:w="418" w:type="pct"/>
            <w:tcBorders>
              <w:top w:val="nil"/>
              <w:left w:val="single" w:sz="4" w:space="0" w:color="808080" w:themeColor="background1" w:themeShade="80"/>
              <w:bottom w:val="nil"/>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33%</w:t>
            </w:r>
          </w:p>
        </w:tc>
        <w:tc>
          <w:tcPr>
            <w:tcW w:w="423" w:type="pct"/>
            <w:tcBorders>
              <w:top w:val="nil"/>
              <w:bottom w:val="nil"/>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34%</w:t>
            </w:r>
          </w:p>
        </w:tc>
      </w:tr>
      <w:tr w:rsidR="00AE78DC" w:rsidRPr="00C66550" w:rsidTr="00E0088B">
        <w:tc>
          <w:tcPr>
            <w:tcW w:w="543" w:type="pct"/>
            <w:tcBorders>
              <w:top w:val="nil"/>
              <w:bottom w:val="nil"/>
              <w:right w:val="single" w:sz="4" w:space="0" w:color="808080" w:themeColor="background1" w:themeShade="80"/>
            </w:tcBorders>
            <w:vAlign w:val="bottom"/>
          </w:tcPr>
          <w:p w:rsidR="00E532F8" w:rsidRPr="00C66550" w:rsidRDefault="00E532F8" w:rsidP="00736812">
            <w:pPr>
              <w:spacing w:beforeLines="40" w:line="240" w:lineRule="atLeast"/>
              <w:rPr>
                <w:rFonts w:asciiTheme="minorHAnsi" w:hAnsiTheme="minorHAnsi" w:cs="Times New Roman"/>
                <w:color w:val="auto"/>
                <w:szCs w:val="20"/>
                <w:vertAlign w:val="superscript"/>
              </w:rPr>
            </w:pPr>
            <w:r w:rsidRPr="00C66550">
              <w:rPr>
                <w:rFonts w:asciiTheme="minorHAnsi" w:hAnsiTheme="minorHAnsi" w:cs="Times New Roman"/>
                <w:color w:val="auto"/>
                <w:szCs w:val="20"/>
              </w:rPr>
              <w:t>Germany</w:t>
            </w:r>
          </w:p>
        </w:tc>
        <w:tc>
          <w:tcPr>
            <w:tcW w:w="452" w:type="pct"/>
            <w:tcBorders>
              <w:top w:val="nil"/>
              <w:left w:val="single" w:sz="4" w:space="0" w:color="808080" w:themeColor="background1" w:themeShade="80"/>
              <w:bottom w:val="nil"/>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82,438</w:t>
            </w:r>
          </w:p>
        </w:tc>
        <w:tc>
          <w:tcPr>
            <w:tcW w:w="448" w:type="pct"/>
            <w:tcBorders>
              <w:top w:val="nil"/>
              <w:bottom w:val="nil"/>
              <w:right w:val="single" w:sz="4" w:space="0" w:color="808080" w:themeColor="background1" w:themeShade="80"/>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81,800</w:t>
            </w:r>
          </w:p>
        </w:tc>
        <w:tc>
          <w:tcPr>
            <w:tcW w:w="433" w:type="pct"/>
            <w:tcBorders>
              <w:top w:val="nil"/>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17</w:t>
            </w:r>
            <w:r w:rsidR="00AE78DC">
              <w:rPr>
                <w:rFonts w:asciiTheme="minorHAnsi" w:hAnsiTheme="minorHAnsi"/>
                <w:color w:val="0C0C0C" w:themeColor="text1"/>
                <w:szCs w:val="20"/>
              </w:rPr>
              <w:t>.7</w:t>
            </w:r>
          </w:p>
        </w:tc>
        <w:tc>
          <w:tcPr>
            <w:tcW w:w="451"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10</w:t>
            </w:r>
            <w:r w:rsidR="00AE78DC">
              <w:rPr>
                <w:rFonts w:asciiTheme="minorHAnsi" w:hAnsiTheme="minorHAnsi"/>
                <w:color w:val="0C0C0C" w:themeColor="text1"/>
                <w:szCs w:val="20"/>
              </w:rPr>
              <w:t>.</w:t>
            </w:r>
            <w:r w:rsidRPr="00C66550">
              <w:rPr>
                <w:rFonts w:asciiTheme="minorHAnsi" w:hAnsiTheme="minorHAnsi"/>
                <w:color w:val="0C0C0C" w:themeColor="text1"/>
                <w:szCs w:val="20"/>
              </w:rPr>
              <w:t>7</w:t>
            </w:r>
          </w:p>
        </w:tc>
        <w:tc>
          <w:tcPr>
            <w:tcW w:w="444" w:type="pct"/>
            <w:tcBorders>
              <w:top w:val="nil"/>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28</w:t>
            </w:r>
            <w:r w:rsidR="00AE78DC">
              <w:rPr>
                <w:rFonts w:asciiTheme="minorHAnsi" w:hAnsiTheme="minorHAnsi"/>
                <w:color w:val="0C0C0C" w:themeColor="text1"/>
                <w:szCs w:val="20"/>
              </w:rPr>
              <w:t>.1</w:t>
            </w:r>
          </w:p>
        </w:tc>
        <w:tc>
          <w:tcPr>
            <w:tcW w:w="446"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38</w:t>
            </w:r>
            <w:r w:rsidR="00AE78DC">
              <w:rPr>
                <w:rFonts w:asciiTheme="minorHAnsi" w:hAnsiTheme="minorHAnsi"/>
                <w:color w:val="0C0C0C" w:themeColor="text1"/>
                <w:szCs w:val="20"/>
              </w:rPr>
              <w:t>.5</w:t>
            </w:r>
          </w:p>
        </w:tc>
        <w:tc>
          <w:tcPr>
            <w:tcW w:w="519" w:type="pct"/>
            <w:tcBorders>
              <w:top w:val="nil"/>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45</w:t>
            </w:r>
            <w:r w:rsidR="00AE78DC">
              <w:rPr>
                <w:rFonts w:asciiTheme="minorHAnsi" w:hAnsiTheme="minorHAnsi"/>
                <w:color w:val="0C0C0C" w:themeColor="text1"/>
                <w:szCs w:val="20"/>
              </w:rPr>
              <w:t>.8</w:t>
            </w:r>
          </w:p>
        </w:tc>
        <w:tc>
          <w:tcPr>
            <w:tcW w:w="422"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s="Arial"/>
                <w:color w:val="0C0C0C" w:themeColor="text1"/>
                <w:szCs w:val="20"/>
              </w:rPr>
            </w:pPr>
            <w:r w:rsidRPr="00C66550">
              <w:rPr>
                <w:rFonts w:asciiTheme="minorHAnsi" w:hAnsiTheme="minorHAnsi"/>
                <w:color w:val="0C0C0C" w:themeColor="text1"/>
                <w:szCs w:val="20"/>
              </w:rPr>
              <w:t>49</w:t>
            </w:r>
            <w:r w:rsidR="00AE78DC">
              <w:rPr>
                <w:rFonts w:asciiTheme="minorHAnsi" w:hAnsiTheme="minorHAnsi"/>
                <w:color w:val="0C0C0C" w:themeColor="text1"/>
                <w:szCs w:val="20"/>
              </w:rPr>
              <w:t>.2</w:t>
            </w:r>
          </w:p>
        </w:tc>
        <w:tc>
          <w:tcPr>
            <w:tcW w:w="418" w:type="pct"/>
            <w:tcBorders>
              <w:top w:val="nil"/>
              <w:left w:val="single" w:sz="4" w:space="0" w:color="808080" w:themeColor="background1" w:themeShade="80"/>
              <w:bottom w:val="nil"/>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61%</w:t>
            </w:r>
          </w:p>
        </w:tc>
        <w:tc>
          <w:tcPr>
            <w:tcW w:w="423" w:type="pct"/>
            <w:tcBorders>
              <w:top w:val="nil"/>
              <w:bottom w:val="nil"/>
            </w:tcBorders>
            <w:vAlign w:val="bottom"/>
          </w:tcPr>
          <w:p w:rsidR="00E532F8" w:rsidRPr="00C66550" w:rsidRDefault="00E532F8" w:rsidP="006D030C">
            <w:pPr>
              <w:jc w:val="right"/>
              <w:rPr>
                <w:rFonts w:asciiTheme="minorHAnsi" w:hAnsiTheme="minorHAnsi" w:cs="Arial"/>
                <w:color w:val="0C0C0C" w:themeColor="text1"/>
                <w:szCs w:val="20"/>
              </w:rPr>
            </w:pPr>
            <w:r w:rsidRPr="00C66550">
              <w:rPr>
                <w:rFonts w:asciiTheme="minorHAnsi" w:hAnsiTheme="minorHAnsi"/>
                <w:color w:val="0C0C0C" w:themeColor="text1"/>
                <w:szCs w:val="20"/>
              </w:rPr>
              <w:t>78%</w:t>
            </w:r>
          </w:p>
        </w:tc>
      </w:tr>
      <w:tr w:rsidR="00AE78DC" w:rsidRPr="00C66550" w:rsidTr="00E0088B">
        <w:tc>
          <w:tcPr>
            <w:tcW w:w="543" w:type="pct"/>
            <w:tcBorders>
              <w:top w:val="nil"/>
              <w:bottom w:val="nil"/>
              <w:right w:val="single" w:sz="4" w:space="0" w:color="808080" w:themeColor="background1" w:themeShade="80"/>
            </w:tcBorders>
            <w:vAlign w:val="bottom"/>
          </w:tcPr>
          <w:p w:rsidR="00E532F8" w:rsidRPr="00C66550" w:rsidRDefault="005C7AF4" w:rsidP="00736812">
            <w:pPr>
              <w:spacing w:beforeLines="40" w:line="240" w:lineRule="atLeast"/>
              <w:rPr>
                <w:rFonts w:asciiTheme="minorHAnsi" w:hAnsiTheme="minorHAnsi" w:cs="Times New Roman"/>
                <w:color w:val="auto"/>
                <w:szCs w:val="20"/>
                <w:vertAlign w:val="superscript"/>
              </w:rPr>
            </w:pPr>
            <w:r w:rsidRPr="00C66550">
              <w:rPr>
                <w:rFonts w:asciiTheme="minorHAnsi" w:hAnsiTheme="minorHAnsi" w:cs="Times New Roman"/>
                <w:color w:val="auto"/>
                <w:szCs w:val="20"/>
              </w:rPr>
              <w:t>UK</w:t>
            </w:r>
          </w:p>
        </w:tc>
        <w:tc>
          <w:tcPr>
            <w:tcW w:w="452" w:type="pct"/>
            <w:tcBorders>
              <w:top w:val="nil"/>
              <w:left w:val="single" w:sz="4" w:space="0" w:color="808080" w:themeColor="background1" w:themeShade="80"/>
              <w:bottom w:val="nil"/>
            </w:tcBorders>
            <w:vAlign w:val="bottom"/>
          </w:tcPr>
          <w:p w:rsidR="00E532F8" w:rsidRPr="00C66550" w:rsidRDefault="00E532F8" w:rsidP="006D030C">
            <w:pPr>
              <w:jc w:val="right"/>
              <w:rPr>
                <w:rFonts w:asciiTheme="minorHAnsi" w:hAnsiTheme="minorHAnsi"/>
                <w:color w:val="0C0C0C" w:themeColor="text1"/>
                <w:szCs w:val="20"/>
              </w:rPr>
            </w:pPr>
            <w:r w:rsidRPr="00C66550">
              <w:rPr>
                <w:rFonts w:asciiTheme="minorHAnsi" w:hAnsiTheme="minorHAnsi"/>
                <w:color w:val="0C0C0C" w:themeColor="text1"/>
                <w:szCs w:val="20"/>
              </w:rPr>
              <w:t>50,793</w:t>
            </w:r>
          </w:p>
        </w:tc>
        <w:tc>
          <w:tcPr>
            <w:tcW w:w="448" w:type="pct"/>
            <w:tcBorders>
              <w:top w:val="nil"/>
              <w:bottom w:val="nil"/>
              <w:right w:val="single" w:sz="4" w:space="0" w:color="808080" w:themeColor="background1" w:themeShade="80"/>
            </w:tcBorders>
            <w:vAlign w:val="bottom"/>
          </w:tcPr>
          <w:p w:rsidR="00E532F8" w:rsidRPr="00C66550" w:rsidRDefault="00E532F8" w:rsidP="006D030C">
            <w:pPr>
              <w:jc w:val="right"/>
              <w:rPr>
                <w:rFonts w:asciiTheme="minorHAnsi" w:hAnsiTheme="minorHAnsi"/>
                <w:color w:val="0C0C0C" w:themeColor="text1"/>
                <w:szCs w:val="20"/>
              </w:rPr>
            </w:pPr>
            <w:r w:rsidRPr="00C66550">
              <w:rPr>
                <w:rFonts w:asciiTheme="minorHAnsi" w:hAnsiTheme="minorHAnsi"/>
                <w:color w:val="0C0C0C" w:themeColor="text1"/>
                <w:szCs w:val="20"/>
              </w:rPr>
              <w:t>63,200</w:t>
            </w:r>
          </w:p>
        </w:tc>
        <w:tc>
          <w:tcPr>
            <w:tcW w:w="433" w:type="pct"/>
            <w:tcBorders>
              <w:top w:val="nil"/>
              <w:left w:val="single" w:sz="4" w:space="0" w:color="808080" w:themeColor="background1" w:themeShade="80"/>
              <w:bottom w:val="nil"/>
            </w:tcBorders>
            <w:vAlign w:val="bottom"/>
          </w:tcPr>
          <w:p w:rsidR="00E532F8" w:rsidRPr="00C66550" w:rsidRDefault="00AE78DC" w:rsidP="006D030C">
            <w:pPr>
              <w:jc w:val="right"/>
              <w:rPr>
                <w:rFonts w:asciiTheme="minorHAnsi" w:hAnsiTheme="minorHAnsi"/>
                <w:color w:val="0C0C0C" w:themeColor="text1"/>
                <w:szCs w:val="20"/>
              </w:rPr>
            </w:pPr>
            <w:r>
              <w:rPr>
                <w:rFonts w:asciiTheme="minorHAnsi" w:hAnsiTheme="minorHAnsi"/>
                <w:color w:val="0C0C0C" w:themeColor="text1"/>
                <w:szCs w:val="20"/>
              </w:rPr>
              <w:t>20.2</w:t>
            </w:r>
          </w:p>
        </w:tc>
        <w:tc>
          <w:tcPr>
            <w:tcW w:w="451"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olor w:val="0C0C0C" w:themeColor="text1"/>
                <w:szCs w:val="20"/>
              </w:rPr>
            </w:pPr>
            <w:r w:rsidRPr="00C66550">
              <w:rPr>
                <w:rFonts w:asciiTheme="minorHAnsi" w:hAnsiTheme="minorHAnsi"/>
                <w:color w:val="0C0C0C" w:themeColor="text1"/>
                <w:szCs w:val="20"/>
              </w:rPr>
              <w:t>16</w:t>
            </w:r>
            <w:r w:rsidR="00AE78DC">
              <w:rPr>
                <w:rFonts w:asciiTheme="minorHAnsi" w:hAnsiTheme="minorHAnsi"/>
                <w:color w:val="0C0C0C" w:themeColor="text1"/>
                <w:szCs w:val="20"/>
              </w:rPr>
              <w:t>.</w:t>
            </w:r>
            <w:r w:rsidRPr="00C66550">
              <w:rPr>
                <w:rFonts w:asciiTheme="minorHAnsi" w:hAnsiTheme="minorHAnsi"/>
                <w:color w:val="0C0C0C" w:themeColor="text1"/>
                <w:szCs w:val="20"/>
              </w:rPr>
              <w:t>3</w:t>
            </w:r>
          </w:p>
        </w:tc>
        <w:tc>
          <w:tcPr>
            <w:tcW w:w="444" w:type="pct"/>
            <w:tcBorders>
              <w:top w:val="nil"/>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olor w:val="0C0C0C" w:themeColor="text1"/>
                <w:szCs w:val="20"/>
              </w:rPr>
            </w:pPr>
            <w:r w:rsidRPr="00C66550">
              <w:rPr>
                <w:rFonts w:asciiTheme="minorHAnsi" w:hAnsiTheme="minorHAnsi"/>
                <w:color w:val="0C0C0C" w:themeColor="text1"/>
                <w:szCs w:val="20"/>
              </w:rPr>
              <w:t>8</w:t>
            </w:r>
            <w:r w:rsidR="00AE78DC">
              <w:rPr>
                <w:rFonts w:asciiTheme="minorHAnsi" w:hAnsiTheme="minorHAnsi"/>
                <w:color w:val="0C0C0C" w:themeColor="text1"/>
                <w:szCs w:val="20"/>
              </w:rPr>
              <w:t>.</w:t>
            </w:r>
            <w:r w:rsidRPr="00C66550">
              <w:rPr>
                <w:rFonts w:asciiTheme="minorHAnsi" w:hAnsiTheme="minorHAnsi"/>
                <w:color w:val="0C0C0C" w:themeColor="text1"/>
                <w:szCs w:val="20"/>
              </w:rPr>
              <w:t>9</w:t>
            </w:r>
          </w:p>
        </w:tc>
        <w:tc>
          <w:tcPr>
            <w:tcW w:w="446"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olor w:val="0C0C0C" w:themeColor="text1"/>
                <w:szCs w:val="20"/>
              </w:rPr>
            </w:pPr>
            <w:r w:rsidRPr="00C66550">
              <w:rPr>
                <w:rFonts w:asciiTheme="minorHAnsi" w:hAnsiTheme="minorHAnsi"/>
                <w:color w:val="0C0C0C" w:themeColor="text1"/>
                <w:szCs w:val="20"/>
              </w:rPr>
              <w:t>16</w:t>
            </w:r>
            <w:r w:rsidR="00AE78DC">
              <w:rPr>
                <w:rFonts w:asciiTheme="minorHAnsi" w:hAnsiTheme="minorHAnsi"/>
                <w:color w:val="0C0C0C" w:themeColor="text1"/>
                <w:szCs w:val="20"/>
              </w:rPr>
              <w:t>.2</w:t>
            </w:r>
          </w:p>
        </w:tc>
        <w:tc>
          <w:tcPr>
            <w:tcW w:w="519" w:type="pct"/>
            <w:tcBorders>
              <w:top w:val="nil"/>
              <w:left w:val="single" w:sz="4" w:space="0" w:color="808080" w:themeColor="background1" w:themeShade="80"/>
              <w:bottom w:val="nil"/>
            </w:tcBorders>
            <w:vAlign w:val="bottom"/>
          </w:tcPr>
          <w:p w:rsidR="00E532F8" w:rsidRPr="00C66550" w:rsidRDefault="00E532F8" w:rsidP="00AE78DC">
            <w:pPr>
              <w:jc w:val="right"/>
              <w:rPr>
                <w:rFonts w:asciiTheme="minorHAnsi" w:hAnsiTheme="minorHAnsi"/>
                <w:color w:val="0C0C0C" w:themeColor="text1"/>
                <w:szCs w:val="20"/>
              </w:rPr>
            </w:pPr>
            <w:r w:rsidRPr="00C66550">
              <w:rPr>
                <w:rFonts w:asciiTheme="minorHAnsi" w:hAnsiTheme="minorHAnsi"/>
                <w:color w:val="0C0C0C" w:themeColor="text1"/>
                <w:szCs w:val="20"/>
              </w:rPr>
              <w:t>29</w:t>
            </w:r>
            <w:r w:rsidR="00AE78DC">
              <w:rPr>
                <w:rFonts w:asciiTheme="minorHAnsi" w:hAnsiTheme="minorHAnsi"/>
                <w:color w:val="0C0C0C" w:themeColor="text1"/>
                <w:szCs w:val="20"/>
              </w:rPr>
              <w:t>.</w:t>
            </w:r>
            <w:r w:rsidRPr="00C66550">
              <w:rPr>
                <w:rFonts w:asciiTheme="minorHAnsi" w:hAnsiTheme="minorHAnsi"/>
                <w:color w:val="0C0C0C" w:themeColor="text1"/>
                <w:szCs w:val="20"/>
              </w:rPr>
              <w:t>1</w:t>
            </w:r>
          </w:p>
        </w:tc>
        <w:tc>
          <w:tcPr>
            <w:tcW w:w="422" w:type="pct"/>
            <w:tcBorders>
              <w:top w:val="nil"/>
              <w:bottom w:val="nil"/>
              <w:right w:val="single" w:sz="4" w:space="0" w:color="808080" w:themeColor="background1" w:themeShade="80"/>
            </w:tcBorders>
            <w:vAlign w:val="bottom"/>
          </w:tcPr>
          <w:p w:rsidR="00E532F8" w:rsidRPr="00C66550" w:rsidRDefault="00E532F8" w:rsidP="00AE78DC">
            <w:pPr>
              <w:jc w:val="right"/>
              <w:rPr>
                <w:rFonts w:asciiTheme="minorHAnsi" w:hAnsiTheme="minorHAnsi"/>
                <w:color w:val="0C0C0C" w:themeColor="text1"/>
                <w:szCs w:val="20"/>
              </w:rPr>
            </w:pPr>
            <w:r w:rsidRPr="00C66550">
              <w:rPr>
                <w:rFonts w:asciiTheme="minorHAnsi" w:hAnsiTheme="minorHAnsi"/>
                <w:color w:val="0C0C0C" w:themeColor="text1"/>
                <w:szCs w:val="20"/>
              </w:rPr>
              <w:t>32</w:t>
            </w:r>
            <w:r w:rsidR="00AE78DC">
              <w:rPr>
                <w:rFonts w:asciiTheme="minorHAnsi" w:hAnsiTheme="minorHAnsi"/>
                <w:color w:val="0C0C0C" w:themeColor="text1"/>
                <w:szCs w:val="20"/>
              </w:rPr>
              <w:t>.5</w:t>
            </w:r>
          </w:p>
        </w:tc>
        <w:tc>
          <w:tcPr>
            <w:tcW w:w="418" w:type="pct"/>
            <w:tcBorders>
              <w:top w:val="nil"/>
              <w:left w:val="single" w:sz="4" w:space="0" w:color="808080" w:themeColor="background1" w:themeShade="80"/>
              <w:bottom w:val="nil"/>
            </w:tcBorders>
            <w:vAlign w:val="bottom"/>
          </w:tcPr>
          <w:p w:rsidR="00E532F8" w:rsidRPr="00C66550" w:rsidRDefault="00E532F8" w:rsidP="006D030C">
            <w:pPr>
              <w:jc w:val="right"/>
              <w:rPr>
                <w:rFonts w:asciiTheme="minorHAnsi" w:hAnsiTheme="minorHAnsi"/>
                <w:color w:val="0C0C0C" w:themeColor="text1"/>
                <w:szCs w:val="20"/>
              </w:rPr>
            </w:pPr>
            <w:r w:rsidRPr="00C66550">
              <w:rPr>
                <w:rFonts w:asciiTheme="minorHAnsi" w:hAnsiTheme="minorHAnsi"/>
                <w:color w:val="0C0C0C" w:themeColor="text1"/>
                <w:szCs w:val="20"/>
              </w:rPr>
              <w:t>31%</w:t>
            </w:r>
          </w:p>
        </w:tc>
        <w:tc>
          <w:tcPr>
            <w:tcW w:w="423" w:type="pct"/>
            <w:tcBorders>
              <w:top w:val="nil"/>
              <w:bottom w:val="nil"/>
            </w:tcBorders>
            <w:vAlign w:val="bottom"/>
          </w:tcPr>
          <w:p w:rsidR="00E532F8" w:rsidRPr="00C66550" w:rsidRDefault="00E532F8" w:rsidP="006D030C">
            <w:pPr>
              <w:jc w:val="right"/>
              <w:rPr>
                <w:rFonts w:asciiTheme="minorHAnsi" w:hAnsiTheme="minorHAnsi"/>
                <w:color w:val="0C0C0C" w:themeColor="text1"/>
                <w:szCs w:val="20"/>
              </w:rPr>
            </w:pPr>
            <w:r w:rsidRPr="00C66550">
              <w:rPr>
                <w:rFonts w:asciiTheme="minorHAnsi" w:hAnsiTheme="minorHAnsi"/>
                <w:color w:val="0C0C0C" w:themeColor="text1"/>
                <w:szCs w:val="20"/>
              </w:rPr>
              <w:t>50%</w:t>
            </w:r>
          </w:p>
        </w:tc>
      </w:tr>
      <w:tr w:rsidR="00AE78DC" w:rsidRPr="00C66550" w:rsidTr="00E0088B">
        <w:tc>
          <w:tcPr>
            <w:tcW w:w="543" w:type="pct"/>
            <w:tcBorders>
              <w:top w:val="nil"/>
              <w:bottom w:val="single" w:sz="4" w:space="0" w:color="808080" w:themeColor="background1" w:themeShade="80"/>
              <w:right w:val="single" w:sz="4" w:space="0" w:color="808080" w:themeColor="background1" w:themeShade="80"/>
            </w:tcBorders>
            <w:vAlign w:val="bottom"/>
          </w:tcPr>
          <w:p w:rsidR="006E574F" w:rsidRPr="00C66550" w:rsidRDefault="006E574F" w:rsidP="00736812">
            <w:pPr>
              <w:spacing w:beforeLines="40" w:line="240" w:lineRule="atLeast"/>
              <w:rPr>
                <w:rFonts w:asciiTheme="minorHAnsi" w:hAnsiTheme="minorHAnsi" w:cs="Times New Roman"/>
                <w:color w:val="auto"/>
                <w:szCs w:val="20"/>
              </w:rPr>
            </w:pPr>
            <w:r w:rsidRPr="00C66550">
              <w:rPr>
                <w:rFonts w:asciiTheme="minorHAnsi" w:hAnsiTheme="minorHAnsi" w:cs="Times New Roman"/>
                <w:color w:val="auto"/>
                <w:szCs w:val="20"/>
              </w:rPr>
              <w:t>Australia</w:t>
            </w:r>
          </w:p>
        </w:tc>
        <w:tc>
          <w:tcPr>
            <w:tcW w:w="452" w:type="pct"/>
            <w:tcBorders>
              <w:top w:val="nil"/>
              <w:left w:val="single" w:sz="4" w:space="0" w:color="808080" w:themeColor="background1" w:themeShade="80"/>
              <w:bottom w:val="single" w:sz="4" w:space="0" w:color="808080" w:themeColor="background1" w:themeShade="80"/>
            </w:tcBorders>
            <w:vAlign w:val="bottom"/>
          </w:tcPr>
          <w:p w:rsidR="006E574F" w:rsidRPr="00C66550" w:rsidRDefault="006E574F" w:rsidP="006E574F">
            <w:pPr>
              <w:jc w:val="right"/>
              <w:rPr>
                <w:color w:val="000000"/>
                <w:szCs w:val="20"/>
              </w:rPr>
            </w:pPr>
            <w:r w:rsidRPr="00C66550">
              <w:rPr>
                <w:color w:val="000000"/>
                <w:szCs w:val="20"/>
              </w:rPr>
              <w:t>20,893</w:t>
            </w:r>
          </w:p>
        </w:tc>
        <w:tc>
          <w:tcPr>
            <w:tcW w:w="448" w:type="pct"/>
            <w:tcBorders>
              <w:top w:val="nil"/>
              <w:bottom w:val="single" w:sz="4" w:space="0" w:color="808080" w:themeColor="background1" w:themeShade="80"/>
              <w:right w:val="single" w:sz="4" w:space="0" w:color="808080" w:themeColor="background1" w:themeShade="80"/>
            </w:tcBorders>
            <w:vAlign w:val="bottom"/>
          </w:tcPr>
          <w:p w:rsidR="006E574F" w:rsidRPr="00C66550" w:rsidRDefault="006E574F" w:rsidP="006E574F">
            <w:pPr>
              <w:jc w:val="right"/>
              <w:rPr>
                <w:color w:val="000000"/>
                <w:szCs w:val="20"/>
              </w:rPr>
            </w:pPr>
            <w:r w:rsidRPr="00C66550">
              <w:rPr>
                <w:color w:val="000000"/>
                <w:szCs w:val="20"/>
              </w:rPr>
              <w:t>22,222</w:t>
            </w:r>
          </w:p>
        </w:tc>
        <w:tc>
          <w:tcPr>
            <w:tcW w:w="433" w:type="pct"/>
            <w:tcBorders>
              <w:top w:val="nil"/>
              <w:left w:val="single" w:sz="4" w:space="0" w:color="808080" w:themeColor="background1" w:themeShade="80"/>
              <w:bottom w:val="single" w:sz="4" w:space="0" w:color="808080" w:themeColor="background1" w:themeShade="80"/>
            </w:tcBorders>
            <w:vAlign w:val="bottom"/>
          </w:tcPr>
          <w:p w:rsidR="006E574F" w:rsidRPr="00C66550" w:rsidRDefault="00AE78DC" w:rsidP="006E574F">
            <w:pPr>
              <w:jc w:val="right"/>
              <w:rPr>
                <w:color w:val="000000"/>
                <w:szCs w:val="20"/>
              </w:rPr>
            </w:pPr>
            <w:r>
              <w:rPr>
                <w:color w:val="000000"/>
                <w:szCs w:val="20"/>
              </w:rPr>
              <w:t>7.2</w:t>
            </w:r>
          </w:p>
        </w:tc>
        <w:tc>
          <w:tcPr>
            <w:tcW w:w="451" w:type="pct"/>
            <w:tcBorders>
              <w:top w:val="nil"/>
              <w:bottom w:val="single" w:sz="4" w:space="0" w:color="808080" w:themeColor="background1" w:themeShade="80"/>
              <w:right w:val="single" w:sz="4" w:space="0" w:color="808080" w:themeColor="background1" w:themeShade="80"/>
            </w:tcBorders>
            <w:vAlign w:val="bottom"/>
          </w:tcPr>
          <w:p w:rsidR="006E574F" w:rsidRPr="00C66550" w:rsidRDefault="006E574F" w:rsidP="00AE78DC">
            <w:pPr>
              <w:jc w:val="right"/>
              <w:rPr>
                <w:color w:val="000000"/>
                <w:szCs w:val="20"/>
              </w:rPr>
            </w:pPr>
            <w:r w:rsidRPr="00C66550">
              <w:rPr>
                <w:color w:val="000000"/>
                <w:szCs w:val="20"/>
              </w:rPr>
              <w:t>6</w:t>
            </w:r>
            <w:r w:rsidR="00AE78DC">
              <w:rPr>
                <w:color w:val="000000"/>
                <w:szCs w:val="20"/>
              </w:rPr>
              <w:t>.</w:t>
            </w:r>
            <w:r w:rsidRPr="00C66550">
              <w:rPr>
                <w:color w:val="000000"/>
                <w:szCs w:val="20"/>
              </w:rPr>
              <w:t>8</w:t>
            </w:r>
          </w:p>
        </w:tc>
        <w:tc>
          <w:tcPr>
            <w:tcW w:w="444" w:type="pct"/>
            <w:tcBorders>
              <w:top w:val="nil"/>
              <w:left w:val="single" w:sz="4" w:space="0" w:color="808080" w:themeColor="background1" w:themeShade="80"/>
              <w:bottom w:val="single" w:sz="4" w:space="0" w:color="808080" w:themeColor="background1" w:themeShade="80"/>
            </w:tcBorders>
            <w:vAlign w:val="bottom"/>
          </w:tcPr>
          <w:p w:rsidR="006E574F" w:rsidRPr="00C66550" w:rsidRDefault="006E574F" w:rsidP="00AE78DC">
            <w:pPr>
              <w:jc w:val="right"/>
              <w:rPr>
                <w:color w:val="000000"/>
                <w:szCs w:val="20"/>
              </w:rPr>
            </w:pPr>
            <w:r w:rsidRPr="00C66550">
              <w:rPr>
                <w:color w:val="000000"/>
                <w:szCs w:val="20"/>
              </w:rPr>
              <w:t>5</w:t>
            </w:r>
            <w:r w:rsidR="00AE78DC">
              <w:rPr>
                <w:color w:val="000000"/>
                <w:szCs w:val="20"/>
              </w:rPr>
              <w:t>.</w:t>
            </w:r>
            <w:r w:rsidRPr="00C66550">
              <w:rPr>
                <w:color w:val="000000"/>
                <w:szCs w:val="20"/>
              </w:rPr>
              <w:t>8</w:t>
            </w:r>
          </w:p>
        </w:tc>
        <w:tc>
          <w:tcPr>
            <w:tcW w:w="446" w:type="pct"/>
            <w:tcBorders>
              <w:top w:val="nil"/>
              <w:bottom w:val="single" w:sz="4" w:space="0" w:color="808080" w:themeColor="background1" w:themeShade="80"/>
              <w:right w:val="single" w:sz="4" w:space="0" w:color="808080" w:themeColor="background1" w:themeShade="80"/>
            </w:tcBorders>
            <w:vAlign w:val="bottom"/>
          </w:tcPr>
          <w:p w:rsidR="006E574F" w:rsidRPr="00C66550" w:rsidRDefault="006E574F" w:rsidP="00AE78DC">
            <w:pPr>
              <w:jc w:val="right"/>
              <w:rPr>
                <w:color w:val="000000"/>
                <w:szCs w:val="20"/>
              </w:rPr>
            </w:pPr>
            <w:r w:rsidRPr="00C66550">
              <w:rPr>
                <w:color w:val="000000"/>
                <w:szCs w:val="20"/>
              </w:rPr>
              <w:t>7</w:t>
            </w:r>
            <w:r w:rsidR="00AE78DC">
              <w:rPr>
                <w:color w:val="000000"/>
                <w:szCs w:val="20"/>
              </w:rPr>
              <w:t>.2</w:t>
            </w:r>
          </w:p>
        </w:tc>
        <w:tc>
          <w:tcPr>
            <w:tcW w:w="519" w:type="pct"/>
            <w:tcBorders>
              <w:top w:val="nil"/>
              <w:left w:val="single" w:sz="4" w:space="0" w:color="808080" w:themeColor="background1" w:themeShade="80"/>
              <w:bottom w:val="single" w:sz="4" w:space="0" w:color="808080" w:themeColor="background1" w:themeShade="80"/>
            </w:tcBorders>
            <w:vAlign w:val="bottom"/>
          </w:tcPr>
          <w:p w:rsidR="006E574F" w:rsidRPr="00C66550" w:rsidRDefault="006E574F" w:rsidP="00AE78DC">
            <w:pPr>
              <w:jc w:val="right"/>
              <w:rPr>
                <w:color w:val="000000"/>
                <w:szCs w:val="20"/>
              </w:rPr>
            </w:pPr>
            <w:r w:rsidRPr="00C66550">
              <w:rPr>
                <w:color w:val="000000"/>
                <w:szCs w:val="20"/>
              </w:rPr>
              <w:t>1</w:t>
            </w:r>
            <w:r w:rsidR="00AE78DC">
              <w:rPr>
                <w:color w:val="000000"/>
                <w:szCs w:val="20"/>
              </w:rPr>
              <w:t>3.0</w:t>
            </w:r>
          </w:p>
        </w:tc>
        <w:tc>
          <w:tcPr>
            <w:tcW w:w="422" w:type="pct"/>
            <w:tcBorders>
              <w:top w:val="nil"/>
              <w:bottom w:val="single" w:sz="4" w:space="0" w:color="808080" w:themeColor="background1" w:themeShade="80"/>
              <w:right w:val="single" w:sz="4" w:space="0" w:color="808080" w:themeColor="background1" w:themeShade="80"/>
            </w:tcBorders>
            <w:vAlign w:val="bottom"/>
          </w:tcPr>
          <w:p w:rsidR="006E574F" w:rsidRPr="00C66550" w:rsidRDefault="006E574F" w:rsidP="00AE78DC">
            <w:pPr>
              <w:jc w:val="right"/>
              <w:rPr>
                <w:color w:val="000000"/>
                <w:szCs w:val="20"/>
              </w:rPr>
            </w:pPr>
            <w:r w:rsidRPr="00C66550">
              <w:rPr>
                <w:color w:val="000000"/>
                <w:szCs w:val="20"/>
              </w:rPr>
              <w:t>14</w:t>
            </w:r>
            <w:r w:rsidR="00AE78DC">
              <w:rPr>
                <w:color w:val="000000"/>
                <w:szCs w:val="20"/>
              </w:rPr>
              <w:t>.0</w:t>
            </w:r>
          </w:p>
        </w:tc>
        <w:tc>
          <w:tcPr>
            <w:tcW w:w="418" w:type="pct"/>
            <w:tcBorders>
              <w:top w:val="nil"/>
              <w:left w:val="single" w:sz="4" w:space="0" w:color="808080" w:themeColor="background1" w:themeShade="80"/>
              <w:bottom w:val="single" w:sz="4" w:space="0" w:color="808080" w:themeColor="background1" w:themeShade="80"/>
            </w:tcBorders>
            <w:vAlign w:val="bottom"/>
          </w:tcPr>
          <w:p w:rsidR="006E574F" w:rsidRPr="00C66550" w:rsidRDefault="006E574F" w:rsidP="006E574F">
            <w:pPr>
              <w:jc w:val="right"/>
              <w:rPr>
                <w:color w:val="000000"/>
                <w:szCs w:val="20"/>
              </w:rPr>
            </w:pPr>
            <w:r w:rsidRPr="00C66550">
              <w:rPr>
                <w:color w:val="000000"/>
                <w:szCs w:val="20"/>
              </w:rPr>
              <w:t>45%</w:t>
            </w:r>
          </w:p>
        </w:tc>
        <w:tc>
          <w:tcPr>
            <w:tcW w:w="423" w:type="pct"/>
            <w:tcBorders>
              <w:top w:val="nil"/>
              <w:bottom w:val="single" w:sz="4" w:space="0" w:color="808080" w:themeColor="background1" w:themeShade="80"/>
            </w:tcBorders>
            <w:vAlign w:val="bottom"/>
          </w:tcPr>
          <w:p w:rsidR="006E574F" w:rsidRPr="00C66550" w:rsidRDefault="006E574F" w:rsidP="006E574F">
            <w:pPr>
              <w:jc w:val="right"/>
              <w:rPr>
                <w:color w:val="000000"/>
                <w:szCs w:val="20"/>
              </w:rPr>
            </w:pPr>
            <w:r w:rsidRPr="00C66550">
              <w:rPr>
                <w:color w:val="000000"/>
                <w:szCs w:val="20"/>
              </w:rPr>
              <w:t>51%</w:t>
            </w:r>
          </w:p>
        </w:tc>
      </w:tr>
      <w:tr w:rsidR="00E532F8" w:rsidRPr="00C66550" w:rsidTr="002C11CE">
        <w:trPr>
          <w:trHeight w:val="1453"/>
        </w:trPr>
        <w:tc>
          <w:tcPr>
            <w:tcW w:w="5000" w:type="pct"/>
            <w:gridSpan w:val="11"/>
            <w:tcBorders>
              <w:top w:val="single" w:sz="4" w:space="0" w:color="808080" w:themeColor="background1" w:themeShade="80"/>
            </w:tcBorders>
          </w:tcPr>
          <w:p w:rsidR="00E532F8" w:rsidRPr="00C66550" w:rsidRDefault="00E532F8" w:rsidP="00E532F8">
            <w:pPr>
              <w:spacing w:line="240" w:lineRule="auto"/>
              <w:rPr>
                <w:rFonts w:asciiTheme="minorHAnsi" w:hAnsiTheme="minorHAnsi" w:cs="Times New Roman"/>
                <w:color w:val="auto"/>
                <w:szCs w:val="20"/>
              </w:rPr>
            </w:pPr>
            <w:r w:rsidRPr="00C66550">
              <w:rPr>
                <w:rFonts w:asciiTheme="minorHAnsi" w:hAnsiTheme="minorHAnsi" w:cs="Times New Roman"/>
                <w:color w:val="auto"/>
                <w:szCs w:val="20"/>
              </w:rPr>
              <w:t xml:space="preserve">NOTES: </w:t>
            </w:r>
          </w:p>
          <w:p w:rsidR="00714853" w:rsidRPr="002243AB" w:rsidRDefault="00E532F8" w:rsidP="00944615">
            <w:pPr>
              <w:pStyle w:val="ListBullet"/>
              <w:numPr>
                <w:ilvl w:val="0"/>
                <w:numId w:val="12"/>
              </w:numPr>
              <w:ind w:left="370" w:hanging="284"/>
              <w:rPr>
                <w:szCs w:val="20"/>
                <w:lang w:eastAsia="en-GB"/>
              </w:rPr>
            </w:pPr>
            <w:r w:rsidRPr="002243AB">
              <w:rPr>
                <w:szCs w:val="20"/>
                <w:lang w:eastAsia="en-GB"/>
              </w:rPr>
              <w:t>Figures in columns headed ‘</w:t>
            </w:r>
            <w:r w:rsidR="00ED7E1D" w:rsidRPr="002243AB">
              <w:rPr>
                <w:szCs w:val="20"/>
                <w:lang w:eastAsia="en-GB"/>
              </w:rPr>
              <w:t>2006</w:t>
            </w:r>
            <w:r w:rsidR="000147BA" w:rsidRPr="002243AB">
              <w:rPr>
                <w:szCs w:val="20"/>
                <w:lang w:eastAsia="en-GB"/>
              </w:rPr>
              <w:t>/</w:t>
            </w:r>
            <w:r w:rsidR="00ED7E1D" w:rsidRPr="002243AB">
              <w:rPr>
                <w:szCs w:val="20"/>
                <w:lang w:eastAsia="en-GB"/>
              </w:rPr>
              <w:t>07</w:t>
            </w:r>
            <w:r w:rsidRPr="002243AB">
              <w:rPr>
                <w:szCs w:val="20"/>
                <w:lang w:eastAsia="en-GB"/>
              </w:rPr>
              <w:t xml:space="preserve">’ for all nations other than Australia and NZ have been taken from the </w:t>
            </w:r>
            <w:r w:rsidR="004B1E3C" w:rsidRPr="002243AB">
              <w:rPr>
                <w:i/>
                <w:color w:val="080808"/>
                <w:szCs w:val="20"/>
              </w:rPr>
              <w:t xml:space="preserve">Waste and Recycling in Australia 2009 </w:t>
            </w:r>
            <w:r w:rsidRPr="002243AB">
              <w:rPr>
                <w:szCs w:val="20"/>
                <w:lang w:eastAsia="en-GB"/>
              </w:rPr>
              <w:t>report.</w:t>
            </w:r>
            <w:r w:rsidR="00FF12A8" w:rsidRPr="002243AB">
              <w:rPr>
                <w:szCs w:val="20"/>
                <w:lang w:eastAsia="en-GB"/>
              </w:rPr>
              <w:t xml:space="preserve"> </w:t>
            </w:r>
            <w:r w:rsidRPr="002243AB">
              <w:rPr>
                <w:szCs w:val="20"/>
                <w:lang w:eastAsia="en-GB"/>
              </w:rPr>
              <w:t>These data are based on reports from the period 2004</w:t>
            </w:r>
            <w:r w:rsidR="0014187C" w:rsidRPr="002243AB">
              <w:rPr>
                <w:szCs w:val="20"/>
                <w:lang w:eastAsia="en-GB"/>
              </w:rPr>
              <w:t xml:space="preserve"> to 20</w:t>
            </w:r>
            <w:r w:rsidRPr="002243AB">
              <w:rPr>
                <w:szCs w:val="20"/>
                <w:lang w:eastAsia="en-GB"/>
              </w:rPr>
              <w:t>08.</w:t>
            </w:r>
          </w:p>
          <w:p w:rsidR="00E532F8" w:rsidRPr="002243AB" w:rsidRDefault="00ED7E1D" w:rsidP="00944615">
            <w:pPr>
              <w:pStyle w:val="ListBullet"/>
              <w:numPr>
                <w:ilvl w:val="0"/>
                <w:numId w:val="12"/>
              </w:numPr>
              <w:ind w:left="370" w:hanging="284"/>
              <w:rPr>
                <w:szCs w:val="20"/>
                <w:lang w:eastAsia="en-GB"/>
              </w:rPr>
            </w:pPr>
            <w:r w:rsidRPr="002243AB">
              <w:rPr>
                <w:szCs w:val="20"/>
                <w:lang w:eastAsia="en-GB"/>
              </w:rPr>
              <w:t xml:space="preserve">All </w:t>
            </w:r>
            <w:r w:rsidR="00E532F8" w:rsidRPr="002243AB">
              <w:rPr>
                <w:szCs w:val="20"/>
                <w:lang w:eastAsia="en-GB"/>
              </w:rPr>
              <w:t xml:space="preserve">Australian data are extracted from the </w:t>
            </w:r>
            <w:r w:rsidR="005E5CEF" w:rsidRPr="002243AB">
              <w:rPr>
                <w:i/>
                <w:szCs w:val="20"/>
                <w:lang w:eastAsia="en-GB"/>
              </w:rPr>
              <w:t>Waste Generation and Resource Recovery in Australia</w:t>
            </w:r>
            <w:r w:rsidR="00E532F8" w:rsidRPr="002243AB">
              <w:rPr>
                <w:szCs w:val="20"/>
                <w:lang w:eastAsia="en-GB"/>
              </w:rPr>
              <w:t xml:space="preserve"> workbook for the years 2006/07 and 2010/11 respectively.</w:t>
            </w:r>
          </w:p>
          <w:p w:rsidR="0057290A" w:rsidRPr="002243AB" w:rsidRDefault="00E532F8" w:rsidP="00944615">
            <w:pPr>
              <w:pStyle w:val="ListParagraph"/>
              <w:numPr>
                <w:ilvl w:val="0"/>
                <w:numId w:val="12"/>
              </w:numPr>
              <w:spacing w:after="120" w:line="240" w:lineRule="auto"/>
              <w:ind w:left="370" w:hanging="284"/>
              <w:rPr>
                <w:rFonts w:asciiTheme="minorHAnsi" w:hAnsiTheme="minorHAnsi" w:cs="Times New Roman"/>
                <w:color w:val="auto"/>
                <w:szCs w:val="20"/>
              </w:rPr>
            </w:pPr>
            <w:r w:rsidRPr="002243AB">
              <w:rPr>
                <w:rFonts w:asciiTheme="minorHAnsi" w:hAnsiTheme="minorHAnsi" w:cs="Times New Roman"/>
                <w:color w:val="000000"/>
                <w:szCs w:val="20"/>
                <w:lang w:eastAsia="en-GB"/>
              </w:rPr>
              <w:t>Data for other nations in the ‘</w:t>
            </w:r>
            <w:r w:rsidR="00ED7E1D" w:rsidRPr="002243AB">
              <w:rPr>
                <w:rFonts w:asciiTheme="minorHAnsi" w:hAnsiTheme="minorHAnsi" w:cs="Times New Roman"/>
                <w:color w:val="000000"/>
                <w:szCs w:val="20"/>
                <w:lang w:eastAsia="en-GB"/>
              </w:rPr>
              <w:t>2010</w:t>
            </w:r>
            <w:r w:rsidR="000147BA" w:rsidRPr="002243AB">
              <w:rPr>
                <w:rFonts w:asciiTheme="minorHAnsi" w:hAnsiTheme="minorHAnsi" w:cs="Times New Roman"/>
                <w:color w:val="000000"/>
                <w:szCs w:val="20"/>
                <w:lang w:eastAsia="en-GB"/>
              </w:rPr>
              <w:t>/</w:t>
            </w:r>
            <w:r w:rsidR="00ED7E1D" w:rsidRPr="002243AB">
              <w:rPr>
                <w:rFonts w:asciiTheme="minorHAnsi" w:hAnsiTheme="minorHAnsi" w:cs="Times New Roman"/>
                <w:color w:val="000000"/>
                <w:szCs w:val="20"/>
                <w:lang w:eastAsia="en-GB"/>
              </w:rPr>
              <w:t>11</w:t>
            </w:r>
            <w:r w:rsidRPr="002243AB">
              <w:rPr>
                <w:rFonts w:asciiTheme="minorHAnsi" w:hAnsiTheme="minorHAnsi" w:cs="Times New Roman"/>
                <w:color w:val="000000"/>
                <w:szCs w:val="20"/>
                <w:lang w:eastAsia="en-GB"/>
              </w:rPr>
              <w:t>’ columns is derived from OECD Stat</w:t>
            </w:r>
            <w:r w:rsidR="000147BA" w:rsidRPr="002243AB">
              <w:rPr>
                <w:rFonts w:asciiTheme="minorHAnsi" w:hAnsiTheme="minorHAnsi" w:cs="Times New Roman"/>
                <w:color w:val="000000"/>
                <w:szCs w:val="20"/>
                <w:lang w:eastAsia="en-GB"/>
              </w:rPr>
              <w:t>istic</w:t>
            </w:r>
            <w:r w:rsidRPr="002243AB">
              <w:rPr>
                <w:rFonts w:asciiTheme="minorHAnsi" w:hAnsiTheme="minorHAnsi" w:cs="Times New Roman"/>
                <w:color w:val="000000"/>
                <w:szCs w:val="20"/>
                <w:lang w:eastAsia="en-GB"/>
              </w:rPr>
              <w:t>s Extracts via http://</w:t>
            </w:r>
            <w:r w:rsidRPr="002243AB">
              <w:rPr>
                <w:rFonts w:asciiTheme="minorHAnsi" w:hAnsiTheme="minorHAnsi"/>
                <w:szCs w:val="20"/>
              </w:rPr>
              <w:t xml:space="preserve">stats.oecd.org/index.aspx?r=571968 </w:t>
            </w:r>
          </w:p>
          <w:p w:rsidR="00F3324F" w:rsidRPr="00C66550" w:rsidRDefault="00F3324F" w:rsidP="00944615">
            <w:pPr>
              <w:pStyle w:val="ListParagraph"/>
              <w:numPr>
                <w:ilvl w:val="0"/>
                <w:numId w:val="12"/>
              </w:numPr>
              <w:spacing w:after="120" w:line="240" w:lineRule="auto"/>
              <w:ind w:left="370" w:hanging="284"/>
              <w:rPr>
                <w:rFonts w:asciiTheme="minorHAnsi" w:hAnsiTheme="minorHAnsi" w:cs="Times New Roman"/>
                <w:color w:val="auto"/>
                <w:sz w:val="36"/>
                <w:szCs w:val="20"/>
              </w:rPr>
            </w:pPr>
            <w:r w:rsidRPr="002243AB">
              <w:rPr>
                <w:rFonts w:asciiTheme="minorHAnsi" w:hAnsiTheme="minorHAnsi"/>
                <w:color w:val="0C0C0C" w:themeColor="text1"/>
                <w:szCs w:val="20"/>
              </w:rPr>
              <w:t>Australian Resource Recovery figures include recycling, organics recovery, and energy recovery including recovery of bio-gas energy from landfills.</w:t>
            </w:r>
          </w:p>
        </w:tc>
      </w:tr>
    </w:tbl>
    <w:p w:rsidR="00E532F8" w:rsidRPr="00C66550" w:rsidRDefault="00E532F8" w:rsidP="00E532F8">
      <w:pPr>
        <w:spacing w:line="240" w:lineRule="auto"/>
        <w:rPr>
          <w:rFonts w:eastAsiaTheme="minorHAnsi"/>
          <w:color w:val="080808"/>
          <w:sz w:val="22"/>
        </w:rPr>
      </w:pPr>
    </w:p>
    <w:p w:rsidR="0014187C" w:rsidRPr="00C66550" w:rsidRDefault="00E532F8" w:rsidP="002B33FD">
      <w:pPr>
        <w:pStyle w:val="BodyText"/>
        <w:rPr>
          <w:rFonts w:eastAsiaTheme="minorHAnsi"/>
        </w:rPr>
      </w:pPr>
      <w:r w:rsidRPr="00C66550">
        <w:rPr>
          <w:rFonts w:eastAsiaTheme="minorHAnsi"/>
        </w:rPr>
        <w:t xml:space="preserve">There </w:t>
      </w:r>
      <w:r w:rsidR="0014187C" w:rsidRPr="00C66550">
        <w:rPr>
          <w:rFonts w:eastAsiaTheme="minorHAnsi"/>
        </w:rPr>
        <w:t>are</w:t>
      </w:r>
      <w:r w:rsidRPr="00C66550">
        <w:rPr>
          <w:rFonts w:eastAsiaTheme="minorHAnsi"/>
        </w:rPr>
        <w:t xml:space="preserve"> large variation</w:t>
      </w:r>
      <w:r w:rsidR="0014187C" w:rsidRPr="00C66550">
        <w:rPr>
          <w:rFonts w:eastAsiaTheme="minorHAnsi"/>
        </w:rPr>
        <w:t>s</w:t>
      </w:r>
      <w:r w:rsidRPr="00C66550">
        <w:rPr>
          <w:rFonts w:eastAsiaTheme="minorHAnsi"/>
        </w:rPr>
        <w:t xml:space="preserve"> between the per capita figures for each country. </w:t>
      </w:r>
    </w:p>
    <w:p w:rsidR="008D722B" w:rsidRPr="00C66550" w:rsidRDefault="008D722B" w:rsidP="0012047B">
      <w:pPr>
        <w:pStyle w:val="BodyText"/>
        <w:rPr>
          <w:rFonts w:eastAsiaTheme="minorHAnsi"/>
        </w:rPr>
      </w:pPr>
    </w:p>
    <w:p w:rsidR="00D96003" w:rsidRPr="00C241F6" w:rsidRDefault="0062001A" w:rsidP="00C241F6">
      <w:pPr>
        <w:pStyle w:val="BodyText"/>
        <w:rPr>
          <w:sz w:val="2"/>
          <w:szCs w:val="2"/>
        </w:rPr>
      </w:pPr>
      <w:r w:rsidRPr="00C66550">
        <w:rPr>
          <w:rFonts w:eastAsiaTheme="minorHAnsi"/>
        </w:rPr>
        <w:fldChar w:fldCharType="begin"/>
      </w:r>
      <w:r w:rsidR="008D722B" w:rsidRPr="00C66550">
        <w:rPr>
          <w:rFonts w:eastAsiaTheme="minorHAnsi"/>
        </w:rPr>
        <w:instrText xml:space="preserve"> REF _Ref360785463 \h </w:instrText>
      </w:r>
      <w:r w:rsidRPr="00C66550">
        <w:rPr>
          <w:rFonts w:eastAsiaTheme="minorHAnsi"/>
        </w:rPr>
      </w:r>
      <w:r w:rsidRPr="00C66550">
        <w:rPr>
          <w:rFonts w:eastAsiaTheme="minorHAnsi"/>
        </w:rPr>
        <w:fldChar w:fldCharType="separate"/>
      </w:r>
    </w:p>
    <w:p w:rsidR="00E532F8" w:rsidRPr="00C66550" w:rsidRDefault="00D96003" w:rsidP="0012047B">
      <w:pPr>
        <w:pStyle w:val="BodyText"/>
        <w:rPr>
          <w:rFonts w:eastAsiaTheme="minorHAnsi"/>
        </w:rPr>
      </w:pPr>
      <w:r w:rsidRPr="00C66550">
        <w:t xml:space="preserve">Table </w:t>
      </w:r>
      <w:r>
        <w:rPr>
          <w:noProof/>
        </w:rPr>
        <w:t>6</w:t>
      </w:r>
      <w:r w:rsidR="0062001A" w:rsidRPr="00C66550">
        <w:rPr>
          <w:rFonts w:eastAsiaTheme="minorHAnsi"/>
        </w:rPr>
        <w:fldChar w:fldCharType="end"/>
      </w:r>
      <w:r w:rsidR="008D722B" w:rsidRPr="00C66550">
        <w:rPr>
          <w:rFonts w:eastAsiaTheme="minorHAnsi"/>
        </w:rPr>
        <w:t xml:space="preserve"> </w:t>
      </w:r>
      <w:r w:rsidR="00E532F8" w:rsidRPr="00C66550">
        <w:rPr>
          <w:rFonts w:eastAsiaTheme="minorHAnsi"/>
        </w:rPr>
        <w:t xml:space="preserve">shows that the US generates a much larger amount of </w:t>
      </w:r>
      <w:r w:rsidR="008D722B" w:rsidRPr="00C66550">
        <w:rPr>
          <w:rFonts w:eastAsiaTheme="minorHAnsi"/>
        </w:rPr>
        <w:t>MSW</w:t>
      </w:r>
      <w:r w:rsidR="00E532F8" w:rsidRPr="00C66550">
        <w:rPr>
          <w:rFonts w:eastAsiaTheme="minorHAnsi"/>
        </w:rPr>
        <w:t xml:space="preserve"> </w:t>
      </w:r>
      <w:r w:rsidR="008C76FD" w:rsidRPr="00C66550">
        <w:rPr>
          <w:rFonts w:eastAsiaTheme="minorHAnsi"/>
        </w:rPr>
        <w:t>per capita (</w:t>
      </w:r>
      <w:r w:rsidR="00E532F8" w:rsidRPr="00C66550">
        <w:rPr>
          <w:rFonts w:eastAsiaTheme="minorHAnsi"/>
        </w:rPr>
        <w:t xml:space="preserve">802 kg) </w:t>
      </w:r>
      <w:r w:rsidR="0014187C" w:rsidRPr="00C66550">
        <w:rPr>
          <w:rFonts w:eastAsiaTheme="minorHAnsi"/>
        </w:rPr>
        <w:t>than</w:t>
      </w:r>
      <w:r w:rsidR="00E532F8" w:rsidRPr="00C66550">
        <w:rPr>
          <w:rFonts w:eastAsiaTheme="minorHAnsi"/>
        </w:rPr>
        <w:t xml:space="preserve"> the European countries (between 336 </w:t>
      </w:r>
      <w:r w:rsidR="0014187C" w:rsidRPr="00C66550">
        <w:rPr>
          <w:rFonts w:eastAsiaTheme="minorHAnsi"/>
        </w:rPr>
        <w:t>and</w:t>
      </w:r>
      <w:r w:rsidR="00E532F8" w:rsidRPr="00C66550">
        <w:rPr>
          <w:rFonts w:eastAsiaTheme="minorHAnsi"/>
        </w:rPr>
        <w:t xml:space="preserve"> 602 kg per capita</w:t>
      </w:r>
      <w:r w:rsidR="00FE6942" w:rsidRPr="00C66550">
        <w:rPr>
          <w:rFonts w:eastAsiaTheme="minorHAnsi"/>
        </w:rPr>
        <w:t>)</w:t>
      </w:r>
      <w:r w:rsidR="00E532F8" w:rsidRPr="00C66550">
        <w:rPr>
          <w:rFonts w:eastAsiaTheme="minorHAnsi"/>
        </w:rPr>
        <w:t xml:space="preserve">. This may in part be due to differences in data gathering and classification of waste; the US data for MSW includes </w:t>
      </w:r>
      <w:r w:rsidR="00FE6942" w:rsidRPr="00C66550">
        <w:rPr>
          <w:rFonts w:eastAsiaTheme="minorHAnsi"/>
        </w:rPr>
        <w:t xml:space="preserve">commercial </w:t>
      </w:r>
      <w:r w:rsidR="00E532F8" w:rsidRPr="00C66550">
        <w:rPr>
          <w:rFonts w:eastAsiaTheme="minorHAnsi"/>
        </w:rPr>
        <w:t xml:space="preserve">and some </w:t>
      </w:r>
      <w:r w:rsidR="00677C58" w:rsidRPr="00C66550">
        <w:rPr>
          <w:rFonts w:eastAsiaTheme="minorHAnsi"/>
        </w:rPr>
        <w:t>i</w:t>
      </w:r>
      <w:r w:rsidR="00E532F8" w:rsidRPr="00C66550">
        <w:rPr>
          <w:rFonts w:eastAsiaTheme="minorHAnsi"/>
        </w:rPr>
        <w:t>ndustrial wastes.</w:t>
      </w:r>
      <w:r w:rsidR="00FF12A8" w:rsidRPr="00C66550">
        <w:rPr>
          <w:rFonts w:eastAsiaTheme="minorHAnsi"/>
        </w:rPr>
        <w:t xml:space="preserve"> </w:t>
      </w:r>
      <w:r w:rsidR="00E532F8" w:rsidRPr="00C66550">
        <w:rPr>
          <w:rFonts w:eastAsiaTheme="minorHAnsi"/>
        </w:rPr>
        <w:t xml:space="preserve">All the countries have decreased their per capita </w:t>
      </w:r>
      <w:r w:rsidR="0036735A" w:rsidRPr="00C66550">
        <w:rPr>
          <w:rFonts w:eastAsiaTheme="minorHAnsi"/>
        </w:rPr>
        <w:t>MSW</w:t>
      </w:r>
      <w:r w:rsidR="00E532F8" w:rsidRPr="00C66550">
        <w:rPr>
          <w:rFonts w:eastAsiaTheme="minorHAnsi"/>
        </w:rPr>
        <w:t xml:space="preserve"> generation amount over time, except for Germany, which has increased (from 555 kg per capita to 602 kg per capita). This may reflect reduced consumption and waste due to the </w:t>
      </w:r>
      <w:r w:rsidR="0014187C" w:rsidRPr="00C66550">
        <w:rPr>
          <w:rFonts w:eastAsiaTheme="minorHAnsi"/>
        </w:rPr>
        <w:t xml:space="preserve">global financial crisis </w:t>
      </w:r>
      <w:r w:rsidR="00E532F8" w:rsidRPr="00C66550">
        <w:rPr>
          <w:rFonts w:eastAsiaTheme="minorHAnsi"/>
        </w:rPr>
        <w:t xml:space="preserve">and greater austerity in these countries. Despite Germany’s increase in waste generation, </w:t>
      </w:r>
      <w:r w:rsidR="00677C58" w:rsidRPr="00C66550">
        <w:rPr>
          <w:rFonts w:eastAsiaTheme="minorHAnsi"/>
        </w:rPr>
        <w:t xml:space="preserve">its </w:t>
      </w:r>
      <w:r w:rsidR="00E532F8" w:rsidRPr="00C66550">
        <w:rPr>
          <w:rFonts w:eastAsiaTheme="minorHAnsi"/>
        </w:rPr>
        <w:t>diversion rate</w:t>
      </w:r>
      <w:r w:rsidR="00677C58" w:rsidRPr="00C66550">
        <w:rPr>
          <w:rFonts w:eastAsiaTheme="minorHAnsi"/>
        </w:rPr>
        <w:t xml:space="preserve"> has increased</w:t>
      </w:r>
      <w:r w:rsidR="00E532F8" w:rsidRPr="00C66550">
        <w:rPr>
          <w:rFonts w:eastAsiaTheme="minorHAnsi"/>
        </w:rPr>
        <w:t xml:space="preserve"> substantially. </w:t>
      </w:r>
    </w:p>
    <w:p w:rsidR="00E532F8" w:rsidRPr="00C66550" w:rsidRDefault="00E532F8" w:rsidP="0012047B">
      <w:pPr>
        <w:pStyle w:val="BodyText"/>
        <w:rPr>
          <w:rFonts w:eastAsiaTheme="minorHAnsi"/>
        </w:rPr>
      </w:pPr>
    </w:p>
    <w:p w:rsidR="00E532F8" w:rsidRPr="00C66550" w:rsidRDefault="00E532F8" w:rsidP="0012047B">
      <w:pPr>
        <w:pStyle w:val="BodyText"/>
      </w:pPr>
      <w:r w:rsidRPr="00C66550">
        <w:rPr>
          <w:rFonts w:eastAsiaTheme="minorHAnsi"/>
        </w:rPr>
        <w:t>Recent data from the UK for household waste from England only (i.e. not including Scotland, Wales and Northern Ireland) sugge</w:t>
      </w:r>
      <w:r w:rsidR="0014187C" w:rsidRPr="00C66550">
        <w:rPr>
          <w:rFonts w:eastAsiaTheme="minorHAnsi"/>
        </w:rPr>
        <w:t>st</w:t>
      </w:r>
      <w:r w:rsidRPr="00C66550">
        <w:rPr>
          <w:rFonts w:eastAsiaTheme="minorHAnsi"/>
        </w:rPr>
        <w:t xml:space="preserve"> high rates of resource recovery from this stream (77% by weight). This is likely to be due to wider adoption of </w:t>
      </w:r>
      <w:r w:rsidR="0014187C" w:rsidRPr="00C66550">
        <w:rPr>
          <w:rFonts w:eastAsiaTheme="minorHAnsi"/>
        </w:rPr>
        <w:t xml:space="preserve">advanced waste </w:t>
      </w:r>
      <w:r w:rsidR="00C824DA" w:rsidRPr="00C66550">
        <w:rPr>
          <w:rFonts w:eastAsiaTheme="minorHAnsi"/>
        </w:rPr>
        <w:t>treatment</w:t>
      </w:r>
      <w:r w:rsidRPr="00C66550">
        <w:rPr>
          <w:rFonts w:eastAsiaTheme="minorHAnsi"/>
        </w:rPr>
        <w:t xml:space="preserve"> including thermal </w:t>
      </w:r>
      <w:r w:rsidR="0012047B" w:rsidRPr="00C66550">
        <w:rPr>
          <w:rFonts w:eastAsiaTheme="minorHAnsi"/>
        </w:rPr>
        <w:t>energy from waste</w:t>
      </w:r>
      <w:r w:rsidRPr="00C66550">
        <w:rPr>
          <w:rFonts w:eastAsiaTheme="minorHAnsi"/>
        </w:rPr>
        <w:t xml:space="preserve">. </w:t>
      </w:r>
    </w:p>
    <w:p w:rsidR="0014187C" w:rsidRPr="00C66550" w:rsidRDefault="0014187C">
      <w:pPr>
        <w:spacing w:line="240" w:lineRule="auto"/>
        <w:rPr>
          <w:color w:val="080808"/>
          <w:sz w:val="22"/>
        </w:rPr>
      </w:pPr>
      <w:bookmarkStart w:id="80" w:name="_Ref348939170"/>
      <w:r w:rsidRPr="00C66550">
        <w:br w:type="page"/>
      </w:r>
    </w:p>
    <w:p w:rsidR="008947FF" w:rsidRPr="00C66550" w:rsidRDefault="008947FF" w:rsidP="002B33FD">
      <w:pPr>
        <w:pStyle w:val="BodyText"/>
        <w:rPr>
          <w:sz w:val="2"/>
          <w:szCs w:val="2"/>
        </w:rPr>
      </w:pPr>
    </w:p>
    <w:p w:rsidR="008D722B" w:rsidRPr="00C66550" w:rsidRDefault="008D722B" w:rsidP="008D722B">
      <w:pPr>
        <w:pStyle w:val="BodyText"/>
        <w:rPr>
          <w:sz w:val="2"/>
          <w:szCs w:val="2"/>
        </w:rPr>
      </w:pPr>
      <w:bookmarkStart w:id="81" w:name="_Ref360495662"/>
    </w:p>
    <w:p w:rsidR="00C241F6" w:rsidRPr="00C241F6" w:rsidRDefault="00C241F6" w:rsidP="00C241F6">
      <w:pPr>
        <w:pStyle w:val="BodyText"/>
        <w:rPr>
          <w:sz w:val="2"/>
          <w:szCs w:val="2"/>
        </w:rPr>
      </w:pPr>
      <w:bookmarkStart w:id="82" w:name="_Ref360785463"/>
    </w:p>
    <w:p w:rsidR="00E532F8" w:rsidRPr="00C66550" w:rsidRDefault="00E532F8" w:rsidP="00FB4820">
      <w:pPr>
        <w:pStyle w:val="Figures"/>
      </w:pPr>
      <w:bookmarkStart w:id="83" w:name="_Ref360816393"/>
      <w:bookmarkStart w:id="84" w:name="_Toc365038850"/>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6</w:t>
      </w:r>
      <w:r w:rsidR="0062001A" w:rsidRPr="00C66550">
        <w:fldChar w:fldCharType="end"/>
      </w:r>
      <w:bookmarkEnd w:id="80"/>
      <w:bookmarkEnd w:id="81"/>
      <w:bookmarkEnd w:id="82"/>
      <w:bookmarkEnd w:id="83"/>
      <w:r w:rsidRPr="00C66550">
        <w:t xml:space="preserve">: </w:t>
      </w:r>
      <w:r w:rsidRPr="00C66550">
        <w:tab/>
        <w:t xml:space="preserve">Comparison of per capita </w:t>
      </w:r>
      <w:r w:rsidR="0036735A" w:rsidRPr="00C66550">
        <w:t>MSW</w:t>
      </w:r>
      <w:r w:rsidRPr="00C66550">
        <w:t xml:space="preserve"> generated, disposed and recycled per </w:t>
      </w:r>
      <w:r w:rsidR="00AE2D3D" w:rsidRPr="00C66550">
        <w:t>year</w:t>
      </w:r>
      <w:r w:rsidRPr="00C66550">
        <w:t xml:space="preserve"> between Australia and other selected OECD nations</w:t>
      </w:r>
      <w:bookmarkEnd w:id="84"/>
    </w:p>
    <w:tbl>
      <w:tblPr>
        <w:tblStyle w:val="BETable15"/>
        <w:tblW w:w="9070" w:type="dxa"/>
        <w:tblInd w:w="0" w:type="dxa"/>
        <w:tblLook w:val="04A0"/>
      </w:tblPr>
      <w:tblGrid>
        <w:gridCol w:w="1173"/>
        <w:gridCol w:w="923"/>
        <w:gridCol w:w="924"/>
        <w:gridCol w:w="941"/>
        <w:gridCol w:w="941"/>
        <w:gridCol w:w="924"/>
        <w:gridCol w:w="924"/>
        <w:gridCol w:w="1160"/>
        <w:gridCol w:w="1160"/>
      </w:tblGrid>
      <w:tr w:rsidR="006D030C" w:rsidRPr="00C66550" w:rsidTr="00491EE4">
        <w:trPr>
          <w:cnfStyle w:val="100000000000"/>
        </w:trPr>
        <w:tc>
          <w:tcPr>
            <w:cnfStyle w:val="001000000000"/>
            <w:tcW w:w="1028" w:type="dxa"/>
            <w:vMerge w:val="restart"/>
            <w:tcBorders>
              <w:right w:val="single" w:sz="4" w:space="0" w:color="7F7F7F" w:themeColor="background2"/>
            </w:tcBorders>
          </w:tcPr>
          <w:p w:rsidR="006D030C" w:rsidRPr="00C66550" w:rsidRDefault="006D030C" w:rsidP="005C7AF4">
            <w:pPr>
              <w:spacing w:line="240" w:lineRule="auto"/>
              <w:rPr>
                <w:rFonts w:asciiTheme="minorHAnsi" w:hAnsiTheme="minorHAnsi" w:cs="Times New Roman"/>
                <w:color w:val="auto"/>
                <w:szCs w:val="20"/>
              </w:rPr>
            </w:pPr>
            <w:r w:rsidRPr="00C66550">
              <w:rPr>
                <w:rFonts w:asciiTheme="minorHAnsi" w:hAnsiTheme="minorHAnsi" w:cs="Times New Roman"/>
                <w:color w:val="auto"/>
                <w:szCs w:val="20"/>
              </w:rPr>
              <w:t>Country</w:t>
            </w:r>
          </w:p>
        </w:tc>
        <w:tc>
          <w:tcPr>
            <w:tcW w:w="0" w:type="auto"/>
            <w:gridSpan w:val="2"/>
            <w:tcBorders>
              <w:left w:val="single" w:sz="4" w:space="0" w:color="7F7F7F" w:themeColor="background2"/>
              <w:bottom w:val="nil"/>
              <w:right w:val="single" w:sz="4" w:space="0" w:color="7F7F7F" w:themeColor="background2"/>
            </w:tcBorders>
          </w:tcPr>
          <w:p w:rsidR="006D030C" w:rsidRPr="00C66550" w:rsidRDefault="006D030C" w:rsidP="005C7AF4">
            <w:pPr>
              <w:spacing w:line="240" w:lineRule="auto"/>
              <w:jc w:val="center"/>
              <w:cnfStyle w:val="100000000000"/>
              <w:rPr>
                <w:rFonts w:asciiTheme="minorHAnsi" w:hAnsiTheme="minorHAnsi" w:cs="Times New Roman"/>
                <w:color w:val="auto"/>
                <w:szCs w:val="20"/>
              </w:rPr>
            </w:pPr>
            <w:r w:rsidRPr="00C66550">
              <w:rPr>
                <w:rFonts w:asciiTheme="minorHAnsi" w:hAnsiTheme="minorHAnsi" w:cs="Times New Roman"/>
                <w:color w:val="auto"/>
                <w:szCs w:val="20"/>
              </w:rPr>
              <w:t>Disposal</w:t>
            </w:r>
          </w:p>
        </w:tc>
        <w:tc>
          <w:tcPr>
            <w:tcW w:w="0" w:type="auto"/>
            <w:gridSpan w:val="2"/>
            <w:tcBorders>
              <w:left w:val="single" w:sz="4" w:space="0" w:color="7F7F7F" w:themeColor="background2"/>
              <w:bottom w:val="nil"/>
              <w:right w:val="single" w:sz="4" w:space="0" w:color="7F7F7F" w:themeColor="background2"/>
            </w:tcBorders>
          </w:tcPr>
          <w:p w:rsidR="006D030C" w:rsidRPr="00C66550" w:rsidRDefault="006D030C" w:rsidP="005C7AF4">
            <w:pPr>
              <w:spacing w:line="240" w:lineRule="auto"/>
              <w:jc w:val="center"/>
              <w:cnfStyle w:val="100000000000"/>
              <w:rPr>
                <w:rFonts w:asciiTheme="minorHAnsi" w:hAnsiTheme="minorHAnsi" w:cs="Times New Roman"/>
                <w:color w:val="auto"/>
                <w:szCs w:val="20"/>
              </w:rPr>
            </w:pPr>
            <w:r w:rsidRPr="00C66550">
              <w:rPr>
                <w:rFonts w:asciiTheme="minorHAnsi" w:hAnsiTheme="minorHAnsi" w:cs="Times New Roman"/>
                <w:color w:val="auto"/>
                <w:szCs w:val="20"/>
              </w:rPr>
              <w:t xml:space="preserve">Resource recovery </w:t>
            </w:r>
          </w:p>
        </w:tc>
        <w:tc>
          <w:tcPr>
            <w:tcW w:w="0" w:type="auto"/>
            <w:gridSpan w:val="2"/>
            <w:tcBorders>
              <w:left w:val="single" w:sz="4" w:space="0" w:color="7F7F7F" w:themeColor="background2"/>
              <w:bottom w:val="nil"/>
              <w:right w:val="single" w:sz="4" w:space="0" w:color="7F7F7F" w:themeColor="background2"/>
            </w:tcBorders>
          </w:tcPr>
          <w:p w:rsidR="006D030C" w:rsidRPr="00C66550" w:rsidRDefault="006D030C" w:rsidP="005C7AF4">
            <w:pPr>
              <w:spacing w:line="240" w:lineRule="auto"/>
              <w:jc w:val="center"/>
              <w:cnfStyle w:val="100000000000"/>
              <w:rPr>
                <w:rFonts w:asciiTheme="minorHAnsi" w:hAnsiTheme="minorHAnsi" w:cs="Times New Roman"/>
                <w:color w:val="auto"/>
                <w:szCs w:val="20"/>
              </w:rPr>
            </w:pPr>
            <w:r w:rsidRPr="00C66550">
              <w:rPr>
                <w:rFonts w:asciiTheme="minorHAnsi" w:hAnsiTheme="minorHAnsi" w:cs="Times New Roman"/>
                <w:color w:val="auto"/>
                <w:szCs w:val="20"/>
              </w:rPr>
              <w:t>Waste generation</w:t>
            </w:r>
          </w:p>
        </w:tc>
        <w:tc>
          <w:tcPr>
            <w:tcW w:w="0" w:type="auto"/>
            <w:gridSpan w:val="2"/>
            <w:vMerge w:val="restart"/>
            <w:tcBorders>
              <w:left w:val="single" w:sz="4" w:space="0" w:color="7F7F7F" w:themeColor="background2"/>
            </w:tcBorders>
          </w:tcPr>
          <w:p w:rsidR="00491EE4" w:rsidRDefault="006D030C" w:rsidP="005C7AF4">
            <w:pPr>
              <w:spacing w:line="240" w:lineRule="auto"/>
              <w:jc w:val="center"/>
              <w:cnfStyle w:val="100000000000"/>
              <w:rPr>
                <w:rFonts w:asciiTheme="minorHAnsi" w:hAnsiTheme="minorHAnsi" w:cs="Times New Roman"/>
                <w:color w:val="auto"/>
                <w:szCs w:val="20"/>
              </w:rPr>
            </w:pPr>
            <w:r w:rsidRPr="00C66550">
              <w:rPr>
                <w:rFonts w:asciiTheme="minorHAnsi" w:hAnsiTheme="minorHAnsi" w:cs="Times New Roman"/>
                <w:color w:val="auto"/>
                <w:szCs w:val="20"/>
              </w:rPr>
              <w:t xml:space="preserve">Resource recovery rate </w:t>
            </w:r>
          </w:p>
          <w:p w:rsidR="006D030C" w:rsidRPr="00491EE4" w:rsidRDefault="006D030C" w:rsidP="00491EE4">
            <w:pPr>
              <w:spacing w:line="240" w:lineRule="auto"/>
              <w:jc w:val="center"/>
              <w:cnfStyle w:val="100000000000"/>
              <w:rPr>
                <w:rFonts w:asciiTheme="minorHAnsi" w:hAnsiTheme="minorHAnsi" w:cs="Times New Roman"/>
                <w:b w:val="0"/>
                <w:color w:val="auto"/>
                <w:szCs w:val="20"/>
              </w:rPr>
            </w:pPr>
            <w:r w:rsidRPr="00491EE4">
              <w:rPr>
                <w:rFonts w:asciiTheme="minorHAnsi" w:hAnsiTheme="minorHAnsi" w:cs="Times New Roman"/>
                <w:b w:val="0"/>
                <w:color w:val="auto"/>
                <w:szCs w:val="20"/>
              </w:rPr>
              <w:t>%</w:t>
            </w:r>
          </w:p>
        </w:tc>
      </w:tr>
      <w:tr w:rsidR="00E532F8" w:rsidRPr="00C66550" w:rsidTr="00491EE4">
        <w:trPr>
          <w:trHeight w:val="180"/>
        </w:trPr>
        <w:tc>
          <w:tcPr>
            <w:cnfStyle w:val="001000000000"/>
            <w:tcW w:w="1028" w:type="dxa"/>
            <w:vMerge/>
            <w:tcBorders>
              <w:right w:val="single" w:sz="4" w:space="0" w:color="7F7F7F" w:themeColor="background2"/>
            </w:tcBorders>
          </w:tcPr>
          <w:p w:rsidR="00E532F8" w:rsidRPr="00C66550" w:rsidRDefault="00E532F8" w:rsidP="005C7AF4">
            <w:pPr>
              <w:spacing w:line="240" w:lineRule="atLeast"/>
              <w:rPr>
                <w:rFonts w:asciiTheme="minorHAnsi" w:hAnsiTheme="minorHAnsi" w:cs="Times New Roman"/>
                <w:color w:val="auto"/>
                <w:szCs w:val="20"/>
              </w:rPr>
            </w:pPr>
          </w:p>
        </w:tc>
        <w:tc>
          <w:tcPr>
            <w:tcW w:w="0" w:type="auto"/>
            <w:gridSpan w:val="6"/>
            <w:tcBorders>
              <w:top w:val="nil"/>
              <w:left w:val="single" w:sz="4" w:space="0" w:color="7F7F7F" w:themeColor="background2"/>
              <w:bottom w:val="single" w:sz="4" w:space="0" w:color="7F7F7F" w:themeColor="background2"/>
              <w:right w:val="single" w:sz="4" w:space="0" w:color="7F7F7F" w:themeColor="background2"/>
            </w:tcBorders>
          </w:tcPr>
          <w:p w:rsidR="00E532F8" w:rsidRPr="00C66550" w:rsidRDefault="001B5371" w:rsidP="005C7AF4">
            <w:pPr>
              <w:spacing w:line="240" w:lineRule="auto"/>
              <w:jc w:val="center"/>
              <w:cnfStyle w:val="000000000000"/>
              <w:rPr>
                <w:rFonts w:asciiTheme="minorHAnsi" w:hAnsiTheme="minorHAnsi" w:cs="Times New Roman"/>
                <w:i/>
                <w:color w:val="auto"/>
                <w:szCs w:val="20"/>
              </w:rPr>
            </w:pPr>
            <w:r w:rsidRPr="00C66550">
              <w:rPr>
                <w:rFonts w:asciiTheme="minorHAnsi" w:hAnsiTheme="minorHAnsi" w:cs="Times New Roman"/>
                <w:i/>
                <w:color w:val="auto"/>
                <w:szCs w:val="20"/>
              </w:rPr>
              <w:t>kg</w:t>
            </w:r>
            <w:r w:rsidR="00E532F8" w:rsidRPr="00C66550">
              <w:rPr>
                <w:rFonts w:asciiTheme="minorHAnsi" w:hAnsiTheme="minorHAnsi" w:cs="Times New Roman"/>
                <w:i/>
                <w:color w:val="auto"/>
                <w:szCs w:val="20"/>
              </w:rPr>
              <w:t xml:space="preserve"> per capita</w:t>
            </w:r>
          </w:p>
        </w:tc>
        <w:tc>
          <w:tcPr>
            <w:tcW w:w="0" w:type="auto"/>
            <w:gridSpan w:val="2"/>
            <w:vMerge/>
            <w:tcBorders>
              <w:left w:val="single" w:sz="4" w:space="0" w:color="7F7F7F" w:themeColor="background2"/>
            </w:tcBorders>
          </w:tcPr>
          <w:p w:rsidR="00E532F8" w:rsidRPr="00C66550" w:rsidRDefault="00E532F8" w:rsidP="005C7AF4">
            <w:pPr>
              <w:spacing w:line="240" w:lineRule="auto"/>
              <w:jc w:val="center"/>
              <w:cnfStyle w:val="000000000000"/>
              <w:rPr>
                <w:rFonts w:asciiTheme="minorHAnsi" w:hAnsiTheme="minorHAnsi" w:cs="Times New Roman"/>
                <w:b/>
                <w:color w:val="auto"/>
                <w:szCs w:val="20"/>
              </w:rPr>
            </w:pPr>
          </w:p>
        </w:tc>
      </w:tr>
      <w:tr w:rsidR="006D030C" w:rsidRPr="00C66550" w:rsidTr="00491EE4">
        <w:tc>
          <w:tcPr>
            <w:cnfStyle w:val="001000000000"/>
            <w:tcW w:w="1028" w:type="dxa"/>
            <w:vMerge/>
            <w:tcBorders>
              <w:bottom w:val="single" w:sz="4" w:space="0" w:color="7F7F7F" w:themeColor="background2"/>
              <w:right w:val="single" w:sz="4" w:space="0" w:color="7F7F7F" w:themeColor="background2"/>
            </w:tcBorders>
          </w:tcPr>
          <w:p w:rsidR="006D030C" w:rsidRPr="00C66550" w:rsidRDefault="006D030C" w:rsidP="005C7AF4">
            <w:pPr>
              <w:spacing w:line="240" w:lineRule="atLeast"/>
              <w:rPr>
                <w:rFonts w:asciiTheme="minorHAnsi" w:hAnsiTheme="minorHAnsi" w:cs="Times New Roman"/>
                <w:color w:val="auto"/>
                <w:szCs w:val="20"/>
              </w:rPr>
            </w:pPr>
          </w:p>
        </w:tc>
        <w:tc>
          <w:tcPr>
            <w:tcW w:w="0" w:type="auto"/>
            <w:tcBorders>
              <w:top w:val="nil"/>
              <w:left w:val="single" w:sz="4" w:space="0" w:color="7F7F7F" w:themeColor="background2"/>
              <w:bottom w:val="single" w:sz="4" w:space="0" w:color="7F7F7F" w:themeColor="background2"/>
            </w:tcBorders>
            <w:vAlign w:val="center"/>
          </w:tcPr>
          <w:p w:rsidR="006D030C" w:rsidRPr="00C66550" w:rsidRDefault="006D030C" w:rsidP="00903E27">
            <w:pPr>
              <w:jc w:val="center"/>
              <w:cnfStyle w:val="000000000000"/>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903E27"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0" w:type="auto"/>
            <w:tcBorders>
              <w:top w:val="nil"/>
              <w:bottom w:val="single" w:sz="4" w:space="0" w:color="7F7F7F" w:themeColor="background2"/>
              <w:right w:val="single" w:sz="4" w:space="0" w:color="7F7F7F" w:themeColor="background2"/>
            </w:tcBorders>
            <w:vAlign w:val="center"/>
          </w:tcPr>
          <w:p w:rsidR="006D030C" w:rsidRPr="00C66550" w:rsidRDefault="006D030C" w:rsidP="00903E27">
            <w:pPr>
              <w:jc w:val="center"/>
              <w:cnfStyle w:val="000000000000"/>
              <w:rPr>
                <w:rFonts w:asciiTheme="minorHAnsi" w:hAnsiTheme="minorHAnsi" w:cs="Arial"/>
                <w:b/>
                <w:szCs w:val="20"/>
              </w:rPr>
            </w:pPr>
            <w:r w:rsidRPr="00C66550">
              <w:rPr>
                <w:rFonts w:asciiTheme="minorHAnsi" w:hAnsiTheme="minorHAnsi" w:cs="Arial"/>
                <w:b/>
                <w:szCs w:val="20"/>
              </w:rPr>
              <w:t>2010</w:t>
            </w:r>
            <w:r w:rsidR="00903E27" w:rsidRPr="00C66550">
              <w:rPr>
                <w:rFonts w:asciiTheme="minorHAnsi" w:hAnsiTheme="minorHAnsi" w:cs="Arial"/>
                <w:b/>
                <w:szCs w:val="20"/>
              </w:rPr>
              <w:t>/</w:t>
            </w:r>
            <w:r w:rsidRPr="00C66550">
              <w:rPr>
                <w:rFonts w:asciiTheme="minorHAnsi" w:hAnsiTheme="minorHAnsi" w:cs="Arial"/>
                <w:b/>
                <w:szCs w:val="20"/>
              </w:rPr>
              <w:t>11</w:t>
            </w:r>
          </w:p>
        </w:tc>
        <w:tc>
          <w:tcPr>
            <w:tcW w:w="0" w:type="auto"/>
            <w:tcBorders>
              <w:top w:val="single" w:sz="4" w:space="0" w:color="7F7F7F" w:themeColor="background2"/>
              <w:left w:val="single" w:sz="4" w:space="0" w:color="7F7F7F" w:themeColor="background2"/>
              <w:bottom w:val="single" w:sz="4" w:space="0" w:color="7F7F7F" w:themeColor="background2"/>
            </w:tcBorders>
            <w:vAlign w:val="center"/>
          </w:tcPr>
          <w:p w:rsidR="006D030C" w:rsidRPr="00C66550" w:rsidRDefault="006D030C" w:rsidP="00903E27">
            <w:pPr>
              <w:jc w:val="center"/>
              <w:cnfStyle w:val="000000000000"/>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903E27"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0" w:type="auto"/>
            <w:tcBorders>
              <w:top w:val="single" w:sz="4" w:space="0" w:color="7F7F7F" w:themeColor="background2"/>
              <w:bottom w:val="single" w:sz="4" w:space="0" w:color="7F7F7F" w:themeColor="background2"/>
              <w:right w:val="single" w:sz="4" w:space="0" w:color="7F7F7F" w:themeColor="background2"/>
            </w:tcBorders>
            <w:vAlign w:val="center"/>
          </w:tcPr>
          <w:p w:rsidR="006D030C" w:rsidRPr="00C66550" w:rsidRDefault="006D030C" w:rsidP="00903E27">
            <w:pPr>
              <w:jc w:val="center"/>
              <w:cnfStyle w:val="000000000000"/>
              <w:rPr>
                <w:rFonts w:asciiTheme="minorHAnsi" w:hAnsiTheme="minorHAnsi" w:cs="Arial"/>
                <w:b/>
                <w:szCs w:val="20"/>
              </w:rPr>
            </w:pPr>
            <w:r w:rsidRPr="00C66550">
              <w:rPr>
                <w:rFonts w:asciiTheme="minorHAnsi" w:hAnsiTheme="minorHAnsi" w:cs="Arial"/>
                <w:b/>
                <w:szCs w:val="20"/>
              </w:rPr>
              <w:t>2010</w:t>
            </w:r>
            <w:r w:rsidR="00903E27" w:rsidRPr="00C66550">
              <w:rPr>
                <w:rFonts w:asciiTheme="minorHAnsi" w:hAnsiTheme="minorHAnsi" w:cs="Arial"/>
                <w:b/>
                <w:szCs w:val="20"/>
              </w:rPr>
              <w:t>/</w:t>
            </w:r>
            <w:r w:rsidRPr="00C66550">
              <w:rPr>
                <w:rFonts w:asciiTheme="minorHAnsi" w:hAnsiTheme="minorHAnsi" w:cs="Arial"/>
                <w:b/>
                <w:szCs w:val="20"/>
              </w:rPr>
              <w:t>11</w:t>
            </w:r>
          </w:p>
        </w:tc>
        <w:tc>
          <w:tcPr>
            <w:tcW w:w="0" w:type="auto"/>
            <w:tcBorders>
              <w:top w:val="nil"/>
              <w:left w:val="single" w:sz="4" w:space="0" w:color="7F7F7F" w:themeColor="background2"/>
              <w:bottom w:val="single" w:sz="4" w:space="0" w:color="7F7F7F" w:themeColor="background2"/>
            </w:tcBorders>
            <w:vAlign w:val="center"/>
          </w:tcPr>
          <w:p w:rsidR="006D030C" w:rsidRPr="00C66550" w:rsidRDefault="006D030C" w:rsidP="00903E27">
            <w:pPr>
              <w:jc w:val="center"/>
              <w:cnfStyle w:val="000000000000"/>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903E27"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0" w:type="auto"/>
            <w:tcBorders>
              <w:top w:val="nil"/>
              <w:bottom w:val="single" w:sz="4" w:space="0" w:color="7F7F7F" w:themeColor="background2"/>
              <w:right w:val="single" w:sz="4" w:space="0" w:color="7F7F7F" w:themeColor="background2"/>
            </w:tcBorders>
            <w:vAlign w:val="center"/>
          </w:tcPr>
          <w:p w:rsidR="006D030C" w:rsidRPr="00C66550" w:rsidRDefault="006D030C" w:rsidP="00903E27">
            <w:pPr>
              <w:jc w:val="center"/>
              <w:cnfStyle w:val="000000000000"/>
              <w:rPr>
                <w:rFonts w:asciiTheme="minorHAnsi" w:hAnsiTheme="minorHAnsi" w:cs="Arial"/>
                <w:b/>
                <w:szCs w:val="20"/>
              </w:rPr>
            </w:pPr>
            <w:r w:rsidRPr="00C66550">
              <w:rPr>
                <w:rFonts w:asciiTheme="minorHAnsi" w:hAnsiTheme="minorHAnsi" w:cs="Arial"/>
                <w:b/>
                <w:szCs w:val="20"/>
              </w:rPr>
              <w:t>2010</w:t>
            </w:r>
            <w:r w:rsidR="00903E27" w:rsidRPr="00C66550">
              <w:rPr>
                <w:rFonts w:asciiTheme="minorHAnsi" w:hAnsiTheme="minorHAnsi" w:cs="Arial"/>
                <w:b/>
                <w:szCs w:val="20"/>
              </w:rPr>
              <w:t>/</w:t>
            </w:r>
            <w:r w:rsidRPr="00C66550">
              <w:rPr>
                <w:rFonts w:asciiTheme="minorHAnsi" w:hAnsiTheme="minorHAnsi" w:cs="Arial"/>
                <w:b/>
                <w:szCs w:val="20"/>
              </w:rPr>
              <w:t>11</w:t>
            </w:r>
          </w:p>
        </w:tc>
        <w:tc>
          <w:tcPr>
            <w:tcW w:w="0" w:type="auto"/>
            <w:tcBorders>
              <w:left w:val="single" w:sz="4" w:space="0" w:color="7F7F7F" w:themeColor="background2"/>
              <w:bottom w:val="single" w:sz="4" w:space="0" w:color="7F7F7F" w:themeColor="background2"/>
            </w:tcBorders>
            <w:vAlign w:val="center"/>
          </w:tcPr>
          <w:p w:rsidR="006D030C" w:rsidRPr="00C66550" w:rsidRDefault="006D030C" w:rsidP="00903E27">
            <w:pPr>
              <w:jc w:val="center"/>
              <w:cnfStyle w:val="000000000000"/>
              <w:rPr>
                <w:rFonts w:asciiTheme="minorHAnsi" w:hAnsiTheme="minorHAnsi" w:cs="Arial"/>
                <w:b/>
                <w:szCs w:val="20"/>
              </w:rPr>
            </w:pPr>
            <w:r w:rsidRPr="00C66550">
              <w:rPr>
                <w:rFonts w:asciiTheme="minorHAnsi" w:hAnsiTheme="minorHAnsi" w:cs="Times New Roman"/>
                <w:b/>
                <w:bCs/>
                <w:iCs/>
                <w:color w:val="000000"/>
                <w:szCs w:val="20"/>
                <w:lang w:eastAsia="en-GB"/>
              </w:rPr>
              <w:t>2006</w:t>
            </w:r>
            <w:r w:rsidR="00903E27" w:rsidRPr="00C66550">
              <w:rPr>
                <w:rFonts w:asciiTheme="minorHAnsi" w:hAnsiTheme="minorHAnsi" w:cs="Times New Roman"/>
                <w:b/>
                <w:bCs/>
                <w:iCs/>
                <w:color w:val="000000"/>
                <w:szCs w:val="20"/>
                <w:lang w:eastAsia="en-GB"/>
              </w:rPr>
              <w:t>/</w:t>
            </w:r>
            <w:r w:rsidRPr="00C66550">
              <w:rPr>
                <w:rFonts w:asciiTheme="minorHAnsi" w:hAnsiTheme="minorHAnsi" w:cs="Times New Roman"/>
                <w:b/>
                <w:bCs/>
                <w:iCs/>
                <w:color w:val="000000"/>
                <w:szCs w:val="20"/>
                <w:lang w:eastAsia="en-GB"/>
              </w:rPr>
              <w:t>07</w:t>
            </w:r>
          </w:p>
        </w:tc>
        <w:tc>
          <w:tcPr>
            <w:tcW w:w="0" w:type="auto"/>
            <w:tcBorders>
              <w:bottom w:val="single" w:sz="4" w:space="0" w:color="7F7F7F" w:themeColor="background2"/>
            </w:tcBorders>
            <w:vAlign w:val="center"/>
          </w:tcPr>
          <w:p w:rsidR="006D030C" w:rsidRPr="00C66550" w:rsidRDefault="006D030C" w:rsidP="00903E27">
            <w:pPr>
              <w:jc w:val="center"/>
              <w:cnfStyle w:val="000000000000"/>
              <w:rPr>
                <w:rFonts w:asciiTheme="minorHAnsi" w:hAnsiTheme="minorHAnsi" w:cs="Arial"/>
                <w:b/>
                <w:szCs w:val="20"/>
              </w:rPr>
            </w:pPr>
            <w:r w:rsidRPr="00C66550">
              <w:rPr>
                <w:rFonts w:asciiTheme="minorHAnsi" w:hAnsiTheme="minorHAnsi" w:cs="Arial"/>
                <w:b/>
                <w:szCs w:val="20"/>
              </w:rPr>
              <w:t>2010</w:t>
            </w:r>
            <w:r w:rsidR="00903E27" w:rsidRPr="00C66550">
              <w:rPr>
                <w:rFonts w:asciiTheme="minorHAnsi" w:hAnsiTheme="minorHAnsi" w:cs="Arial"/>
                <w:b/>
                <w:szCs w:val="20"/>
              </w:rPr>
              <w:t>/</w:t>
            </w:r>
            <w:r w:rsidRPr="00C66550">
              <w:rPr>
                <w:rFonts w:asciiTheme="minorHAnsi" w:hAnsiTheme="minorHAnsi" w:cs="Arial"/>
                <w:b/>
                <w:szCs w:val="20"/>
              </w:rPr>
              <w:t>11</w:t>
            </w:r>
          </w:p>
        </w:tc>
      </w:tr>
      <w:tr w:rsidR="006D030C" w:rsidRPr="00C66550" w:rsidTr="00491EE4">
        <w:trPr>
          <w:trHeight w:val="290"/>
        </w:trPr>
        <w:tc>
          <w:tcPr>
            <w:cnfStyle w:val="001000000000"/>
            <w:tcW w:w="1028" w:type="dxa"/>
            <w:tcBorders>
              <w:bottom w:val="nil"/>
              <w:right w:val="single" w:sz="4" w:space="0" w:color="7F7F7F" w:themeColor="background2"/>
            </w:tcBorders>
            <w:vAlign w:val="bottom"/>
          </w:tcPr>
          <w:p w:rsidR="00E532F8" w:rsidRPr="00C66550" w:rsidRDefault="00E532F8" w:rsidP="0014187C">
            <w:pPr>
              <w:spacing w:line="240" w:lineRule="atLeast"/>
              <w:rPr>
                <w:rFonts w:asciiTheme="minorHAnsi" w:hAnsiTheme="minorHAnsi" w:cs="Times New Roman"/>
                <w:color w:val="auto"/>
                <w:szCs w:val="20"/>
                <w:vertAlign w:val="superscript"/>
              </w:rPr>
            </w:pPr>
            <w:r w:rsidRPr="00C66550">
              <w:rPr>
                <w:rFonts w:asciiTheme="minorHAnsi" w:hAnsiTheme="minorHAnsi" w:cs="Times New Roman"/>
                <w:color w:val="auto"/>
                <w:szCs w:val="20"/>
              </w:rPr>
              <w:t>Canada</w:t>
            </w:r>
          </w:p>
        </w:tc>
        <w:tc>
          <w:tcPr>
            <w:tcW w:w="0" w:type="auto"/>
            <w:tcBorders>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292</w:t>
            </w:r>
          </w:p>
        </w:tc>
        <w:tc>
          <w:tcPr>
            <w:tcW w:w="0" w:type="auto"/>
            <w:tcBorders>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255</w:t>
            </w:r>
          </w:p>
        </w:tc>
        <w:tc>
          <w:tcPr>
            <w:tcW w:w="0" w:type="auto"/>
            <w:tcBorders>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118</w:t>
            </w:r>
          </w:p>
        </w:tc>
        <w:tc>
          <w:tcPr>
            <w:tcW w:w="0" w:type="auto"/>
            <w:tcBorders>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130</w:t>
            </w:r>
          </w:p>
        </w:tc>
        <w:tc>
          <w:tcPr>
            <w:tcW w:w="0" w:type="auto"/>
            <w:tcBorders>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411</w:t>
            </w:r>
          </w:p>
        </w:tc>
        <w:tc>
          <w:tcPr>
            <w:tcW w:w="0" w:type="auto"/>
            <w:tcBorders>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385</w:t>
            </w:r>
          </w:p>
        </w:tc>
        <w:tc>
          <w:tcPr>
            <w:tcW w:w="0" w:type="auto"/>
            <w:tcBorders>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29%</w:t>
            </w:r>
          </w:p>
        </w:tc>
        <w:tc>
          <w:tcPr>
            <w:tcW w:w="0" w:type="auto"/>
            <w:tcBorders>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34%</w:t>
            </w:r>
          </w:p>
        </w:tc>
      </w:tr>
      <w:tr w:rsidR="006D030C" w:rsidRPr="00C66550" w:rsidTr="00491EE4">
        <w:trPr>
          <w:trHeight w:val="80"/>
        </w:trPr>
        <w:tc>
          <w:tcPr>
            <w:cnfStyle w:val="001000000000"/>
            <w:tcW w:w="1028" w:type="dxa"/>
            <w:tcBorders>
              <w:top w:val="nil"/>
              <w:bottom w:val="nil"/>
              <w:right w:val="single" w:sz="4" w:space="0" w:color="7F7F7F" w:themeColor="background2"/>
            </w:tcBorders>
            <w:vAlign w:val="bottom"/>
          </w:tcPr>
          <w:p w:rsidR="00E532F8" w:rsidRPr="00C66550" w:rsidRDefault="0014187C" w:rsidP="0014187C">
            <w:pPr>
              <w:spacing w:line="240" w:lineRule="atLeast"/>
              <w:rPr>
                <w:rFonts w:asciiTheme="minorHAnsi" w:hAnsiTheme="minorHAnsi" w:cs="Times New Roman"/>
                <w:color w:val="auto"/>
                <w:szCs w:val="20"/>
              </w:rPr>
            </w:pPr>
            <w:r w:rsidRPr="00C66550">
              <w:rPr>
                <w:rFonts w:asciiTheme="minorHAnsi" w:hAnsiTheme="minorHAnsi" w:cs="Times New Roman"/>
                <w:color w:val="auto"/>
                <w:szCs w:val="20"/>
              </w:rPr>
              <w:t>US</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625</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529</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302</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273</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927</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802</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33%</w:t>
            </w:r>
          </w:p>
        </w:tc>
        <w:tc>
          <w:tcPr>
            <w:tcW w:w="0" w:type="auto"/>
            <w:tcBorders>
              <w:top w:val="nil"/>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34%</w:t>
            </w:r>
          </w:p>
        </w:tc>
      </w:tr>
      <w:tr w:rsidR="006D030C" w:rsidRPr="00C66550" w:rsidTr="00491EE4">
        <w:tc>
          <w:tcPr>
            <w:cnfStyle w:val="001000000000"/>
            <w:tcW w:w="1028" w:type="dxa"/>
            <w:tcBorders>
              <w:top w:val="nil"/>
              <w:bottom w:val="nil"/>
              <w:right w:val="single" w:sz="4" w:space="0" w:color="7F7F7F" w:themeColor="background2"/>
            </w:tcBorders>
            <w:vAlign w:val="bottom"/>
          </w:tcPr>
          <w:p w:rsidR="00E532F8" w:rsidRPr="00C66550" w:rsidRDefault="00E532F8" w:rsidP="0014187C">
            <w:pPr>
              <w:spacing w:line="240" w:lineRule="atLeast"/>
              <w:rPr>
                <w:rFonts w:asciiTheme="minorHAnsi" w:hAnsiTheme="minorHAnsi" w:cs="Times New Roman"/>
                <w:color w:val="auto"/>
                <w:szCs w:val="20"/>
                <w:vertAlign w:val="superscript"/>
              </w:rPr>
            </w:pPr>
            <w:r w:rsidRPr="00C66550">
              <w:rPr>
                <w:rFonts w:asciiTheme="minorHAnsi" w:hAnsiTheme="minorHAnsi" w:cs="Times New Roman"/>
                <w:color w:val="auto"/>
                <w:szCs w:val="20"/>
              </w:rPr>
              <w:t>Germany</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215</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131</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341</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471</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555</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602</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61%</w:t>
            </w:r>
          </w:p>
        </w:tc>
        <w:tc>
          <w:tcPr>
            <w:tcW w:w="0" w:type="auto"/>
            <w:tcBorders>
              <w:top w:val="nil"/>
              <w:bottom w:val="nil"/>
            </w:tcBorders>
            <w:vAlign w:val="bottom"/>
          </w:tcPr>
          <w:p w:rsidR="00E532F8" w:rsidRPr="00C66550" w:rsidRDefault="00E532F8" w:rsidP="005C7AF4">
            <w:pPr>
              <w:jc w:val="right"/>
              <w:cnfStyle w:val="000000000000"/>
              <w:rPr>
                <w:rFonts w:asciiTheme="minorHAnsi" w:hAnsiTheme="minorHAnsi" w:cs="Arial"/>
                <w:color w:val="0C0C0C" w:themeColor="text1"/>
                <w:szCs w:val="20"/>
              </w:rPr>
            </w:pPr>
            <w:r w:rsidRPr="00C66550">
              <w:rPr>
                <w:rFonts w:asciiTheme="minorHAnsi" w:hAnsiTheme="minorHAnsi"/>
                <w:color w:val="0C0C0C" w:themeColor="text1"/>
                <w:szCs w:val="20"/>
              </w:rPr>
              <w:t>78%</w:t>
            </w:r>
          </w:p>
        </w:tc>
      </w:tr>
      <w:tr w:rsidR="006D030C" w:rsidRPr="00C66550" w:rsidTr="00491EE4">
        <w:tc>
          <w:tcPr>
            <w:cnfStyle w:val="001000000000"/>
            <w:tcW w:w="1028" w:type="dxa"/>
            <w:tcBorders>
              <w:top w:val="nil"/>
              <w:bottom w:val="nil"/>
              <w:right w:val="single" w:sz="4" w:space="0" w:color="7F7F7F" w:themeColor="background2"/>
            </w:tcBorders>
            <w:vAlign w:val="bottom"/>
          </w:tcPr>
          <w:p w:rsidR="00E532F8" w:rsidRPr="00C66550" w:rsidRDefault="0014187C" w:rsidP="0014187C">
            <w:pPr>
              <w:spacing w:line="240" w:lineRule="atLeast"/>
              <w:rPr>
                <w:rFonts w:asciiTheme="minorHAnsi" w:hAnsiTheme="minorHAnsi" w:cs="Times New Roman"/>
                <w:color w:val="auto"/>
                <w:szCs w:val="20"/>
                <w:vertAlign w:val="superscript"/>
              </w:rPr>
            </w:pPr>
            <w:r w:rsidRPr="00C66550">
              <w:rPr>
                <w:rFonts w:asciiTheme="minorHAnsi" w:hAnsiTheme="minorHAnsi" w:cs="Times New Roman"/>
                <w:color w:val="auto"/>
                <w:szCs w:val="20"/>
              </w:rPr>
              <w:t>UK</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olor w:val="0C0C0C" w:themeColor="text1"/>
                <w:szCs w:val="20"/>
              </w:rPr>
            </w:pPr>
            <w:r w:rsidRPr="00C66550">
              <w:rPr>
                <w:rFonts w:asciiTheme="minorHAnsi" w:hAnsiTheme="minorHAnsi"/>
                <w:color w:val="0C0C0C" w:themeColor="text1"/>
                <w:szCs w:val="20"/>
              </w:rPr>
              <w:t>398</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olor w:val="0C0C0C" w:themeColor="text1"/>
                <w:szCs w:val="20"/>
              </w:rPr>
            </w:pPr>
            <w:r w:rsidRPr="00C66550">
              <w:rPr>
                <w:rFonts w:asciiTheme="minorHAnsi" w:hAnsiTheme="minorHAnsi"/>
                <w:color w:val="0C0C0C" w:themeColor="text1"/>
                <w:szCs w:val="20"/>
              </w:rPr>
              <w:t>258</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olor w:val="0C0C0C" w:themeColor="text1"/>
                <w:szCs w:val="20"/>
              </w:rPr>
            </w:pPr>
            <w:r w:rsidRPr="00C66550">
              <w:rPr>
                <w:rFonts w:asciiTheme="minorHAnsi" w:hAnsiTheme="minorHAnsi"/>
                <w:color w:val="0C0C0C" w:themeColor="text1"/>
                <w:szCs w:val="20"/>
              </w:rPr>
              <w:t>176</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olor w:val="0C0C0C" w:themeColor="text1"/>
                <w:szCs w:val="20"/>
              </w:rPr>
            </w:pPr>
            <w:r w:rsidRPr="00C66550">
              <w:rPr>
                <w:rFonts w:asciiTheme="minorHAnsi" w:hAnsiTheme="minorHAnsi"/>
                <w:color w:val="0C0C0C" w:themeColor="text1"/>
                <w:szCs w:val="20"/>
              </w:rPr>
              <w:t>256</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olor w:val="0C0C0C" w:themeColor="text1"/>
                <w:szCs w:val="20"/>
              </w:rPr>
            </w:pPr>
            <w:r w:rsidRPr="00C66550">
              <w:rPr>
                <w:rFonts w:asciiTheme="minorHAnsi" w:hAnsiTheme="minorHAnsi"/>
                <w:color w:val="0C0C0C" w:themeColor="text1"/>
                <w:szCs w:val="20"/>
              </w:rPr>
              <w:t>574</w:t>
            </w:r>
          </w:p>
        </w:tc>
        <w:tc>
          <w:tcPr>
            <w:tcW w:w="0" w:type="auto"/>
            <w:tcBorders>
              <w:top w:val="nil"/>
              <w:bottom w:val="nil"/>
              <w:right w:val="single" w:sz="4" w:space="0" w:color="7F7F7F" w:themeColor="background2"/>
            </w:tcBorders>
            <w:vAlign w:val="bottom"/>
          </w:tcPr>
          <w:p w:rsidR="00E532F8" w:rsidRPr="00C66550" w:rsidRDefault="00E532F8" w:rsidP="005C7AF4">
            <w:pPr>
              <w:jc w:val="right"/>
              <w:cnfStyle w:val="000000000000"/>
              <w:rPr>
                <w:rFonts w:asciiTheme="minorHAnsi" w:hAnsiTheme="minorHAnsi"/>
                <w:color w:val="0C0C0C" w:themeColor="text1"/>
                <w:szCs w:val="20"/>
              </w:rPr>
            </w:pPr>
            <w:r w:rsidRPr="00C66550">
              <w:rPr>
                <w:rFonts w:asciiTheme="minorHAnsi" w:hAnsiTheme="minorHAnsi"/>
                <w:color w:val="0C0C0C" w:themeColor="text1"/>
                <w:szCs w:val="20"/>
              </w:rPr>
              <w:t>514</w:t>
            </w:r>
          </w:p>
        </w:tc>
        <w:tc>
          <w:tcPr>
            <w:tcW w:w="0" w:type="auto"/>
            <w:tcBorders>
              <w:top w:val="nil"/>
              <w:left w:val="single" w:sz="4" w:space="0" w:color="7F7F7F" w:themeColor="background2"/>
              <w:bottom w:val="nil"/>
            </w:tcBorders>
            <w:vAlign w:val="bottom"/>
          </w:tcPr>
          <w:p w:rsidR="00E532F8" w:rsidRPr="00C66550" w:rsidRDefault="00E532F8" w:rsidP="005C7AF4">
            <w:pPr>
              <w:jc w:val="right"/>
              <w:cnfStyle w:val="000000000000"/>
              <w:rPr>
                <w:rFonts w:asciiTheme="minorHAnsi" w:hAnsiTheme="minorHAnsi"/>
                <w:color w:val="0C0C0C" w:themeColor="text1"/>
                <w:szCs w:val="20"/>
              </w:rPr>
            </w:pPr>
            <w:r w:rsidRPr="00C66550">
              <w:rPr>
                <w:rFonts w:asciiTheme="minorHAnsi" w:hAnsiTheme="minorHAnsi"/>
                <w:color w:val="0C0C0C" w:themeColor="text1"/>
                <w:szCs w:val="20"/>
              </w:rPr>
              <w:t>31%</w:t>
            </w:r>
          </w:p>
        </w:tc>
        <w:tc>
          <w:tcPr>
            <w:tcW w:w="0" w:type="auto"/>
            <w:tcBorders>
              <w:top w:val="nil"/>
              <w:bottom w:val="nil"/>
            </w:tcBorders>
            <w:vAlign w:val="bottom"/>
          </w:tcPr>
          <w:p w:rsidR="00E532F8" w:rsidRPr="00C66550" w:rsidRDefault="00E532F8" w:rsidP="005C7AF4">
            <w:pPr>
              <w:jc w:val="right"/>
              <w:cnfStyle w:val="000000000000"/>
              <w:rPr>
                <w:rFonts w:asciiTheme="minorHAnsi" w:hAnsiTheme="minorHAnsi"/>
                <w:color w:val="0C0C0C" w:themeColor="text1"/>
                <w:szCs w:val="20"/>
              </w:rPr>
            </w:pPr>
            <w:r w:rsidRPr="00C66550">
              <w:rPr>
                <w:rFonts w:asciiTheme="minorHAnsi" w:hAnsiTheme="minorHAnsi"/>
                <w:color w:val="0C0C0C" w:themeColor="text1"/>
                <w:szCs w:val="20"/>
              </w:rPr>
              <w:t>50%</w:t>
            </w:r>
          </w:p>
        </w:tc>
      </w:tr>
      <w:tr w:rsidR="002B33FD" w:rsidRPr="00C66550" w:rsidTr="00491EE4">
        <w:tc>
          <w:tcPr>
            <w:cnfStyle w:val="001000000000"/>
            <w:tcW w:w="1028" w:type="dxa"/>
            <w:tcBorders>
              <w:top w:val="nil"/>
              <w:bottom w:val="single" w:sz="4" w:space="0" w:color="7F7F7F" w:themeColor="background2"/>
              <w:right w:val="single" w:sz="4" w:space="0" w:color="7F7F7F" w:themeColor="background2"/>
            </w:tcBorders>
            <w:vAlign w:val="bottom"/>
          </w:tcPr>
          <w:p w:rsidR="002B33FD" w:rsidRPr="00C66550" w:rsidRDefault="002B33FD" w:rsidP="0014187C">
            <w:pPr>
              <w:spacing w:line="240" w:lineRule="atLeast"/>
              <w:rPr>
                <w:rFonts w:asciiTheme="minorHAnsi" w:hAnsiTheme="minorHAnsi" w:cs="Times New Roman"/>
                <w:color w:val="auto"/>
                <w:szCs w:val="20"/>
              </w:rPr>
            </w:pPr>
            <w:r w:rsidRPr="00C66550">
              <w:rPr>
                <w:rFonts w:asciiTheme="minorHAnsi" w:hAnsiTheme="minorHAnsi" w:cs="Times New Roman"/>
                <w:color w:val="auto"/>
                <w:szCs w:val="20"/>
              </w:rPr>
              <w:t>Australia</w:t>
            </w:r>
          </w:p>
        </w:tc>
        <w:tc>
          <w:tcPr>
            <w:tcW w:w="0" w:type="auto"/>
            <w:tcBorders>
              <w:top w:val="nil"/>
              <w:left w:val="single" w:sz="4" w:space="0" w:color="7F7F7F" w:themeColor="background2"/>
              <w:bottom w:val="nil"/>
            </w:tcBorders>
            <w:vAlign w:val="center"/>
          </w:tcPr>
          <w:p w:rsidR="002B33FD" w:rsidRPr="00C66550" w:rsidRDefault="002B33FD">
            <w:pPr>
              <w:jc w:val="right"/>
              <w:cnfStyle w:val="000000000000"/>
              <w:rPr>
                <w:color w:val="000000"/>
                <w:szCs w:val="20"/>
              </w:rPr>
            </w:pPr>
            <w:r w:rsidRPr="00C66550">
              <w:rPr>
                <w:color w:val="000000"/>
                <w:szCs w:val="20"/>
              </w:rPr>
              <w:t>342</w:t>
            </w:r>
          </w:p>
        </w:tc>
        <w:tc>
          <w:tcPr>
            <w:tcW w:w="0" w:type="auto"/>
            <w:tcBorders>
              <w:top w:val="nil"/>
              <w:bottom w:val="nil"/>
              <w:right w:val="single" w:sz="4" w:space="0" w:color="7F7F7F" w:themeColor="background2"/>
            </w:tcBorders>
            <w:vAlign w:val="center"/>
          </w:tcPr>
          <w:p w:rsidR="002B33FD" w:rsidRPr="00C66550" w:rsidRDefault="002B33FD">
            <w:pPr>
              <w:jc w:val="right"/>
              <w:cnfStyle w:val="000000000000"/>
              <w:rPr>
                <w:color w:val="000000"/>
                <w:szCs w:val="20"/>
              </w:rPr>
            </w:pPr>
            <w:r w:rsidRPr="00C66550">
              <w:rPr>
                <w:color w:val="000000"/>
                <w:szCs w:val="20"/>
              </w:rPr>
              <w:t>307</w:t>
            </w:r>
          </w:p>
        </w:tc>
        <w:tc>
          <w:tcPr>
            <w:tcW w:w="0" w:type="auto"/>
            <w:tcBorders>
              <w:top w:val="nil"/>
              <w:left w:val="single" w:sz="4" w:space="0" w:color="7F7F7F" w:themeColor="background2"/>
              <w:bottom w:val="single" w:sz="4" w:space="0" w:color="7F7F7F" w:themeColor="background2"/>
            </w:tcBorders>
            <w:vAlign w:val="center"/>
          </w:tcPr>
          <w:p w:rsidR="002B33FD" w:rsidRPr="00C66550" w:rsidRDefault="002B33FD">
            <w:pPr>
              <w:jc w:val="right"/>
              <w:cnfStyle w:val="000000000000"/>
              <w:rPr>
                <w:color w:val="000000"/>
                <w:szCs w:val="20"/>
              </w:rPr>
            </w:pPr>
            <w:r w:rsidRPr="00C66550">
              <w:rPr>
                <w:color w:val="000000"/>
                <w:szCs w:val="20"/>
              </w:rPr>
              <w:t>280</w:t>
            </w:r>
          </w:p>
        </w:tc>
        <w:tc>
          <w:tcPr>
            <w:tcW w:w="0" w:type="auto"/>
            <w:tcBorders>
              <w:top w:val="nil"/>
              <w:bottom w:val="single" w:sz="4" w:space="0" w:color="7F7F7F" w:themeColor="background2"/>
              <w:right w:val="single" w:sz="4" w:space="0" w:color="7F7F7F" w:themeColor="background2"/>
            </w:tcBorders>
            <w:vAlign w:val="center"/>
          </w:tcPr>
          <w:p w:rsidR="002B33FD" w:rsidRPr="00C66550" w:rsidRDefault="002B33FD">
            <w:pPr>
              <w:jc w:val="right"/>
              <w:cnfStyle w:val="000000000000"/>
              <w:rPr>
                <w:color w:val="000000"/>
                <w:szCs w:val="20"/>
              </w:rPr>
            </w:pPr>
            <w:r w:rsidRPr="00C66550">
              <w:rPr>
                <w:color w:val="000000"/>
                <w:szCs w:val="20"/>
              </w:rPr>
              <w:t>326</w:t>
            </w:r>
          </w:p>
        </w:tc>
        <w:tc>
          <w:tcPr>
            <w:tcW w:w="0" w:type="auto"/>
            <w:tcBorders>
              <w:top w:val="nil"/>
              <w:left w:val="single" w:sz="4" w:space="0" w:color="7F7F7F" w:themeColor="background2"/>
              <w:bottom w:val="nil"/>
            </w:tcBorders>
            <w:vAlign w:val="center"/>
          </w:tcPr>
          <w:p w:rsidR="002B33FD" w:rsidRPr="00C66550" w:rsidRDefault="002B33FD">
            <w:pPr>
              <w:jc w:val="right"/>
              <w:cnfStyle w:val="000000000000"/>
              <w:rPr>
                <w:color w:val="000000"/>
                <w:szCs w:val="20"/>
              </w:rPr>
            </w:pPr>
            <w:r w:rsidRPr="00C66550">
              <w:rPr>
                <w:color w:val="000000"/>
                <w:szCs w:val="20"/>
              </w:rPr>
              <w:t>622</w:t>
            </w:r>
          </w:p>
        </w:tc>
        <w:tc>
          <w:tcPr>
            <w:tcW w:w="0" w:type="auto"/>
            <w:tcBorders>
              <w:top w:val="nil"/>
              <w:bottom w:val="nil"/>
              <w:right w:val="single" w:sz="4" w:space="0" w:color="7F7F7F" w:themeColor="background2"/>
            </w:tcBorders>
            <w:vAlign w:val="center"/>
          </w:tcPr>
          <w:p w:rsidR="002B33FD" w:rsidRPr="00C66550" w:rsidRDefault="002B33FD">
            <w:pPr>
              <w:jc w:val="right"/>
              <w:cnfStyle w:val="000000000000"/>
              <w:rPr>
                <w:color w:val="000000"/>
                <w:szCs w:val="20"/>
              </w:rPr>
            </w:pPr>
            <w:r w:rsidRPr="00C66550">
              <w:rPr>
                <w:color w:val="000000"/>
                <w:szCs w:val="20"/>
              </w:rPr>
              <w:t>632</w:t>
            </w:r>
          </w:p>
        </w:tc>
        <w:tc>
          <w:tcPr>
            <w:tcW w:w="0" w:type="auto"/>
            <w:tcBorders>
              <w:top w:val="nil"/>
              <w:left w:val="single" w:sz="4" w:space="0" w:color="7F7F7F" w:themeColor="background2"/>
              <w:bottom w:val="single" w:sz="4" w:space="0" w:color="7F7F7F" w:themeColor="background2"/>
            </w:tcBorders>
            <w:vAlign w:val="center"/>
          </w:tcPr>
          <w:p w:rsidR="002B33FD" w:rsidRPr="00C66550" w:rsidRDefault="002B33FD">
            <w:pPr>
              <w:jc w:val="right"/>
              <w:cnfStyle w:val="000000000000"/>
              <w:rPr>
                <w:color w:val="000000"/>
                <w:szCs w:val="20"/>
              </w:rPr>
            </w:pPr>
            <w:r w:rsidRPr="00C66550">
              <w:rPr>
                <w:color w:val="000000"/>
                <w:szCs w:val="20"/>
              </w:rPr>
              <w:t>45%</w:t>
            </w:r>
          </w:p>
        </w:tc>
        <w:tc>
          <w:tcPr>
            <w:tcW w:w="0" w:type="auto"/>
            <w:tcBorders>
              <w:top w:val="nil"/>
              <w:bottom w:val="single" w:sz="4" w:space="0" w:color="7F7F7F" w:themeColor="background2"/>
            </w:tcBorders>
            <w:vAlign w:val="center"/>
          </w:tcPr>
          <w:p w:rsidR="002B33FD" w:rsidRPr="00C66550" w:rsidRDefault="002B33FD">
            <w:pPr>
              <w:jc w:val="right"/>
              <w:cnfStyle w:val="000000000000"/>
              <w:rPr>
                <w:color w:val="000000"/>
                <w:szCs w:val="20"/>
              </w:rPr>
            </w:pPr>
            <w:r w:rsidRPr="00C66550">
              <w:rPr>
                <w:color w:val="000000"/>
                <w:szCs w:val="20"/>
              </w:rPr>
              <w:t>51%</w:t>
            </w:r>
          </w:p>
        </w:tc>
      </w:tr>
      <w:tr w:rsidR="006D030C" w:rsidRPr="00C66550" w:rsidTr="0014187C">
        <w:tc>
          <w:tcPr>
            <w:cnfStyle w:val="001000000000"/>
            <w:tcW w:w="9070" w:type="dxa"/>
            <w:gridSpan w:val="9"/>
            <w:tcBorders>
              <w:top w:val="single" w:sz="4" w:space="0" w:color="7F7F7F" w:themeColor="background2"/>
            </w:tcBorders>
            <w:vAlign w:val="bottom"/>
          </w:tcPr>
          <w:p w:rsidR="006D030C" w:rsidRPr="00C66550" w:rsidRDefault="006D030C" w:rsidP="006D030C">
            <w:pPr>
              <w:rPr>
                <w:rFonts w:asciiTheme="minorHAnsi" w:hAnsiTheme="minorHAnsi"/>
                <w:color w:val="0C0C0C" w:themeColor="text1"/>
                <w:szCs w:val="20"/>
              </w:rPr>
            </w:pPr>
            <w:r w:rsidRPr="00C66550">
              <w:rPr>
                <w:rFonts w:asciiTheme="minorHAnsi" w:hAnsiTheme="minorHAnsi"/>
                <w:color w:val="0C0C0C" w:themeColor="text1"/>
                <w:szCs w:val="20"/>
              </w:rPr>
              <w:t xml:space="preserve">NOTES: </w:t>
            </w:r>
          </w:p>
          <w:p w:rsidR="006D030C" w:rsidRPr="002243AB" w:rsidRDefault="006D030C" w:rsidP="00944615">
            <w:pPr>
              <w:pStyle w:val="ListBullet"/>
              <w:numPr>
                <w:ilvl w:val="0"/>
                <w:numId w:val="12"/>
              </w:numPr>
              <w:ind w:left="284" w:hanging="284"/>
              <w:rPr>
                <w:szCs w:val="20"/>
                <w:lang w:eastAsia="en-GB"/>
              </w:rPr>
            </w:pPr>
            <w:r w:rsidRPr="002243AB">
              <w:rPr>
                <w:szCs w:val="20"/>
                <w:lang w:eastAsia="en-GB"/>
              </w:rPr>
              <w:t>Figures in columns headed ‘2006</w:t>
            </w:r>
            <w:r w:rsidR="00903E27" w:rsidRPr="002243AB">
              <w:rPr>
                <w:szCs w:val="20"/>
                <w:lang w:eastAsia="en-GB"/>
              </w:rPr>
              <w:t>/</w:t>
            </w:r>
            <w:r w:rsidRPr="002243AB">
              <w:rPr>
                <w:szCs w:val="20"/>
                <w:lang w:eastAsia="en-GB"/>
              </w:rPr>
              <w:t xml:space="preserve">07’ for all nations other than Australia and NZ have been taken from the </w:t>
            </w:r>
            <w:r w:rsidR="004B1E3C" w:rsidRPr="002243AB">
              <w:rPr>
                <w:i/>
                <w:color w:val="080808"/>
                <w:szCs w:val="20"/>
              </w:rPr>
              <w:t>Waste and Recycling in Australia</w:t>
            </w:r>
            <w:r w:rsidRPr="002243AB">
              <w:rPr>
                <w:i/>
                <w:szCs w:val="20"/>
                <w:lang w:eastAsia="en-GB"/>
              </w:rPr>
              <w:t xml:space="preserve"> 2009</w:t>
            </w:r>
            <w:r w:rsidRPr="002243AB">
              <w:rPr>
                <w:szCs w:val="20"/>
                <w:lang w:eastAsia="en-GB"/>
              </w:rPr>
              <w:t xml:space="preserve"> report.</w:t>
            </w:r>
            <w:r w:rsidR="00FF12A8" w:rsidRPr="002243AB">
              <w:rPr>
                <w:szCs w:val="20"/>
                <w:lang w:eastAsia="en-GB"/>
              </w:rPr>
              <w:t xml:space="preserve"> </w:t>
            </w:r>
            <w:r w:rsidRPr="002243AB">
              <w:rPr>
                <w:szCs w:val="20"/>
                <w:lang w:eastAsia="en-GB"/>
              </w:rPr>
              <w:t>These data are based on reports from the period 2004</w:t>
            </w:r>
            <w:r w:rsidR="00903E27" w:rsidRPr="002243AB">
              <w:rPr>
                <w:szCs w:val="20"/>
                <w:lang w:eastAsia="en-GB"/>
              </w:rPr>
              <w:t>–</w:t>
            </w:r>
            <w:r w:rsidRPr="002243AB">
              <w:rPr>
                <w:szCs w:val="20"/>
                <w:lang w:eastAsia="en-GB"/>
              </w:rPr>
              <w:t>2008.</w:t>
            </w:r>
          </w:p>
          <w:p w:rsidR="006D030C" w:rsidRPr="002243AB" w:rsidRDefault="006D030C" w:rsidP="00944615">
            <w:pPr>
              <w:pStyle w:val="ListBullet"/>
              <w:numPr>
                <w:ilvl w:val="0"/>
                <w:numId w:val="12"/>
              </w:numPr>
              <w:ind w:left="284" w:hanging="284"/>
              <w:rPr>
                <w:szCs w:val="20"/>
                <w:lang w:eastAsia="en-GB"/>
              </w:rPr>
            </w:pPr>
            <w:r w:rsidRPr="002243AB">
              <w:rPr>
                <w:szCs w:val="20"/>
                <w:lang w:eastAsia="en-GB"/>
              </w:rPr>
              <w:t xml:space="preserve">All Australian data are extracted from the </w:t>
            </w:r>
            <w:r w:rsidR="005E5CEF" w:rsidRPr="002243AB">
              <w:rPr>
                <w:i/>
                <w:szCs w:val="20"/>
                <w:lang w:eastAsia="en-GB"/>
              </w:rPr>
              <w:t>Waste Generation and Resource Recovery in Australia</w:t>
            </w:r>
            <w:r w:rsidRPr="002243AB">
              <w:rPr>
                <w:szCs w:val="20"/>
                <w:lang w:eastAsia="en-GB"/>
              </w:rPr>
              <w:t xml:space="preserve"> workbook for the years 2006/07 and 2010/11 respectively.</w:t>
            </w:r>
          </w:p>
          <w:p w:rsidR="0057290A" w:rsidRPr="002243AB" w:rsidRDefault="006D030C" w:rsidP="00944615">
            <w:pPr>
              <w:pStyle w:val="ListBullet"/>
              <w:numPr>
                <w:ilvl w:val="0"/>
                <w:numId w:val="12"/>
              </w:numPr>
              <w:spacing w:after="120"/>
              <w:ind w:left="284" w:hanging="284"/>
              <w:rPr>
                <w:rFonts w:asciiTheme="minorHAnsi" w:hAnsiTheme="minorHAnsi"/>
                <w:color w:val="0C0C0C" w:themeColor="text1"/>
                <w:szCs w:val="20"/>
              </w:rPr>
            </w:pPr>
            <w:r w:rsidRPr="002243AB">
              <w:rPr>
                <w:szCs w:val="20"/>
                <w:lang w:eastAsia="en-GB"/>
              </w:rPr>
              <w:t>Data</w:t>
            </w:r>
            <w:r w:rsidRPr="002243AB">
              <w:rPr>
                <w:rFonts w:asciiTheme="minorHAnsi" w:hAnsiTheme="minorHAnsi"/>
                <w:color w:val="0C0C0C" w:themeColor="text1"/>
                <w:szCs w:val="20"/>
              </w:rPr>
              <w:t xml:space="preserve"> for other nations in the ‘2010</w:t>
            </w:r>
            <w:r w:rsidR="00903E27" w:rsidRPr="002243AB">
              <w:rPr>
                <w:rFonts w:asciiTheme="minorHAnsi" w:hAnsiTheme="minorHAnsi"/>
                <w:color w:val="0C0C0C" w:themeColor="text1"/>
                <w:szCs w:val="20"/>
              </w:rPr>
              <w:t>/</w:t>
            </w:r>
            <w:r w:rsidRPr="002243AB">
              <w:rPr>
                <w:rFonts w:asciiTheme="minorHAnsi" w:hAnsiTheme="minorHAnsi"/>
                <w:color w:val="0C0C0C" w:themeColor="text1"/>
                <w:szCs w:val="20"/>
              </w:rPr>
              <w:t>11’ columns is derived from OECD Stat</w:t>
            </w:r>
            <w:r w:rsidR="00903E27" w:rsidRPr="002243AB">
              <w:rPr>
                <w:rFonts w:asciiTheme="minorHAnsi" w:hAnsiTheme="minorHAnsi"/>
                <w:color w:val="0C0C0C" w:themeColor="text1"/>
                <w:szCs w:val="20"/>
              </w:rPr>
              <w:t>istic</w:t>
            </w:r>
            <w:r w:rsidRPr="002243AB">
              <w:rPr>
                <w:rFonts w:asciiTheme="minorHAnsi" w:hAnsiTheme="minorHAnsi"/>
                <w:color w:val="0C0C0C" w:themeColor="text1"/>
                <w:szCs w:val="20"/>
              </w:rPr>
              <w:t xml:space="preserve">s Extracts via </w:t>
            </w:r>
            <w:hyperlink r:id="rId54" w:history="1">
              <w:r w:rsidR="009F558B" w:rsidRPr="002243AB">
                <w:rPr>
                  <w:rStyle w:val="Hyperlink"/>
                  <w:rFonts w:asciiTheme="minorHAnsi" w:hAnsiTheme="minorHAnsi"/>
                  <w:szCs w:val="20"/>
                </w:rPr>
                <w:t>http://stats.oecd.org/index.aspx?r=571968</w:t>
              </w:r>
            </w:hyperlink>
          </w:p>
          <w:p w:rsidR="009F558B" w:rsidRPr="00C66550" w:rsidRDefault="009F558B" w:rsidP="00944615">
            <w:pPr>
              <w:pStyle w:val="ListBullet"/>
              <w:numPr>
                <w:ilvl w:val="0"/>
                <w:numId w:val="12"/>
              </w:numPr>
              <w:spacing w:after="120"/>
              <w:ind w:left="284" w:hanging="284"/>
              <w:rPr>
                <w:rFonts w:asciiTheme="minorHAnsi" w:hAnsiTheme="minorHAnsi"/>
                <w:color w:val="0C0C0C" w:themeColor="text1"/>
                <w:sz w:val="36"/>
                <w:szCs w:val="20"/>
              </w:rPr>
            </w:pPr>
            <w:r w:rsidRPr="002243AB">
              <w:rPr>
                <w:rFonts w:asciiTheme="minorHAnsi" w:hAnsiTheme="minorHAnsi"/>
                <w:color w:val="0C0C0C" w:themeColor="text1"/>
                <w:szCs w:val="20"/>
              </w:rPr>
              <w:t>Australian Resource Recovery figures include recycling, organics recovery, and energy recovery including recovery of bio-gas energy from landfills.</w:t>
            </w:r>
          </w:p>
        </w:tc>
      </w:tr>
    </w:tbl>
    <w:p w:rsidR="00E532F8" w:rsidRPr="00C66550" w:rsidRDefault="00E532F8" w:rsidP="006D25F9">
      <w:pPr>
        <w:pStyle w:val="Heading3"/>
      </w:pPr>
      <w:r w:rsidRPr="00C66550">
        <w:t>Methods of MSW disposal</w:t>
      </w:r>
    </w:p>
    <w:p w:rsidR="00E532F8" w:rsidRPr="00C66550" w:rsidRDefault="00E532F8" w:rsidP="0012047B">
      <w:pPr>
        <w:pStyle w:val="BodyText"/>
      </w:pPr>
      <w:r w:rsidRPr="00C66550">
        <w:t>Methods of disposal vary from nation to nation, and this can affect recycling recovery rates.</w:t>
      </w:r>
      <w:r w:rsidR="00FF12A8" w:rsidRPr="00C66550">
        <w:t xml:space="preserve"> </w:t>
      </w:r>
      <w:fldSimple w:instr=" REF _Ref348939207 \h  \* MERGEFORMAT ">
        <w:r w:rsidR="00D96003" w:rsidRPr="00D96003">
          <w:rPr>
            <w:rFonts w:cs="Calibri"/>
            <w:color w:val="auto"/>
            <w:szCs w:val="20"/>
          </w:rPr>
          <w:t>Table 7</w:t>
        </w:r>
      </w:fldSimple>
      <w:r w:rsidRPr="00C66550">
        <w:rPr>
          <w:color w:val="auto"/>
        </w:rPr>
        <w:t xml:space="preserve"> </w:t>
      </w:r>
      <w:r w:rsidRPr="00C66550">
        <w:t xml:space="preserve">shows some different </w:t>
      </w:r>
      <w:r w:rsidR="00C2323D" w:rsidRPr="00C66550">
        <w:t xml:space="preserve">MSW </w:t>
      </w:r>
      <w:r w:rsidRPr="00C66550">
        <w:t xml:space="preserve">management in selected nations. Australian recovery figures </w:t>
      </w:r>
      <w:r w:rsidR="0014187C" w:rsidRPr="00C66550">
        <w:t xml:space="preserve">are shown </w:t>
      </w:r>
      <w:r w:rsidRPr="00C66550">
        <w:t xml:space="preserve">with and without recovery of landfill biogas energy because other nations do not </w:t>
      </w:r>
      <w:r w:rsidR="0014187C" w:rsidRPr="00C66550">
        <w:t>include this component</w:t>
      </w:r>
      <w:r w:rsidRPr="00C66550">
        <w:t xml:space="preserve">. </w:t>
      </w:r>
    </w:p>
    <w:p w:rsidR="00E532F8" w:rsidRPr="00C66550" w:rsidRDefault="00E532F8" w:rsidP="0012047B">
      <w:pPr>
        <w:pStyle w:val="BodyText"/>
      </w:pPr>
    </w:p>
    <w:p w:rsidR="00E532F8" w:rsidRPr="00C66550" w:rsidRDefault="00E532F8" w:rsidP="00FB4820">
      <w:pPr>
        <w:pStyle w:val="Figures"/>
      </w:pPr>
      <w:bookmarkStart w:id="85" w:name="_Ref348939207"/>
      <w:bookmarkStart w:id="86" w:name="_Toc365038851"/>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7</w:t>
      </w:r>
      <w:r w:rsidR="0062001A" w:rsidRPr="00C66550">
        <w:fldChar w:fldCharType="end"/>
      </w:r>
      <w:bookmarkEnd w:id="85"/>
      <w:r w:rsidRPr="00C66550">
        <w:t xml:space="preserve">: </w:t>
      </w:r>
      <w:r w:rsidRPr="00C66550">
        <w:tab/>
      </w:r>
      <w:r w:rsidR="005E17AE">
        <w:t>Comparison of</w:t>
      </w:r>
      <w:r w:rsidRPr="00C66550">
        <w:t xml:space="preserve"> </w:t>
      </w:r>
      <w:r w:rsidR="00C2323D" w:rsidRPr="00C66550">
        <w:t>MSW</w:t>
      </w:r>
      <w:r w:rsidRPr="00C66550">
        <w:t xml:space="preserve"> management</w:t>
      </w:r>
      <w:r w:rsidR="005E17AE">
        <w:t xml:space="preserve"> methods</w:t>
      </w:r>
      <w:r w:rsidRPr="00C66550">
        <w:t xml:space="preserve"> in selected OECD nations</w:t>
      </w:r>
      <w:bookmarkEnd w:id="86"/>
    </w:p>
    <w:tbl>
      <w:tblPr>
        <w:tblStyle w:val="BETable15"/>
        <w:tblW w:w="4746" w:type="pct"/>
        <w:tblInd w:w="0" w:type="dxa"/>
        <w:tblLayout w:type="fixed"/>
        <w:tblLook w:val="04A0"/>
      </w:tblPr>
      <w:tblGrid>
        <w:gridCol w:w="1615"/>
        <w:gridCol w:w="1845"/>
        <w:gridCol w:w="992"/>
        <w:gridCol w:w="1134"/>
        <w:gridCol w:w="1134"/>
        <w:gridCol w:w="1429"/>
        <w:gridCol w:w="840"/>
      </w:tblGrid>
      <w:tr w:rsidR="00E532F8" w:rsidRPr="00C66550" w:rsidTr="00511668">
        <w:trPr>
          <w:cnfStyle w:val="100000000000"/>
          <w:trHeight w:val="400"/>
        </w:trPr>
        <w:tc>
          <w:tcPr>
            <w:cnfStyle w:val="001000000000"/>
            <w:tcW w:w="898" w:type="pct"/>
            <w:vMerge w:val="restart"/>
          </w:tcPr>
          <w:p w:rsidR="00E532F8" w:rsidRPr="00C66550" w:rsidRDefault="00E532F8" w:rsidP="008947FF">
            <w:pPr>
              <w:spacing w:line="240" w:lineRule="auto"/>
              <w:jc w:val="center"/>
              <w:rPr>
                <w:rFonts w:asciiTheme="minorHAnsi" w:hAnsiTheme="minorHAnsi" w:cs="Times New Roman"/>
                <w:color w:val="auto"/>
                <w:szCs w:val="20"/>
              </w:rPr>
            </w:pPr>
            <w:r w:rsidRPr="00C66550">
              <w:rPr>
                <w:rFonts w:asciiTheme="minorHAnsi" w:hAnsiTheme="minorHAnsi" w:cs="Times New Roman"/>
                <w:color w:val="auto"/>
                <w:szCs w:val="20"/>
              </w:rPr>
              <w:t>Country</w:t>
            </w:r>
          </w:p>
        </w:tc>
        <w:tc>
          <w:tcPr>
            <w:tcW w:w="4102" w:type="pct"/>
            <w:gridSpan w:val="6"/>
            <w:tcBorders>
              <w:bottom w:val="nil"/>
            </w:tcBorders>
          </w:tcPr>
          <w:p w:rsidR="00E532F8" w:rsidRPr="00C66550" w:rsidRDefault="00E532F8" w:rsidP="008947FF">
            <w:pPr>
              <w:spacing w:line="240" w:lineRule="auto"/>
              <w:jc w:val="center"/>
              <w:cnfStyle w:val="100000000000"/>
              <w:rPr>
                <w:rFonts w:asciiTheme="minorHAnsi" w:hAnsiTheme="minorHAnsi" w:cs="Times New Roman"/>
                <w:color w:val="auto"/>
                <w:szCs w:val="20"/>
              </w:rPr>
            </w:pPr>
            <w:r w:rsidRPr="00C66550">
              <w:rPr>
                <w:rFonts w:asciiTheme="minorHAnsi" w:hAnsiTheme="minorHAnsi" w:cs="Times New Roman"/>
                <w:color w:val="auto"/>
                <w:szCs w:val="20"/>
              </w:rPr>
              <w:t xml:space="preserve">Method of disposal of municipal waste </w:t>
            </w:r>
          </w:p>
        </w:tc>
      </w:tr>
      <w:tr w:rsidR="00511668" w:rsidRPr="00C66550" w:rsidTr="00C12193">
        <w:tc>
          <w:tcPr>
            <w:cnfStyle w:val="001000000000"/>
            <w:tcW w:w="898" w:type="pct"/>
            <w:vMerge/>
            <w:tcBorders>
              <w:right w:val="single" w:sz="4" w:space="0" w:color="7F7F7F" w:themeColor="background2"/>
            </w:tcBorders>
          </w:tcPr>
          <w:p w:rsidR="00511668" w:rsidRPr="00C66550" w:rsidRDefault="00511668" w:rsidP="008947FF">
            <w:pPr>
              <w:spacing w:line="240" w:lineRule="atLeast"/>
              <w:rPr>
                <w:rFonts w:asciiTheme="minorHAnsi" w:hAnsiTheme="minorHAnsi" w:cs="Times New Roman"/>
                <w:color w:val="auto"/>
                <w:szCs w:val="20"/>
              </w:rPr>
            </w:pPr>
          </w:p>
        </w:tc>
        <w:tc>
          <w:tcPr>
            <w:tcW w:w="1026" w:type="pct"/>
            <w:tcBorders>
              <w:top w:val="nil"/>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asciiTheme="minorHAnsi" w:hAnsiTheme="minorHAnsi" w:cs="Arial"/>
                <w:szCs w:val="20"/>
              </w:rPr>
            </w:pPr>
            <w:r w:rsidRPr="00C66550">
              <w:rPr>
                <w:rFonts w:asciiTheme="minorHAnsi" w:hAnsiTheme="minorHAnsi" w:cs="Arial"/>
                <w:szCs w:val="20"/>
              </w:rPr>
              <w:t>Direct landfill disposal</w:t>
            </w:r>
          </w:p>
        </w:tc>
        <w:tc>
          <w:tcPr>
            <w:tcW w:w="552" w:type="pct"/>
            <w:tcBorders>
              <w:top w:val="nil"/>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Arial"/>
                <w:szCs w:val="20"/>
              </w:rPr>
              <w:t>Recycled</w:t>
            </w:r>
          </w:p>
        </w:tc>
        <w:tc>
          <w:tcPr>
            <w:tcW w:w="631" w:type="pct"/>
            <w:tcBorders>
              <w:top w:val="nil"/>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Arial"/>
                <w:szCs w:val="20"/>
              </w:rPr>
              <w:t>Composted</w:t>
            </w:r>
          </w:p>
        </w:tc>
        <w:tc>
          <w:tcPr>
            <w:tcW w:w="631" w:type="pct"/>
            <w:tcBorders>
              <w:top w:val="nil"/>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511668">
            <w:pPr>
              <w:jc w:val="center"/>
              <w:cnfStyle w:val="000000000000"/>
              <w:rPr>
                <w:rFonts w:cs="Arial"/>
                <w:szCs w:val="20"/>
              </w:rPr>
            </w:pPr>
            <w:r>
              <w:rPr>
                <w:rFonts w:cs="Arial"/>
                <w:szCs w:val="20"/>
              </w:rPr>
              <w:t>E</w:t>
            </w:r>
            <w:r w:rsidRPr="00C66550">
              <w:rPr>
                <w:rFonts w:cs="Arial"/>
                <w:szCs w:val="20"/>
              </w:rPr>
              <w:t>nergy recovery</w:t>
            </w:r>
          </w:p>
        </w:tc>
        <w:tc>
          <w:tcPr>
            <w:tcW w:w="795" w:type="pct"/>
            <w:tcBorders>
              <w:top w:val="nil"/>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Arial"/>
                <w:szCs w:val="20"/>
              </w:rPr>
              <w:t>Incineration with</w:t>
            </w:r>
            <w:r>
              <w:rPr>
                <w:rFonts w:cs="Arial"/>
                <w:szCs w:val="20"/>
              </w:rPr>
              <w:t>out</w:t>
            </w:r>
            <w:r w:rsidRPr="00C66550">
              <w:rPr>
                <w:rFonts w:cs="Arial"/>
                <w:szCs w:val="20"/>
              </w:rPr>
              <w:t xml:space="preserve"> energy recovery</w:t>
            </w:r>
          </w:p>
        </w:tc>
        <w:tc>
          <w:tcPr>
            <w:tcW w:w="467" w:type="pct"/>
            <w:tcBorders>
              <w:top w:val="nil"/>
              <w:left w:val="single" w:sz="4" w:space="0" w:color="7F7F7F" w:themeColor="background2"/>
              <w:bottom w:val="single" w:sz="4" w:space="0" w:color="7F7F7F" w:themeColor="background2"/>
            </w:tcBorders>
          </w:tcPr>
          <w:p w:rsidR="00511668" w:rsidRPr="00C66550" w:rsidRDefault="00511668" w:rsidP="008947FF">
            <w:pPr>
              <w:jc w:val="center"/>
              <w:cnfStyle w:val="000000000000"/>
              <w:rPr>
                <w:rFonts w:cs="Arial"/>
                <w:szCs w:val="20"/>
              </w:rPr>
            </w:pPr>
            <w:r w:rsidRPr="00C66550">
              <w:rPr>
                <w:rFonts w:cs="Arial"/>
                <w:szCs w:val="20"/>
              </w:rPr>
              <w:t>Other disposal</w:t>
            </w:r>
          </w:p>
        </w:tc>
      </w:tr>
      <w:tr w:rsidR="00E532F8" w:rsidRPr="00C66550" w:rsidTr="00C12193">
        <w:tc>
          <w:tcPr>
            <w:cnfStyle w:val="001000000000"/>
            <w:tcW w:w="898" w:type="pct"/>
            <w:tcBorders>
              <w:right w:val="single" w:sz="4" w:space="0" w:color="7F7F7F" w:themeColor="background2"/>
            </w:tcBorders>
          </w:tcPr>
          <w:p w:rsidR="00E532F8" w:rsidRPr="00C66550" w:rsidRDefault="00E532F8" w:rsidP="008947FF">
            <w:pPr>
              <w:spacing w:line="240" w:lineRule="atLeast"/>
              <w:rPr>
                <w:rFonts w:asciiTheme="minorHAnsi" w:hAnsiTheme="minorHAnsi" w:cs="Times New Roman"/>
                <w:color w:val="auto"/>
                <w:szCs w:val="20"/>
                <w:vertAlign w:val="superscript"/>
              </w:rPr>
            </w:pPr>
            <w:r w:rsidRPr="00C66550">
              <w:rPr>
                <w:rFonts w:asciiTheme="minorHAnsi" w:hAnsiTheme="minorHAnsi" w:cs="Times New Roman"/>
                <w:color w:val="auto"/>
                <w:szCs w:val="20"/>
              </w:rPr>
              <w:t>Canada</w:t>
            </w:r>
          </w:p>
        </w:tc>
        <w:tc>
          <w:tcPr>
            <w:tcW w:w="1026" w:type="pct"/>
            <w:tcBorders>
              <w:left w:val="single" w:sz="4" w:space="0" w:color="7F7F7F" w:themeColor="background2"/>
              <w:bottom w:val="single" w:sz="4" w:space="0" w:color="7F7F7F" w:themeColor="background2"/>
              <w:right w:val="single" w:sz="4" w:space="0" w:color="7F7F7F" w:themeColor="background2"/>
            </w:tcBorders>
          </w:tcPr>
          <w:p w:rsidR="00E532F8" w:rsidRPr="00C66550" w:rsidRDefault="00E532F8" w:rsidP="008947FF">
            <w:pPr>
              <w:jc w:val="center"/>
              <w:cnfStyle w:val="000000000000"/>
              <w:rPr>
                <w:rFonts w:asciiTheme="minorHAnsi" w:hAnsiTheme="minorHAnsi" w:cs="Arial"/>
                <w:szCs w:val="20"/>
              </w:rPr>
            </w:pPr>
            <w:r w:rsidRPr="00C66550">
              <w:rPr>
                <w:rFonts w:asciiTheme="minorHAnsi" w:hAnsiTheme="minorHAnsi" w:cs="Arial"/>
                <w:szCs w:val="20"/>
              </w:rPr>
              <w:t>66%</w:t>
            </w:r>
          </w:p>
        </w:tc>
        <w:tc>
          <w:tcPr>
            <w:tcW w:w="2609" w:type="pct"/>
            <w:gridSpan w:val="4"/>
            <w:tcBorders>
              <w:left w:val="single" w:sz="4" w:space="0" w:color="7F7F7F" w:themeColor="background2"/>
              <w:bottom w:val="single" w:sz="4" w:space="0" w:color="7F7F7F" w:themeColor="background2"/>
              <w:right w:val="single" w:sz="4" w:space="0" w:color="7F7F7F" w:themeColor="background2"/>
            </w:tcBorders>
          </w:tcPr>
          <w:p w:rsidR="00E532F8" w:rsidRPr="00C66550" w:rsidRDefault="00E5424C" w:rsidP="008947FF">
            <w:pPr>
              <w:jc w:val="center"/>
              <w:cnfStyle w:val="000000000000"/>
              <w:rPr>
                <w:rFonts w:cs="Arial"/>
                <w:szCs w:val="20"/>
              </w:rPr>
            </w:pPr>
            <w:r w:rsidRPr="00C66550">
              <w:rPr>
                <w:rFonts w:cs="Arial"/>
                <w:szCs w:val="20"/>
              </w:rPr>
              <w:t xml:space="preserve">      </w:t>
            </w:r>
            <w:r w:rsidR="00E532F8" w:rsidRPr="00C66550">
              <w:rPr>
                <w:rFonts w:cs="Arial"/>
                <w:szCs w:val="20"/>
              </w:rPr>
              <w:t>34%</w:t>
            </w:r>
          </w:p>
        </w:tc>
        <w:tc>
          <w:tcPr>
            <w:tcW w:w="467" w:type="pct"/>
            <w:tcBorders>
              <w:left w:val="single" w:sz="4" w:space="0" w:color="7F7F7F" w:themeColor="background2"/>
              <w:bottom w:val="single" w:sz="4" w:space="0" w:color="7F7F7F" w:themeColor="background2"/>
            </w:tcBorders>
          </w:tcPr>
          <w:p w:rsidR="00E532F8" w:rsidRPr="00C66550" w:rsidRDefault="00E532F8" w:rsidP="008947FF">
            <w:pPr>
              <w:jc w:val="center"/>
              <w:cnfStyle w:val="000000000000"/>
              <w:rPr>
                <w:rFonts w:cs="Arial"/>
                <w:szCs w:val="20"/>
              </w:rPr>
            </w:pPr>
          </w:p>
        </w:tc>
      </w:tr>
      <w:tr w:rsidR="00511668" w:rsidRPr="00C66550" w:rsidTr="007E0CE2">
        <w:tc>
          <w:tcPr>
            <w:cnfStyle w:val="001000000000"/>
            <w:tcW w:w="898" w:type="pct"/>
            <w:tcBorders>
              <w:right w:val="single" w:sz="4" w:space="0" w:color="7F7F7F" w:themeColor="background2"/>
            </w:tcBorders>
          </w:tcPr>
          <w:p w:rsidR="00511668" w:rsidRPr="00C66550" w:rsidRDefault="00511668" w:rsidP="008947FF">
            <w:pPr>
              <w:spacing w:line="240" w:lineRule="atLeast"/>
              <w:rPr>
                <w:rFonts w:asciiTheme="minorHAnsi" w:hAnsiTheme="minorHAnsi" w:cs="Times New Roman"/>
                <w:color w:val="auto"/>
                <w:szCs w:val="20"/>
              </w:rPr>
            </w:pPr>
            <w:r w:rsidRPr="00C66550">
              <w:rPr>
                <w:rFonts w:asciiTheme="minorHAnsi" w:hAnsiTheme="minorHAnsi" w:cs="Times New Roman"/>
                <w:color w:val="auto"/>
                <w:szCs w:val="20"/>
              </w:rPr>
              <w:t>United States</w:t>
            </w:r>
          </w:p>
        </w:tc>
        <w:tc>
          <w:tcPr>
            <w:tcW w:w="1026"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asciiTheme="minorHAnsi" w:hAnsiTheme="minorHAnsi" w:cs="Arial"/>
                <w:szCs w:val="20"/>
              </w:rPr>
            </w:pPr>
            <w:r w:rsidRPr="00C66550">
              <w:rPr>
                <w:rFonts w:asciiTheme="minorHAnsi" w:hAnsiTheme="minorHAnsi" w:cs="Times New Roman"/>
                <w:color w:val="000000"/>
                <w:szCs w:val="20"/>
              </w:rPr>
              <w:t>54%</w:t>
            </w:r>
          </w:p>
        </w:tc>
        <w:tc>
          <w:tcPr>
            <w:tcW w:w="552" w:type="pct"/>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Times New Roman"/>
                <w:color w:val="000000"/>
                <w:szCs w:val="20"/>
              </w:rPr>
              <w:t>25%</w:t>
            </w:r>
          </w:p>
        </w:tc>
        <w:tc>
          <w:tcPr>
            <w:tcW w:w="631" w:type="pct"/>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Times New Roman"/>
                <w:color w:val="000000"/>
                <w:szCs w:val="20"/>
              </w:rPr>
              <w:t>9%</w:t>
            </w:r>
          </w:p>
        </w:tc>
        <w:tc>
          <w:tcPr>
            <w:tcW w:w="631" w:type="pct"/>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642B3C">
            <w:pPr>
              <w:jc w:val="center"/>
              <w:cnfStyle w:val="000000000000"/>
              <w:rPr>
                <w:rFonts w:cs="Arial"/>
                <w:szCs w:val="20"/>
              </w:rPr>
            </w:pPr>
            <w:r w:rsidRPr="00C66550">
              <w:rPr>
                <w:rFonts w:cs="Times New Roman"/>
                <w:color w:val="000000"/>
                <w:szCs w:val="20"/>
              </w:rPr>
              <w:t>12%</w:t>
            </w:r>
          </w:p>
        </w:tc>
        <w:tc>
          <w:tcPr>
            <w:tcW w:w="795" w:type="pct"/>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p>
        </w:tc>
        <w:tc>
          <w:tcPr>
            <w:tcW w:w="467" w:type="pct"/>
            <w:tcBorders>
              <w:left w:val="single" w:sz="4" w:space="0" w:color="7F7F7F" w:themeColor="background2"/>
              <w:bottom w:val="single" w:sz="4" w:space="0" w:color="7F7F7F" w:themeColor="background2"/>
            </w:tcBorders>
          </w:tcPr>
          <w:p w:rsidR="00511668" w:rsidRPr="00C66550" w:rsidRDefault="00511668" w:rsidP="008947FF">
            <w:pPr>
              <w:jc w:val="center"/>
              <w:cnfStyle w:val="000000000000"/>
              <w:rPr>
                <w:rFonts w:cs="Arial"/>
                <w:szCs w:val="20"/>
              </w:rPr>
            </w:pPr>
          </w:p>
        </w:tc>
      </w:tr>
      <w:tr w:rsidR="00511668" w:rsidRPr="00C66550" w:rsidTr="007E0CE2">
        <w:tc>
          <w:tcPr>
            <w:cnfStyle w:val="001000000000"/>
            <w:tcW w:w="898" w:type="pct"/>
            <w:tcBorders>
              <w:right w:val="single" w:sz="4" w:space="0" w:color="7F7F7F" w:themeColor="background2"/>
            </w:tcBorders>
          </w:tcPr>
          <w:p w:rsidR="00511668" w:rsidRPr="00C66550" w:rsidRDefault="00511668" w:rsidP="008947FF">
            <w:pPr>
              <w:spacing w:line="240" w:lineRule="atLeast"/>
              <w:rPr>
                <w:rFonts w:asciiTheme="minorHAnsi" w:hAnsiTheme="minorHAnsi" w:cs="Times New Roman"/>
                <w:color w:val="auto"/>
                <w:szCs w:val="20"/>
              </w:rPr>
            </w:pPr>
            <w:r w:rsidRPr="00C66550">
              <w:rPr>
                <w:rFonts w:asciiTheme="minorHAnsi" w:hAnsiTheme="minorHAnsi" w:cs="Times New Roman"/>
                <w:color w:val="auto"/>
                <w:szCs w:val="20"/>
              </w:rPr>
              <w:t>Germany</w:t>
            </w:r>
          </w:p>
        </w:tc>
        <w:tc>
          <w:tcPr>
            <w:tcW w:w="1026"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asciiTheme="minorHAnsi" w:hAnsiTheme="minorHAnsi" w:cs="Arial"/>
                <w:szCs w:val="20"/>
              </w:rPr>
            </w:pPr>
            <w:r w:rsidRPr="00C66550">
              <w:rPr>
                <w:rFonts w:asciiTheme="minorHAnsi" w:hAnsiTheme="minorHAnsi" w:cs="Arial"/>
                <w:szCs w:val="20"/>
              </w:rPr>
              <w:t>&lt;1%</w:t>
            </w:r>
          </w:p>
        </w:tc>
        <w:tc>
          <w:tcPr>
            <w:tcW w:w="552"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Times New Roman"/>
                <w:color w:val="000000"/>
                <w:szCs w:val="20"/>
              </w:rPr>
              <w:t>46%</w:t>
            </w:r>
          </w:p>
        </w:tc>
        <w:tc>
          <w:tcPr>
            <w:tcW w:w="631"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Times New Roman"/>
                <w:color w:val="000000"/>
                <w:szCs w:val="20"/>
              </w:rPr>
              <w:t>17%</w:t>
            </w:r>
          </w:p>
        </w:tc>
        <w:tc>
          <w:tcPr>
            <w:tcW w:w="631"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642B3C">
            <w:pPr>
              <w:jc w:val="center"/>
              <w:cnfStyle w:val="000000000000"/>
              <w:rPr>
                <w:rFonts w:cs="Arial"/>
                <w:szCs w:val="20"/>
              </w:rPr>
            </w:pPr>
            <w:r w:rsidRPr="00C66550">
              <w:rPr>
                <w:rFonts w:cs="Times New Roman"/>
                <w:color w:val="000000"/>
                <w:szCs w:val="20"/>
              </w:rPr>
              <w:t>14%</w:t>
            </w:r>
          </w:p>
        </w:tc>
        <w:tc>
          <w:tcPr>
            <w:tcW w:w="795"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Pr>
                <w:rFonts w:cs="Arial"/>
                <w:szCs w:val="20"/>
              </w:rPr>
              <w:t>18%</w:t>
            </w:r>
          </w:p>
        </w:tc>
        <w:tc>
          <w:tcPr>
            <w:tcW w:w="467" w:type="pct"/>
            <w:tcBorders>
              <w:left w:val="single" w:sz="4" w:space="0" w:color="7F7F7F" w:themeColor="background2"/>
              <w:bottom w:val="single" w:sz="4" w:space="0" w:color="7F7F7F" w:themeColor="background2"/>
            </w:tcBorders>
          </w:tcPr>
          <w:p w:rsidR="00511668" w:rsidRPr="00C66550" w:rsidRDefault="00511668" w:rsidP="008947FF">
            <w:pPr>
              <w:jc w:val="center"/>
              <w:cnfStyle w:val="000000000000"/>
              <w:rPr>
                <w:rFonts w:ascii="Times" w:hAnsi="Times" w:cs="Times New Roman"/>
                <w:szCs w:val="20"/>
              </w:rPr>
            </w:pPr>
          </w:p>
        </w:tc>
      </w:tr>
      <w:tr w:rsidR="00511668" w:rsidRPr="00C66550" w:rsidTr="00511668">
        <w:tc>
          <w:tcPr>
            <w:cnfStyle w:val="001000000000"/>
            <w:tcW w:w="898" w:type="pct"/>
            <w:tcBorders>
              <w:right w:val="single" w:sz="4" w:space="0" w:color="7F7F7F" w:themeColor="background2"/>
            </w:tcBorders>
          </w:tcPr>
          <w:p w:rsidR="00511668" w:rsidRPr="00C66550" w:rsidRDefault="00511668" w:rsidP="008947FF">
            <w:pPr>
              <w:spacing w:line="240" w:lineRule="atLeast"/>
              <w:rPr>
                <w:rFonts w:asciiTheme="minorHAnsi" w:hAnsiTheme="minorHAnsi" w:cs="Times New Roman"/>
                <w:color w:val="auto"/>
                <w:szCs w:val="20"/>
              </w:rPr>
            </w:pPr>
            <w:r w:rsidRPr="00C66550">
              <w:rPr>
                <w:rFonts w:asciiTheme="minorHAnsi" w:hAnsiTheme="minorHAnsi" w:cs="Times New Roman"/>
                <w:color w:val="auto"/>
                <w:szCs w:val="20"/>
              </w:rPr>
              <w:t>United Kingdom</w:t>
            </w:r>
          </w:p>
        </w:tc>
        <w:tc>
          <w:tcPr>
            <w:tcW w:w="1026"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asciiTheme="minorHAnsi" w:hAnsiTheme="minorHAnsi" w:cs="Arial"/>
                <w:szCs w:val="20"/>
              </w:rPr>
            </w:pPr>
            <w:r w:rsidRPr="00C66550">
              <w:rPr>
                <w:rFonts w:asciiTheme="minorHAnsi" w:hAnsiTheme="minorHAnsi" w:cs="Times New Roman"/>
                <w:color w:val="000000"/>
                <w:szCs w:val="20"/>
              </w:rPr>
              <w:t>49%</w:t>
            </w:r>
          </w:p>
        </w:tc>
        <w:tc>
          <w:tcPr>
            <w:tcW w:w="552"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Times New Roman"/>
                <w:color w:val="000000"/>
                <w:szCs w:val="20"/>
              </w:rPr>
              <w:t>24%</w:t>
            </w:r>
          </w:p>
        </w:tc>
        <w:tc>
          <w:tcPr>
            <w:tcW w:w="631"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Times New Roman"/>
                <w:color w:val="000000"/>
                <w:szCs w:val="20"/>
              </w:rPr>
              <w:t>14%</w:t>
            </w:r>
          </w:p>
        </w:tc>
        <w:tc>
          <w:tcPr>
            <w:tcW w:w="631"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642B3C">
            <w:pPr>
              <w:jc w:val="center"/>
              <w:cnfStyle w:val="000000000000"/>
              <w:rPr>
                <w:rFonts w:cs="Arial"/>
                <w:szCs w:val="20"/>
              </w:rPr>
            </w:pPr>
            <w:r w:rsidRPr="00C66550">
              <w:rPr>
                <w:rFonts w:cs="Times New Roman"/>
                <w:color w:val="000000"/>
                <w:szCs w:val="20"/>
              </w:rPr>
              <w:t>12%</w:t>
            </w:r>
          </w:p>
        </w:tc>
        <w:tc>
          <w:tcPr>
            <w:tcW w:w="795" w:type="pct"/>
            <w:tcBorders>
              <w:left w:val="single" w:sz="4" w:space="0" w:color="7F7F7F" w:themeColor="background2"/>
              <w:bottom w:val="single" w:sz="4" w:space="0" w:color="7F7F7F" w:themeColor="background2"/>
              <w:right w:val="single" w:sz="4" w:space="0" w:color="7F7F7F" w:themeColor="background2"/>
            </w:tcBorders>
          </w:tcPr>
          <w:p w:rsidR="00511668" w:rsidRPr="00C66550" w:rsidRDefault="00511668" w:rsidP="008947FF">
            <w:pPr>
              <w:jc w:val="center"/>
              <w:cnfStyle w:val="000000000000"/>
              <w:rPr>
                <w:rFonts w:cs="Arial"/>
                <w:szCs w:val="20"/>
              </w:rPr>
            </w:pPr>
            <w:r w:rsidRPr="00C66550">
              <w:rPr>
                <w:rFonts w:cs="Times New Roman"/>
                <w:color w:val="000000"/>
                <w:szCs w:val="20"/>
              </w:rPr>
              <w:t>&lt;1%</w:t>
            </w:r>
          </w:p>
        </w:tc>
        <w:tc>
          <w:tcPr>
            <w:tcW w:w="467" w:type="pct"/>
            <w:tcBorders>
              <w:left w:val="single" w:sz="4" w:space="0" w:color="7F7F7F" w:themeColor="background2"/>
              <w:bottom w:val="single" w:sz="4" w:space="0" w:color="7F7F7F" w:themeColor="background2"/>
            </w:tcBorders>
          </w:tcPr>
          <w:p w:rsidR="00511668" w:rsidRPr="00C66550" w:rsidRDefault="00511668" w:rsidP="008947FF">
            <w:pPr>
              <w:jc w:val="center"/>
              <w:cnfStyle w:val="000000000000"/>
              <w:rPr>
                <w:rFonts w:cs="Arial"/>
                <w:szCs w:val="20"/>
              </w:rPr>
            </w:pPr>
            <w:r w:rsidRPr="00C66550">
              <w:rPr>
                <w:rFonts w:cs="Times New Roman"/>
                <w:color w:val="000000"/>
                <w:szCs w:val="20"/>
              </w:rPr>
              <w:t>1%</w:t>
            </w:r>
          </w:p>
        </w:tc>
      </w:tr>
      <w:tr w:rsidR="00511668" w:rsidRPr="00C66550" w:rsidTr="007E0CE2">
        <w:tc>
          <w:tcPr>
            <w:cnfStyle w:val="001000000000"/>
            <w:tcW w:w="898" w:type="pct"/>
            <w:tcBorders>
              <w:right w:val="single" w:sz="4" w:space="0" w:color="7F7F7F" w:themeColor="background2"/>
            </w:tcBorders>
          </w:tcPr>
          <w:p w:rsidR="00511668" w:rsidRPr="00C66550" w:rsidRDefault="00511668" w:rsidP="008947FF">
            <w:pPr>
              <w:spacing w:line="240" w:lineRule="atLeast"/>
              <w:rPr>
                <w:rFonts w:asciiTheme="minorHAnsi" w:hAnsiTheme="minorHAnsi" w:cs="Times New Roman"/>
                <w:color w:val="auto"/>
                <w:szCs w:val="20"/>
              </w:rPr>
            </w:pPr>
            <w:r w:rsidRPr="00C66550">
              <w:rPr>
                <w:rFonts w:asciiTheme="minorHAnsi" w:hAnsiTheme="minorHAnsi" w:cs="Times New Roman"/>
                <w:color w:val="auto"/>
                <w:szCs w:val="20"/>
              </w:rPr>
              <w:t>Australia</w:t>
            </w:r>
            <w:r>
              <w:rPr>
                <w:rFonts w:asciiTheme="minorHAnsi" w:hAnsiTheme="minorHAnsi" w:cs="Times New Roman"/>
                <w:color w:val="auto"/>
                <w:szCs w:val="20"/>
              </w:rPr>
              <w:t xml:space="preserve"> (excl. biogas recovery)</w:t>
            </w:r>
          </w:p>
        </w:tc>
        <w:tc>
          <w:tcPr>
            <w:tcW w:w="1026" w:type="pct"/>
            <w:tcBorders>
              <w:left w:val="single" w:sz="4" w:space="0" w:color="7F7F7F" w:themeColor="background2"/>
              <w:bottom w:val="single" w:sz="4" w:space="0" w:color="808080" w:themeColor="background1" w:themeShade="80"/>
              <w:right w:val="single" w:sz="4" w:space="0" w:color="7F7F7F" w:themeColor="background2"/>
            </w:tcBorders>
          </w:tcPr>
          <w:p w:rsidR="00511668" w:rsidRDefault="00511668" w:rsidP="00DB09AF">
            <w:pPr>
              <w:jc w:val="center"/>
              <w:cnfStyle w:val="000000000000"/>
              <w:rPr>
                <w:rFonts w:asciiTheme="minorHAnsi" w:hAnsiTheme="minorHAnsi" w:cs="Times New Roman"/>
                <w:color w:val="000000"/>
                <w:szCs w:val="20"/>
              </w:rPr>
            </w:pPr>
            <w:r w:rsidRPr="00C66550">
              <w:rPr>
                <w:rFonts w:asciiTheme="minorHAnsi" w:hAnsiTheme="minorHAnsi" w:cs="Times New Roman"/>
                <w:color w:val="000000"/>
                <w:szCs w:val="20"/>
              </w:rPr>
              <w:t xml:space="preserve">55% </w:t>
            </w:r>
          </w:p>
          <w:p w:rsidR="00511668" w:rsidRPr="00C66550" w:rsidRDefault="00511668" w:rsidP="00DB09AF">
            <w:pPr>
              <w:jc w:val="center"/>
              <w:cnfStyle w:val="000000000000"/>
              <w:rPr>
                <w:rFonts w:asciiTheme="minorHAnsi" w:hAnsiTheme="minorHAnsi" w:cs="Arial"/>
                <w:szCs w:val="20"/>
              </w:rPr>
            </w:pPr>
            <w:r w:rsidRPr="00C66550">
              <w:rPr>
                <w:rFonts w:asciiTheme="minorHAnsi" w:hAnsiTheme="minorHAnsi" w:cs="Times New Roman"/>
                <w:color w:val="000000"/>
                <w:szCs w:val="20"/>
              </w:rPr>
              <w:t>(49% if landfill biogas gas energy recovery is accounted for)</w:t>
            </w:r>
          </w:p>
        </w:tc>
        <w:tc>
          <w:tcPr>
            <w:tcW w:w="1814" w:type="pct"/>
            <w:gridSpan w:val="3"/>
            <w:tcBorders>
              <w:left w:val="single" w:sz="4" w:space="0" w:color="7F7F7F" w:themeColor="background2"/>
              <w:bottom w:val="single" w:sz="4" w:space="0" w:color="808080" w:themeColor="background1" w:themeShade="80"/>
              <w:right w:val="single" w:sz="4" w:space="0" w:color="7F7F7F" w:themeColor="background2"/>
            </w:tcBorders>
          </w:tcPr>
          <w:p w:rsidR="00511668" w:rsidRDefault="00511668" w:rsidP="00C12193">
            <w:pPr>
              <w:jc w:val="center"/>
              <w:cnfStyle w:val="000000000000"/>
              <w:rPr>
                <w:rFonts w:cs="Times New Roman"/>
                <w:color w:val="000000"/>
                <w:szCs w:val="20"/>
              </w:rPr>
            </w:pPr>
            <w:r w:rsidRPr="00C66550">
              <w:rPr>
                <w:rFonts w:cs="Times New Roman"/>
                <w:color w:val="000000"/>
                <w:szCs w:val="20"/>
              </w:rPr>
              <w:t>45%</w:t>
            </w:r>
          </w:p>
          <w:p w:rsidR="00511668" w:rsidRPr="00C66550" w:rsidRDefault="00511668" w:rsidP="00C12193">
            <w:pPr>
              <w:jc w:val="center"/>
              <w:cnfStyle w:val="000000000000"/>
              <w:rPr>
                <w:rFonts w:cs="Arial"/>
                <w:szCs w:val="20"/>
              </w:rPr>
            </w:pPr>
            <w:r w:rsidRPr="00C66550">
              <w:rPr>
                <w:rFonts w:cs="Times New Roman"/>
                <w:color w:val="000000"/>
                <w:szCs w:val="20"/>
              </w:rPr>
              <w:t>(51%</w:t>
            </w:r>
            <w:r>
              <w:rPr>
                <w:rFonts w:cs="Times New Roman"/>
                <w:color w:val="000000"/>
                <w:szCs w:val="20"/>
              </w:rPr>
              <w:t xml:space="preserve"> incl.</w:t>
            </w:r>
            <w:r w:rsidRPr="00C66550">
              <w:rPr>
                <w:rFonts w:cs="Times New Roman"/>
                <w:color w:val="000000"/>
                <w:szCs w:val="20"/>
              </w:rPr>
              <w:t xml:space="preserve"> landfill biogas energy</w:t>
            </w:r>
            <w:r>
              <w:rPr>
                <w:rFonts w:cs="Times New Roman"/>
                <w:color w:val="000000"/>
                <w:szCs w:val="20"/>
              </w:rPr>
              <w:t xml:space="preserve"> </w:t>
            </w:r>
            <w:r w:rsidRPr="00C66550">
              <w:rPr>
                <w:rFonts w:cs="Times New Roman"/>
                <w:color w:val="000000"/>
                <w:szCs w:val="20"/>
              </w:rPr>
              <w:t xml:space="preserve"> recovery)</w:t>
            </w:r>
          </w:p>
        </w:tc>
        <w:tc>
          <w:tcPr>
            <w:tcW w:w="795" w:type="pct"/>
            <w:tcBorders>
              <w:left w:val="single" w:sz="4" w:space="0" w:color="7F7F7F" w:themeColor="background2"/>
              <w:bottom w:val="single" w:sz="4" w:space="0" w:color="808080" w:themeColor="background1" w:themeShade="80"/>
              <w:right w:val="single" w:sz="4" w:space="0" w:color="7F7F7F" w:themeColor="background2"/>
            </w:tcBorders>
          </w:tcPr>
          <w:p w:rsidR="00511668" w:rsidRPr="00C66550" w:rsidRDefault="00511668" w:rsidP="008947FF">
            <w:pPr>
              <w:jc w:val="center"/>
              <w:cnfStyle w:val="000000000000"/>
              <w:rPr>
                <w:rFonts w:cs="Arial"/>
                <w:szCs w:val="20"/>
              </w:rPr>
            </w:pPr>
          </w:p>
        </w:tc>
        <w:tc>
          <w:tcPr>
            <w:tcW w:w="467" w:type="pct"/>
            <w:tcBorders>
              <w:left w:val="single" w:sz="4" w:space="0" w:color="7F7F7F" w:themeColor="background2"/>
              <w:bottom w:val="single" w:sz="4" w:space="0" w:color="808080" w:themeColor="background1" w:themeShade="80"/>
            </w:tcBorders>
          </w:tcPr>
          <w:p w:rsidR="00511668" w:rsidRPr="00C66550" w:rsidRDefault="00511668" w:rsidP="008947FF">
            <w:pPr>
              <w:jc w:val="center"/>
              <w:cnfStyle w:val="000000000000"/>
              <w:rPr>
                <w:rFonts w:cs="Arial"/>
                <w:szCs w:val="20"/>
              </w:rPr>
            </w:pPr>
          </w:p>
        </w:tc>
      </w:tr>
    </w:tbl>
    <w:p w:rsidR="00E532F8" w:rsidRPr="00C66550" w:rsidRDefault="00E532F8" w:rsidP="00E532F8">
      <w:pPr>
        <w:rPr>
          <w:noProof/>
          <w:sz w:val="22"/>
        </w:rPr>
      </w:pPr>
    </w:p>
    <w:p w:rsidR="00E532F8" w:rsidRPr="00C66550" w:rsidRDefault="00E532F8" w:rsidP="0012047B">
      <w:pPr>
        <w:pStyle w:val="BodyText"/>
        <w:rPr>
          <w:rFonts w:eastAsiaTheme="minorHAnsi"/>
        </w:rPr>
      </w:pPr>
      <w:r w:rsidRPr="00C66550">
        <w:t>The US, UK and Australia have fairly similar rates for landfill disposal (49</w:t>
      </w:r>
      <w:r w:rsidR="005549BF" w:rsidRPr="00C66550">
        <w:t>–</w:t>
      </w:r>
      <w:r w:rsidRPr="00C66550">
        <w:t xml:space="preserve">55% of all </w:t>
      </w:r>
      <w:r w:rsidR="00C2323D" w:rsidRPr="00C66550">
        <w:t>MSW</w:t>
      </w:r>
      <w:r w:rsidRPr="00C66550">
        <w:t xml:space="preserve">). Germany </w:t>
      </w:r>
      <w:r w:rsidR="0014187C" w:rsidRPr="00C66550">
        <w:t>landfills</w:t>
      </w:r>
      <w:r w:rsidRPr="00C66550">
        <w:t xml:space="preserve"> less than 1%, </w:t>
      </w:r>
      <w:r w:rsidR="00271C68" w:rsidRPr="00C66550">
        <w:t>recycles or composts 63% and incinerates the rest</w:t>
      </w:r>
      <w:r w:rsidRPr="00C66550">
        <w:t>. Australia has the lowest rate of incineration with energy recovery (&lt;1%), compared to rates of around 12</w:t>
      </w:r>
      <w:r w:rsidR="005549BF" w:rsidRPr="00C66550">
        <w:t>–</w:t>
      </w:r>
      <w:r w:rsidRPr="00C66550">
        <w:t>14% in the other countries.</w:t>
      </w:r>
      <w:r w:rsidRPr="00C66550">
        <w:rPr>
          <w:rFonts w:eastAsiaTheme="minorHAnsi"/>
        </w:rPr>
        <w:t xml:space="preserve"> </w:t>
      </w:r>
    </w:p>
    <w:p w:rsidR="00271C68" w:rsidRPr="00C66550" w:rsidRDefault="00271C68" w:rsidP="0012047B">
      <w:pPr>
        <w:pStyle w:val="BodyText"/>
      </w:pPr>
    </w:p>
    <w:p w:rsidR="00E532F8" w:rsidRPr="00C66550" w:rsidRDefault="00E532F8" w:rsidP="006D25F9">
      <w:pPr>
        <w:pStyle w:val="Heading3"/>
      </w:pPr>
      <w:r w:rsidRPr="00C66550">
        <w:lastRenderedPageBreak/>
        <w:t>Broad international comparison</w:t>
      </w:r>
    </w:p>
    <w:p w:rsidR="00E532F8" w:rsidRPr="00C66550" w:rsidRDefault="00271C68" w:rsidP="00E532F8">
      <w:pPr>
        <w:rPr>
          <w:sz w:val="22"/>
        </w:rPr>
      </w:pPr>
      <w:r w:rsidRPr="00C66550">
        <w:rPr>
          <w:sz w:val="22"/>
        </w:rPr>
        <w:t>Australian MSW data are c</w:t>
      </w:r>
      <w:r w:rsidR="00E532F8" w:rsidRPr="00C66550">
        <w:rPr>
          <w:sz w:val="22"/>
        </w:rPr>
        <w:t>ompar</w:t>
      </w:r>
      <w:r w:rsidRPr="00C66550">
        <w:rPr>
          <w:sz w:val="22"/>
        </w:rPr>
        <w:t>ed more broadly in the following figures</w:t>
      </w:r>
      <w:r w:rsidR="00E532F8" w:rsidRPr="00C66550">
        <w:rPr>
          <w:sz w:val="22"/>
        </w:rPr>
        <w:t>:</w:t>
      </w:r>
    </w:p>
    <w:p w:rsidR="00E532F8" w:rsidRPr="00C66550" w:rsidRDefault="0062001A" w:rsidP="0012047B">
      <w:pPr>
        <w:pStyle w:val="Bullet1"/>
      </w:pPr>
      <w:fldSimple w:instr=" REF _Ref349839619 \h  \* MERGEFORMAT ">
        <w:r w:rsidR="00D96003" w:rsidRPr="00C66550">
          <w:rPr>
            <w:noProof/>
            <w:lang w:eastAsia="en-AU"/>
          </w:rPr>
          <w:t xml:space="preserve">Figure </w:t>
        </w:r>
        <w:r w:rsidR="00D96003">
          <w:rPr>
            <w:noProof/>
            <w:lang w:eastAsia="en-AU"/>
          </w:rPr>
          <w:t>14</w:t>
        </w:r>
      </w:fldSimple>
      <w:r w:rsidR="00E532F8" w:rsidRPr="00C66550">
        <w:t xml:space="preserve"> compares total MSW generation </w:t>
      </w:r>
    </w:p>
    <w:p w:rsidR="00E532F8" w:rsidRPr="00C66550" w:rsidRDefault="0062001A" w:rsidP="0012047B">
      <w:pPr>
        <w:pStyle w:val="Bullet1"/>
      </w:pPr>
      <w:fldSimple w:instr=" REF _Ref348938916 \h  \* MERGEFORMAT ">
        <w:r w:rsidR="00D96003" w:rsidRPr="00C66550">
          <w:t xml:space="preserve">Figure </w:t>
        </w:r>
        <w:r w:rsidR="00D96003">
          <w:t>15</w:t>
        </w:r>
      </w:fldSimple>
      <w:r w:rsidR="00E532F8" w:rsidRPr="00C66550">
        <w:t xml:space="preserve"> compares per capita MSW generation</w:t>
      </w:r>
    </w:p>
    <w:p w:rsidR="00E532F8" w:rsidRPr="00C66550" w:rsidRDefault="0062001A" w:rsidP="0012047B">
      <w:pPr>
        <w:pStyle w:val="Bullet1"/>
      </w:pPr>
      <w:fldSimple w:instr=" REF _Ref348938927 \h  \* MERGEFORMAT ">
        <w:r w:rsidR="00D96003" w:rsidRPr="00C66550">
          <w:t xml:space="preserve">Figure </w:t>
        </w:r>
        <w:r w:rsidR="00D96003">
          <w:t>16</w:t>
        </w:r>
      </w:fldSimple>
      <w:r w:rsidR="00E532F8" w:rsidRPr="00C66550">
        <w:t xml:space="preserve"> shows the per capita waste disposal of selected nations</w:t>
      </w:r>
    </w:p>
    <w:p w:rsidR="00E532F8" w:rsidRPr="00C66550" w:rsidRDefault="0062001A" w:rsidP="0012047B">
      <w:pPr>
        <w:pStyle w:val="Bullet1"/>
      </w:pPr>
      <w:fldSimple w:instr=" REF _Ref348938950 \h  \* MERGEFORMAT ">
        <w:r w:rsidR="00D96003" w:rsidRPr="00C66550">
          <w:t xml:space="preserve">Figure </w:t>
        </w:r>
        <w:r w:rsidR="00D96003">
          <w:t>17</w:t>
        </w:r>
      </w:fldSimple>
      <w:r w:rsidR="00E532F8" w:rsidRPr="00C66550">
        <w:t xml:space="preserve"> shows the relative rec</w:t>
      </w:r>
      <w:r w:rsidR="0012047B" w:rsidRPr="00C66550">
        <w:t>overy rate of different nations</w:t>
      </w:r>
    </w:p>
    <w:p w:rsidR="00E532F8" w:rsidRPr="00C66550" w:rsidRDefault="0062001A" w:rsidP="0012047B">
      <w:pPr>
        <w:pStyle w:val="Bullet1"/>
      </w:pPr>
      <w:fldSimple w:instr=" REF _Ref348938966 \h  \* MERGEFORMAT ">
        <w:r w:rsidR="00D96003" w:rsidRPr="00C66550">
          <w:t xml:space="preserve">Figure </w:t>
        </w:r>
        <w:r w:rsidR="00D96003">
          <w:t>18</w:t>
        </w:r>
      </w:fldSimple>
      <w:r w:rsidR="00E532F8" w:rsidRPr="00C66550">
        <w:t xml:space="preserve"> compares MSW per capita disposal to landfill, incineration without energy recovery or other disposal</w:t>
      </w:r>
      <w:r w:rsidR="0012047B" w:rsidRPr="00C66550">
        <w:t>.</w:t>
      </w:r>
    </w:p>
    <w:p w:rsidR="00797C47" w:rsidRPr="00C66550" w:rsidRDefault="00797C47" w:rsidP="00FB09FC">
      <w:pPr>
        <w:pStyle w:val="BodyText"/>
      </w:pPr>
    </w:p>
    <w:p w:rsidR="00FB09FC" w:rsidRPr="00C66550" w:rsidRDefault="00797C47" w:rsidP="00FB09FC">
      <w:pPr>
        <w:pStyle w:val="BodyText"/>
      </w:pPr>
      <w:r w:rsidRPr="00C66550">
        <w:t>All Australian data presented is for the 2010/11 period.</w:t>
      </w:r>
      <w:r w:rsidR="008947FF" w:rsidRPr="00C66550">
        <w:t xml:space="preserve"> The OECD data used to generate these figures is derived from </w:t>
      </w:r>
      <w:r w:rsidR="008947FF" w:rsidRPr="00C66550">
        <w:rPr>
          <w:rFonts w:asciiTheme="minorHAnsi" w:hAnsiTheme="minorHAnsi"/>
          <w:color w:val="000000"/>
          <w:lang w:eastAsia="en-GB"/>
        </w:rPr>
        <w:t xml:space="preserve">OECD </w:t>
      </w:r>
      <w:r w:rsidR="008947FF" w:rsidRPr="00C66550">
        <w:rPr>
          <w:rFonts w:asciiTheme="minorHAnsi" w:hAnsiTheme="minorHAnsi"/>
          <w:i/>
          <w:color w:val="000000"/>
          <w:lang w:eastAsia="en-GB"/>
        </w:rPr>
        <w:t>Stats Extracts for Municipal Waste Generation and Treatment</w:t>
      </w:r>
      <w:r w:rsidR="00FB09FC" w:rsidRPr="00C66550">
        <w:rPr>
          <w:rStyle w:val="FootnoteReference"/>
          <w:rFonts w:asciiTheme="minorHAnsi" w:hAnsiTheme="minorHAnsi"/>
          <w:i/>
          <w:color w:val="000000"/>
          <w:lang w:eastAsia="en-GB"/>
        </w:rPr>
        <w:footnoteReference w:id="7"/>
      </w:r>
      <w:r w:rsidR="008947FF" w:rsidRPr="00C66550">
        <w:rPr>
          <w:rFonts w:asciiTheme="minorHAnsi" w:hAnsiTheme="minorHAnsi"/>
        </w:rPr>
        <w:t>.</w:t>
      </w:r>
      <w:r w:rsidR="004A06D3" w:rsidRPr="00C66550">
        <w:rPr>
          <w:rFonts w:asciiTheme="minorHAnsi" w:hAnsiTheme="minorHAnsi"/>
        </w:rPr>
        <w:t xml:space="preserve"> </w:t>
      </w:r>
      <w:r w:rsidR="00FB09FC" w:rsidRPr="00C66550">
        <w:t>The comparison suggests:</w:t>
      </w:r>
    </w:p>
    <w:p w:rsidR="00FB09FC" w:rsidRPr="00C66550" w:rsidRDefault="0070738A" w:rsidP="00FB09FC">
      <w:pPr>
        <w:pStyle w:val="Bullet1"/>
      </w:pPr>
      <w:r w:rsidRPr="00C66550">
        <w:t>Australia wa</w:t>
      </w:r>
      <w:r w:rsidR="00FB09FC" w:rsidRPr="00C66550">
        <w:t xml:space="preserve">s ranked the twelfth highest waste generator of MSW of the </w:t>
      </w:r>
      <w:r w:rsidRPr="00C66550">
        <w:t xml:space="preserve">34 </w:t>
      </w:r>
      <w:r w:rsidR="00FB09FC" w:rsidRPr="00C66550">
        <w:t xml:space="preserve">nations considered, reflecting population, size and level of affluence. Australia is also ranked in the largest 15 economies in the OECD. </w:t>
      </w:r>
    </w:p>
    <w:p w:rsidR="00FB09FC" w:rsidRPr="00C66550" w:rsidRDefault="00FB09FC" w:rsidP="00FB09FC">
      <w:pPr>
        <w:pStyle w:val="Bullet1"/>
      </w:pPr>
      <w:r w:rsidRPr="00C66550">
        <w:t>On</w:t>
      </w:r>
      <w:r w:rsidR="0070738A" w:rsidRPr="00C66550">
        <w:t xml:space="preserve"> a per capita basis, Australia wa</w:t>
      </w:r>
      <w:r w:rsidRPr="00C66550">
        <w:t xml:space="preserve">s ranked seventh highest for MSW generation of the nations considered. </w:t>
      </w:r>
    </w:p>
    <w:p w:rsidR="00FB09FC" w:rsidRPr="00C66550" w:rsidRDefault="00FB09FC" w:rsidP="00FB09FC">
      <w:pPr>
        <w:pStyle w:val="Bullet1"/>
      </w:pPr>
      <w:r w:rsidRPr="00C66550">
        <w:t xml:space="preserve">Australia’s levels of MSW resource </w:t>
      </w:r>
      <w:r w:rsidR="0070738A" w:rsidRPr="00C66550">
        <w:t>recovery we</w:t>
      </w:r>
      <w:r w:rsidRPr="00C66550">
        <w:t>re similar to th</w:t>
      </w:r>
      <w:r w:rsidR="008D722B" w:rsidRPr="00C66550">
        <w:t>os</w:t>
      </w:r>
      <w:r w:rsidRPr="00C66550">
        <w:t>e</w:t>
      </w:r>
      <w:r w:rsidR="008D722B" w:rsidRPr="00C66550">
        <w:t xml:space="preserve"> in the</w:t>
      </w:r>
      <w:r w:rsidRPr="00C66550">
        <w:t xml:space="preserve"> UK, </w:t>
      </w:r>
      <w:r w:rsidR="0070738A" w:rsidRPr="00C66550">
        <w:t>Finland, Italy and the US, but we</w:t>
      </w:r>
      <w:r w:rsidRPr="00C66550">
        <w:t xml:space="preserve">re significantly below many northern and western EU nations and Korea. </w:t>
      </w:r>
      <w:fldSimple w:instr=" REF _Ref348938966 \h  \* MERGEFORMAT ">
        <w:r w:rsidR="00D96003" w:rsidRPr="00D96003">
          <w:rPr>
            <w:rFonts w:cs="Calibri"/>
            <w:color w:val="auto"/>
            <w:szCs w:val="20"/>
          </w:rPr>
          <w:t xml:space="preserve">Figure </w:t>
        </w:r>
        <w:r w:rsidR="00D96003" w:rsidRPr="00D96003">
          <w:rPr>
            <w:rFonts w:cs="Calibri"/>
            <w:noProof/>
            <w:color w:val="auto"/>
            <w:szCs w:val="20"/>
          </w:rPr>
          <w:t>18</w:t>
        </w:r>
      </w:fldSimple>
      <w:r w:rsidRPr="00C66550">
        <w:t xml:space="preserve"> shows these nations make greater use of energy recovery and often also divert a greater proportion of MSW to composting. Unsurprisingly, these nations also have lower per capita disposal to landfill. Nations such as Switzerland, Austria, Sweden, Denmark, Norway and Belgium dispose of less than 2% by weight of MSW directly to landfill.</w:t>
      </w:r>
    </w:p>
    <w:p w:rsidR="00FB09FC" w:rsidRPr="00C66550" w:rsidRDefault="00FB09FC" w:rsidP="00FB09FC">
      <w:pPr>
        <w:pStyle w:val="BodyText"/>
      </w:pPr>
    </w:p>
    <w:p w:rsidR="00E532F8" w:rsidRPr="00C66550" w:rsidRDefault="00192C44" w:rsidP="00FB4820">
      <w:pPr>
        <w:pStyle w:val="Figures"/>
        <w:rPr>
          <w:noProof/>
          <w:lang w:eastAsia="en-AU"/>
        </w:rPr>
      </w:pPr>
      <w:bookmarkStart w:id="87" w:name="_Ref349839619"/>
      <w:bookmarkStart w:id="88" w:name="_Toc365385023"/>
      <w:r w:rsidRPr="00C66550">
        <w:rPr>
          <w:noProof/>
          <w:lang w:eastAsia="en-AU"/>
        </w:rPr>
        <w:t xml:space="preserve">Figure </w:t>
      </w:r>
      <w:r w:rsidR="0062001A" w:rsidRPr="00C66550">
        <w:rPr>
          <w:noProof/>
          <w:lang w:eastAsia="en-AU"/>
        </w:rPr>
        <w:fldChar w:fldCharType="begin"/>
      </w:r>
      <w:r w:rsidRPr="00C66550">
        <w:rPr>
          <w:noProof/>
          <w:lang w:eastAsia="en-AU"/>
        </w:rPr>
        <w:instrText xml:space="preserve"> SEQ Figure \* ARABIC </w:instrText>
      </w:r>
      <w:r w:rsidR="0062001A" w:rsidRPr="00C66550">
        <w:rPr>
          <w:noProof/>
          <w:lang w:eastAsia="en-AU"/>
        </w:rPr>
        <w:fldChar w:fldCharType="separate"/>
      </w:r>
      <w:r w:rsidR="00D96003">
        <w:rPr>
          <w:noProof/>
          <w:lang w:eastAsia="en-AU"/>
        </w:rPr>
        <w:t>14</w:t>
      </w:r>
      <w:r w:rsidR="0062001A" w:rsidRPr="00C66550">
        <w:rPr>
          <w:noProof/>
          <w:lang w:eastAsia="en-AU"/>
        </w:rPr>
        <w:fldChar w:fldCharType="end"/>
      </w:r>
      <w:bookmarkEnd w:id="87"/>
      <w:r w:rsidR="005834C7" w:rsidRPr="00C66550">
        <w:rPr>
          <w:noProof/>
          <w:lang w:eastAsia="en-AU"/>
        </w:rPr>
        <w:t>:</w:t>
      </w:r>
      <w:r w:rsidR="005834C7" w:rsidRPr="00C66550">
        <w:rPr>
          <w:noProof/>
          <w:lang w:eastAsia="en-AU"/>
        </w:rPr>
        <w:tab/>
      </w:r>
      <w:r w:rsidRPr="00C66550">
        <w:rPr>
          <w:noProof/>
          <w:lang w:eastAsia="en-AU"/>
        </w:rPr>
        <w:t xml:space="preserve">Comparison of total MSW generation </w:t>
      </w:r>
      <w:r w:rsidR="000D7C2B">
        <w:rPr>
          <w:noProof/>
          <w:lang w:eastAsia="en-AU"/>
        </w:rPr>
        <w:t>in</w:t>
      </w:r>
      <w:r w:rsidRPr="00C66550">
        <w:rPr>
          <w:noProof/>
          <w:lang w:eastAsia="en-AU"/>
        </w:rPr>
        <w:t xml:space="preserve"> selected nations (</w:t>
      </w:r>
      <w:r w:rsidR="000D7C2B">
        <w:rPr>
          <w:noProof/>
          <w:lang w:eastAsia="en-AU"/>
        </w:rPr>
        <w:t>kt</w:t>
      </w:r>
      <w:r w:rsidRPr="00C66550">
        <w:rPr>
          <w:noProof/>
          <w:lang w:eastAsia="en-AU"/>
        </w:rPr>
        <w:t>/year)</w:t>
      </w:r>
      <w:bookmarkEnd w:id="88"/>
    </w:p>
    <w:p w:rsidR="00E532F8" w:rsidRPr="00C66550" w:rsidRDefault="00C551C2" w:rsidP="00E532F8">
      <w:pPr>
        <w:spacing w:line="240" w:lineRule="auto"/>
        <w:rPr>
          <w:highlight w:val="yellow"/>
        </w:rPr>
      </w:pPr>
      <w:r w:rsidRPr="00C66550">
        <w:rPr>
          <w:noProof/>
          <w:lang w:eastAsia="en-AU"/>
        </w:rPr>
        <w:drawing>
          <wp:anchor distT="0" distB="0" distL="114300" distR="114300" simplePos="0" relativeHeight="251772928" behindDoc="0" locked="0" layoutInCell="1" allowOverlap="1">
            <wp:simplePos x="0" y="0"/>
            <wp:positionH relativeFrom="column">
              <wp:posOffset>-361950</wp:posOffset>
            </wp:positionH>
            <wp:positionV relativeFrom="paragraph">
              <wp:posOffset>194310</wp:posOffset>
            </wp:positionV>
            <wp:extent cx="6262370" cy="4210050"/>
            <wp:effectExtent l="0" t="0" r="5080" b="0"/>
            <wp:wrapSquare wrapText="bothSides"/>
            <wp:docPr id="10" name="Picture 11"/>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2370" cy="4210050"/>
                    </a:xfrm>
                    <a:prstGeom prst="rect">
                      <a:avLst/>
                    </a:prstGeom>
                    <a:noFill/>
                    <a:ln w="9525">
                      <a:noFill/>
                      <a:miter lim="800000"/>
                      <a:headEnd/>
                      <a:tailEnd/>
                    </a:ln>
                  </pic:spPr>
                </pic:pic>
              </a:graphicData>
            </a:graphic>
          </wp:anchor>
        </w:drawing>
      </w:r>
      <w:r w:rsidR="00E532F8" w:rsidRPr="00C66550">
        <w:rPr>
          <w:highlight w:val="yellow"/>
        </w:rPr>
        <w:br w:type="page"/>
      </w:r>
    </w:p>
    <w:p w:rsidR="00E532F8" w:rsidRPr="00C66550" w:rsidRDefault="00C551C2" w:rsidP="00FB4820">
      <w:pPr>
        <w:pStyle w:val="Figures"/>
        <w:rPr>
          <w:noProof/>
          <w:lang w:eastAsia="en-AU"/>
        </w:rPr>
      </w:pPr>
      <w:bookmarkStart w:id="89" w:name="_Ref348938916"/>
      <w:bookmarkStart w:id="90" w:name="_Toc365385024"/>
      <w:r w:rsidRPr="00C66550">
        <w:rPr>
          <w:noProof/>
          <w:lang w:eastAsia="en-AU"/>
        </w:rPr>
        <w:lastRenderedPageBreak/>
        <w:drawing>
          <wp:anchor distT="0" distB="0" distL="114300" distR="114300" simplePos="0" relativeHeight="251773952" behindDoc="0" locked="0" layoutInCell="1" allowOverlap="1">
            <wp:simplePos x="0" y="0"/>
            <wp:positionH relativeFrom="column">
              <wp:posOffset>-276860</wp:posOffset>
            </wp:positionH>
            <wp:positionV relativeFrom="paragraph">
              <wp:posOffset>173990</wp:posOffset>
            </wp:positionV>
            <wp:extent cx="6368415" cy="4465320"/>
            <wp:effectExtent l="0" t="0" r="0" b="0"/>
            <wp:wrapSquare wrapText="bothSides"/>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8415" cy="4465320"/>
                    </a:xfrm>
                    <a:prstGeom prst="rect">
                      <a:avLst/>
                    </a:prstGeom>
                    <a:noFill/>
                    <a:ln w="9525">
                      <a:noFill/>
                      <a:miter lim="800000"/>
                      <a:headEnd/>
                      <a:tailEnd/>
                    </a:ln>
                  </pic:spPr>
                </pic:pic>
              </a:graphicData>
            </a:graphic>
          </wp:anchor>
        </w:drawing>
      </w:r>
      <w:r w:rsidR="00E532F8" w:rsidRPr="00C66550">
        <w:rPr>
          <w:noProof/>
          <w:lang w:eastAsia="en-AU"/>
        </w:rPr>
        <w:t xml:space="preserve">Figure </w:t>
      </w:r>
      <w:r w:rsidR="0062001A" w:rsidRPr="00C66550">
        <w:rPr>
          <w:noProof/>
          <w:lang w:eastAsia="en-AU"/>
        </w:rPr>
        <w:fldChar w:fldCharType="begin"/>
      </w:r>
      <w:r w:rsidR="00E532F8" w:rsidRPr="00C66550">
        <w:rPr>
          <w:noProof/>
          <w:lang w:eastAsia="en-AU"/>
        </w:rPr>
        <w:instrText xml:space="preserve"> SEQ Figure \* ARABIC </w:instrText>
      </w:r>
      <w:r w:rsidR="0062001A" w:rsidRPr="00C66550">
        <w:rPr>
          <w:noProof/>
          <w:lang w:eastAsia="en-AU"/>
        </w:rPr>
        <w:fldChar w:fldCharType="separate"/>
      </w:r>
      <w:r w:rsidR="00D96003">
        <w:rPr>
          <w:noProof/>
          <w:lang w:eastAsia="en-AU"/>
        </w:rPr>
        <w:t>15</w:t>
      </w:r>
      <w:r w:rsidR="0062001A" w:rsidRPr="00C66550">
        <w:rPr>
          <w:noProof/>
          <w:lang w:eastAsia="en-AU"/>
        </w:rPr>
        <w:fldChar w:fldCharType="end"/>
      </w:r>
      <w:bookmarkEnd w:id="89"/>
      <w:r w:rsidR="005834C7" w:rsidRPr="00C66550">
        <w:rPr>
          <w:noProof/>
          <w:lang w:eastAsia="en-AU"/>
        </w:rPr>
        <w:t xml:space="preserve">: </w:t>
      </w:r>
      <w:r w:rsidR="005834C7" w:rsidRPr="00C66550">
        <w:rPr>
          <w:noProof/>
          <w:lang w:eastAsia="en-AU"/>
        </w:rPr>
        <w:tab/>
      </w:r>
      <w:r w:rsidR="00E532F8" w:rsidRPr="00C66550">
        <w:rPr>
          <w:noProof/>
          <w:lang w:eastAsia="en-AU"/>
        </w:rPr>
        <w:t>Comparison of MSW generation per capita in selected nations (kg/capita/year)</w:t>
      </w:r>
      <w:bookmarkEnd w:id="90"/>
    </w:p>
    <w:p w:rsidR="005414E8" w:rsidRPr="00C66550" w:rsidRDefault="00DB09AF" w:rsidP="00FB4820">
      <w:pPr>
        <w:pStyle w:val="Figures"/>
        <w:rPr>
          <w:noProof/>
          <w:lang w:eastAsia="en-AU"/>
        </w:rPr>
      </w:pPr>
      <w:bookmarkStart w:id="91" w:name="_Ref348938927"/>
      <w:bookmarkStart w:id="92" w:name="_Toc365385025"/>
      <w:r w:rsidRPr="00C66550">
        <w:rPr>
          <w:noProof/>
          <w:lang w:eastAsia="en-AU"/>
        </w:rPr>
        <w:drawing>
          <wp:anchor distT="0" distB="0" distL="114300" distR="114300" simplePos="0" relativeHeight="251661305" behindDoc="0" locked="0" layoutInCell="1" allowOverlap="1">
            <wp:simplePos x="0" y="0"/>
            <wp:positionH relativeFrom="column">
              <wp:posOffset>-269875</wp:posOffset>
            </wp:positionH>
            <wp:positionV relativeFrom="paragraph">
              <wp:posOffset>4888230</wp:posOffset>
            </wp:positionV>
            <wp:extent cx="6400165" cy="3645535"/>
            <wp:effectExtent l="0" t="0" r="635"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165" cy="3645535"/>
                    </a:xfrm>
                    <a:prstGeom prst="rect">
                      <a:avLst/>
                    </a:prstGeom>
                  </pic:spPr>
                </pic:pic>
              </a:graphicData>
            </a:graphic>
          </wp:anchor>
        </w:drawing>
      </w:r>
      <w:r w:rsidR="0062001A" w:rsidRPr="0062001A">
        <w:rPr>
          <w:rFonts w:ascii="Times New Roman" w:hAnsi="Times New Roman" w:cs="Times New Roman"/>
          <w:noProof/>
          <w:sz w:val="24"/>
          <w:szCs w:val="24"/>
          <w:lang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left:0;text-align:left;margin-left:293.8pt;margin-top:474.5pt;width:9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">
            <v:textbox style="layout-flow:vertical-ideographic"/>
          </v:shape>
        </w:pict>
      </w:r>
      <w:r w:rsidR="00E532F8" w:rsidRPr="00C66550">
        <w:rPr>
          <w:noProof/>
          <w:lang w:eastAsia="en-AU"/>
        </w:rPr>
        <w:t xml:space="preserve">Figure </w:t>
      </w:r>
      <w:r w:rsidR="0062001A" w:rsidRPr="00C66550">
        <w:rPr>
          <w:noProof/>
          <w:lang w:eastAsia="en-AU"/>
        </w:rPr>
        <w:fldChar w:fldCharType="begin"/>
      </w:r>
      <w:r w:rsidR="00E532F8" w:rsidRPr="00C66550">
        <w:rPr>
          <w:noProof/>
          <w:lang w:eastAsia="en-AU"/>
        </w:rPr>
        <w:instrText xml:space="preserve"> SEQ Figure \* ARABIC </w:instrText>
      </w:r>
      <w:r w:rsidR="0062001A" w:rsidRPr="00C66550">
        <w:rPr>
          <w:noProof/>
          <w:lang w:eastAsia="en-AU"/>
        </w:rPr>
        <w:fldChar w:fldCharType="separate"/>
      </w:r>
      <w:r w:rsidR="00D96003">
        <w:rPr>
          <w:noProof/>
          <w:lang w:eastAsia="en-AU"/>
        </w:rPr>
        <w:t>16</w:t>
      </w:r>
      <w:r w:rsidR="0062001A" w:rsidRPr="00C66550">
        <w:rPr>
          <w:noProof/>
          <w:lang w:eastAsia="en-AU"/>
        </w:rPr>
        <w:fldChar w:fldCharType="end"/>
      </w:r>
      <w:bookmarkEnd w:id="91"/>
      <w:r w:rsidR="00E532F8" w:rsidRPr="00C66550">
        <w:rPr>
          <w:noProof/>
          <w:lang w:eastAsia="en-AU"/>
        </w:rPr>
        <w:t xml:space="preserve">: </w:t>
      </w:r>
      <w:r w:rsidR="00E532F8" w:rsidRPr="00C66550">
        <w:rPr>
          <w:noProof/>
          <w:lang w:eastAsia="en-AU"/>
        </w:rPr>
        <w:tab/>
        <w:t xml:space="preserve">Comparison of quantities of MSW </w:t>
      </w:r>
      <w:r w:rsidR="00C551C2" w:rsidRPr="00C66550">
        <w:rPr>
          <w:noProof/>
          <w:lang w:eastAsia="en-AU"/>
        </w:rPr>
        <w:t>disposed (i.e. not recovered) via diffent methods</w:t>
      </w:r>
      <w:r w:rsidR="00E532F8" w:rsidRPr="00C66550">
        <w:rPr>
          <w:noProof/>
          <w:lang w:eastAsia="en-AU"/>
        </w:rPr>
        <w:t xml:space="preserve"> in selected nations (kg/capita/year)</w:t>
      </w:r>
      <w:bookmarkEnd w:id="92"/>
      <w:r w:rsidR="005414E8" w:rsidRPr="00C66550">
        <w:rPr>
          <w:noProof/>
          <w:lang w:eastAsia="en-AU"/>
        </w:rPr>
        <w:t xml:space="preserve"> </w:t>
      </w:r>
    </w:p>
    <w:p w:rsidR="00E532F8" w:rsidRPr="00C66550" w:rsidRDefault="00FA1C83" w:rsidP="00FB4820">
      <w:pPr>
        <w:pStyle w:val="Figures"/>
        <w:rPr>
          <w:noProof/>
          <w:lang w:eastAsia="en-AU"/>
        </w:rPr>
      </w:pPr>
      <w:bookmarkStart w:id="93" w:name="_Ref348938950"/>
      <w:bookmarkStart w:id="94" w:name="_Toc365385026"/>
      <w:r w:rsidRPr="00C66550">
        <w:rPr>
          <w:noProof/>
          <w:lang w:eastAsia="en-AU"/>
        </w:rPr>
        <w:lastRenderedPageBreak/>
        <w:drawing>
          <wp:anchor distT="0" distB="0" distL="114300" distR="114300" simplePos="0" relativeHeight="251863040" behindDoc="0" locked="0" layoutInCell="1" allowOverlap="1">
            <wp:simplePos x="0" y="0"/>
            <wp:positionH relativeFrom="column">
              <wp:posOffset>-306705</wp:posOffset>
            </wp:positionH>
            <wp:positionV relativeFrom="paragraph">
              <wp:posOffset>273050</wp:posOffset>
            </wp:positionV>
            <wp:extent cx="6400800" cy="373380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733800"/>
                    </a:xfrm>
                    <a:prstGeom prst="rect">
                      <a:avLst/>
                    </a:prstGeom>
                  </pic:spPr>
                </pic:pic>
              </a:graphicData>
            </a:graphic>
          </wp:anchor>
        </w:drawing>
      </w:r>
      <w:r w:rsidR="00E532F8" w:rsidRPr="00C66550">
        <w:rPr>
          <w:noProof/>
          <w:lang w:eastAsia="en-AU"/>
        </w:rPr>
        <w:t xml:space="preserve">Figure </w:t>
      </w:r>
      <w:r w:rsidR="0062001A" w:rsidRPr="00C66550">
        <w:rPr>
          <w:noProof/>
          <w:lang w:eastAsia="en-AU"/>
        </w:rPr>
        <w:fldChar w:fldCharType="begin"/>
      </w:r>
      <w:r w:rsidR="00E532F8" w:rsidRPr="00C66550">
        <w:rPr>
          <w:noProof/>
          <w:lang w:eastAsia="en-AU"/>
        </w:rPr>
        <w:instrText xml:space="preserve"> SEQ Figure \* ARABIC </w:instrText>
      </w:r>
      <w:r w:rsidR="0062001A" w:rsidRPr="00C66550">
        <w:rPr>
          <w:noProof/>
          <w:lang w:eastAsia="en-AU"/>
        </w:rPr>
        <w:fldChar w:fldCharType="separate"/>
      </w:r>
      <w:r w:rsidR="00D96003">
        <w:rPr>
          <w:noProof/>
          <w:lang w:eastAsia="en-AU"/>
        </w:rPr>
        <w:t>17</w:t>
      </w:r>
      <w:r w:rsidR="0062001A" w:rsidRPr="00C66550">
        <w:rPr>
          <w:noProof/>
          <w:lang w:eastAsia="en-AU"/>
        </w:rPr>
        <w:fldChar w:fldCharType="end"/>
      </w:r>
      <w:bookmarkEnd w:id="93"/>
      <w:r w:rsidR="00E532F8" w:rsidRPr="00C66550">
        <w:rPr>
          <w:noProof/>
          <w:lang w:eastAsia="en-AU"/>
        </w:rPr>
        <w:t xml:space="preserve">: </w:t>
      </w:r>
      <w:r w:rsidR="00E532F8" w:rsidRPr="00C66550">
        <w:rPr>
          <w:noProof/>
          <w:lang w:eastAsia="en-AU"/>
        </w:rPr>
        <w:tab/>
        <w:t>Comparison of recovery rates for MSW in selected nations (% by weight)</w:t>
      </w:r>
      <w:bookmarkEnd w:id="94"/>
    </w:p>
    <w:p w:rsidR="00FA1C83" w:rsidRPr="00C66550" w:rsidRDefault="00FA1C83" w:rsidP="00FB4820">
      <w:pPr>
        <w:pStyle w:val="Figures"/>
        <w:rPr>
          <w:noProof/>
          <w:lang w:eastAsia="en-AU"/>
        </w:rPr>
      </w:pPr>
    </w:p>
    <w:p w:rsidR="00E532F8" w:rsidRPr="00C66550" w:rsidRDefault="00E532F8" w:rsidP="00FB4820">
      <w:pPr>
        <w:pStyle w:val="Figures"/>
        <w:rPr>
          <w:noProof/>
          <w:lang w:eastAsia="en-AU"/>
        </w:rPr>
      </w:pPr>
      <w:bookmarkStart w:id="95" w:name="_Ref348938966"/>
      <w:bookmarkStart w:id="96" w:name="_Toc299783014"/>
      <w:bookmarkStart w:id="97" w:name="_Toc299790542"/>
      <w:bookmarkStart w:id="98" w:name="_Toc299955572"/>
      <w:bookmarkStart w:id="99" w:name="_Toc308623163"/>
      <w:bookmarkStart w:id="100" w:name="_Toc308623315"/>
      <w:bookmarkStart w:id="101" w:name="_Toc365385027"/>
      <w:r w:rsidRPr="00C66550">
        <w:rPr>
          <w:noProof/>
          <w:lang w:eastAsia="en-AU"/>
        </w:rPr>
        <w:t xml:space="preserve">Figure </w:t>
      </w:r>
      <w:r w:rsidR="0062001A" w:rsidRPr="00C66550">
        <w:rPr>
          <w:noProof/>
          <w:lang w:eastAsia="en-AU"/>
        </w:rPr>
        <w:fldChar w:fldCharType="begin"/>
      </w:r>
      <w:r w:rsidRPr="00C66550">
        <w:rPr>
          <w:noProof/>
          <w:lang w:eastAsia="en-AU"/>
        </w:rPr>
        <w:instrText xml:space="preserve"> SEQ Figure \* ARABIC </w:instrText>
      </w:r>
      <w:r w:rsidR="0062001A" w:rsidRPr="00C66550">
        <w:rPr>
          <w:noProof/>
          <w:lang w:eastAsia="en-AU"/>
        </w:rPr>
        <w:fldChar w:fldCharType="separate"/>
      </w:r>
      <w:r w:rsidR="00D96003">
        <w:rPr>
          <w:noProof/>
          <w:lang w:eastAsia="en-AU"/>
        </w:rPr>
        <w:t>18</w:t>
      </w:r>
      <w:r w:rsidR="0062001A" w:rsidRPr="00C66550">
        <w:rPr>
          <w:noProof/>
          <w:lang w:eastAsia="en-AU"/>
        </w:rPr>
        <w:fldChar w:fldCharType="end"/>
      </w:r>
      <w:bookmarkEnd w:id="95"/>
      <w:r w:rsidRPr="00C66550">
        <w:rPr>
          <w:noProof/>
          <w:lang w:eastAsia="en-AU"/>
        </w:rPr>
        <w:t xml:space="preserve">: </w:t>
      </w:r>
      <w:bookmarkEnd w:id="96"/>
      <w:bookmarkEnd w:id="97"/>
      <w:bookmarkEnd w:id="98"/>
      <w:r w:rsidRPr="00C66550">
        <w:rPr>
          <w:noProof/>
          <w:lang w:eastAsia="en-AU"/>
        </w:rPr>
        <w:tab/>
      </w:r>
      <w:bookmarkEnd w:id="99"/>
      <w:bookmarkEnd w:id="100"/>
      <w:r w:rsidRPr="00C66550">
        <w:rPr>
          <w:noProof/>
          <w:lang w:eastAsia="en-AU"/>
        </w:rPr>
        <w:t>Comparison of the per capita quantities of MSW resource recovery</w:t>
      </w:r>
      <w:r w:rsidR="00E5424C" w:rsidRPr="00C66550">
        <w:rPr>
          <w:noProof/>
          <w:lang w:eastAsia="en-AU"/>
        </w:rPr>
        <w:t xml:space="preserve"> </w:t>
      </w:r>
      <w:r w:rsidRPr="00C66550">
        <w:rPr>
          <w:noProof/>
          <w:lang w:eastAsia="en-AU"/>
        </w:rPr>
        <w:t>in selected nations (kg/capita/year)</w:t>
      </w:r>
      <w:bookmarkEnd w:id="101"/>
    </w:p>
    <w:p w:rsidR="00144D6A" w:rsidRPr="00C66550" w:rsidRDefault="00144D6A" w:rsidP="00144D6A">
      <w:pPr>
        <w:tabs>
          <w:tab w:val="left" w:pos="0"/>
        </w:tabs>
        <w:spacing w:after="120"/>
        <w:ind w:left="993" w:hanging="993"/>
        <w:rPr>
          <w:sz w:val="22"/>
        </w:rPr>
      </w:pPr>
    </w:p>
    <w:p w:rsidR="00144D6A" w:rsidRPr="00C66550" w:rsidRDefault="004A06D3" w:rsidP="00E532F8">
      <w:pPr>
        <w:rPr>
          <w:sz w:val="22"/>
        </w:rPr>
      </w:pPr>
      <w:r w:rsidRPr="00C66550">
        <w:rPr>
          <w:noProof/>
          <w:lang w:eastAsia="en-AU"/>
        </w:rPr>
        <w:drawing>
          <wp:anchor distT="0" distB="0" distL="114300" distR="114300" simplePos="0" relativeHeight="251777024" behindDoc="0" locked="0" layoutInCell="1" allowOverlap="1">
            <wp:simplePos x="0" y="0"/>
            <wp:positionH relativeFrom="column">
              <wp:posOffset>-565150</wp:posOffset>
            </wp:positionH>
            <wp:positionV relativeFrom="paragraph">
              <wp:posOffset>13970</wp:posOffset>
            </wp:positionV>
            <wp:extent cx="6067425" cy="3724275"/>
            <wp:effectExtent l="0" t="0" r="9525" b="9525"/>
            <wp:wrapSquare wrapText="bothSides"/>
            <wp:docPr id="56" name="Picture 35"/>
            <wp:cNvGraphicFramePr/>
            <a:graphic xmlns:a="http://schemas.openxmlformats.org/drawingml/2006/main">
              <a:graphicData uri="http://schemas.openxmlformats.org/drawingml/2006/picture">
                <pic:pic xmlns:pic="http://schemas.openxmlformats.org/drawingml/2006/picture">
                  <pic:nvPicPr>
                    <pic:cNvPr id="56" name="Picture 35"/>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7425" cy="3724275"/>
                    </a:xfrm>
                    <a:prstGeom prst="rect">
                      <a:avLst/>
                    </a:prstGeom>
                    <a:noFill/>
                    <a:ln w="9525">
                      <a:noFill/>
                      <a:miter lim="800000"/>
                      <a:headEnd/>
                      <a:tailEnd/>
                    </a:ln>
                  </pic:spPr>
                </pic:pic>
              </a:graphicData>
            </a:graphic>
          </wp:anchor>
        </w:drawing>
      </w: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62001A" w:rsidP="00E532F8">
      <w:pPr>
        <w:rPr>
          <w:sz w:val="22"/>
        </w:rPr>
      </w:pPr>
      <w:r w:rsidRPr="0062001A">
        <w:rPr>
          <w:rFonts w:ascii="Times New Roman" w:hAnsi="Times New Roman" w:cs="Times New Roman"/>
          <w:noProof/>
          <w:sz w:val="24"/>
          <w:szCs w:val="24"/>
          <w:lang w:eastAsia="en-AU"/>
        </w:rPr>
        <w:pict>
          <v:shape id="Down Arrow 2" o:spid="_x0000_s1027" type="#_x0000_t67" style="position:absolute;margin-left:-171.45pt;margin-top:4.6pt;width:9pt;height:1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">
            <v:textbox style="layout-flow:vertical-ideographic"/>
          </v:shape>
        </w:pict>
      </w: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4A06D3" w:rsidRPr="00C66550" w:rsidRDefault="004A06D3" w:rsidP="00E532F8">
      <w:pPr>
        <w:rPr>
          <w:sz w:val="22"/>
        </w:rPr>
      </w:pPr>
    </w:p>
    <w:p w:rsidR="00384FBD" w:rsidRPr="00C66550" w:rsidRDefault="00384FBD">
      <w:pPr>
        <w:spacing w:line="240" w:lineRule="auto"/>
        <w:rPr>
          <w:color w:val="080808"/>
          <w:sz w:val="22"/>
          <w:highlight w:val="yellow"/>
        </w:rPr>
      </w:pPr>
      <w:r w:rsidRPr="00C66550">
        <w:rPr>
          <w:highlight w:val="yellow"/>
        </w:rPr>
        <w:br w:type="page"/>
      </w:r>
    </w:p>
    <w:p w:rsidR="00A47F8F" w:rsidRPr="00C66550" w:rsidRDefault="00777C18" w:rsidP="006D25F9">
      <w:pPr>
        <w:pStyle w:val="Heading1"/>
      </w:pPr>
      <w:bookmarkStart w:id="102" w:name="_Ref360648950"/>
      <w:bookmarkStart w:id="103" w:name="_Toc379466361"/>
      <w:bookmarkStart w:id="104" w:name="_Ref349916989"/>
      <w:r w:rsidRPr="00C66550">
        <w:lastRenderedPageBreak/>
        <w:t>Australian Capital Territory</w:t>
      </w:r>
      <w:bookmarkEnd w:id="102"/>
      <w:bookmarkEnd w:id="103"/>
      <w:r w:rsidR="00191867" w:rsidRPr="00C66550">
        <w:t xml:space="preserve"> </w:t>
      </w:r>
      <w:bookmarkEnd w:id="104"/>
    </w:p>
    <w:p w:rsidR="00627520" w:rsidRPr="00C66550" w:rsidRDefault="00B335BF" w:rsidP="006D25F9">
      <w:pPr>
        <w:pStyle w:val="Heading2"/>
      </w:pPr>
      <w:bookmarkStart w:id="105" w:name="_Toc379466362"/>
      <w:r w:rsidRPr="00C66550">
        <w:t xml:space="preserve">ACT </w:t>
      </w:r>
      <w:r w:rsidR="00627520" w:rsidRPr="00C66550">
        <w:t>2010/11</w:t>
      </w:r>
      <w:bookmarkEnd w:id="105"/>
    </w:p>
    <w:p w:rsidR="0011222A" w:rsidRPr="00C66550" w:rsidRDefault="0011222A" w:rsidP="006D25F9">
      <w:pPr>
        <w:pStyle w:val="Heading3"/>
      </w:pPr>
      <w:r w:rsidRPr="00C66550">
        <w:t>Per capita waste generation and resource recovery rate</w:t>
      </w:r>
    </w:p>
    <w:p w:rsidR="009B34A2" w:rsidRPr="00C66550" w:rsidRDefault="001D1425" w:rsidP="00A13A4A">
      <w:pPr>
        <w:pStyle w:val="BodyText"/>
      </w:pPr>
      <w:r w:rsidRPr="00C66550">
        <w:t xml:space="preserve">In 2010/11, </w:t>
      </w:r>
      <w:r w:rsidR="00AE087C" w:rsidRPr="00C66550">
        <w:t>the ACT</w:t>
      </w:r>
      <w:r w:rsidR="00E223D0" w:rsidRPr="00C66550">
        <w:t xml:space="preserve"> generated</w:t>
      </w:r>
      <w:r w:rsidR="00AE087C" w:rsidRPr="00C66550">
        <w:t xml:space="preserve"> </w:t>
      </w:r>
      <w:r w:rsidRPr="00C66550">
        <w:t>2.6 tonnes</w:t>
      </w:r>
      <w:r w:rsidR="00E223D0" w:rsidRPr="00C66550">
        <w:t xml:space="preserve"> of waste per capita</w:t>
      </w:r>
      <w:r w:rsidRPr="00C66550">
        <w:t xml:space="preserve"> (see </w:t>
      </w:r>
      <w:r w:rsidR="0062001A" w:rsidRPr="00C66550">
        <w:fldChar w:fldCharType="begin"/>
      </w:r>
      <w:r w:rsidR="00A13A4A" w:rsidRPr="00C66550">
        <w:instrText xml:space="preserve"> REF _Ref348975336 \h </w:instrText>
      </w:r>
      <w:r w:rsidR="0062001A" w:rsidRPr="00C66550">
        <w:fldChar w:fldCharType="separate"/>
      </w:r>
      <w:r w:rsidR="00D96003" w:rsidRPr="00C66550">
        <w:t xml:space="preserve">Figure </w:t>
      </w:r>
      <w:r w:rsidR="00D96003">
        <w:rPr>
          <w:noProof/>
        </w:rPr>
        <w:t>6</w:t>
      </w:r>
      <w:r w:rsidR="0062001A" w:rsidRPr="00C66550">
        <w:fldChar w:fldCharType="end"/>
      </w:r>
      <w:r w:rsidR="00A13A4A" w:rsidRPr="00C66550">
        <w:t>)</w:t>
      </w:r>
      <w:r w:rsidR="00E223D0" w:rsidRPr="00C66550">
        <w:t>,</w:t>
      </w:r>
      <w:r w:rsidR="00284384" w:rsidRPr="00C66550">
        <w:t xml:space="preserve"> which was </w:t>
      </w:r>
      <w:r w:rsidR="00A13A4A" w:rsidRPr="00C66550">
        <w:t xml:space="preserve">the </w:t>
      </w:r>
      <w:r w:rsidR="000F0AF6" w:rsidRPr="00C66550">
        <w:t xml:space="preserve">equal </w:t>
      </w:r>
      <w:r w:rsidR="00A13A4A" w:rsidRPr="00C66550">
        <w:t>highest</w:t>
      </w:r>
      <w:r w:rsidR="000F0AF6" w:rsidRPr="00C66550">
        <w:t xml:space="preserve"> (with WA)</w:t>
      </w:r>
      <w:r w:rsidR="00A13A4A" w:rsidRPr="00C66550">
        <w:t xml:space="preserve"> in Australia</w:t>
      </w:r>
      <w:r w:rsidR="009B34A2" w:rsidRPr="00C66550">
        <w:t>.</w:t>
      </w:r>
      <w:r w:rsidR="00251211" w:rsidRPr="00C66550">
        <w:t xml:space="preserve"> </w:t>
      </w:r>
      <w:r w:rsidR="009B34A2" w:rsidRPr="00C66550">
        <w:t>This</w:t>
      </w:r>
      <w:r w:rsidR="00E223D0" w:rsidRPr="00C66550">
        <w:t xml:space="preserve"> high rate is consistent with</w:t>
      </w:r>
      <w:r w:rsidR="009B34A2" w:rsidRPr="00C66550">
        <w:t xml:space="preserve"> </w:t>
      </w:r>
      <w:r w:rsidR="00CB3FDF" w:rsidRPr="00C66550">
        <w:t xml:space="preserve">the pattern </w:t>
      </w:r>
      <w:r w:rsidR="004711E8" w:rsidRPr="00C66550">
        <w:t xml:space="preserve">of </w:t>
      </w:r>
      <w:r w:rsidR="00E223D0" w:rsidRPr="00C66550">
        <w:t>more</w:t>
      </w:r>
      <w:r w:rsidR="00125AC2" w:rsidRPr="00C66550">
        <w:t xml:space="preserve"> waste </w:t>
      </w:r>
      <w:r w:rsidR="00E223D0" w:rsidRPr="00C66550">
        <w:t>per capita where incomes and urbanisation are high</w:t>
      </w:r>
      <w:r w:rsidR="009B34A2" w:rsidRPr="00C66550">
        <w:t xml:space="preserve"> (see </w:t>
      </w:r>
      <w:r w:rsidR="00912151" w:rsidRPr="00C66550">
        <w:t>section</w:t>
      </w:r>
      <w:r w:rsidR="009B34A2" w:rsidRPr="00C66550">
        <w:t xml:space="preserve"> </w:t>
      </w:r>
      <w:r w:rsidR="0062001A" w:rsidRPr="00C66550">
        <w:fldChar w:fldCharType="begin"/>
      </w:r>
      <w:r w:rsidR="009B34A2" w:rsidRPr="00C66550">
        <w:instrText xml:space="preserve"> REF _Ref348975624 \r \h </w:instrText>
      </w:r>
      <w:r w:rsidR="0062001A" w:rsidRPr="00C66550">
        <w:fldChar w:fldCharType="separate"/>
      </w:r>
      <w:r w:rsidR="00D96003">
        <w:t>2</w:t>
      </w:r>
      <w:r w:rsidR="0062001A" w:rsidRPr="00C66550">
        <w:fldChar w:fldCharType="end"/>
      </w:r>
      <w:r w:rsidR="009B34A2" w:rsidRPr="00C66550">
        <w:t>).</w:t>
      </w:r>
      <w:r w:rsidR="00FF12A8" w:rsidRPr="00C66550">
        <w:t xml:space="preserve"> </w:t>
      </w:r>
    </w:p>
    <w:p w:rsidR="00711567" w:rsidRPr="00C66550" w:rsidRDefault="00711567" w:rsidP="00A13A4A">
      <w:pPr>
        <w:pStyle w:val="BodyText"/>
      </w:pPr>
    </w:p>
    <w:p w:rsidR="000F253B" w:rsidRPr="00C66550" w:rsidRDefault="00AF55BE" w:rsidP="00A13A4A">
      <w:pPr>
        <w:pStyle w:val="BodyText"/>
      </w:pPr>
      <w:r w:rsidRPr="00C66550">
        <w:t>T</w:t>
      </w:r>
      <w:r w:rsidR="009B34A2" w:rsidRPr="00C66550">
        <w:t xml:space="preserve">he </w:t>
      </w:r>
      <w:r w:rsidR="00251211" w:rsidRPr="00C66550">
        <w:t>ACT also had Australia</w:t>
      </w:r>
      <w:r w:rsidR="0012047B" w:rsidRPr="00C66550">
        <w:t>’s</w:t>
      </w:r>
      <w:r w:rsidR="00251211" w:rsidRPr="00C66550">
        <w:t xml:space="preserve"> highest resource recovery rate at around 7</w:t>
      </w:r>
      <w:r w:rsidR="00EF291A" w:rsidRPr="00C66550">
        <w:t>9</w:t>
      </w:r>
      <w:r w:rsidR="00251211" w:rsidRPr="00C66550">
        <w:t>%</w:t>
      </w:r>
      <w:r w:rsidR="009B34A2" w:rsidRPr="00C66550">
        <w:t xml:space="preserve"> </w:t>
      </w:r>
      <w:r w:rsidRPr="00C66550">
        <w:t>(see percentage above relevant bar in chart)</w:t>
      </w:r>
      <w:r w:rsidR="00E223D0" w:rsidRPr="00C66550">
        <w:t xml:space="preserve">. This </w:t>
      </w:r>
      <w:r w:rsidR="009B34A2" w:rsidRPr="00C66550">
        <w:t xml:space="preserve">is </w:t>
      </w:r>
      <w:r w:rsidR="004B522A" w:rsidRPr="00C66550">
        <w:t>19</w:t>
      </w:r>
      <w:r w:rsidR="009B34A2" w:rsidRPr="00C66550">
        <w:t>% above the national average and reflects on ACT</w:t>
      </w:r>
      <w:r w:rsidR="00E223D0" w:rsidRPr="00C66550">
        <w:t xml:space="preserve"> having</w:t>
      </w:r>
      <w:r w:rsidR="000F253B" w:rsidRPr="00C66550">
        <w:t>:</w:t>
      </w:r>
    </w:p>
    <w:p w:rsidR="000F253B" w:rsidRPr="00C66550" w:rsidRDefault="00E223D0" w:rsidP="00D66AA7">
      <w:pPr>
        <w:pStyle w:val="Bullet1"/>
      </w:pPr>
      <w:r w:rsidRPr="00C66550">
        <w:t xml:space="preserve">a </w:t>
      </w:r>
      <w:r w:rsidR="00C43487" w:rsidRPr="00C66550">
        <w:t>well-developed</w:t>
      </w:r>
      <w:r w:rsidR="009B34A2" w:rsidRPr="00C66550">
        <w:t xml:space="preserve"> resource recovery infrastructure</w:t>
      </w:r>
    </w:p>
    <w:p w:rsidR="000F253B" w:rsidRPr="00C66550" w:rsidRDefault="00E223D0" w:rsidP="00D66AA7">
      <w:pPr>
        <w:pStyle w:val="Bullet1"/>
      </w:pPr>
      <w:r w:rsidRPr="00C66550">
        <w:t xml:space="preserve">high </w:t>
      </w:r>
      <w:r w:rsidR="0012047B" w:rsidRPr="00C66550">
        <w:t xml:space="preserve">landfill </w:t>
      </w:r>
      <w:r w:rsidR="00CE6971" w:rsidRPr="00C66550">
        <w:t xml:space="preserve">fees </w:t>
      </w:r>
      <w:r w:rsidRPr="00C66550">
        <w:t xml:space="preserve">that are </w:t>
      </w:r>
      <w:r w:rsidR="0012047B" w:rsidRPr="00C66550">
        <w:t>equivalent to</w:t>
      </w:r>
      <w:r w:rsidRPr="00C66550">
        <w:t xml:space="preserve"> having</w:t>
      </w:r>
      <w:r w:rsidR="0012047B" w:rsidRPr="00C66550">
        <w:t xml:space="preserve"> </w:t>
      </w:r>
      <w:r w:rsidR="000F253B" w:rsidRPr="00C66550">
        <w:t xml:space="preserve">the second </w:t>
      </w:r>
      <w:r w:rsidR="009B34A2" w:rsidRPr="00C66550">
        <w:t>high</w:t>
      </w:r>
      <w:r w:rsidR="000F253B" w:rsidRPr="00C66550">
        <w:t>est</w:t>
      </w:r>
      <w:r w:rsidR="009B34A2" w:rsidRPr="00C66550">
        <w:t xml:space="preserve"> landfill levy</w:t>
      </w:r>
      <w:r w:rsidR="0012047B" w:rsidRPr="00C66550">
        <w:t xml:space="preserve"> in Australia</w:t>
      </w:r>
      <w:r w:rsidR="00CE6971" w:rsidRPr="00C66550">
        <w:rPr>
          <w:rStyle w:val="FootnoteReference"/>
        </w:rPr>
        <w:footnoteReference w:id="8"/>
      </w:r>
    </w:p>
    <w:p w:rsidR="00CC4F45" w:rsidRPr="00C66550" w:rsidRDefault="009B34A2" w:rsidP="00D66AA7">
      <w:pPr>
        <w:pStyle w:val="Bullet1"/>
      </w:pPr>
      <w:r w:rsidRPr="00C66550">
        <w:t>well established policy directions</w:t>
      </w:r>
      <w:r w:rsidR="007C7B82" w:rsidRPr="00C66550">
        <w:t xml:space="preserve"> </w:t>
      </w:r>
      <w:r w:rsidRPr="00C66550">
        <w:t>to increase resource recovery</w:t>
      </w:r>
      <w:r w:rsidR="00E223D0" w:rsidRPr="00C66550">
        <w:t>, targeting 80% by 2015</w:t>
      </w:r>
    </w:p>
    <w:p w:rsidR="00251211" w:rsidRPr="00C66550" w:rsidRDefault="00CC4F45" w:rsidP="00D66AA7">
      <w:pPr>
        <w:pStyle w:val="Bullet1"/>
      </w:pPr>
      <w:r w:rsidRPr="00C66550">
        <w:t xml:space="preserve">relatively compact size, with most of the population and business activity concentrated </w:t>
      </w:r>
      <w:r w:rsidR="0035333F" w:rsidRPr="00C66550">
        <w:t>in Canberra</w:t>
      </w:r>
      <w:r w:rsidR="009B34A2" w:rsidRPr="00C66550">
        <w:t xml:space="preserve">. </w:t>
      </w:r>
    </w:p>
    <w:p w:rsidR="00EF291A" w:rsidRPr="00C66550" w:rsidRDefault="00E264ED" w:rsidP="006D25F9">
      <w:pPr>
        <w:pStyle w:val="Heading3"/>
      </w:pPr>
      <w:r w:rsidRPr="00C66550">
        <w:t xml:space="preserve">Total </w:t>
      </w:r>
      <w:r w:rsidR="0089707A" w:rsidRPr="00C66550">
        <w:t>waste generated</w:t>
      </w:r>
    </w:p>
    <w:p w:rsidR="00EF291A" w:rsidRPr="00C66550" w:rsidRDefault="00D534E5" w:rsidP="00A13A4A">
      <w:pPr>
        <w:pStyle w:val="BodyText"/>
      </w:pPr>
      <w:r w:rsidRPr="00C66550">
        <w:t>A</w:t>
      </w:r>
      <w:r w:rsidR="0089707A" w:rsidRPr="00C66550">
        <w:t>round 930</w:t>
      </w:r>
      <w:r w:rsidR="00E4645F" w:rsidRPr="00C66550">
        <w:t xml:space="preserve"> thousand tonnes (kilotonnes, or </w:t>
      </w:r>
      <w:r w:rsidR="0089707A" w:rsidRPr="00C66550">
        <w:t>kt</w:t>
      </w:r>
      <w:r w:rsidR="00E4645F" w:rsidRPr="00C66550">
        <w:t>)</w:t>
      </w:r>
      <w:r w:rsidR="0089707A" w:rsidRPr="00C66550">
        <w:t xml:space="preserve"> of waste was generated</w:t>
      </w:r>
      <w:r w:rsidR="00456FB3" w:rsidRPr="00C66550">
        <w:t xml:space="preserve"> in the ACT </w:t>
      </w:r>
      <w:r w:rsidR="0089707A" w:rsidRPr="00C66550">
        <w:t>in</w:t>
      </w:r>
      <w:r w:rsidR="00456FB3" w:rsidRPr="00C66550">
        <w:t xml:space="preserve"> 2010/11</w:t>
      </w:r>
      <w:r w:rsidR="000841D2" w:rsidRPr="00C66550">
        <w:t>,</w:t>
      </w:r>
      <w:r w:rsidR="00456FB3" w:rsidRPr="00C66550">
        <w:t xml:space="preserve"> </w:t>
      </w:r>
      <w:r w:rsidR="00623503" w:rsidRPr="00C66550">
        <w:t xml:space="preserve">lower than all jurisdictions except the Northern Territory and </w:t>
      </w:r>
      <w:r w:rsidR="00DF4FB7">
        <w:t>Tas</w:t>
      </w:r>
      <w:r w:rsidRPr="00C66550">
        <w:t xml:space="preserve"> (see </w:t>
      </w:r>
      <w:r w:rsidR="0062001A" w:rsidRPr="00C66550">
        <w:fldChar w:fldCharType="begin"/>
      </w:r>
      <w:r w:rsidRPr="00C66550">
        <w:instrText xml:space="preserve"> REF _Ref348976471 \h </w:instrText>
      </w:r>
      <w:r w:rsidR="0062001A" w:rsidRPr="00C66550">
        <w:fldChar w:fldCharType="separate"/>
      </w:r>
      <w:r w:rsidR="00D96003" w:rsidRPr="00C66550">
        <w:t xml:space="preserve">Figure </w:t>
      </w:r>
      <w:r w:rsidR="00D96003">
        <w:rPr>
          <w:noProof/>
        </w:rPr>
        <w:t>19</w:t>
      </w:r>
      <w:r w:rsidR="0062001A" w:rsidRPr="00C66550">
        <w:fldChar w:fldCharType="end"/>
      </w:r>
      <w:r w:rsidRPr="00C66550">
        <w:t>)</w:t>
      </w:r>
      <w:r w:rsidR="00D11A57" w:rsidRPr="00C66550">
        <w:t>.</w:t>
      </w:r>
      <w:r w:rsidR="00456FB3" w:rsidRPr="00C66550">
        <w:t xml:space="preserve"> </w:t>
      </w:r>
    </w:p>
    <w:p w:rsidR="00A94F62" w:rsidRPr="00C66550" w:rsidRDefault="00A94F62" w:rsidP="006D25F9">
      <w:pPr>
        <w:pStyle w:val="Heading3"/>
      </w:pPr>
      <w:r w:rsidRPr="00C66550">
        <w:t>Material categories</w:t>
      </w:r>
    </w:p>
    <w:p w:rsidR="00456FB3" w:rsidRPr="00C66550" w:rsidRDefault="0062001A" w:rsidP="00A13A4A">
      <w:pPr>
        <w:pStyle w:val="BodyText"/>
      </w:pPr>
      <w:r w:rsidRPr="00C66550">
        <w:fldChar w:fldCharType="begin"/>
      </w:r>
      <w:r w:rsidR="00511C7C" w:rsidRPr="00C66550">
        <w:instrText xml:space="preserve"> REF _Ref348976471 \h </w:instrText>
      </w:r>
      <w:r w:rsidRPr="00C66550">
        <w:fldChar w:fldCharType="separate"/>
      </w:r>
      <w:r w:rsidR="00D96003" w:rsidRPr="00C66550">
        <w:t xml:space="preserve">Figure </w:t>
      </w:r>
      <w:r w:rsidR="00D96003">
        <w:rPr>
          <w:noProof/>
        </w:rPr>
        <w:t>19</w:t>
      </w:r>
      <w:r w:rsidRPr="00C66550">
        <w:fldChar w:fldCharType="end"/>
      </w:r>
      <w:r w:rsidR="00511C7C" w:rsidRPr="00C66550">
        <w:t xml:space="preserve"> also show</w:t>
      </w:r>
      <w:r w:rsidR="00B80EFC" w:rsidRPr="00C66550">
        <w:t>s</w:t>
      </w:r>
      <w:r w:rsidR="00EF291A" w:rsidRPr="00C66550">
        <w:t xml:space="preserve"> the composition by material category of ACT’s waste</w:t>
      </w:r>
      <w:r w:rsidR="0090748B" w:rsidRPr="00C66550">
        <w:t xml:space="preserve">. The </w:t>
      </w:r>
      <w:r w:rsidR="00511C7C" w:rsidRPr="00C66550">
        <w:t xml:space="preserve">majority of ACT’s waste </w:t>
      </w:r>
      <w:r w:rsidR="00B80EFC" w:rsidRPr="00C66550">
        <w:t xml:space="preserve">consists of </w:t>
      </w:r>
      <w:r w:rsidR="009A0130" w:rsidRPr="00C66550">
        <w:t xml:space="preserve">recovered </w:t>
      </w:r>
      <w:r w:rsidR="00B80EFC" w:rsidRPr="00C66550">
        <w:t>organics, masonry materials, and paper and cardboard</w:t>
      </w:r>
      <w:r w:rsidR="009A0130" w:rsidRPr="00C66550">
        <w:t xml:space="preserve">. This </w:t>
      </w:r>
      <w:r w:rsidR="00B80EFC" w:rsidRPr="00C66550">
        <w:t>reflect</w:t>
      </w:r>
      <w:r w:rsidR="009A0130" w:rsidRPr="00C66550">
        <w:t>s</w:t>
      </w:r>
      <w:r w:rsidR="00B80EFC" w:rsidRPr="00C66550">
        <w:t xml:space="preserve"> the high levels of </w:t>
      </w:r>
      <w:r w:rsidR="009A0130" w:rsidRPr="00C66550">
        <w:t xml:space="preserve">green and timber </w:t>
      </w:r>
      <w:r w:rsidR="00B80EFC" w:rsidRPr="00C66550">
        <w:t xml:space="preserve">organics collection </w:t>
      </w:r>
      <w:r w:rsidR="009A0130" w:rsidRPr="00C66550">
        <w:t xml:space="preserve">at </w:t>
      </w:r>
      <w:r w:rsidR="00B80EFC" w:rsidRPr="00C66550">
        <w:t>ACT</w:t>
      </w:r>
      <w:r w:rsidR="00623503" w:rsidRPr="00C66550">
        <w:t xml:space="preserve">’s landfill and </w:t>
      </w:r>
      <w:r w:rsidR="009A0130" w:rsidRPr="00C66550">
        <w:t>transfer stations</w:t>
      </w:r>
      <w:r w:rsidR="00623503" w:rsidRPr="00C66550">
        <w:t>,</w:t>
      </w:r>
      <w:r w:rsidR="009A0130" w:rsidRPr="00C66550">
        <w:t xml:space="preserve"> </w:t>
      </w:r>
      <w:r w:rsidR="00B80EFC" w:rsidRPr="00C66550">
        <w:t xml:space="preserve">and </w:t>
      </w:r>
      <w:r w:rsidR="009A0130" w:rsidRPr="00C66550">
        <w:t xml:space="preserve">also the low levels of industry </w:t>
      </w:r>
      <w:r w:rsidR="00712674" w:rsidRPr="00C66550">
        <w:t>(apart from construction and demolition)</w:t>
      </w:r>
      <w:r w:rsidR="00B80EFC" w:rsidRPr="00C66550">
        <w:t xml:space="preserve"> </w:t>
      </w:r>
      <w:r w:rsidR="009A0130" w:rsidRPr="00C66550">
        <w:t>in the ACT.</w:t>
      </w:r>
      <w:r w:rsidR="00FF12A8" w:rsidRPr="00C66550">
        <w:t xml:space="preserve"> </w:t>
      </w:r>
      <w:r w:rsidR="00623503" w:rsidRPr="00C66550">
        <w:t xml:space="preserve">The estimated </w:t>
      </w:r>
      <w:r w:rsidR="00104162" w:rsidRPr="00C66550">
        <w:t>r</w:t>
      </w:r>
      <w:r w:rsidR="00EF291A" w:rsidRPr="00C66550">
        <w:t xml:space="preserve">ecovery rates </w:t>
      </w:r>
      <w:r w:rsidR="00104162" w:rsidRPr="00C66550">
        <w:t>for</w:t>
      </w:r>
      <w:r w:rsidR="00EF291A" w:rsidRPr="00C66550">
        <w:t xml:space="preserve"> plastic </w:t>
      </w:r>
      <w:r w:rsidR="00623503" w:rsidRPr="00C66550">
        <w:t>(</w:t>
      </w:r>
      <w:r w:rsidR="00EF291A" w:rsidRPr="00C66550">
        <w:t>7%</w:t>
      </w:r>
      <w:r w:rsidR="00623503" w:rsidRPr="00C66550">
        <w:t>)</w:t>
      </w:r>
      <w:r w:rsidR="00EF291A" w:rsidRPr="00C66550">
        <w:t xml:space="preserve"> and metals </w:t>
      </w:r>
      <w:r w:rsidR="00623503" w:rsidRPr="00C66550">
        <w:t>(</w:t>
      </w:r>
      <w:r w:rsidR="00EF291A" w:rsidRPr="00C66550">
        <w:t>37%</w:t>
      </w:r>
      <w:r w:rsidR="00623503" w:rsidRPr="00C66550">
        <w:t>)</w:t>
      </w:r>
      <w:r w:rsidR="00EF291A" w:rsidRPr="00C66550">
        <w:t xml:space="preserve"> </w:t>
      </w:r>
      <w:r w:rsidR="0016096D" w:rsidRPr="00C66550">
        <w:t xml:space="preserve">are </w:t>
      </w:r>
      <w:r w:rsidR="00D86D77" w:rsidRPr="00C66550">
        <w:t xml:space="preserve">well </w:t>
      </w:r>
      <w:r w:rsidR="0016096D" w:rsidRPr="00C66550">
        <w:t>below the national average suggesting a lack of recovery infrastructure for these material categories and/or a lack of end market for the lower grade plastics and metals</w:t>
      </w:r>
      <w:r w:rsidR="00EF291A" w:rsidRPr="00C66550">
        <w:t xml:space="preserve">. </w:t>
      </w:r>
    </w:p>
    <w:p w:rsidR="00A94F62" w:rsidRPr="00C66550" w:rsidRDefault="00A94F62" w:rsidP="006D25F9">
      <w:pPr>
        <w:pStyle w:val="Heading3"/>
      </w:pPr>
      <w:r w:rsidRPr="00C66550">
        <w:t xml:space="preserve">Waste streams </w:t>
      </w:r>
    </w:p>
    <w:p w:rsidR="00A4179E" w:rsidRPr="00C66550" w:rsidRDefault="004343C6" w:rsidP="00A13A4A">
      <w:pPr>
        <w:pStyle w:val="BodyText"/>
      </w:pPr>
      <w:r w:rsidRPr="00C66550">
        <w:t xml:space="preserve">The ACT does not collect data on the </w:t>
      </w:r>
      <w:r w:rsidR="00C151A5" w:rsidRPr="00C66550">
        <w:t>source</w:t>
      </w:r>
      <w:r w:rsidRPr="00C66550">
        <w:t xml:space="preserve"> streams</w:t>
      </w:r>
      <w:r w:rsidR="00C151A5" w:rsidRPr="00C66550">
        <w:t xml:space="preserve"> of</w:t>
      </w:r>
      <w:r w:rsidRPr="00C66550">
        <w:t xml:space="preserve"> recycl</w:t>
      </w:r>
      <w:r w:rsidR="00C151A5" w:rsidRPr="00C66550">
        <w:t>ed material</w:t>
      </w:r>
      <w:r w:rsidRPr="00C66550">
        <w:t xml:space="preserve"> </w:t>
      </w:r>
      <w:r w:rsidR="0090748B" w:rsidRPr="00C66550">
        <w:t>so</w:t>
      </w:r>
      <w:r w:rsidRPr="00C66550">
        <w:t xml:space="preserve"> waste steams analysis </w:t>
      </w:r>
      <w:r w:rsidR="0090748B" w:rsidRPr="00C66550">
        <w:t xml:space="preserve">is not </w:t>
      </w:r>
      <w:r w:rsidRPr="00C66550">
        <w:t>included</w:t>
      </w:r>
      <w:r w:rsidR="0090748B" w:rsidRPr="00C66550">
        <w:t xml:space="preserve"> here</w:t>
      </w:r>
      <w:r w:rsidRPr="00C66550">
        <w:t xml:space="preserve">. </w:t>
      </w:r>
    </w:p>
    <w:p w:rsidR="00F14A58" w:rsidRPr="00C66550" w:rsidRDefault="00F14A58" w:rsidP="00A13A4A">
      <w:pPr>
        <w:pStyle w:val="BodyText"/>
      </w:pPr>
    </w:p>
    <w:p w:rsidR="00F14A58" w:rsidRPr="00C66550" w:rsidRDefault="00F14A58" w:rsidP="00A13A4A">
      <w:pPr>
        <w:pStyle w:val="BodyText"/>
      </w:pPr>
    </w:p>
    <w:p w:rsidR="00F14A58" w:rsidRPr="00C66550" w:rsidRDefault="00F14A58">
      <w:pPr>
        <w:spacing w:line="240" w:lineRule="auto"/>
        <w:rPr>
          <w:color w:val="080808"/>
          <w:sz w:val="22"/>
        </w:rPr>
      </w:pPr>
      <w:r w:rsidRPr="00C66550">
        <w:br w:type="page"/>
      </w:r>
    </w:p>
    <w:p w:rsidR="00361078" w:rsidRPr="00C66550" w:rsidRDefault="00361078" w:rsidP="00FB4820">
      <w:pPr>
        <w:pStyle w:val="Figures"/>
      </w:pPr>
      <w:bookmarkStart w:id="106" w:name="_Ref348976471"/>
      <w:bookmarkStart w:id="107" w:name="_Toc365385028"/>
      <w:r w:rsidRPr="00C66550">
        <w:lastRenderedPageBreak/>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19</w:t>
      </w:r>
      <w:r w:rsidR="0062001A" w:rsidRPr="00C66550">
        <w:rPr>
          <w:noProof/>
        </w:rPr>
        <w:fldChar w:fldCharType="end"/>
      </w:r>
      <w:bookmarkEnd w:id="106"/>
      <w:r w:rsidR="00E533BB" w:rsidRPr="00C66550">
        <w:t>:</w:t>
      </w:r>
      <w:r w:rsidR="00E533BB" w:rsidRPr="00C66550">
        <w:tab/>
      </w:r>
      <w:r w:rsidRPr="00C66550">
        <w:t>ACT 2010/11</w:t>
      </w:r>
      <w:r w:rsidR="000D7C2B">
        <w:t>, total waste generation</w:t>
      </w:r>
      <w:r w:rsidR="003A7FCE">
        <w:t xml:space="preserve"> by</w:t>
      </w:r>
      <w:r w:rsidR="001A4573" w:rsidRPr="00C66550">
        <w:t xml:space="preserve"> </w:t>
      </w:r>
      <w:r w:rsidR="005D3BC1" w:rsidRPr="00C66550">
        <w:t>(a) management</w:t>
      </w:r>
      <w:r w:rsidR="003A7FCE">
        <w:t xml:space="preserve"> and</w:t>
      </w:r>
      <w:r w:rsidR="005D3BC1" w:rsidRPr="00C66550">
        <w:t xml:space="preserve"> (b) material </w:t>
      </w:r>
      <w:r w:rsidR="001171DA" w:rsidRPr="00C66550">
        <w:t xml:space="preserve">category </w:t>
      </w:r>
      <w:r w:rsidR="005D3BC1" w:rsidRPr="00C66550">
        <w:t>and management</w:t>
      </w:r>
      <w:bookmarkEnd w:id="107"/>
    </w:p>
    <w:p w:rsidR="005D3BC1" w:rsidRPr="00C66550" w:rsidRDefault="005D3BC1" w:rsidP="00FB4820">
      <w:pPr>
        <w:pStyle w:val="Figures"/>
        <w:rPr>
          <w:noProof/>
          <w:lang w:eastAsia="en-AU"/>
        </w:rPr>
      </w:pPr>
      <w:r w:rsidRPr="00C66550">
        <w:t>(a)</w:t>
      </w:r>
    </w:p>
    <w:p w:rsidR="00712674" w:rsidRPr="00C66550" w:rsidRDefault="00F14A58" w:rsidP="00712674">
      <w:r w:rsidRPr="00C66550">
        <w:rPr>
          <w:noProof/>
          <w:lang w:eastAsia="en-AU"/>
        </w:rPr>
        <w:drawing>
          <wp:anchor distT="0" distB="0" distL="114300" distR="114300" simplePos="0" relativeHeight="251708416" behindDoc="0" locked="0" layoutInCell="1" allowOverlap="1">
            <wp:simplePos x="0" y="0"/>
            <wp:positionH relativeFrom="column">
              <wp:posOffset>-233045</wp:posOffset>
            </wp:positionH>
            <wp:positionV relativeFrom="paragraph">
              <wp:posOffset>141605</wp:posOffset>
            </wp:positionV>
            <wp:extent cx="4495800" cy="2966085"/>
            <wp:effectExtent l="1905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5800" cy="2966085"/>
                    </a:xfrm>
                    <a:prstGeom prst="rect">
                      <a:avLst/>
                    </a:prstGeom>
                  </pic:spPr>
                </pic:pic>
              </a:graphicData>
            </a:graphic>
          </wp:anchor>
        </w:drawing>
      </w:r>
    </w:p>
    <w:p w:rsidR="00712674" w:rsidRPr="00C66550" w:rsidRDefault="00712674" w:rsidP="00712674"/>
    <w:p w:rsidR="00712674" w:rsidRPr="00C66550" w:rsidRDefault="00712674" w:rsidP="00712674"/>
    <w:p w:rsidR="00712674" w:rsidRPr="00C66550" w:rsidRDefault="00712674" w:rsidP="00712674"/>
    <w:p w:rsidR="00712674" w:rsidRPr="00C66550" w:rsidRDefault="00712674" w:rsidP="00712674"/>
    <w:p w:rsidR="00712674" w:rsidRPr="00C66550" w:rsidRDefault="00712674" w:rsidP="00712674"/>
    <w:p w:rsidR="00712674" w:rsidRPr="00C66550" w:rsidRDefault="00712674" w:rsidP="00712674"/>
    <w:p w:rsidR="00712674" w:rsidRPr="00C66550" w:rsidRDefault="00712674" w:rsidP="00712674"/>
    <w:p w:rsidR="00284384" w:rsidRPr="00C66550" w:rsidRDefault="00284384" w:rsidP="00712674"/>
    <w:p w:rsidR="00284384" w:rsidRPr="00C66550" w:rsidRDefault="00284384" w:rsidP="00712674"/>
    <w:p w:rsidR="00284384" w:rsidRPr="00C66550" w:rsidRDefault="00284384" w:rsidP="00712674"/>
    <w:p w:rsidR="00284384" w:rsidRPr="00C66550" w:rsidRDefault="00284384" w:rsidP="00712674"/>
    <w:p w:rsidR="00284384" w:rsidRPr="00C66550" w:rsidRDefault="00284384" w:rsidP="00712674"/>
    <w:p w:rsidR="00284384" w:rsidRPr="00C66550" w:rsidRDefault="00284384" w:rsidP="00712674"/>
    <w:p w:rsidR="00284384" w:rsidRPr="00C66550" w:rsidRDefault="00284384" w:rsidP="00712674"/>
    <w:p w:rsidR="00284384" w:rsidRPr="00C66550" w:rsidRDefault="00284384" w:rsidP="00712674"/>
    <w:p w:rsidR="00F14A58" w:rsidRPr="00C66550" w:rsidRDefault="00F14A58">
      <w:pPr>
        <w:spacing w:line="240" w:lineRule="auto"/>
      </w:pPr>
    </w:p>
    <w:p w:rsidR="00F14A58" w:rsidRPr="00C66550" w:rsidRDefault="00F14A58">
      <w:pPr>
        <w:spacing w:line="240" w:lineRule="auto"/>
      </w:pPr>
    </w:p>
    <w:p w:rsidR="00F14A58" w:rsidRPr="00C66550" w:rsidRDefault="00F14A58">
      <w:pPr>
        <w:spacing w:line="240" w:lineRule="auto"/>
      </w:pPr>
    </w:p>
    <w:p w:rsidR="00F14A58" w:rsidRPr="00C66550" w:rsidRDefault="00F14A58">
      <w:pPr>
        <w:spacing w:line="240" w:lineRule="auto"/>
      </w:pPr>
    </w:p>
    <w:p w:rsidR="00F14A58" w:rsidRPr="00C66550" w:rsidRDefault="005D3BC1" w:rsidP="00FB4820">
      <w:pPr>
        <w:pStyle w:val="Figures"/>
      </w:pPr>
      <w:r w:rsidRPr="00C66550">
        <w:rPr>
          <w:noProof/>
          <w:lang w:eastAsia="en-AU"/>
        </w:rPr>
        <w:drawing>
          <wp:anchor distT="0" distB="0" distL="114300" distR="114300" simplePos="0" relativeHeight="251709440" behindDoc="0" locked="0" layoutInCell="1" allowOverlap="1">
            <wp:simplePos x="0" y="0"/>
            <wp:positionH relativeFrom="column">
              <wp:posOffset>-364490</wp:posOffset>
            </wp:positionH>
            <wp:positionV relativeFrom="paragraph">
              <wp:posOffset>182880</wp:posOffset>
            </wp:positionV>
            <wp:extent cx="6542405" cy="261556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42405" cy="2615565"/>
                    </a:xfrm>
                    <a:prstGeom prst="rect">
                      <a:avLst/>
                    </a:prstGeom>
                  </pic:spPr>
                </pic:pic>
              </a:graphicData>
            </a:graphic>
          </wp:anchor>
        </w:drawing>
      </w:r>
      <w:r w:rsidRPr="00C66550">
        <w:t>(b)</w:t>
      </w:r>
    </w:p>
    <w:p w:rsidR="00975E87" w:rsidRPr="00C66550" w:rsidRDefault="00975E87">
      <w:pPr>
        <w:spacing w:line="240" w:lineRule="auto"/>
        <w:rPr>
          <w:color w:val="080808"/>
          <w:sz w:val="22"/>
        </w:rPr>
      </w:pPr>
      <w:r w:rsidRPr="00C66550">
        <w:br w:type="page"/>
      </w:r>
    </w:p>
    <w:p w:rsidR="00A47F8F" w:rsidRPr="00C66550" w:rsidRDefault="005F637A" w:rsidP="006D25F9">
      <w:pPr>
        <w:pStyle w:val="Heading2"/>
      </w:pPr>
      <w:bookmarkStart w:id="108" w:name="_Toc379466363"/>
      <w:r w:rsidRPr="00C66550">
        <w:lastRenderedPageBreak/>
        <w:t>A</w:t>
      </w:r>
      <w:r w:rsidR="00A47F8F" w:rsidRPr="00C66550">
        <w:t>CT trends 2006</w:t>
      </w:r>
      <w:r w:rsidR="00081CFB" w:rsidRPr="00C66550">
        <w:t>/07</w:t>
      </w:r>
      <w:r w:rsidR="00A47F8F" w:rsidRPr="00C66550">
        <w:t xml:space="preserve"> </w:t>
      </w:r>
      <w:r w:rsidR="00081CFB" w:rsidRPr="00C66550">
        <w:t>to</w:t>
      </w:r>
      <w:r w:rsidR="00A47F8F" w:rsidRPr="00C66550">
        <w:t xml:space="preserve"> 2010</w:t>
      </w:r>
      <w:r w:rsidR="00081CFB" w:rsidRPr="00C66550">
        <w:t>/11</w:t>
      </w:r>
      <w:bookmarkEnd w:id="108"/>
      <w:r w:rsidR="00A47F8F" w:rsidRPr="00C66550">
        <w:t xml:space="preserve"> </w:t>
      </w:r>
    </w:p>
    <w:p w:rsidR="00D96003" w:rsidRPr="00C66550" w:rsidRDefault="0062001A" w:rsidP="00D96003">
      <w:pPr>
        <w:pStyle w:val="BodyText"/>
      </w:pPr>
      <w:r w:rsidRPr="00C66550">
        <w:fldChar w:fldCharType="begin"/>
      </w:r>
      <w:r w:rsidR="00A21BB6" w:rsidRPr="00C66550">
        <w:instrText xml:space="preserve"> REF _Ref348988329 \h  \* MERGEFORMAT </w:instrText>
      </w:r>
      <w:r w:rsidRPr="00C66550">
        <w:fldChar w:fldCharType="separate"/>
      </w:r>
    </w:p>
    <w:p w:rsidR="00D65164" w:rsidRPr="00C66550" w:rsidRDefault="00D96003" w:rsidP="00D65164">
      <w:pPr>
        <w:pStyle w:val="BodyText"/>
      </w:pPr>
      <w:r w:rsidRPr="00C66550">
        <w:t>Figure</w:t>
      </w:r>
      <w:r w:rsidRPr="00C66550">
        <w:rPr>
          <w:noProof/>
        </w:rPr>
        <w:t xml:space="preserve"> </w:t>
      </w:r>
      <w:r>
        <w:rPr>
          <w:noProof/>
        </w:rPr>
        <w:t>20</w:t>
      </w:r>
      <w:r w:rsidR="0062001A" w:rsidRPr="00C66550">
        <w:fldChar w:fldCharType="end"/>
      </w:r>
      <w:r w:rsidR="004815D2" w:rsidRPr="00C66550">
        <w:t xml:space="preserve"> shows the</w:t>
      </w:r>
      <w:r w:rsidR="006D25F9" w:rsidRPr="00C66550">
        <w:t xml:space="preserve"> trends in</w:t>
      </w:r>
      <w:r w:rsidR="004815D2" w:rsidRPr="00C66550">
        <w:t xml:space="preserve"> </w:t>
      </w:r>
      <w:r w:rsidR="003D0ED6" w:rsidRPr="00C66550">
        <w:rPr>
          <w:b/>
        </w:rPr>
        <w:t>per capita</w:t>
      </w:r>
      <w:r w:rsidR="004815D2" w:rsidRPr="00C66550">
        <w:t xml:space="preserve"> </w:t>
      </w:r>
      <w:r w:rsidR="006D25F9" w:rsidRPr="00C66550">
        <w:t xml:space="preserve">waste </w:t>
      </w:r>
      <w:r w:rsidR="004815D2" w:rsidRPr="00C66550">
        <w:t xml:space="preserve">generation </w:t>
      </w:r>
      <w:r w:rsidR="006D25F9" w:rsidRPr="00C66550">
        <w:t xml:space="preserve">and management for </w:t>
      </w:r>
      <w:r w:rsidR="00D65164" w:rsidRPr="00C66550">
        <w:t>the</w:t>
      </w:r>
      <w:r w:rsidR="006D25F9" w:rsidRPr="00C66550">
        <w:t xml:space="preserve"> period</w:t>
      </w:r>
      <w:r w:rsidR="00D65164" w:rsidRPr="00C66550">
        <w:t xml:space="preserve"> 2006/07</w:t>
      </w:r>
      <w:r w:rsidR="006D25F9" w:rsidRPr="00C66550">
        <w:t xml:space="preserve"> to </w:t>
      </w:r>
      <w:r w:rsidR="00D65164" w:rsidRPr="00C66550">
        <w:t xml:space="preserve">2010/11 </w:t>
      </w:r>
      <w:r w:rsidR="006D25F9" w:rsidRPr="00C66550">
        <w:t xml:space="preserve">in </w:t>
      </w:r>
      <w:r w:rsidR="00D65164" w:rsidRPr="00C66550">
        <w:t xml:space="preserve">the </w:t>
      </w:r>
      <w:r w:rsidR="004815D2" w:rsidRPr="00C66550">
        <w:t>ACT.</w:t>
      </w:r>
      <w:r w:rsidR="00FF12A8" w:rsidRPr="00C66550">
        <w:t xml:space="preserve"> </w:t>
      </w:r>
    </w:p>
    <w:p w:rsidR="004F03F7" w:rsidRPr="00C66550" w:rsidRDefault="004F03F7" w:rsidP="00FB4820">
      <w:pPr>
        <w:pStyle w:val="Figures"/>
      </w:pPr>
      <w:bookmarkStart w:id="109" w:name="_Ref348988329"/>
    </w:p>
    <w:p w:rsidR="004F03F7" w:rsidRPr="00C66550" w:rsidRDefault="004F03F7" w:rsidP="00FB4820">
      <w:pPr>
        <w:pStyle w:val="Figures"/>
      </w:pPr>
      <w:bookmarkStart w:id="110" w:name="_Toc365385029"/>
      <w:r w:rsidRPr="00C66550">
        <w:t xml:space="preserve">Figure </w:t>
      </w:r>
      <w:r w:rsidR="0062001A" w:rsidRPr="00C66550">
        <w:fldChar w:fldCharType="begin"/>
      </w:r>
      <w:r w:rsidR="002E66B7" w:rsidRPr="00C66550">
        <w:instrText xml:space="preserve"> SEQ Figure \* ARABIC </w:instrText>
      </w:r>
      <w:r w:rsidR="0062001A" w:rsidRPr="00C66550">
        <w:fldChar w:fldCharType="separate"/>
      </w:r>
      <w:r w:rsidR="00D96003">
        <w:rPr>
          <w:noProof/>
        </w:rPr>
        <w:t>20</w:t>
      </w:r>
      <w:r w:rsidR="0062001A" w:rsidRPr="00C66550">
        <w:rPr>
          <w:noProof/>
        </w:rPr>
        <w:fldChar w:fldCharType="end"/>
      </w:r>
      <w:bookmarkEnd w:id="109"/>
      <w:r w:rsidRPr="00C66550">
        <w:t>:</w:t>
      </w:r>
      <w:r w:rsidRPr="00C66550">
        <w:tab/>
      </w:r>
      <w:r w:rsidR="00081CFB" w:rsidRPr="00C66550">
        <w:t>T</w:t>
      </w:r>
      <w:r w:rsidRPr="00C66550">
        <w:t>rends in per capita waste generation and management</w:t>
      </w:r>
      <w:r w:rsidR="00081CFB" w:rsidRPr="00C66550">
        <w:t>, ACT 2006/07 to 2010/11</w:t>
      </w:r>
      <w:bookmarkEnd w:id="110"/>
      <w:r w:rsidRPr="00C66550">
        <w:t xml:space="preserve"> </w:t>
      </w:r>
    </w:p>
    <w:p w:rsidR="00F943FF" w:rsidRPr="00C66550" w:rsidRDefault="006441A2" w:rsidP="00D65164">
      <w:pPr>
        <w:pStyle w:val="BodyText"/>
      </w:pPr>
      <w:r w:rsidRPr="00C66550">
        <w:rPr>
          <w:noProof/>
          <w:lang w:eastAsia="en-AU"/>
        </w:rPr>
        <w:drawing>
          <wp:anchor distT="0" distB="0" distL="114300" distR="114300" simplePos="0" relativeHeight="251747328" behindDoc="0" locked="0" layoutInCell="1" allowOverlap="1">
            <wp:simplePos x="0" y="0"/>
            <wp:positionH relativeFrom="column">
              <wp:posOffset>156210</wp:posOffset>
            </wp:positionH>
            <wp:positionV relativeFrom="paragraph">
              <wp:posOffset>60960</wp:posOffset>
            </wp:positionV>
            <wp:extent cx="5196205" cy="2921000"/>
            <wp:effectExtent l="0" t="0" r="444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6205" cy="2921000"/>
                    </a:xfrm>
                    <a:prstGeom prst="rect">
                      <a:avLst/>
                    </a:prstGeom>
                  </pic:spPr>
                </pic:pic>
              </a:graphicData>
            </a:graphic>
          </wp:anchor>
        </w:drawing>
      </w: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6441A2" w:rsidRPr="00C66550" w:rsidRDefault="006441A2" w:rsidP="00D65164">
      <w:pPr>
        <w:spacing w:line="240" w:lineRule="auto"/>
        <w:rPr>
          <w:color w:val="080808"/>
          <w:sz w:val="22"/>
        </w:rPr>
      </w:pPr>
    </w:p>
    <w:p w:rsidR="004F03F7" w:rsidRPr="00C66550" w:rsidRDefault="00623503" w:rsidP="004F03F7">
      <w:pPr>
        <w:pStyle w:val="Monkey2"/>
      </w:pPr>
      <w:r w:rsidRPr="00C66550">
        <w:t>Relies on</w:t>
      </w:r>
      <w:r w:rsidR="004F03F7" w:rsidRPr="00C66550">
        <w:t xml:space="preserve"> interpolation for 2007/08</w:t>
      </w:r>
    </w:p>
    <w:p w:rsidR="006441A2" w:rsidRPr="00C66550" w:rsidRDefault="006441A2" w:rsidP="00D65164">
      <w:pPr>
        <w:spacing w:line="240" w:lineRule="auto"/>
        <w:rPr>
          <w:color w:val="080808"/>
          <w:sz w:val="22"/>
        </w:rPr>
      </w:pPr>
    </w:p>
    <w:p w:rsidR="00D65164" w:rsidRPr="00C66550" w:rsidRDefault="00D65164" w:rsidP="00D65164">
      <w:pPr>
        <w:spacing w:line="240" w:lineRule="auto"/>
        <w:rPr>
          <w:color w:val="080808"/>
          <w:sz w:val="22"/>
        </w:rPr>
      </w:pPr>
      <w:r w:rsidRPr="00C66550">
        <w:rPr>
          <w:color w:val="080808"/>
          <w:sz w:val="22"/>
        </w:rPr>
        <w:t xml:space="preserve">Over </w:t>
      </w:r>
      <w:r w:rsidR="00ED1F2A">
        <w:rPr>
          <w:color w:val="080808"/>
          <w:sz w:val="22"/>
        </w:rPr>
        <w:t>this</w:t>
      </w:r>
      <w:r w:rsidRPr="00C66550">
        <w:rPr>
          <w:color w:val="080808"/>
          <w:sz w:val="22"/>
        </w:rPr>
        <w:t xml:space="preserve"> period the following </w:t>
      </w:r>
      <w:r w:rsidR="003D0ED6" w:rsidRPr="00C66550">
        <w:rPr>
          <w:b/>
          <w:color w:val="080808"/>
          <w:sz w:val="22"/>
        </w:rPr>
        <w:t>per capita</w:t>
      </w:r>
      <w:r w:rsidRPr="00C66550">
        <w:rPr>
          <w:color w:val="080808"/>
          <w:sz w:val="22"/>
        </w:rPr>
        <w:t xml:space="preserve"> trends are illustrated:</w:t>
      </w:r>
    </w:p>
    <w:p w:rsidR="00D65164" w:rsidRPr="00C66550" w:rsidRDefault="0090748B" w:rsidP="004201C6">
      <w:pPr>
        <w:pStyle w:val="Bullet1"/>
      </w:pPr>
      <w:r w:rsidRPr="00C66550">
        <w:t xml:space="preserve">Waste </w:t>
      </w:r>
      <w:r w:rsidR="00D65164" w:rsidRPr="00C66550">
        <w:t xml:space="preserve">generation in </w:t>
      </w:r>
      <w:r w:rsidR="00FA4090" w:rsidRPr="00C66550">
        <w:t xml:space="preserve">the </w:t>
      </w:r>
      <w:r w:rsidR="00D65164" w:rsidRPr="00C66550">
        <w:t xml:space="preserve">ACT </w:t>
      </w:r>
      <w:r w:rsidRPr="00C66550">
        <w:t>fell</w:t>
      </w:r>
      <w:r w:rsidR="00D65164" w:rsidRPr="00C66550">
        <w:t xml:space="preserve"> until 20</w:t>
      </w:r>
      <w:r w:rsidR="00777778" w:rsidRPr="00C66550">
        <w:t>09</w:t>
      </w:r>
      <w:r w:rsidR="00D65164" w:rsidRPr="00C66550">
        <w:t>/</w:t>
      </w:r>
      <w:r w:rsidR="00777778" w:rsidRPr="00C66550">
        <w:t>10</w:t>
      </w:r>
      <w:r w:rsidRPr="00C66550">
        <w:t xml:space="preserve">, </w:t>
      </w:r>
      <w:r w:rsidR="00623503" w:rsidRPr="00C66550">
        <w:t>then</w:t>
      </w:r>
      <w:r w:rsidR="00D65164" w:rsidRPr="00C66550">
        <w:t xml:space="preserve"> increased significantly</w:t>
      </w:r>
      <w:r w:rsidRPr="00C66550">
        <w:t>,</w:t>
      </w:r>
      <w:r w:rsidR="00D65164" w:rsidRPr="00C66550">
        <w:t xml:space="preserve"> resulting in a</w:t>
      </w:r>
      <w:r w:rsidR="00777778" w:rsidRPr="00C66550">
        <w:t>n</w:t>
      </w:r>
      <w:r w:rsidRPr="00C66550">
        <w:t xml:space="preserve"> overall</w:t>
      </w:r>
      <w:r w:rsidR="00D65164" w:rsidRPr="00C66550">
        <w:t xml:space="preserve"> increase </w:t>
      </w:r>
      <w:r w:rsidR="00ED1F2A">
        <w:t>in four</w:t>
      </w:r>
      <w:r w:rsidR="006F2CE3" w:rsidRPr="00C66550">
        <w:t xml:space="preserve"> year</w:t>
      </w:r>
      <w:r w:rsidR="00896BCE" w:rsidRPr="00C66550">
        <w:t>s</w:t>
      </w:r>
      <w:r w:rsidR="00777778" w:rsidRPr="00C66550">
        <w:t xml:space="preserve"> </w:t>
      </w:r>
      <w:r w:rsidRPr="00C66550">
        <w:t>of 18%</w:t>
      </w:r>
      <w:r w:rsidR="00104F5A" w:rsidRPr="00C66550">
        <w:t>.</w:t>
      </w:r>
      <w:r w:rsidR="00D65164" w:rsidRPr="00C66550">
        <w:t xml:space="preserve"> </w:t>
      </w:r>
      <w:r w:rsidR="00A9432A" w:rsidRPr="00C66550">
        <w:t>Analysis of the data suggests t</w:t>
      </w:r>
      <w:r w:rsidR="00D65164" w:rsidRPr="00C66550">
        <w:t xml:space="preserve">he increase </w:t>
      </w:r>
      <w:r w:rsidR="00A9432A" w:rsidRPr="00C66550">
        <w:t>is</w:t>
      </w:r>
      <w:r w:rsidR="00D65164" w:rsidRPr="00C66550">
        <w:t xml:space="preserve"> </w:t>
      </w:r>
      <w:r w:rsidR="002206A7" w:rsidRPr="00C66550">
        <w:t xml:space="preserve">partly </w:t>
      </w:r>
      <w:r w:rsidR="00D65164" w:rsidRPr="00C66550">
        <w:t xml:space="preserve">the result of a </w:t>
      </w:r>
      <w:r w:rsidRPr="00C66550">
        <w:t>large</w:t>
      </w:r>
      <w:r w:rsidR="00D65164" w:rsidRPr="00C66550">
        <w:t xml:space="preserve"> increase in garden organics recycling in 2010/11</w:t>
      </w:r>
      <w:r w:rsidR="00FA4090" w:rsidRPr="00C66550">
        <w:t xml:space="preserve">, </w:t>
      </w:r>
      <w:r w:rsidR="00AA6634" w:rsidRPr="00C66550">
        <w:t xml:space="preserve">from 167 to 272 </w:t>
      </w:r>
      <w:r w:rsidR="0012047B" w:rsidRPr="00C66550">
        <w:t>kt</w:t>
      </w:r>
      <w:r w:rsidRPr="00C66550">
        <w:t xml:space="preserve">. </w:t>
      </w:r>
      <w:r w:rsidR="00C151A5" w:rsidRPr="00C66550">
        <w:t xml:space="preserve">The increase may </w:t>
      </w:r>
      <w:r w:rsidR="00623503" w:rsidRPr="00C66550">
        <w:t xml:space="preserve">have </w:t>
      </w:r>
      <w:r w:rsidR="00C151A5" w:rsidRPr="00C66550">
        <w:t>result</w:t>
      </w:r>
      <w:r w:rsidR="00623503" w:rsidRPr="00C66550">
        <w:t>ed</w:t>
      </w:r>
      <w:r w:rsidR="00C151A5" w:rsidRPr="00C66550">
        <w:t xml:space="preserve"> from</w:t>
      </w:r>
      <w:r w:rsidR="00623503" w:rsidRPr="00C66550">
        <w:t xml:space="preserve"> several factors:</w:t>
      </w:r>
      <w:r w:rsidR="00C151A5" w:rsidRPr="00C66550">
        <w:t xml:space="preserve"> the ending of the drought</w:t>
      </w:r>
      <w:r w:rsidR="00623503" w:rsidRPr="00C66550">
        <w:t xml:space="preserve"> and </w:t>
      </w:r>
      <w:r w:rsidR="00C151A5" w:rsidRPr="00C66550">
        <w:t xml:space="preserve">consequent increases in plant growth; </w:t>
      </w:r>
      <w:r w:rsidR="00D65164" w:rsidRPr="00C66550">
        <w:t>waste management facilit</w:t>
      </w:r>
      <w:r w:rsidR="00C151A5" w:rsidRPr="00C66550">
        <w:t>y upgrades;</w:t>
      </w:r>
      <w:r w:rsidR="00D65164" w:rsidRPr="00C66550">
        <w:t xml:space="preserve"> </w:t>
      </w:r>
      <w:r w:rsidR="00C151A5" w:rsidRPr="00C66550">
        <w:t>and</w:t>
      </w:r>
      <w:r w:rsidR="00D65164" w:rsidRPr="00C66550">
        <w:t xml:space="preserve"> improved reporting from </w:t>
      </w:r>
      <w:r w:rsidRPr="00C66550">
        <w:t>organic</w:t>
      </w:r>
      <w:r w:rsidR="00D65164" w:rsidRPr="00C66550">
        <w:t xml:space="preserve"> waste </w:t>
      </w:r>
      <w:r w:rsidRPr="00C66550">
        <w:t xml:space="preserve">processing </w:t>
      </w:r>
      <w:r w:rsidR="00D65164" w:rsidRPr="00C66550">
        <w:t>facilities</w:t>
      </w:r>
      <w:r w:rsidR="007C7B82" w:rsidRPr="00C66550">
        <w:t xml:space="preserve">. </w:t>
      </w:r>
    </w:p>
    <w:p w:rsidR="00A90F28" w:rsidRPr="00C66550" w:rsidRDefault="00A90F28" w:rsidP="00A90F28">
      <w:pPr>
        <w:pStyle w:val="Bullet1"/>
      </w:pPr>
      <w:r w:rsidRPr="00C66550">
        <w:t>The resource recovery rate remained almost unchanged at around 79%.</w:t>
      </w:r>
    </w:p>
    <w:p w:rsidR="00D65164" w:rsidRPr="00C66550" w:rsidRDefault="0090748B" w:rsidP="004201C6">
      <w:pPr>
        <w:pStyle w:val="Bullet1"/>
      </w:pPr>
      <w:r w:rsidRPr="00C66550">
        <w:t xml:space="preserve">Recycling </w:t>
      </w:r>
      <w:r w:rsidR="00D65164" w:rsidRPr="00C66550">
        <w:t xml:space="preserve">in </w:t>
      </w:r>
      <w:r w:rsidR="006D7327" w:rsidRPr="00C66550">
        <w:t xml:space="preserve">the </w:t>
      </w:r>
      <w:r w:rsidR="00D65164" w:rsidRPr="00C66550">
        <w:t>A</w:t>
      </w:r>
      <w:r w:rsidR="0035236E" w:rsidRPr="00C66550">
        <w:t>CT</w:t>
      </w:r>
      <w:r w:rsidR="00D65164" w:rsidRPr="00C66550">
        <w:t xml:space="preserve"> increased </w:t>
      </w:r>
      <w:r w:rsidR="00A9432A" w:rsidRPr="00C66550">
        <w:t xml:space="preserve">by </w:t>
      </w:r>
      <w:r w:rsidR="002206A7" w:rsidRPr="00C66550">
        <w:t>21%</w:t>
      </w:r>
      <w:r w:rsidR="006D7327" w:rsidRPr="00C66550">
        <w:t xml:space="preserve">, </w:t>
      </w:r>
      <w:r w:rsidR="002206A7" w:rsidRPr="00C66550">
        <w:t xml:space="preserve">which </w:t>
      </w:r>
      <w:r w:rsidR="00623503" w:rsidRPr="00C66550">
        <w:t>the data suggest</w:t>
      </w:r>
      <w:r w:rsidR="00A9432A" w:rsidRPr="00C66550">
        <w:t xml:space="preserve"> is</w:t>
      </w:r>
      <w:r w:rsidR="002206A7" w:rsidRPr="00C66550">
        <w:t xml:space="preserve"> associated with the increase in </w:t>
      </w:r>
      <w:r w:rsidR="0003730B" w:rsidRPr="00C66550">
        <w:t xml:space="preserve">garden </w:t>
      </w:r>
      <w:r w:rsidR="002206A7" w:rsidRPr="00C66550">
        <w:t>waste recycling</w:t>
      </w:r>
      <w:r w:rsidR="00775CB6" w:rsidRPr="00C66550">
        <w:t>.</w:t>
      </w:r>
    </w:p>
    <w:p w:rsidR="00D65164" w:rsidRPr="00C66550" w:rsidRDefault="00623503" w:rsidP="004201C6">
      <w:pPr>
        <w:pStyle w:val="Bullet1"/>
      </w:pPr>
      <w:r w:rsidRPr="00C66550">
        <w:t xml:space="preserve">Waste used for energy production </w:t>
      </w:r>
      <w:r w:rsidR="0035236E" w:rsidRPr="00C66550">
        <w:t xml:space="preserve">decreased </w:t>
      </w:r>
      <w:r w:rsidR="006D7327" w:rsidRPr="00C66550">
        <w:t xml:space="preserve">by </w:t>
      </w:r>
      <w:r w:rsidR="002206A7" w:rsidRPr="00C66550">
        <w:t xml:space="preserve">around </w:t>
      </w:r>
      <w:r w:rsidR="00A9432A" w:rsidRPr="00C66550">
        <w:t>23</w:t>
      </w:r>
      <w:r w:rsidR="002206A7" w:rsidRPr="00C66550">
        <w:t>%</w:t>
      </w:r>
      <w:r w:rsidR="006D7327" w:rsidRPr="00C66550">
        <w:t xml:space="preserve"> </w:t>
      </w:r>
      <w:r w:rsidRPr="00C66550">
        <w:t>due to an apparent decline in</w:t>
      </w:r>
      <w:r w:rsidR="002206A7" w:rsidRPr="00C66550">
        <w:t xml:space="preserve"> landfill gas recovery over the period</w:t>
      </w:r>
      <w:r w:rsidR="00775CB6" w:rsidRPr="00C66550">
        <w:t>.</w:t>
      </w:r>
    </w:p>
    <w:p w:rsidR="00EA21F4" w:rsidRPr="00C66550" w:rsidRDefault="00104F5A" w:rsidP="00104F5A">
      <w:pPr>
        <w:pStyle w:val="Bullet1"/>
      </w:pPr>
      <w:r w:rsidRPr="00C66550">
        <w:t xml:space="preserve">Waste disposal in </w:t>
      </w:r>
      <w:r w:rsidR="006D7327" w:rsidRPr="00C66550">
        <w:t xml:space="preserve">the </w:t>
      </w:r>
      <w:r w:rsidRPr="00C66550">
        <w:t>ACT fell until 2009/10, at which point it increased</w:t>
      </w:r>
      <w:r w:rsidR="00387605" w:rsidRPr="00C66550">
        <w:t>,</w:t>
      </w:r>
      <w:r w:rsidRPr="00C66550">
        <w:t xml:space="preserve"> resulting in an overall increase of </w:t>
      </w:r>
      <w:r w:rsidR="002206A7" w:rsidRPr="00C66550">
        <w:t>1</w:t>
      </w:r>
      <w:r w:rsidR="00A9432A" w:rsidRPr="00C66550">
        <w:t>6</w:t>
      </w:r>
      <w:r w:rsidR="002206A7" w:rsidRPr="00C66550">
        <w:t>%</w:t>
      </w:r>
      <w:r w:rsidR="00EA21F4" w:rsidRPr="00C66550">
        <w:t>.</w:t>
      </w:r>
    </w:p>
    <w:p w:rsidR="002206A7" w:rsidRPr="00C66550" w:rsidRDefault="002206A7" w:rsidP="000F74E7">
      <w:pPr>
        <w:spacing w:line="240" w:lineRule="auto"/>
        <w:jc w:val="center"/>
        <w:rPr>
          <w:color w:val="080808"/>
          <w:sz w:val="22"/>
        </w:rPr>
      </w:pPr>
    </w:p>
    <w:p w:rsidR="004F03F7" w:rsidRPr="00C66550" w:rsidRDefault="004F03F7" w:rsidP="004F03F7">
      <w:pPr>
        <w:pStyle w:val="BodyText"/>
      </w:pPr>
    </w:p>
    <w:p w:rsidR="004F03F7" w:rsidRPr="00C66550" w:rsidRDefault="004F03F7" w:rsidP="004F03F7">
      <w:pPr>
        <w:pStyle w:val="BodyText"/>
      </w:pPr>
    </w:p>
    <w:p w:rsidR="004F03F7" w:rsidRPr="00C66550" w:rsidRDefault="004F03F7" w:rsidP="004F03F7">
      <w:pPr>
        <w:pStyle w:val="BodyText"/>
      </w:pPr>
    </w:p>
    <w:p w:rsidR="004F03F7" w:rsidRPr="00C66550" w:rsidRDefault="004F03F7" w:rsidP="004F03F7">
      <w:pPr>
        <w:pStyle w:val="BodyText"/>
      </w:pPr>
    </w:p>
    <w:p w:rsidR="004F03F7" w:rsidRPr="00C66550" w:rsidRDefault="004F03F7" w:rsidP="004F03F7">
      <w:pPr>
        <w:pStyle w:val="BodyText"/>
      </w:pPr>
    </w:p>
    <w:p w:rsidR="004F03F7" w:rsidRPr="00C66550" w:rsidRDefault="004F03F7" w:rsidP="004F03F7">
      <w:pPr>
        <w:pStyle w:val="BodyText"/>
      </w:pPr>
    </w:p>
    <w:p w:rsidR="004F03F7" w:rsidRPr="00C66550" w:rsidRDefault="004F03F7" w:rsidP="004F03F7">
      <w:pPr>
        <w:pStyle w:val="BodyText"/>
      </w:pPr>
    </w:p>
    <w:p w:rsidR="004F03F7" w:rsidRPr="00C66550" w:rsidRDefault="0062001A" w:rsidP="004F03F7">
      <w:pPr>
        <w:pStyle w:val="BodyText"/>
      </w:pPr>
      <w:r w:rsidRPr="00C66550">
        <w:lastRenderedPageBreak/>
        <w:fldChar w:fldCharType="begin"/>
      </w:r>
      <w:r w:rsidR="00864E69" w:rsidRPr="00C66550">
        <w:instrText xml:space="preserve"> REF _Ref354745940 \h </w:instrText>
      </w:r>
      <w:r w:rsidRPr="00C66550">
        <w:fldChar w:fldCharType="separate"/>
      </w:r>
      <w:r w:rsidR="00D96003" w:rsidRPr="00C66550">
        <w:t xml:space="preserve">Figure </w:t>
      </w:r>
      <w:r w:rsidR="00D96003">
        <w:rPr>
          <w:noProof/>
        </w:rPr>
        <w:t>21</w:t>
      </w:r>
      <w:r w:rsidRPr="00C66550">
        <w:fldChar w:fldCharType="end"/>
      </w:r>
      <w:r w:rsidR="00864E69" w:rsidRPr="00C66550">
        <w:t xml:space="preserve"> </w:t>
      </w:r>
      <w:r w:rsidR="004F03F7" w:rsidRPr="00C66550">
        <w:t xml:space="preserve">shows the </w:t>
      </w:r>
      <w:r w:rsidR="006D25F9" w:rsidRPr="00C66550">
        <w:t>trends in</w:t>
      </w:r>
      <w:r w:rsidR="0089707A" w:rsidRPr="00C66550">
        <w:t xml:space="preserve"> </w:t>
      </w:r>
      <w:r w:rsidR="006D25F9" w:rsidRPr="00C66550">
        <w:t xml:space="preserve">total </w:t>
      </w:r>
      <w:r w:rsidR="0089707A" w:rsidRPr="00C66550">
        <w:t>waste generat</w:t>
      </w:r>
      <w:r w:rsidR="006D25F9" w:rsidRPr="00C66550">
        <w:t>ion and management</w:t>
      </w:r>
      <w:r w:rsidR="004F03F7" w:rsidRPr="00C66550">
        <w:t xml:space="preserve"> for the </w:t>
      </w:r>
      <w:r w:rsidR="006D25F9" w:rsidRPr="00C66550">
        <w:t xml:space="preserve">period </w:t>
      </w:r>
      <w:r w:rsidR="004F03F7" w:rsidRPr="00C66550">
        <w:t>2006/07</w:t>
      </w:r>
      <w:r w:rsidR="006D25F9" w:rsidRPr="00C66550">
        <w:t xml:space="preserve"> to </w:t>
      </w:r>
      <w:r w:rsidR="004F03F7" w:rsidRPr="00C66550">
        <w:t xml:space="preserve">2010/11 </w:t>
      </w:r>
      <w:r w:rsidR="006D25F9" w:rsidRPr="00C66550">
        <w:t>in</w:t>
      </w:r>
      <w:r w:rsidR="004F03F7" w:rsidRPr="00C66550">
        <w:t xml:space="preserve"> the ACT. </w:t>
      </w:r>
    </w:p>
    <w:p w:rsidR="004F03F7" w:rsidRPr="00C66550" w:rsidRDefault="004F03F7" w:rsidP="00D65164">
      <w:pPr>
        <w:spacing w:line="240" w:lineRule="auto"/>
        <w:rPr>
          <w:color w:val="080808"/>
          <w:sz w:val="22"/>
        </w:rPr>
      </w:pPr>
    </w:p>
    <w:p w:rsidR="00864E69" w:rsidRPr="00C66550" w:rsidRDefault="00452964" w:rsidP="00FB4820">
      <w:pPr>
        <w:pStyle w:val="Figures"/>
      </w:pPr>
      <w:bookmarkStart w:id="111" w:name="_Ref354745940"/>
      <w:bookmarkStart w:id="112" w:name="_Toc365385030"/>
      <w:r w:rsidRPr="00C66550">
        <w:rPr>
          <w:noProof/>
          <w:lang w:eastAsia="en-AU"/>
        </w:rPr>
        <w:drawing>
          <wp:anchor distT="0" distB="0" distL="114300" distR="114300" simplePos="0" relativeHeight="251665405" behindDoc="0" locked="0" layoutInCell="1" allowOverlap="1">
            <wp:simplePos x="0" y="0"/>
            <wp:positionH relativeFrom="column">
              <wp:posOffset>-43180</wp:posOffset>
            </wp:positionH>
            <wp:positionV relativeFrom="paragraph">
              <wp:posOffset>321310</wp:posOffset>
            </wp:positionV>
            <wp:extent cx="4667250" cy="2624455"/>
            <wp:effectExtent l="0" t="0" r="0" b="444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7250" cy="2624455"/>
                    </a:xfrm>
                    <a:prstGeom prst="rect">
                      <a:avLst/>
                    </a:prstGeom>
                  </pic:spPr>
                </pic:pic>
              </a:graphicData>
            </a:graphic>
          </wp:anchor>
        </w:drawing>
      </w:r>
      <w:r w:rsidR="00864E69" w:rsidRPr="00C66550">
        <w:t xml:space="preserve">Figure </w:t>
      </w:r>
      <w:r w:rsidR="0062001A" w:rsidRPr="00C66550">
        <w:fldChar w:fldCharType="begin"/>
      </w:r>
      <w:r w:rsidR="002E66B7" w:rsidRPr="00C66550">
        <w:instrText xml:space="preserve"> SEQ Figure \* ARABIC </w:instrText>
      </w:r>
      <w:r w:rsidR="0062001A" w:rsidRPr="00C66550">
        <w:fldChar w:fldCharType="separate"/>
      </w:r>
      <w:r w:rsidR="00D96003">
        <w:rPr>
          <w:noProof/>
        </w:rPr>
        <w:t>21</w:t>
      </w:r>
      <w:r w:rsidR="0062001A" w:rsidRPr="00C66550">
        <w:rPr>
          <w:noProof/>
        </w:rPr>
        <w:fldChar w:fldCharType="end"/>
      </w:r>
      <w:bookmarkEnd w:id="111"/>
      <w:r w:rsidR="00864E69" w:rsidRPr="00C66550">
        <w:t>:</w:t>
      </w:r>
      <w:r w:rsidR="00864E69" w:rsidRPr="00C66550">
        <w:tab/>
      </w:r>
      <w:r w:rsidR="00081CFB" w:rsidRPr="00C66550">
        <w:t>T</w:t>
      </w:r>
      <w:r w:rsidR="00864E69" w:rsidRPr="00C66550">
        <w:t xml:space="preserve">rends in </w:t>
      </w:r>
      <w:r w:rsidR="0089707A" w:rsidRPr="00C66550">
        <w:t xml:space="preserve">total waste </w:t>
      </w:r>
      <w:r w:rsidR="004043E1" w:rsidRPr="00C66550">
        <w:t>generation</w:t>
      </w:r>
      <w:r w:rsidR="00864E69" w:rsidRPr="00C66550">
        <w:t xml:space="preserve"> and management</w:t>
      </w:r>
      <w:r w:rsidR="00081CFB" w:rsidRPr="00C66550">
        <w:t>, ACT 2006/07 to 2010/11</w:t>
      </w:r>
      <w:bookmarkEnd w:id="112"/>
      <w:r w:rsidR="00864E69" w:rsidRPr="00C66550">
        <w:t xml:space="preserve"> </w:t>
      </w:r>
    </w:p>
    <w:p w:rsidR="004F03F7" w:rsidRPr="00C66550" w:rsidRDefault="004F03F7" w:rsidP="006D25F9">
      <w:pPr>
        <w:pStyle w:val="Heading3"/>
        <w:numPr>
          <w:ilvl w:val="0"/>
          <w:numId w:val="0"/>
        </w:numPr>
        <w:ind w:left="709"/>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452964" w:rsidRPr="00C66550" w:rsidRDefault="00452964" w:rsidP="004F03F7">
      <w:pPr>
        <w:pStyle w:val="Monkey2"/>
      </w:pPr>
    </w:p>
    <w:p w:rsidR="00FC2D1C" w:rsidRDefault="00FC2D1C" w:rsidP="004F03F7">
      <w:pPr>
        <w:pStyle w:val="Monkey2"/>
      </w:pPr>
    </w:p>
    <w:p w:rsidR="004F03F7" w:rsidRPr="00C66550" w:rsidRDefault="00452964" w:rsidP="004F03F7">
      <w:pPr>
        <w:pStyle w:val="Monkey2"/>
      </w:pPr>
      <w:r w:rsidRPr="00C66550">
        <w:t>Relies on</w:t>
      </w:r>
      <w:r w:rsidR="004F03F7" w:rsidRPr="00C66550">
        <w:t xml:space="preserve"> interpolation for 2007/08</w:t>
      </w:r>
    </w:p>
    <w:p w:rsidR="004F03F7" w:rsidRPr="00C66550" w:rsidRDefault="004F03F7" w:rsidP="004F03F7">
      <w:pPr>
        <w:pStyle w:val="BodyText"/>
      </w:pPr>
    </w:p>
    <w:p w:rsidR="00864E69" w:rsidRPr="00C66550" w:rsidRDefault="00864E69" w:rsidP="00864E69">
      <w:pPr>
        <w:spacing w:line="240" w:lineRule="auto"/>
        <w:rPr>
          <w:color w:val="080808"/>
          <w:sz w:val="22"/>
        </w:rPr>
      </w:pPr>
      <w:r w:rsidRPr="00C66550">
        <w:rPr>
          <w:color w:val="080808"/>
          <w:sz w:val="22"/>
        </w:rPr>
        <w:t>Over the period, the following trends in total waste tonnages are illustrated:</w:t>
      </w:r>
    </w:p>
    <w:p w:rsidR="00864E69" w:rsidRPr="00C66550" w:rsidRDefault="00864E69" w:rsidP="00864E69">
      <w:pPr>
        <w:pStyle w:val="Bullet1"/>
      </w:pPr>
      <w:r w:rsidRPr="00C66550">
        <w:t>waste generation tonnages were relatively stable until 2009/10 when they increased significantly, resulting in a</w:t>
      </w:r>
      <w:r w:rsidR="001D641B" w:rsidRPr="00C66550">
        <w:t>n overall</w:t>
      </w:r>
      <w:r w:rsidRPr="00C66550">
        <w:t xml:space="preserve"> 2</w:t>
      </w:r>
      <w:r w:rsidR="0097623D" w:rsidRPr="00C66550">
        <w:t>7</w:t>
      </w:r>
      <w:r w:rsidRPr="00C66550">
        <w:t xml:space="preserve">% increase </w:t>
      </w:r>
    </w:p>
    <w:p w:rsidR="00864E69" w:rsidRPr="00C66550" w:rsidRDefault="00864E69" w:rsidP="00864E69">
      <w:pPr>
        <w:pStyle w:val="Bullet1"/>
      </w:pPr>
      <w:r w:rsidRPr="00C66550">
        <w:t xml:space="preserve">recycling increased by 31% </w:t>
      </w:r>
    </w:p>
    <w:p w:rsidR="00864E69" w:rsidRPr="00C66550" w:rsidRDefault="00864E69" w:rsidP="00864E69">
      <w:pPr>
        <w:pStyle w:val="Bullet1"/>
      </w:pPr>
      <w:r w:rsidRPr="00C66550">
        <w:t xml:space="preserve">energy recovery decreased by about 17% </w:t>
      </w:r>
    </w:p>
    <w:p w:rsidR="000F74E7" w:rsidRPr="00C66550" w:rsidRDefault="00864E69" w:rsidP="00864E69">
      <w:pPr>
        <w:pStyle w:val="Bullet1"/>
      </w:pPr>
      <w:r w:rsidRPr="00C66550">
        <w:t>disposal increased by 25%</w:t>
      </w:r>
      <w:r w:rsidR="00A90F28" w:rsidRPr="00C66550">
        <w:t>.</w:t>
      </w:r>
    </w:p>
    <w:p w:rsidR="00387605" w:rsidRPr="00C66550" w:rsidRDefault="00387605">
      <w:pPr>
        <w:spacing w:line="240" w:lineRule="auto"/>
      </w:pPr>
    </w:p>
    <w:p w:rsidR="001364FA" w:rsidRPr="00C66550" w:rsidRDefault="00EA68DB" w:rsidP="006D25F9">
      <w:pPr>
        <w:pStyle w:val="Heading3"/>
      </w:pPr>
      <w:r w:rsidRPr="00C66550">
        <w:t>A</w:t>
      </w:r>
      <w:r w:rsidR="003B0677" w:rsidRPr="00C66550">
        <w:t>CT waste reuse data 2006</w:t>
      </w:r>
      <w:r w:rsidR="00081CFB" w:rsidRPr="00C66550">
        <w:t>/07 to</w:t>
      </w:r>
      <w:r w:rsidR="003B0677" w:rsidRPr="00C66550">
        <w:t xml:space="preserve"> 2010</w:t>
      </w:r>
      <w:r w:rsidR="00081CFB" w:rsidRPr="00C66550">
        <w:t>/11</w:t>
      </w:r>
      <w:r w:rsidR="003B0677" w:rsidRPr="00C66550">
        <w:t xml:space="preserve"> </w:t>
      </w:r>
    </w:p>
    <w:p w:rsidR="003B0677" w:rsidRPr="00C66550" w:rsidRDefault="003B0677" w:rsidP="003B0677">
      <w:pPr>
        <w:pStyle w:val="BodyText"/>
      </w:pPr>
      <w:r w:rsidRPr="00C66550">
        <w:t>The ACT provide</w:t>
      </w:r>
      <w:r w:rsidR="009D19B0" w:rsidRPr="00C66550">
        <w:t>d</w:t>
      </w:r>
      <w:r w:rsidRPr="00C66550">
        <w:t xml:space="preserve"> some data on waste reuse (listed as salvage </w:t>
      </w:r>
      <w:r w:rsidR="00DF513A" w:rsidRPr="00C66550">
        <w:t>and</w:t>
      </w:r>
      <w:r w:rsidRPr="00C66550">
        <w:t xml:space="preserve"> reuse) from the sales of materials and products from the landfills/transfer stations for reuse</w:t>
      </w:r>
      <w:r w:rsidR="0086474A" w:rsidRPr="00C66550">
        <w:t>,</w:t>
      </w:r>
      <w:r w:rsidRPr="00C66550">
        <w:t xml:space="preserve"> which is included in the table below. </w:t>
      </w:r>
    </w:p>
    <w:p w:rsidR="003B0677" w:rsidRPr="00C66550" w:rsidRDefault="003B0677" w:rsidP="003B0677">
      <w:pPr>
        <w:pStyle w:val="BodyText"/>
      </w:pPr>
    </w:p>
    <w:p w:rsidR="003B0677" w:rsidRPr="00C66550" w:rsidRDefault="003B0677" w:rsidP="00FB4820">
      <w:pPr>
        <w:pStyle w:val="Figures"/>
      </w:pPr>
      <w:bookmarkStart w:id="113" w:name="_Toc365038852"/>
      <w:r w:rsidRPr="00C66550">
        <w:t xml:space="preserve">Table </w:t>
      </w:r>
      <w:r w:rsidR="0062001A" w:rsidRPr="00C66550">
        <w:fldChar w:fldCharType="begin"/>
      </w:r>
      <w:r w:rsidR="00C324A1" w:rsidRPr="00C66550">
        <w:instrText xml:space="preserve"> SEQ Table \* ARABIC </w:instrText>
      </w:r>
      <w:r w:rsidR="0062001A" w:rsidRPr="00C66550">
        <w:fldChar w:fldCharType="separate"/>
      </w:r>
      <w:r w:rsidR="00D96003">
        <w:rPr>
          <w:noProof/>
        </w:rPr>
        <w:t>8</w:t>
      </w:r>
      <w:r w:rsidR="0062001A" w:rsidRPr="00C66550">
        <w:rPr>
          <w:noProof/>
        </w:rPr>
        <w:fldChar w:fldCharType="end"/>
      </w:r>
      <w:r w:rsidR="00522DFD" w:rsidRPr="00C66550">
        <w:t>:</w:t>
      </w:r>
      <w:r w:rsidR="00522DFD" w:rsidRPr="00C66550">
        <w:tab/>
      </w:r>
      <w:r w:rsidRPr="00C66550">
        <w:t>ACT waste reuse data</w:t>
      </w:r>
      <w:bookmarkEnd w:id="113"/>
    </w:p>
    <w:tbl>
      <w:tblPr>
        <w:tblStyle w:val="BETable1"/>
        <w:tblW w:w="3685" w:type="dxa"/>
        <w:tblLayout w:type="fixed"/>
        <w:tblLook w:val="04A0"/>
      </w:tblPr>
      <w:tblGrid>
        <w:gridCol w:w="851"/>
        <w:gridCol w:w="708"/>
        <w:gridCol w:w="708"/>
        <w:gridCol w:w="710"/>
        <w:gridCol w:w="708"/>
      </w:tblGrid>
      <w:tr w:rsidR="003B0677" w:rsidRPr="00C66550" w:rsidTr="003B0677">
        <w:trPr>
          <w:cnfStyle w:val="100000000000"/>
        </w:trPr>
        <w:tc>
          <w:tcPr>
            <w:cnfStyle w:val="001000000000"/>
            <w:tcW w:w="851" w:type="dxa"/>
          </w:tcPr>
          <w:p w:rsidR="003B0677" w:rsidRPr="00C66550" w:rsidRDefault="003B0677" w:rsidP="00DA3E57">
            <w:pPr>
              <w:pStyle w:val="BodyText"/>
            </w:pPr>
            <w:r w:rsidRPr="00C66550">
              <w:t xml:space="preserve">Year </w:t>
            </w:r>
          </w:p>
        </w:tc>
        <w:tc>
          <w:tcPr>
            <w:tcW w:w="708" w:type="dxa"/>
          </w:tcPr>
          <w:p w:rsidR="003B0677" w:rsidRPr="00C66550" w:rsidRDefault="003B0677" w:rsidP="00DA3E57">
            <w:pPr>
              <w:pStyle w:val="BodyText"/>
              <w:cnfStyle w:val="100000000000"/>
            </w:pPr>
            <w:r w:rsidRPr="00C66550">
              <w:t>06/07</w:t>
            </w:r>
          </w:p>
        </w:tc>
        <w:tc>
          <w:tcPr>
            <w:tcW w:w="708" w:type="dxa"/>
          </w:tcPr>
          <w:p w:rsidR="003B0677" w:rsidRPr="00C66550" w:rsidRDefault="003B0677" w:rsidP="00DA3E57">
            <w:pPr>
              <w:pStyle w:val="BodyText"/>
              <w:cnfStyle w:val="100000000000"/>
            </w:pPr>
            <w:r w:rsidRPr="00C66550">
              <w:t>08/09</w:t>
            </w:r>
          </w:p>
        </w:tc>
        <w:tc>
          <w:tcPr>
            <w:tcW w:w="710" w:type="dxa"/>
          </w:tcPr>
          <w:p w:rsidR="003B0677" w:rsidRPr="00C66550" w:rsidRDefault="003B0677" w:rsidP="00DA3E57">
            <w:pPr>
              <w:pStyle w:val="BodyText"/>
              <w:cnfStyle w:val="100000000000"/>
            </w:pPr>
            <w:r w:rsidRPr="00C66550">
              <w:t>09/10</w:t>
            </w:r>
          </w:p>
        </w:tc>
        <w:tc>
          <w:tcPr>
            <w:tcW w:w="708" w:type="dxa"/>
          </w:tcPr>
          <w:p w:rsidR="003B0677" w:rsidRPr="00C66550" w:rsidRDefault="003B0677" w:rsidP="00DA3E57">
            <w:pPr>
              <w:pStyle w:val="BodyText"/>
              <w:cnfStyle w:val="100000000000"/>
            </w:pPr>
            <w:r w:rsidRPr="00C66550">
              <w:t>10/11</w:t>
            </w:r>
          </w:p>
        </w:tc>
      </w:tr>
      <w:tr w:rsidR="003B0677" w:rsidRPr="00C66550" w:rsidTr="003B0677">
        <w:tc>
          <w:tcPr>
            <w:cnfStyle w:val="001000000000"/>
            <w:tcW w:w="851" w:type="dxa"/>
          </w:tcPr>
          <w:p w:rsidR="003B0677" w:rsidRPr="00C66550" w:rsidRDefault="003B0677" w:rsidP="00DA3E57">
            <w:pPr>
              <w:pStyle w:val="BodyText"/>
              <w:rPr>
                <w:b/>
              </w:rPr>
            </w:pPr>
            <w:r w:rsidRPr="00C66550">
              <w:rPr>
                <w:b/>
              </w:rPr>
              <w:t>Tonnes</w:t>
            </w:r>
          </w:p>
        </w:tc>
        <w:tc>
          <w:tcPr>
            <w:tcW w:w="708" w:type="dxa"/>
          </w:tcPr>
          <w:p w:rsidR="003B0677" w:rsidRPr="00C66550" w:rsidRDefault="003B0677" w:rsidP="00DA3E57">
            <w:pPr>
              <w:pStyle w:val="BodyText"/>
              <w:cnfStyle w:val="000000000000"/>
            </w:pPr>
            <w:r w:rsidRPr="00C66550">
              <w:t>2,312</w:t>
            </w:r>
          </w:p>
        </w:tc>
        <w:tc>
          <w:tcPr>
            <w:tcW w:w="708" w:type="dxa"/>
          </w:tcPr>
          <w:p w:rsidR="003B0677" w:rsidRPr="00C66550" w:rsidRDefault="003B0677" w:rsidP="00DA3E57">
            <w:pPr>
              <w:pStyle w:val="BodyText"/>
              <w:cnfStyle w:val="000000000000"/>
            </w:pPr>
            <w:r w:rsidRPr="00C66550">
              <w:t>1,177</w:t>
            </w:r>
          </w:p>
        </w:tc>
        <w:tc>
          <w:tcPr>
            <w:tcW w:w="710" w:type="dxa"/>
          </w:tcPr>
          <w:p w:rsidR="003B0677" w:rsidRPr="00C66550" w:rsidRDefault="003B0677" w:rsidP="00DA3E57">
            <w:pPr>
              <w:pStyle w:val="BodyText"/>
              <w:cnfStyle w:val="000000000000"/>
            </w:pPr>
            <w:r w:rsidRPr="00C66550">
              <w:t>1,672</w:t>
            </w:r>
          </w:p>
        </w:tc>
        <w:tc>
          <w:tcPr>
            <w:tcW w:w="708" w:type="dxa"/>
          </w:tcPr>
          <w:p w:rsidR="003B0677" w:rsidRPr="00C66550" w:rsidRDefault="003B0677" w:rsidP="00DA3E57">
            <w:pPr>
              <w:pStyle w:val="BodyText"/>
              <w:cnfStyle w:val="000000000000"/>
            </w:pPr>
            <w:r w:rsidRPr="00C66550">
              <w:t>928</w:t>
            </w:r>
          </w:p>
        </w:tc>
      </w:tr>
    </w:tbl>
    <w:p w:rsidR="001364FA" w:rsidRPr="00C66550" w:rsidRDefault="001364FA" w:rsidP="003B0677">
      <w:pPr>
        <w:pStyle w:val="BodyText"/>
      </w:pPr>
    </w:p>
    <w:p w:rsidR="00EA68DB" w:rsidRPr="00C66550" w:rsidRDefault="00EA68DB" w:rsidP="00EA68DB">
      <w:pPr>
        <w:pStyle w:val="Bullet1"/>
        <w:keepNext/>
        <w:numPr>
          <w:ilvl w:val="0"/>
          <w:numId w:val="0"/>
        </w:numPr>
        <w:ind w:left="454" w:hanging="454"/>
      </w:pPr>
    </w:p>
    <w:p w:rsidR="00154794" w:rsidRPr="00C66550" w:rsidRDefault="00154794" w:rsidP="00EA68DB">
      <w:pPr>
        <w:pStyle w:val="Bullet1"/>
        <w:keepNext/>
        <w:numPr>
          <w:ilvl w:val="0"/>
          <w:numId w:val="0"/>
        </w:numPr>
        <w:ind w:left="454" w:hanging="454"/>
      </w:pPr>
      <w:r w:rsidRPr="00C66550">
        <w:br w:type="page"/>
      </w:r>
    </w:p>
    <w:p w:rsidR="00154794" w:rsidRPr="00C66550" w:rsidRDefault="00777C18" w:rsidP="006D25F9">
      <w:pPr>
        <w:pStyle w:val="Heading1"/>
      </w:pPr>
      <w:bookmarkStart w:id="114" w:name="_Toc379466364"/>
      <w:r w:rsidRPr="00C66550">
        <w:lastRenderedPageBreak/>
        <w:t>New South Wales</w:t>
      </w:r>
      <w:bookmarkEnd w:id="114"/>
      <w:r w:rsidR="004711E8" w:rsidRPr="00C66550">
        <w:t xml:space="preserve"> </w:t>
      </w:r>
    </w:p>
    <w:p w:rsidR="00627520" w:rsidRPr="00C66550" w:rsidRDefault="00627520" w:rsidP="006D25F9">
      <w:pPr>
        <w:pStyle w:val="Heading2"/>
      </w:pPr>
      <w:bookmarkStart w:id="115" w:name="_Toc379466365"/>
      <w:r w:rsidRPr="00C66550">
        <w:t>NSW 2010/11</w:t>
      </w:r>
      <w:bookmarkEnd w:id="115"/>
    </w:p>
    <w:p w:rsidR="001917BF" w:rsidRPr="00C66550" w:rsidRDefault="001917BF" w:rsidP="006D25F9">
      <w:pPr>
        <w:pStyle w:val="Heading3"/>
      </w:pPr>
      <w:r w:rsidRPr="00C66550">
        <w:t>Per capita</w:t>
      </w:r>
      <w:r w:rsidR="0011222A" w:rsidRPr="00C66550">
        <w:t xml:space="preserve"> waste generation and resource recovery rate</w:t>
      </w:r>
    </w:p>
    <w:p w:rsidR="0016096D" w:rsidRPr="00C66550" w:rsidRDefault="001917BF" w:rsidP="00387605">
      <w:pPr>
        <w:pStyle w:val="BodyText"/>
      </w:pPr>
      <w:r w:rsidRPr="00C66550">
        <w:t>In 2010/11,</w:t>
      </w:r>
      <w:r w:rsidR="00387605" w:rsidRPr="00C66550">
        <w:t xml:space="preserve"> 2.4 tonnes of waste was generated</w:t>
      </w:r>
      <w:r w:rsidRPr="00C66550">
        <w:t xml:space="preserve"> per capita </w:t>
      </w:r>
      <w:r w:rsidR="00387605" w:rsidRPr="00C66550">
        <w:t xml:space="preserve">in </w:t>
      </w:r>
      <w:r w:rsidRPr="00C66550">
        <w:t xml:space="preserve">NSW (see </w:t>
      </w:r>
      <w:r w:rsidR="0062001A" w:rsidRPr="00C66550">
        <w:fldChar w:fldCharType="begin"/>
      </w:r>
      <w:r w:rsidRPr="00C66550">
        <w:instrText xml:space="preserve"> REF _Ref348975336 \h </w:instrText>
      </w:r>
      <w:r w:rsidR="0062001A" w:rsidRPr="00C66550">
        <w:fldChar w:fldCharType="separate"/>
      </w:r>
      <w:r w:rsidR="00D96003" w:rsidRPr="00C66550">
        <w:t xml:space="preserve">Figure </w:t>
      </w:r>
      <w:r w:rsidR="00D96003">
        <w:rPr>
          <w:noProof/>
        </w:rPr>
        <w:t>6</w:t>
      </w:r>
      <w:r w:rsidR="0062001A" w:rsidRPr="00C66550">
        <w:fldChar w:fldCharType="end"/>
      </w:r>
      <w:r w:rsidRPr="00C66550">
        <w:t>)</w:t>
      </w:r>
      <w:r w:rsidR="0086474A" w:rsidRPr="00C66550">
        <w:t>,</w:t>
      </w:r>
      <w:r w:rsidRPr="00C66550">
        <w:t xml:space="preserve"> the </w:t>
      </w:r>
      <w:r w:rsidR="00DC2B11" w:rsidRPr="00C66550">
        <w:t xml:space="preserve">third </w:t>
      </w:r>
      <w:r w:rsidRPr="00C66550">
        <w:t>highest</w:t>
      </w:r>
      <w:r w:rsidR="00387605" w:rsidRPr="00C66550">
        <w:t xml:space="preserve"> of Australian jurisdictions</w:t>
      </w:r>
      <w:r w:rsidR="001C4736" w:rsidRPr="00C66550">
        <w:t>.</w:t>
      </w:r>
      <w:r w:rsidRPr="00C66550">
        <w:t xml:space="preserve"> </w:t>
      </w:r>
      <w:r w:rsidR="00387605" w:rsidRPr="00C66550">
        <w:t xml:space="preserve">This is consistent with the pattern of greater levels of waste per capita where incomes and urbanisation are high (see section </w:t>
      </w:r>
      <w:r w:rsidR="0062001A" w:rsidRPr="00C66550">
        <w:fldChar w:fldCharType="begin"/>
      </w:r>
      <w:r w:rsidR="00387605" w:rsidRPr="00C66550">
        <w:instrText xml:space="preserve"> REF _Ref348975624 \r \h </w:instrText>
      </w:r>
      <w:r w:rsidR="0062001A" w:rsidRPr="00C66550">
        <w:fldChar w:fldCharType="separate"/>
      </w:r>
      <w:r w:rsidR="00D96003">
        <w:t>2</w:t>
      </w:r>
      <w:r w:rsidR="0062001A" w:rsidRPr="00C66550">
        <w:fldChar w:fldCharType="end"/>
      </w:r>
      <w:r w:rsidR="00387605" w:rsidRPr="00C66550">
        <w:t>). The state</w:t>
      </w:r>
      <w:r w:rsidR="007B2C3C" w:rsidRPr="00C66550">
        <w:t>’</w:t>
      </w:r>
      <w:r w:rsidR="00387605" w:rsidRPr="00C66550">
        <w:t>s large secondary and tertiary industry base is also likely to have influenced this figure</w:t>
      </w:r>
      <w:r w:rsidR="00125AC2" w:rsidRPr="00C66550">
        <w:t>.</w:t>
      </w:r>
    </w:p>
    <w:p w:rsidR="0016096D" w:rsidRPr="00C66550" w:rsidRDefault="00387605" w:rsidP="00387605">
      <w:pPr>
        <w:pStyle w:val="BodyText"/>
        <w:tabs>
          <w:tab w:val="left" w:pos="6614"/>
        </w:tabs>
      </w:pPr>
      <w:r w:rsidRPr="00C66550">
        <w:tab/>
      </w:r>
    </w:p>
    <w:p w:rsidR="00F00109" w:rsidRPr="00C66550" w:rsidRDefault="00DC2B11" w:rsidP="001917BF">
      <w:pPr>
        <w:pStyle w:val="BodyText"/>
      </w:pPr>
      <w:r w:rsidRPr="00C66550">
        <w:t>NSW</w:t>
      </w:r>
      <w:r w:rsidR="001917BF" w:rsidRPr="00C66550">
        <w:t xml:space="preserve"> </w:t>
      </w:r>
      <w:r w:rsidRPr="00C66550">
        <w:t xml:space="preserve">also </w:t>
      </w:r>
      <w:r w:rsidR="001917BF" w:rsidRPr="00C66550">
        <w:t>had Australia</w:t>
      </w:r>
      <w:r w:rsidRPr="00C66550">
        <w:t>’s</w:t>
      </w:r>
      <w:r w:rsidR="001917BF" w:rsidRPr="00C66550">
        <w:t xml:space="preserve"> </w:t>
      </w:r>
      <w:r w:rsidRPr="00C66550">
        <w:t xml:space="preserve">third </w:t>
      </w:r>
      <w:r w:rsidR="001917BF" w:rsidRPr="00C66550">
        <w:t xml:space="preserve">highest resource recovery rate at around </w:t>
      </w:r>
      <w:r w:rsidRPr="00C66550">
        <w:t>65</w:t>
      </w:r>
      <w:r w:rsidR="001917BF" w:rsidRPr="00C66550">
        <w:t>%</w:t>
      </w:r>
      <w:r w:rsidR="00387605" w:rsidRPr="00C66550">
        <w:t>,</w:t>
      </w:r>
      <w:r w:rsidR="001C4736" w:rsidRPr="00C66550">
        <w:t xml:space="preserve"> which is </w:t>
      </w:r>
      <w:r w:rsidR="002E5B44" w:rsidRPr="00C66550">
        <w:t>5</w:t>
      </w:r>
      <w:r w:rsidR="001C4736" w:rsidRPr="00C66550">
        <w:t>% above the national average</w:t>
      </w:r>
      <w:r w:rsidR="0033037B" w:rsidRPr="00C66550">
        <w:t xml:space="preserve">. This </w:t>
      </w:r>
      <w:r w:rsidR="0016096D" w:rsidRPr="00C66550">
        <w:t>reflects</w:t>
      </w:r>
      <w:r w:rsidR="00F00109" w:rsidRPr="00C66550">
        <w:t>:</w:t>
      </w:r>
    </w:p>
    <w:p w:rsidR="00F00109" w:rsidRPr="00C66550" w:rsidRDefault="00BD334D" w:rsidP="00F00109">
      <w:pPr>
        <w:pStyle w:val="Bullet1"/>
      </w:pPr>
      <w:r w:rsidRPr="00C66550">
        <w:t xml:space="preserve">a </w:t>
      </w:r>
      <w:r w:rsidR="00AF55BE" w:rsidRPr="00C66550">
        <w:t>well-developed</w:t>
      </w:r>
      <w:r w:rsidR="0016096D" w:rsidRPr="00C66550">
        <w:t xml:space="preserve"> re</w:t>
      </w:r>
      <w:r w:rsidR="00F00109" w:rsidRPr="00C66550">
        <w:t>source recovery infrastructure</w:t>
      </w:r>
      <w:r w:rsidR="00C151A5" w:rsidRPr="00C66550">
        <w:t xml:space="preserve"> including significant capacity to process residual </w:t>
      </w:r>
      <w:r w:rsidR="0036735A" w:rsidRPr="00C66550">
        <w:t>MSW</w:t>
      </w:r>
      <w:r w:rsidR="00C151A5" w:rsidRPr="00C66550">
        <w:t xml:space="preserve"> through </w:t>
      </w:r>
      <w:r w:rsidR="0033037B" w:rsidRPr="00C66550">
        <w:t>AWT</w:t>
      </w:r>
      <w:r w:rsidR="00B611AB">
        <w:t xml:space="preserve"> facilities</w:t>
      </w:r>
      <w:r w:rsidR="00C151A5" w:rsidRPr="00C66550">
        <w:t xml:space="preserve"> and a </w:t>
      </w:r>
      <w:r w:rsidR="00422307" w:rsidRPr="00C66550">
        <w:t>well-established</w:t>
      </w:r>
      <w:r w:rsidR="00C151A5" w:rsidRPr="00C66550">
        <w:t xml:space="preserve"> organics recycling industry</w:t>
      </w:r>
    </w:p>
    <w:p w:rsidR="00F00109" w:rsidRPr="00C66550" w:rsidRDefault="00F00109" w:rsidP="00F00109">
      <w:pPr>
        <w:pStyle w:val="Bullet1"/>
      </w:pPr>
      <w:r w:rsidRPr="00C66550">
        <w:t xml:space="preserve">the </w:t>
      </w:r>
      <w:r w:rsidR="0016096D" w:rsidRPr="00C66550">
        <w:t>high</w:t>
      </w:r>
      <w:r w:rsidRPr="00C66550">
        <w:t>est</w:t>
      </w:r>
      <w:r w:rsidR="0016096D" w:rsidRPr="00C66550">
        <w:t xml:space="preserve"> landfill levy </w:t>
      </w:r>
      <w:r w:rsidR="00C151A5" w:rsidRPr="00C66550">
        <w:t>for MSW in Australia</w:t>
      </w:r>
    </w:p>
    <w:p w:rsidR="00C151A5" w:rsidRPr="00C66550" w:rsidRDefault="00C151A5" w:rsidP="00F00109">
      <w:pPr>
        <w:pStyle w:val="Bullet1"/>
      </w:pPr>
      <w:r w:rsidRPr="00C66550">
        <w:t>scarcity of landfill space in the Sydney area</w:t>
      </w:r>
    </w:p>
    <w:p w:rsidR="001917BF" w:rsidRPr="00C66550" w:rsidRDefault="0016096D" w:rsidP="00F00109">
      <w:pPr>
        <w:pStyle w:val="Bullet1"/>
      </w:pPr>
      <w:r w:rsidRPr="00C66550">
        <w:t>established policy directions to increase resource recovery</w:t>
      </w:r>
      <w:r w:rsidR="00BD334D" w:rsidRPr="00C66550">
        <w:t>,</w:t>
      </w:r>
      <w:r w:rsidR="007A01BF" w:rsidRPr="00C66550">
        <w:t xml:space="preserve"> including targets discussed below</w:t>
      </w:r>
      <w:r w:rsidRPr="00C66550">
        <w:t xml:space="preserve">. </w:t>
      </w:r>
    </w:p>
    <w:p w:rsidR="004D4526" w:rsidRPr="00C66550" w:rsidRDefault="0089707A" w:rsidP="006D25F9">
      <w:pPr>
        <w:pStyle w:val="Heading3"/>
      </w:pPr>
      <w:r w:rsidRPr="00C66550">
        <w:t>Total waste generated</w:t>
      </w:r>
    </w:p>
    <w:p w:rsidR="00630DFF" w:rsidRPr="00C66550" w:rsidRDefault="00D534E5" w:rsidP="004D4526">
      <w:pPr>
        <w:pStyle w:val="BodyText"/>
      </w:pPr>
      <w:r w:rsidRPr="00C66550">
        <w:t>T</w:t>
      </w:r>
      <w:r w:rsidR="001917BF" w:rsidRPr="00C66550">
        <w:t xml:space="preserve">otal waste generation in </w:t>
      </w:r>
      <w:r w:rsidR="00630DFF" w:rsidRPr="00C66550">
        <w:t>NSW</w:t>
      </w:r>
      <w:r w:rsidR="001917BF" w:rsidRPr="00C66550">
        <w:t xml:space="preserve"> </w:t>
      </w:r>
      <w:r w:rsidR="00387605" w:rsidRPr="00C66550">
        <w:t>in</w:t>
      </w:r>
      <w:r w:rsidR="001917BF" w:rsidRPr="00C66550">
        <w:t xml:space="preserve"> 2010/11 was around </w:t>
      </w:r>
      <w:r w:rsidR="00630DFF" w:rsidRPr="00C66550">
        <w:t>17</w:t>
      </w:r>
      <w:r w:rsidR="00543286" w:rsidRPr="00C66550">
        <w:t xml:space="preserve"> Mt</w:t>
      </w:r>
      <w:r w:rsidR="001917BF" w:rsidRPr="00C66550">
        <w:t xml:space="preserve"> </w:t>
      </w:r>
      <w:r w:rsidR="00630DFF" w:rsidRPr="00C66550">
        <w:t xml:space="preserve">excluding fly ash </w:t>
      </w:r>
      <w:r w:rsidR="00BD334D" w:rsidRPr="00C66550">
        <w:t>(</w:t>
      </w:r>
      <w:r w:rsidR="00630DFF" w:rsidRPr="00C66550">
        <w:t>22</w:t>
      </w:r>
      <w:r w:rsidR="00543286" w:rsidRPr="00C66550">
        <w:t xml:space="preserve"> Mt</w:t>
      </w:r>
      <w:r w:rsidR="00630DFF" w:rsidRPr="00C66550">
        <w:t xml:space="preserve"> including fly ash</w:t>
      </w:r>
      <w:r w:rsidR="00BD334D" w:rsidRPr="00C66550">
        <w:t>),</w:t>
      </w:r>
      <w:r w:rsidR="00630DFF" w:rsidRPr="00C66550">
        <w:t xml:space="preserve"> which is the highest in Australia</w:t>
      </w:r>
      <w:r w:rsidRPr="00C66550">
        <w:t xml:space="preserve"> (see </w:t>
      </w:r>
      <w:r w:rsidR="0062001A" w:rsidRPr="00C66550">
        <w:fldChar w:fldCharType="begin"/>
      </w:r>
      <w:r w:rsidRPr="00C66550">
        <w:instrText xml:space="preserve"> REF _Ref349921100 \h </w:instrText>
      </w:r>
      <w:r w:rsidR="0062001A" w:rsidRPr="00C66550">
        <w:fldChar w:fldCharType="separate"/>
      </w:r>
      <w:r w:rsidR="00D96003" w:rsidRPr="00C66550">
        <w:t xml:space="preserve">Figure </w:t>
      </w:r>
      <w:r w:rsidR="00D96003">
        <w:rPr>
          <w:noProof/>
        </w:rPr>
        <w:t>22</w:t>
      </w:r>
      <w:r w:rsidR="0062001A" w:rsidRPr="00C66550">
        <w:fldChar w:fldCharType="end"/>
      </w:r>
      <w:r w:rsidRPr="00C66550">
        <w:t>)</w:t>
      </w:r>
      <w:r w:rsidR="0033037B" w:rsidRPr="00C66550">
        <w:t xml:space="preserve">. This </w:t>
      </w:r>
      <w:r w:rsidR="00BD334D" w:rsidRPr="00C66550">
        <w:t xml:space="preserve">corresponds with </w:t>
      </w:r>
      <w:r w:rsidR="00630DFF" w:rsidRPr="00C66550">
        <w:t>NSW</w:t>
      </w:r>
      <w:r w:rsidR="00BD334D" w:rsidRPr="00C66550">
        <w:t xml:space="preserve"> having the highest</w:t>
      </w:r>
      <w:r w:rsidR="00630DFF" w:rsidRPr="00C66550">
        <w:t xml:space="preserve"> population and GSP </w:t>
      </w:r>
      <w:r w:rsidR="00BD334D" w:rsidRPr="00C66550">
        <w:t xml:space="preserve">in </w:t>
      </w:r>
      <w:r w:rsidR="00630DFF" w:rsidRPr="00C66550">
        <w:t>Australia.</w:t>
      </w:r>
      <w:r w:rsidR="000232AF" w:rsidRPr="00C66550">
        <w:t xml:space="preserve"> </w:t>
      </w:r>
      <w:r w:rsidR="00BD334D" w:rsidRPr="00C66550">
        <w:t>NSW generated</w:t>
      </w:r>
      <w:r w:rsidR="00653502" w:rsidRPr="00C66550">
        <w:t xml:space="preserve"> </w:t>
      </w:r>
      <w:r w:rsidR="00A01E20" w:rsidRPr="00C66550">
        <w:t>4</w:t>
      </w:r>
      <w:r w:rsidR="00543286" w:rsidRPr="00C66550">
        <w:t>.</w:t>
      </w:r>
      <w:r w:rsidR="00653502" w:rsidRPr="00C66550">
        <w:t>5</w:t>
      </w:r>
      <w:r w:rsidR="00543286" w:rsidRPr="00C66550">
        <w:t xml:space="preserve"> M</w:t>
      </w:r>
      <w:r w:rsidR="00653502" w:rsidRPr="00C66550">
        <w:t>t of fly ash</w:t>
      </w:r>
      <w:r w:rsidR="00BD334D" w:rsidRPr="00C66550">
        <w:t xml:space="preserve">, which is </w:t>
      </w:r>
      <w:r w:rsidR="00653502" w:rsidRPr="00C66550">
        <w:t>around 35% of Australia’s total</w:t>
      </w:r>
      <w:r w:rsidR="00A01E20" w:rsidRPr="00C66550">
        <w:t xml:space="preserve"> </w:t>
      </w:r>
      <w:r w:rsidR="00387605" w:rsidRPr="00C66550">
        <w:t xml:space="preserve">and is </w:t>
      </w:r>
      <w:r w:rsidR="00BD334D" w:rsidRPr="00C66550">
        <w:t>due to</w:t>
      </w:r>
      <w:r w:rsidR="00653502" w:rsidRPr="00C66550">
        <w:t xml:space="preserve"> </w:t>
      </w:r>
      <w:r w:rsidRPr="00C66550">
        <w:t>a high</w:t>
      </w:r>
      <w:r w:rsidR="00BD334D" w:rsidRPr="00C66550">
        <w:t xml:space="preserve"> dependence on </w:t>
      </w:r>
      <w:r w:rsidR="00653502" w:rsidRPr="00C66550">
        <w:t>coal</w:t>
      </w:r>
      <w:r w:rsidR="0033037B" w:rsidRPr="00C66550">
        <w:t>-</w:t>
      </w:r>
      <w:r w:rsidR="00653502" w:rsidRPr="00C66550">
        <w:t>fired power.</w:t>
      </w:r>
    </w:p>
    <w:p w:rsidR="000232AF" w:rsidRPr="00C66550" w:rsidRDefault="000232AF" w:rsidP="006D25F9">
      <w:pPr>
        <w:pStyle w:val="Heading3"/>
      </w:pPr>
      <w:r w:rsidRPr="00C66550">
        <w:t xml:space="preserve">Waste streams </w:t>
      </w:r>
    </w:p>
    <w:p w:rsidR="001C4736" w:rsidRPr="00C66550" w:rsidRDefault="001C4736" w:rsidP="0046630D">
      <w:pPr>
        <w:pStyle w:val="Bullet1"/>
      </w:pPr>
      <w:r w:rsidRPr="00C66550">
        <w:t>NSW</w:t>
      </w:r>
      <w:r w:rsidR="006E2D5F" w:rsidRPr="00C66550">
        <w:t xml:space="preserve"> MSW</w:t>
      </w:r>
      <w:r w:rsidRPr="00C66550">
        <w:t xml:space="preserve"> </w:t>
      </w:r>
      <w:r w:rsidR="00387605" w:rsidRPr="00C66550">
        <w:t>generat</w:t>
      </w:r>
      <w:r w:rsidR="006E2D5F" w:rsidRPr="00C66550">
        <w:t>ion was</w:t>
      </w:r>
      <w:r w:rsidR="00387605" w:rsidRPr="00C66550">
        <w:t xml:space="preserve"> about </w:t>
      </w:r>
      <w:r w:rsidRPr="00C66550">
        <w:t>4</w:t>
      </w:r>
      <w:r w:rsidR="00543286" w:rsidRPr="00C66550">
        <w:t>.</w:t>
      </w:r>
      <w:r w:rsidR="00387605" w:rsidRPr="00C66550">
        <w:t>8</w:t>
      </w:r>
      <w:r w:rsidR="00543286" w:rsidRPr="00C66550">
        <w:t xml:space="preserve"> M</w:t>
      </w:r>
      <w:r w:rsidR="0012047B" w:rsidRPr="00C66550">
        <w:t>t</w:t>
      </w:r>
      <w:r w:rsidRPr="00C66550">
        <w:t xml:space="preserve"> with a resource recovery rate of 57%</w:t>
      </w:r>
      <w:r w:rsidR="00B90403" w:rsidRPr="00C66550">
        <w:t>,</w:t>
      </w:r>
      <w:r w:rsidRPr="00C66550">
        <w:t xml:space="preserve"> which is </w:t>
      </w:r>
      <w:r w:rsidR="00A32C7E" w:rsidRPr="00C66550">
        <w:t>6</w:t>
      </w:r>
      <w:r w:rsidRPr="00C66550">
        <w:t>% above the Australian average</w:t>
      </w:r>
      <w:r w:rsidR="000232AF" w:rsidRPr="00C66550">
        <w:t>.</w:t>
      </w:r>
      <w:r w:rsidR="007A01BF" w:rsidRPr="00C66550">
        <w:t xml:space="preserve"> NSW </w:t>
      </w:r>
      <w:r w:rsidR="00B90403" w:rsidRPr="00C66550">
        <w:t xml:space="preserve">is </w:t>
      </w:r>
      <w:r w:rsidR="007A01BF" w:rsidRPr="00C66550">
        <w:t>targeting a MSW of recovery rate of 66% by 2014.</w:t>
      </w:r>
    </w:p>
    <w:p w:rsidR="000232AF" w:rsidRPr="00C66550" w:rsidRDefault="001C4736" w:rsidP="0046630D">
      <w:pPr>
        <w:pStyle w:val="Bullet1"/>
      </w:pPr>
      <w:r w:rsidRPr="00C66550">
        <w:t>NSW</w:t>
      </w:r>
      <w:r w:rsidR="006E2D5F" w:rsidRPr="00C66550">
        <w:t xml:space="preserve"> C&amp;I waste</w:t>
      </w:r>
      <w:r w:rsidRPr="00C66550">
        <w:t xml:space="preserve"> generat</w:t>
      </w:r>
      <w:r w:rsidR="006E2D5F" w:rsidRPr="00C66550">
        <w:t>ion was</w:t>
      </w:r>
      <w:r w:rsidR="00387605" w:rsidRPr="00C66550">
        <w:t xml:space="preserve"> about </w:t>
      </w:r>
      <w:r w:rsidRPr="00C66550">
        <w:t>5</w:t>
      </w:r>
      <w:r w:rsidR="00543286" w:rsidRPr="00C66550">
        <w:t>.</w:t>
      </w:r>
      <w:r w:rsidRPr="00C66550">
        <w:t xml:space="preserve">5 </w:t>
      </w:r>
      <w:r w:rsidR="00543286" w:rsidRPr="00C66550">
        <w:t>M</w:t>
      </w:r>
      <w:r w:rsidR="0012047B" w:rsidRPr="00C66550">
        <w:t>t</w:t>
      </w:r>
      <w:r w:rsidRPr="00C66550">
        <w:t xml:space="preserve"> with a resource recovery rate of 60%</w:t>
      </w:r>
      <w:r w:rsidR="00B90403" w:rsidRPr="00C66550">
        <w:t>,</w:t>
      </w:r>
      <w:r w:rsidRPr="00C66550">
        <w:t xml:space="preserve"> which is </w:t>
      </w:r>
      <w:r w:rsidR="00A32C7E" w:rsidRPr="00C66550">
        <w:t>1</w:t>
      </w:r>
      <w:r w:rsidRPr="00C66550">
        <w:t>% above the Australian average.</w:t>
      </w:r>
      <w:r w:rsidR="000232AF" w:rsidRPr="00C66550">
        <w:t xml:space="preserve"> </w:t>
      </w:r>
      <w:r w:rsidR="007A01BF" w:rsidRPr="00C66550">
        <w:t xml:space="preserve">NSW </w:t>
      </w:r>
      <w:r w:rsidR="00B90403" w:rsidRPr="00C66550">
        <w:t xml:space="preserve">is </w:t>
      </w:r>
      <w:r w:rsidR="007A01BF" w:rsidRPr="00C66550">
        <w:t>targeting a C&amp;I recovery rate of 63% by 2014.</w:t>
      </w:r>
    </w:p>
    <w:p w:rsidR="00F3555A" w:rsidRPr="00C66550" w:rsidRDefault="001C4736" w:rsidP="0046630D">
      <w:pPr>
        <w:pStyle w:val="Bullet1"/>
      </w:pPr>
      <w:r w:rsidRPr="00C66550">
        <w:t>NSW</w:t>
      </w:r>
      <w:r w:rsidR="00387605" w:rsidRPr="00C66550">
        <w:t xml:space="preserve"> </w:t>
      </w:r>
      <w:r w:rsidR="006E2D5F" w:rsidRPr="00C66550">
        <w:t>C&amp;D waste generation was</w:t>
      </w:r>
      <w:r w:rsidR="00387605" w:rsidRPr="00C66550">
        <w:t xml:space="preserve"> about 6</w:t>
      </w:r>
      <w:r w:rsidR="00543286" w:rsidRPr="00C66550">
        <w:t>.</w:t>
      </w:r>
      <w:r w:rsidR="00387605" w:rsidRPr="00C66550">
        <w:t xml:space="preserve">9 </w:t>
      </w:r>
      <w:r w:rsidR="00543286" w:rsidRPr="00C66550">
        <w:t>M</w:t>
      </w:r>
      <w:r w:rsidR="00387605" w:rsidRPr="00C66550">
        <w:t xml:space="preserve">t </w:t>
      </w:r>
      <w:r w:rsidRPr="00C66550">
        <w:t>with a resource recovery rate of 75%</w:t>
      </w:r>
      <w:r w:rsidR="00B90403" w:rsidRPr="00C66550">
        <w:t>,</w:t>
      </w:r>
      <w:r w:rsidRPr="00C66550">
        <w:t xml:space="preserve"> which is </w:t>
      </w:r>
      <w:r w:rsidR="00A32C7E" w:rsidRPr="00C66550">
        <w:t>9</w:t>
      </w:r>
      <w:r w:rsidRPr="00C66550">
        <w:t>% above the Australian average.</w:t>
      </w:r>
      <w:r w:rsidR="007A01BF" w:rsidRPr="00C66550">
        <w:t xml:space="preserve"> NSW </w:t>
      </w:r>
      <w:r w:rsidR="00B90403" w:rsidRPr="00C66550">
        <w:t xml:space="preserve">is </w:t>
      </w:r>
      <w:r w:rsidR="007A01BF" w:rsidRPr="00C66550">
        <w:t>targeting a C&amp;D recovery rate of 76% by 2014.</w:t>
      </w:r>
    </w:p>
    <w:p w:rsidR="007A01BF" w:rsidRPr="00C66550" w:rsidRDefault="007A01BF" w:rsidP="000232AF">
      <w:pPr>
        <w:pStyle w:val="BodyText"/>
      </w:pPr>
    </w:p>
    <w:p w:rsidR="001C4736" w:rsidRPr="00C66550" w:rsidRDefault="001C4736" w:rsidP="000232AF">
      <w:pPr>
        <w:pStyle w:val="BodyText"/>
      </w:pPr>
      <w:r w:rsidRPr="00C66550">
        <w:t>Th</w:t>
      </w:r>
      <w:r w:rsidR="003D1D59" w:rsidRPr="00C66550">
        <w:t>e</w:t>
      </w:r>
      <w:r w:rsidRPr="00C66550">
        <w:t xml:space="preserve"> data </w:t>
      </w:r>
      <w:r w:rsidR="00511889" w:rsidRPr="00C66550">
        <w:t>reflect</w:t>
      </w:r>
      <w:r w:rsidR="00387605" w:rsidRPr="00C66550">
        <w:t xml:space="preserve"> NSW’s</w:t>
      </w:r>
      <w:r w:rsidR="00511889" w:rsidRPr="00C66550">
        <w:t xml:space="preserve"> </w:t>
      </w:r>
      <w:r w:rsidR="00422307" w:rsidRPr="00C66550">
        <w:t>well-established</w:t>
      </w:r>
      <w:r w:rsidR="00511889" w:rsidRPr="00C66550">
        <w:t xml:space="preserve"> recovery </w:t>
      </w:r>
      <w:r w:rsidR="00F04735" w:rsidRPr="00C66550">
        <w:t xml:space="preserve">infrastructure </w:t>
      </w:r>
      <w:r w:rsidR="00511889" w:rsidRPr="00C66550">
        <w:t>for MSW and C&amp;D</w:t>
      </w:r>
      <w:r w:rsidR="00F04735" w:rsidRPr="00C66550">
        <w:t xml:space="preserve"> </w:t>
      </w:r>
      <w:r w:rsidR="00511889" w:rsidRPr="00C66550">
        <w:t>waste streams</w:t>
      </w:r>
      <w:r w:rsidR="00F04735" w:rsidRPr="00C66550">
        <w:t xml:space="preserve">, sitting </w:t>
      </w:r>
      <w:r w:rsidR="00A90F28" w:rsidRPr="00C66550">
        <w:t xml:space="preserve">well above the national average. </w:t>
      </w:r>
      <w:r w:rsidR="00511889" w:rsidRPr="00C66550">
        <w:t>C&amp;I recovery infrastructure</w:t>
      </w:r>
      <w:r w:rsidR="00A90F28" w:rsidRPr="00C66550">
        <w:t xml:space="preserve"> appears to be</w:t>
      </w:r>
      <w:r w:rsidR="00511889" w:rsidRPr="00C66550">
        <w:t xml:space="preserve"> less</w:t>
      </w:r>
      <w:r w:rsidR="00B60BD3" w:rsidRPr="00C66550">
        <w:t xml:space="preserve"> well</w:t>
      </w:r>
      <w:r w:rsidR="00511889" w:rsidRPr="00C66550">
        <w:t xml:space="preserve"> established</w:t>
      </w:r>
      <w:r w:rsidR="00F04735" w:rsidRPr="00C66550">
        <w:t>, sitting at about the national average</w:t>
      </w:r>
      <w:r w:rsidR="00511889" w:rsidRPr="00C66550">
        <w:t>.</w:t>
      </w:r>
    </w:p>
    <w:p w:rsidR="001917BF" w:rsidRPr="00C66550" w:rsidRDefault="001917BF" w:rsidP="006D25F9">
      <w:pPr>
        <w:pStyle w:val="Heading3"/>
      </w:pPr>
      <w:r w:rsidRPr="00C66550">
        <w:t>Material categories</w:t>
      </w:r>
    </w:p>
    <w:p w:rsidR="00A90F28" w:rsidRPr="00C66550" w:rsidRDefault="0056548B" w:rsidP="00F04735">
      <w:pPr>
        <w:pStyle w:val="BodyText"/>
      </w:pPr>
      <w:r w:rsidRPr="00C66550">
        <w:t xml:space="preserve">In NSW the waste categories that </w:t>
      </w:r>
      <w:r w:rsidR="003E1D77" w:rsidRPr="00C66550">
        <w:t>make up</w:t>
      </w:r>
      <w:r w:rsidRPr="00C66550">
        <w:t xml:space="preserve"> the bulk of waste generation are masonry materials, fly ash, organics, metals, and paper and cardboard. The resource recovery rates are well above Australia’s average for all materials category apart from plastics, other, and hazardous categories</w:t>
      </w:r>
      <w:r w:rsidR="00511889" w:rsidRPr="00C66550">
        <w:t xml:space="preserve">. This suggests that plastics and </w:t>
      </w:r>
      <w:r w:rsidR="003D1D59" w:rsidRPr="00C66550">
        <w:t>‘</w:t>
      </w:r>
      <w:r w:rsidR="00511889" w:rsidRPr="00C66550">
        <w:t>other</w:t>
      </w:r>
      <w:r w:rsidR="003D1D59" w:rsidRPr="00C66550">
        <w:t>’</w:t>
      </w:r>
      <w:r w:rsidR="00511889" w:rsidRPr="00C66550">
        <w:t xml:space="preserve"> categories contain large percentages of material that is difficult to recover or has poor end markets. The hazardous waste category is dominated by </w:t>
      </w:r>
      <w:r w:rsidRPr="00C66550">
        <w:t>contaminated soils</w:t>
      </w:r>
      <w:r w:rsidR="003D1D59" w:rsidRPr="00C66550">
        <w:t>,</w:t>
      </w:r>
      <w:r w:rsidR="00511889" w:rsidRPr="00C66550">
        <w:t xml:space="preserve"> suggesting treatment options are either t</w:t>
      </w:r>
      <w:r w:rsidR="0046630D" w:rsidRPr="00C66550">
        <w:t>o</w:t>
      </w:r>
      <w:r w:rsidR="00511889" w:rsidRPr="00C66550">
        <w:t>o expensive or not readily available</w:t>
      </w:r>
      <w:r w:rsidRPr="00C66550">
        <w:t>.</w:t>
      </w:r>
      <w:bookmarkStart w:id="116" w:name="_Ref349123305"/>
    </w:p>
    <w:p w:rsidR="003D1D59" w:rsidRPr="00C66550" w:rsidRDefault="003D1D59" w:rsidP="00F04735">
      <w:pPr>
        <w:pStyle w:val="BodyText"/>
        <w:rPr>
          <w:rFonts w:cs="Calibri"/>
          <w:b/>
          <w:color w:val="0000FF"/>
          <w:szCs w:val="20"/>
        </w:rPr>
      </w:pPr>
      <w:r w:rsidRPr="00C66550">
        <w:br w:type="page"/>
      </w:r>
    </w:p>
    <w:p w:rsidR="00DA30BC" w:rsidRPr="00C66550" w:rsidRDefault="009871E3" w:rsidP="00FB4820">
      <w:pPr>
        <w:pStyle w:val="Figures"/>
      </w:pPr>
      <w:bookmarkStart w:id="117" w:name="_Ref349921100"/>
      <w:bookmarkStart w:id="118" w:name="_Toc365385031"/>
      <w:r w:rsidRPr="00C66550">
        <w:lastRenderedPageBreak/>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22</w:t>
      </w:r>
      <w:r w:rsidR="0062001A" w:rsidRPr="00C66550">
        <w:rPr>
          <w:noProof/>
        </w:rPr>
        <w:fldChar w:fldCharType="end"/>
      </w:r>
      <w:bookmarkEnd w:id="116"/>
      <w:bookmarkEnd w:id="117"/>
      <w:r w:rsidR="00E533BB" w:rsidRPr="00C66550">
        <w:t>:</w:t>
      </w:r>
      <w:r w:rsidR="00E533BB" w:rsidRPr="00C66550">
        <w:tab/>
      </w:r>
      <w:r w:rsidR="00D62F29" w:rsidRPr="00C66550">
        <w:t>NSW</w:t>
      </w:r>
      <w:r w:rsidRPr="00C66550">
        <w:t xml:space="preserve"> 2010/11</w:t>
      </w:r>
      <w:r w:rsidR="000D7C2B">
        <w:t>, total waste generation</w:t>
      </w:r>
      <w:r w:rsidR="003A7FCE" w:rsidRPr="00C66550">
        <w:t xml:space="preserve"> by</w:t>
      </w:r>
      <w:r w:rsidR="003A7FCE">
        <w:t>:</w:t>
      </w:r>
      <w:r w:rsidR="003A7FCE" w:rsidRPr="00C66550">
        <w:t xml:space="preserve"> (a) management (b) waste stream and management</w:t>
      </w:r>
      <w:r w:rsidR="000D7C2B">
        <w:t xml:space="preserve"> (c)</w:t>
      </w:r>
      <w:r w:rsidR="003A7FCE" w:rsidRPr="00C66550">
        <w:t xml:space="preserve"> material category and management</w:t>
      </w:r>
      <w:bookmarkEnd w:id="118"/>
    </w:p>
    <w:p w:rsidR="009871E3" w:rsidRPr="00C66550" w:rsidRDefault="00A32C7E" w:rsidP="003C0F31">
      <w:pPr>
        <w:pStyle w:val="Monkey"/>
        <w:rPr>
          <w:noProof/>
          <w:lang w:eastAsia="en-AU"/>
        </w:rPr>
      </w:pPr>
      <w:r w:rsidRPr="00C66550">
        <w:rPr>
          <w:noProof/>
          <w:lang w:eastAsia="en-AU"/>
        </w:rPr>
        <w:drawing>
          <wp:anchor distT="0" distB="0" distL="114300" distR="114300" simplePos="0" relativeHeight="251829248" behindDoc="0" locked="0" layoutInCell="1" allowOverlap="1">
            <wp:simplePos x="0" y="0"/>
            <wp:positionH relativeFrom="column">
              <wp:posOffset>381000</wp:posOffset>
            </wp:positionH>
            <wp:positionV relativeFrom="paragraph">
              <wp:posOffset>21590</wp:posOffset>
            </wp:positionV>
            <wp:extent cx="4276090" cy="2666365"/>
            <wp:effectExtent l="0" t="0" r="0" b="6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6090" cy="2666365"/>
                    </a:xfrm>
                    <a:prstGeom prst="rect">
                      <a:avLst/>
                    </a:prstGeom>
                  </pic:spPr>
                </pic:pic>
              </a:graphicData>
            </a:graphic>
          </wp:anchor>
        </w:drawing>
      </w:r>
      <w:r w:rsidR="00DA30BC" w:rsidRPr="00C66550">
        <w:t>(a)</w:t>
      </w:r>
    </w:p>
    <w:p w:rsidR="009871E3" w:rsidRPr="00C66550" w:rsidRDefault="009871E3" w:rsidP="0006200F">
      <w:pPr>
        <w:pStyle w:val="BodyText"/>
      </w:pPr>
    </w:p>
    <w:p w:rsidR="009871E3" w:rsidRPr="00C66550" w:rsidRDefault="009871E3" w:rsidP="0006200F">
      <w:pPr>
        <w:pStyle w:val="BodyText"/>
      </w:pPr>
    </w:p>
    <w:p w:rsidR="009871E3" w:rsidRPr="00C66550" w:rsidRDefault="009871E3" w:rsidP="0006200F">
      <w:pPr>
        <w:pStyle w:val="BodyText"/>
      </w:pPr>
    </w:p>
    <w:p w:rsidR="009871E3" w:rsidRPr="00C66550" w:rsidRDefault="009871E3" w:rsidP="0006200F">
      <w:pPr>
        <w:pStyle w:val="BodyText"/>
      </w:pPr>
    </w:p>
    <w:p w:rsidR="00844BC4" w:rsidRPr="00C66550" w:rsidRDefault="00844BC4" w:rsidP="0006200F">
      <w:pPr>
        <w:pStyle w:val="BodyText"/>
      </w:pPr>
    </w:p>
    <w:p w:rsidR="00844BC4" w:rsidRPr="00C66550" w:rsidRDefault="00844BC4" w:rsidP="0006200F">
      <w:pPr>
        <w:pStyle w:val="BodyText"/>
      </w:pPr>
    </w:p>
    <w:p w:rsidR="009871E3" w:rsidRPr="00C66550" w:rsidRDefault="009871E3"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A32C7E" w:rsidP="003C0F31">
      <w:pPr>
        <w:pStyle w:val="Monkey"/>
      </w:pPr>
      <w:r w:rsidRPr="00C66550">
        <w:rPr>
          <w:noProof/>
          <w:lang w:eastAsia="en-AU"/>
        </w:rPr>
        <w:drawing>
          <wp:anchor distT="0" distB="0" distL="114300" distR="114300" simplePos="0" relativeHeight="251830272" behindDoc="0" locked="0" layoutInCell="1" allowOverlap="1">
            <wp:simplePos x="0" y="0"/>
            <wp:positionH relativeFrom="column">
              <wp:posOffset>487045</wp:posOffset>
            </wp:positionH>
            <wp:positionV relativeFrom="paragraph">
              <wp:posOffset>79375</wp:posOffset>
            </wp:positionV>
            <wp:extent cx="4247515" cy="2637790"/>
            <wp:effectExtent l="0" t="0" r="63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7515" cy="2637790"/>
                    </a:xfrm>
                    <a:prstGeom prst="rect">
                      <a:avLst/>
                    </a:prstGeom>
                  </pic:spPr>
                </pic:pic>
              </a:graphicData>
            </a:graphic>
          </wp:anchor>
        </w:drawing>
      </w:r>
      <w:r w:rsidR="00DA30BC" w:rsidRPr="00C66550">
        <w:t>(b)</w:t>
      </w:r>
      <w:r w:rsidRPr="00C66550">
        <w:rPr>
          <w:noProof/>
          <w:lang w:eastAsia="en-AU"/>
        </w:rPr>
        <w:t xml:space="preserve"> </w:t>
      </w: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844BC4" w:rsidRPr="00C66550" w:rsidRDefault="00844BC4" w:rsidP="0006200F">
      <w:pPr>
        <w:pStyle w:val="BodyText"/>
      </w:pPr>
    </w:p>
    <w:p w:rsidR="001171DA" w:rsidRPr="00C66550" w:rsidRDefault="001171DA" w:rsidP="006D25F9">
      <w:pPr>
        <w:pStyle w:val="Heading2"/>
        <w:numPr>
          <w:ilvl w:val="0"/>
          <w:numId w:val="0"/>
        </w:numPr>
        <w:ind w:left="709"/>
      </w:pPr>
      <w:bookmarkStart w:id="119" w:name="_Toc354652716"/>
      <w:bookmarkEnd w:id="119"/>
    </w:p>
    <w:p w:rsidR="00DA30BC" w:rsidRPr="00C66550" w:rsidRDefault="00DA30BC" w:rsidP="00DA30BC">
      <w:pPr>
        <w:pStyle w:val="BodyText"/>
      </w:pPr>
    </w:p>
    <w:p w:rsidR="00DA30BC" w:rsidRPr="00C66550" w:rsidRDefault="00DA30BC" w:rsidP="00DA30BC">
      <w:pPr>
        <w:pStyle w:val="BodyText"/>
      </w:pPr>
    </w:p>
    <w:p w:rsidR="00DA30BC" w:rsidRPr="00C66550" w:rsidRDefault="00A32C7E" w:rsidP="003C0F31">
      <w:pPr>
        <w:pStyle w:val="Monkey"/>
      </w:pPr>
      <w:r w:rsidRPr="00C66550">
        <w:rPr>
          <w:noProof/>
          <w:lang w:eastAsia="en-AU"/>
        </w:rPr>
        <w:drawing>
          <wp:anchor distT="0" distB="0" distL="114300" distR="114300" simplePos="0" relativeHeight="251831296" behindDoc="0" locked="0" layoutInCell="1" allowOverlap="1">
            <wp:simplePos x="0" y="0"/>
            <wp:positionH relativeFrom="column">
              <wp:posOffset>-231775</wp:posOffset>
            </wp:positionH>
            <wp:positionV relativeFrom="paragraph">
              <wp:posOffset>407035</wp:posOffset>
            </wp:positionV>
            <wp:extent cx="6381750" cy="2416810"/>
            <wp:effectExtent l="0" t="0" r="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1750" cy="2416810"/>
                    </a:xfrm>
                    <a:prstGeom prst="rect">
                      <a:avLst/>
                    </a:prstGeom>
                  </pic:spPr>
                </pic:pic>
              </a:graphicData>
            </a:graphic>
          </wp:anchor>
        </w:drawing>
      </w:r>
      <w:r w:rsidRPr="00C66550">
        <w:t xml:space="preserve"> </w:t>
      </w:r>
      <w:r w:rsidR="00DA30BC" w:rsidRPr="00C66550">
        <w:t>(c)</w:t>
      </w:r>
    </w:p>
    <w:p w:rsidR="002B49F5" w:rsidRPr="00C66550" w:rsidRDefault="002B49F5" w:rsidP="002B49F5">
      <w:pPr>
        <w:pStyle w:val="FigureTableinfo"/>
      </w:pPr>
      <w:r w:rsidRPr="00C66550">
        <w:rPr>
          <w:sz w:val="20"/>
        </w:rPr>
        <w:t>Note: the sum of all materials listed above is about 2 Mt less than the NSW waste generation total because some waste was not attributable to a particular category.</w:t>
      </w:r>
    </w:p>
    <w:p w:rsidR="00154794" w:rsidRPr="00C66550" w:rsidRDefault="00154794" w:rsidP="006D25F9">
      <w:pPr>
        <w:pStyle w:val="Heading2"/>
      </w:pPr>
      <w:bookmarkStart w:id="120" w:name="_Toc379466366"/>
      <w:r w:rsidRPr="00C66550">
        <w:lastRenderedPageBreak/>
        <w:t xml:space="preserve">NSW trends </w:t>
      </w:r>
      <w:r w:rsidR="00081CFB" w:rsidRPr="00C66550">
        <w:t>2006/07 to 2010/11</w:t>
      </w:r>
      <w:bookmarkEnd w:id="120"/>
      <w:r w:rsidRPr="00C66550">
        <w:t xml:space="preserve"> </w:t>
      </w:r>
    </w:p>
    <w:p w:rsidR="006751D0" w:rsidRPr="00C66550" w:rsidRDefault="0062001A" w:rsidP="006751D0">
      <w:pPr>
        <w:spacing w:line="240" w:lineRule="auto"/>
        <w:rPr>
          <w:color w:val="080808"/>
          <w:sz w:val="22"/>
        </w:rPr>
      </w:pPr>
      <w:r w:rsidRPr="00C66550">
        <w:rPr>
          <w:color w:val="080808"/>
          <w:sz w:val="22"/>
        </w:rPr>
        <w:fldChar w:fldCharType="begin"/>
      </w:r>
      <w:r w:rsidR="007475B7" w:rsidRPr="00C66550">
        <w:rPr>
          <w:color w:val="080808"/>
          <w:sz w:val="22"/>
        </w:rPr>
        <w:instrText xml:space="preserve"> REF _Ref354750075 \h </w:instrText>
      </w:r>
      <w:r w:rsidRPr="00C66550">
        <w:rPr>
          <w:color w:val="080808"/>
          <w:sz w:val="22"/>
        </w:rPr>
      </w:r>
      <w:r w:rsidRPr="00C66550">
        <w:rPr>
          <w:color w:val="080808"/>
          <w:sz w:val="22"/>
        </w:rPr>
        <w:fldChar w:fldCharType="separate"/>
      </w:r>
      <w:r w:rsidR="00D96003" w:rsidRPr="00C66550">
        <w:t xml:space="preserve">Figure </w:t>
      </w:r>
      <w:r w:rsidR="00D96003">
        <w:rPr>
          <w:noProof/>
        </w:rPr>
        <w:t>23</w:t>
      </w:r>
      <w:r w:rsidRPr="00C66550">
        <w:rPr>
          <w:color w:val="080808"/>
          <w:sz w:val="22"/>
        </w:rPr>
        <w:fldChar w:fldCharType="end"/>
      </w:r>
      <w:r w:rsidR="007475B7" w:rsidRPr="00C66550">
        <w:rPr>
          <w:color w:val="080808"/>
          <w:sz w:val="22"/>
        </w:rPr>
        <w:t xml:space="preserve"> </w:t>
      </w:r>
      <w:r w:rsidR="006751D0" w:rsidRPr="00C66550">
        <w:rPr>
          <w:color w:val="080808"/>
          <w:sz w:val="22"/>
        </w:rPr>
        <w:t xml:space="preserve">shows the </w:t>
      </w:r>
      <w:r w:rsidR="003D0ED6" w:rsidRPr="00C66550">
        <w:rPr>
          <w:b/>
          <w:color w:val="080808"/>
          <w:sz w:val="22"/>
        </w:rPr>
        <w:t>per capita</w:t>
      </w:r>
      <w:r w:rsidR="006751D0" w:rsidRPr="00C66550">
        <w:rPr>
          <w:color w:val="080808"/>
          <w:sz w:val="22"/>
        </w:rPr>
        <w:t xml:space="preserve"> </w:t>
      </w:r>
      <w:r w:rsidR="006D25F9" w:rsidRPr="00C66550">
        <w:rPr>
          <w:color w:val="080808"/>
          <w:sz w:val="22"/>
        </w:rPr>
        <w:t xml:space="preserve">trends in </w:t>
      </w:r>
      <w:r w:rsidR="006751D0" w:rsidRPr="00C66550">
        <w:rPr>
          <w:color w:val="080808"/>
          <w:sz w:val="22"/>
        </w:rPr>
        <w:t xml:space="preserve">waste generation </w:t>
      </w:r>
      <w:r w:rsidR="006D25F9" w:rsidRPr="00C66550">
        <w:rPr>
          <w:color w:val="080808"/>
          <w:sz w:val="22"/>
        </w:rPr>
        <w:t xml:space="preserve">and management </w:t>
      </w:r>
      <w:r w:rsidR="006751D0" w:rsidRPr="00C66550">
        <w:rPr>
          <w:color w:val="080808"/>
          <w:sz w:val="22"/>
        </w:rPr>
        <w:t>for the</w:t>
      </w:r>
      <w:r w:rsidR="006D25F9" w:rsidRPr="00C66550">
        <w:rPr>
          <w:color w:val="080808"/>
          <w:sz w:val="22"/>
        </w:rPr>
        <w:t xml:space="preserve"> period</w:t>
      </w:r>
      <w:r w:rsidR="006751D0" w:rsidRPr="00C66550">
        <w:rPr>
          <w:color w:val="080808"/>
          <w:sz w:val="22"/>
        </w:rPr>
        <w:t xml:space="preserve"> 2006/07</w:t>
      </w:r>
      <w:r w:rsidR="006D25F9" w:rsidRPr="00C66550">
        <w:rPr>
          <w:color w:val="080808"/>
          <w:sz w:val="22"/>
        </w:rPr>
        <w:t xml:space="preserve"> to </w:t>
      </w:r>
      <w:r w:rsidR="006751D0" w:rsidRPr="00C66550">
        <w:rPr>
          <w:color w:val="080808"/>
          <w:sz w:val="22"/>
        </w:rPr>
        <w:t xml:space="preserve">2010/11 </w:t>
      </w:r>
      <w:r w:rsidR="006D25F9" w:rsidRPr="00C66550">
        <w:rPr>
          <w:color w:val="080808"/>
          <w:sz w:val="22"/>
        </w:rPr>
        <w:t xml:space="preserve">in </w:t>
      </w:r>
      <w:r w:rsidR="006751D0" w:rsidRPr="00C66550">
        <w:rPr>
          <w:color w:val="080808"/>
          <w:sz w:val="22"/>
        </w:rPr>
        <w:t>NSW</w:t>
      </w:r>
      <w:r w:rsidR="0046630D" w:rsidRPr="00C66550">
        <w:rPr>
          <w:color w:val="080808"/>
          <w:sz w:val="22"/>
        </w:rPr>
        <w:t>.</w:t>
      </w:r>
    </w:p>
    <w:p w:rsidR="004C62E8" w:rsidRPr="00C66550" w:rsidRDefault="004C62E8" w:rsidP="006751D0">
      <w:pPr>
        <w:spacing w:line="240" w:lineRule="auto"/>
        <w:rPr>
          <w:color w:val="080808"/>
          <w:sz w:val="22"/>
        </w:rPr>
      </w:pPr>
    </w:p>
    <w:p w:rsidR="004C62E8" w:rsidRPr="00C66550" w:rsidRDefault="004C62E8" w:rsidP="00FB4820">
      <w:pPr>
        <w:pStyle w:val="Figures"/>
        <w:rPr>
          <w:noProof/>
          <w:lang w:eastAsia="en-AU"/>
        </w:rPr>
      </w:pPr>
      <w:bookmarkStart w:id="121" w:name="_Ref354750075"/>
      <w:bookmarkStart w:id="122" w:name="_Toc365385032"/>
      <w:r w:rsidRPr="00C66550">
        <w:t xml:space="preserve">Figure </w:t>
      </w:r>
      <w:r w:rsidR="0062001A" w:rsidRPr="00C66550">
        <w:fldChar w:fldCharType="begin"/>
      </w:r>
      <w:r w:rsidR="002E66B7" w:rsidRPr="00C66550">
        <w:instrText xml:space="preserve"> SEQ Figure \* ARABIC </w:instrText>
      </w:r>
      <w:r w:rsidR="0062001A" w:rsidRPr="00C66550">
        <w:fldChar w:fldCharType="separate"/>
      </w:r>
      <w:r w:rsidR="00D96003">
        <w:rPr>
          <w:noProof/>
        </w:rPr>
        <w:t>23</w:t>
      </w:r>
      <w:r w:rsidR="0062001A" w:rsidRPr="00C66550">
        <w:rPr>
          <w:noProof/>
        </w:rPr>
        <w:fldChar w:fldCharType="end"/>
      </w:r>
      <w:bookmarkEnd w:id="121"/>
      <w:r w:rsidRPr="00C66550">
        <w:t>:</w:t>
      </w:r>
      <w:r w:rsidRPr="00C66550">
        <w:tab/>
      </w:r>
      <w:r w:rsidR="00081CFB" w:rsidRPr="00C66550">
        <w:t>T</w:t>
      </w:r>
      <w:r w:rsidRPr="00C66550">
        <w:t>rends in</w:t>
      </w:r>
      <w:r w:rsidR="007475B7" w:rsidRPr="00C66550">
        <w:t xml:space="preserve"> per capita</w:t>
      </w:r>
      <w:r w:rsidRPr="00C66550">
        <w:t xml:space="preserve"> waste generation and management</w:t>
      </w:r>
      <w:r w:rsidR="00081CFB" w:rsidRPr="00C66550">
        <w:t>, NSW 2006/07 to 2010/11</w:t>
      </w:r>
      <w:bookmarkEnd w:id="122"/>
    </w:p>
    <w:p w:rsidR="004C62E8" w:rsidRPr="00C66550" w:rsidRDefault="004C62E8" w:rsidP="006751D0">
      <w:pPr>
        <w:spacing w:line="240" w:lineRule="auto"/>
        <w:rPr>
          <w:color w:val="080808"/>
          <w:sz w:val="22"/>
        </w:rPr>
      </w:pPr>
    </w:p>
    <w:p w:rsidR="004C62E8" w:rsidRPr="00C66550" w:rsidRDefault="004233A6" w:rsidP="006751D0">
      <w:pPr>
        <w:spacing w:line="240" w:lineRule="auto"/>
        <w:rPr>
          <w:color w:val="080808"/>
          <w:sz w:val="22"/>
        </w:rPr>
      </w:pPr>
      <w:r w:rsidRPr="00C66550">
        <w:rPr>
          <w:noProof/>
          <w:lang w:eastAsia="en-AU"/>
        </w:rPr>
        <w:drawing>
          <wp:inline distT="0" distB="0" distL="0" distR="0">
            <wp:extent cx="4316819" cy="2831990"/>
            <wp:effectExtent l="0" t="0" r="762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4314689" cy="2830593"/>
                    </a:xfrm>
                    <a:prstGeom prst="rect">
                      <a:avLst/>
                    </a:prstGeom>
                  </pic:spPr>
                </pic:pic>
              </a:graphicData>
            </a:graphic>
          </wp:inline>
        </w:drawing>
      </w:r>
    </w:p>
    <w:p w:rsidR="004C62E8" w:rsidRPr="00C66550" w:rsidRDefault="004C62E8" w:rsidP="006751D0">
      <w:pPr>
        <w:spacing w:line="240" w:lineRule="auto"/>
        <w:rPr>
          <w:color w:val="080808"/>
          <w:sz w:val="22"/>
        </w:rPr>
      </w:pPr>
    </w:p>
    <w:p w:rsidR="004C62E8" w:rsidRPr="00C66550" w:rsidRDefault="004C62E8" w:rsidP="004C62E8">
      <w:pPr>
        <w:pStyle w:val="BodyText"/>
        <w:rPr>
          <w:rFonts w:cs="Arial"/>
          <w:i/>
          <w:color w:val="0000FF"/>
          <w:szCs w:val="20"/>
        </w:rPr>
      </w:pPr>
      <w:r w:rsidRPr="00C66550">
        <w:rPr>
          <w:rFonts w:cs="Arial"/>
          <w:i/>
          <w:color w:val="0000FF"/>
          <w:szCs w:val="20"/>
        </w:rPr>
        <w:t>Relies on interpolation for 07/08 and 08/09</w:t>
      </w:r>
    </w:p>
    <w:p w:rsidR="004C62E8" w:rsidRPr="00C66550" w:rsidRDefault="004C62E8" w:rsidP="006751D0">
      <w:pPr>
        <w:spacing w:line="240" w:lineRule="auto"/>
        <w:rPr>
          <w:color w:val="080808"/>
          <w:sz w:val="22"/>
        </w:rPr>
      </w:pPr>
    </w:p>
    <w:p w:rsidR="006751D0" w:rsidRPr="00C66550" w:rsidRDefault="006751D0" w:rsidP="006751D0">
      <w:pPr>
        <w:spacing w:line="240" w:lineRule="auto"/>
        <w:rPr>
          <w:color w:val="080808"/>
          <w:sz w:val="22"/>
        </w:rPr>
      </w:pPr>
      <w:r w:rsidRPr="00C66550">
        <w:rPr>
          <w:color w:val="080808"/>
          <w:sz w:val="22"/>
        </w:rPr>
        <w:t>Over the</w:t>
      </w:r>
      <w:r w:rsidR="006F2CE3" w:rsidRPr="00C66550">
        <w:rPr>
          <w:color w:val="080808"/>
          <w:sz w:val="22"/>
        </w:rPr>
        <w:t xml:space="preserve"> </w:t>
      </w:r>
      <w:r w:rsidRPr="00C66550">
        <w:rPr>
          <w:color w:val="080808"/>
          <w:sz w:val="22"/>
        </w:rPr>
        <w:t xml:space="preserve">period the following </w:t>
      </w:r>
      <w:r w:rsidR="003D0ED6" w:rsidRPr="00C66550">
        <w:rPr>
          <w:b/>
          <w:color w:val="080808"/>
          <w:sz w:val="22"/>
        </w:rPr>
        <w:t>per capita</w:t>
      </w:r>
      <w:r w:rsidRPr="00C66550">
        <w:rPr>
          <w:color w:val="080808"/>
          <w:sz w:val="22"/>
        </w:rPr>
        <w:t xml:space="preserve"> trends are illustrated:</w:t>
      </w:r>
    </w:p>
    <w:p w:rsidR="00E56D0A" w:rsidRPr="00C66550" w:rsidRDefault="006751D0" w:rsidP="004201C6">
      <w:pPr>
        <w:pStyle w:val="Bullet1"/>
      </w:pPr>
      <w:r w:rsidRPr="00C66550">
        <w:t>waste generation in NSW ha</w:t>
      </w:r>
      <w:r w:rsidR="00E56D0A" w:rsidRPr="00C66550">
        <w:t xml:space="preserve">s been </w:t>
      </w:r>
      <w:r w:rsidR="006E247E" w:rsidRPr="00C66550">
        <w:t xml:space="preserve">relatively </w:t>
      </w:r>
      <w:r w:rsidR="00E56D0A" w:rsidRPr="00C66550">
        <w:t>stable</w:t>
      </w:r>
      <w:r w:rsidR="006E247E" w:rsidRPr="00C66550">
        <w:t xml:space="preserve"> increasing at about 1</w:t>
      </w:r>
      <w:r w:rsidR="00DE7C63">
        <w:t>.6</w:t>
      </w:r>
      <w:r w:rsidR="006E247E" w:rsidRPr="00C66550">
        <w:t>% per year</w:t>
      </w:r>
    </w:p>
    <w:p w:rsidR="006E247E" w:rsidRPr="00C66550" w:rsidRDefault="006E247E" w:rsidP="006E247E">
      <w:pPr>
        <w:pStyle w:val="Bullet1"/>
      </w:pPr>
      <w:r w:rsidRPr="00C66550">
        <w:t>the resource recovery rate increased from 5</w:t>
      </w:r>
      <w:r w:rsidR="00935D08" w:rsidRPr="00C66550">
        <w:t>4</w:t>
      </w:r>
      <w:r w:rsidRPr="00C66550">
        <w:t>% to 65% between 06/07 and 10/11</w:t>
      </w:r>
    </w:p>
    <w:p w:rsidR="006751D0" w:rsidRPr="00C66550" w:rsidRDefault="006751D0" w:rsidP="004201C6">
      <w:pPr>
        <w:pStyle w:val="Bullet1"/>
      </w:pPr>
      <w:r w:rsidRPr="00C66550">
        <w:t>recycling</w:t>
      </w:r>
      <w:r w:rsidR="00A90F28" w:rsidRPr="00C66550">
        <w:t xml:space="preserve"> per capita</w:t>
      </w:r>
      <w:r w:rsidRPr="00C66550">
        <w:t xml:space="preserve"> increased </w:t>
      </w:r>
      <w:r w:rsidR="00E56D0A" w:rsidRPr="00C66550">
        <w:t xml:space="preserve">significantly by </w:t>
      </w:r>
      <w:r w:rsidRPr="00C66550">
        <w:t>2</w:t>
      </w:r>
      <w:r w:rsidR="00E56D0A" w:rsidRPr="00C66550">
        <w:t>8</w:t>
      </w:r>
      <w:r w:rsidRPr="00C66550">
        <w:t>%</w:t>
      </w:r>
      <w:r w:rsidR="00C151A5" w:rsidRPr="00C66550">
        <w:t xml:space="preserve">, probably reflecting the commissioning of </w:t>
      </w:r>
      <w:r w:rsidR="00382C8E" w:rsidRPr="00C66550">
        <w:t>AWT</w:t>
      </w:r>
      <w:r w:rsidR="00A90F28" w:rsidRPr="00C66550">
        <w:t xml:space="preserve"> facilities</w:t>
      </w:r>
      <w:r w:rsidR="00C151A5" w:rsidRPr="00C66550">
        <w:t xml:space="preserve"> for processing residual municipal waste in Sydney</w:t>
      </w:r>
      <w:r w:rsidRPr="00C66550">
        <w:t xml:space="preserve"> </w:t>
      </w:r>
    </w:p>
    <w:p w:rsidR="006751D0" w:rsidRPr="00C66550" w:rsidRDefault="00A90F28" w:rsidP="004201C6">
      <w:pPr>
        <w:pStyle w:val="Bullet1"/>
      </w:pPr>
      <w:r w:rsidRPr="00C66550">
        <w:t xml:space="preserve">waste used for energy production </w:t>
      </w:r>
      <w:r w:rsidR="006751D0" w:rsidRPr="00C66550">
        <w:t xml:space="preserve">in </w:t>
      </w:r>
      <w:r w:rsidR="005271AB" w:rsidRPr="00C66550">
        <w:t>NSW</w:t>
      </w:r>
      <w:r w:rsidR="006751D0" w:rsidRPr="00C66550">
        <w:t xml:space="preserve"> </w:t>
      </w:r>
      <w:r w:rsidR="005271AB" w:rsidRPr="00C66550">
        <w:t xml:space="preserve">increased </w:t>
      </w:r>
      <w:r w:rsidR="006751D0" w:rsidRPr="00C66550">
        <w:t xml:space="preserve">around </w:t>
      </w:r>
      <w:r w:rsidR="004233A6" w:rsidRPr="00C66550">
        <w:t>31</w:t>
      </w:r>
      <w:r w:rsidRPr="00C66550">
        <w:t>%</w:t>
      </w:r>
    </w:p>
    <w:p w:rsidR="005271AB" w:rsidRPr="00C66550" w:rsidRDefault="006751D0" w:rsidP="006751D0">
      <w:pPr>
        <w:pStyle w:val="Bullet1"/>
        <w:rPr>
          <w:color w:val="080808"/>
        </w:rPr>
      </w:pPr>
      <w:r w:rsidRPr="00C66550">
        <w:t>waste disposal</w:t>
      </w:r>
      <w:r w:rsidR="00A90F28" w:rsidRPr="00C66550">
        <w:t xml:space="preserve"> per capita</w:t>
      </w:r>
      <w:r w:rsidRPr="00C66550">
        <w:t xml:space="preserve"> in </w:t>
      </w:r>
      <w:r w:rsidR="005271AB" w:rsidRPr="00C66550">
        <w:t xml:space="preserve">NSW decreased significantly </w:t>
      </w:r>
      <w:r w:rsidRPr="00C66550">
        <w:t xml:space="preserve">by </w:t>
      </w:r>
      <w:r w:rsidR="004233A6" w:rsidRPr="00C66550">
        <w:t>19</w:t>
      </w:r>
      <w:r w:rsidRPr="00C66550">
        <w:t>%</w:t>
      </w:r>
      <w:r w:rsidR="005271AB" w:rsidRPr="00C66550">
        <w:t>.</w:t>
      </w:r>
    </w:p>
    <w:p w:rsidR="006751D0" w:rsidRPr="00C66550" w:rsidRDefault="006751D0" w:rsidP="005271AB">
      <w:pPr>
        <w:pStyle w:val="Bullet1"/>
        <w:numPr>
          <w:ilvl w:val="0"/>
          <w:numId w:val="0"/>
        </w:numPr>
        <w:ind w:left="454"/>
        <w:rPr>
          <w:color w:val="080808"/>
        </w:rPr>
      </w:pPr>
      <w:r w:rsidRPr="00C66550">
        <w:t xml:space="preserve"> </w:t>
      </w:r>
    </w:p>
    <w:p w:rsidR="004C62E8" w:rsidRPr="00C66550" w:rsidRDefault="004C62E8">
      <w:pPr>
        <w:spacing w:line="240" w:lineRule="auto"/>
        <w:rPr>
          <w:color w:val="080808"/>
          <w:sz w:val="22"/>
        </w:rPr>
      </w:pPr>
      <w:r w:rsidRPr="00C66550">
        <w:rPr>
          <w:color w:val="080808"/>
        </w:rPr>
        <w:br w:type="page"/>
      </w:r>
    </w:p>
    <w:p w:rsidR="004C62E8" w:rsidRPr="00C66550" w:rsidRDefault="004C62E8" w:rsidP="004F2708">
      <w:pPr>
        <w:pStyle w:val="Bullet1"/>
        <w:numPr>
          <w:ilvl w:val="0"/>
          <w:numId w:val="0"/>
        </w:numPr>
        <w:ind w:left="454"/>
        <w:rPr>
          <w:color w:val="080808"/>
        </w:rPr>
      </w:pPr>
    </w:p>
    <w:bookmarkStart w:id="123" w:name="_Ref349132902"/>
    <w:p w:rsidR="007475B7" w:rsidRPr="00C66550" w:rsidRDefault="0062001A" w:rsidP="007475B7">
      <w:pPr>
        <w:pStyle w:val="BodyText"/>
      </w:pPr>
      <w:r w:rsidRPr="00C66550">
        <w:fldChar w:fldCharType="begin"/>
      </w:r>
      <w:r w:rsidR="007475B7" w:rsidRPr="00C66550">
        <w:instrText xml:space="preserve"> REF _Ref354750089 \h </w:instrText>
      </w:r>
      <w:r w:rsidRPr="00C66550">
        <w:fldChar w:fldCharType="separate"/>
      </w:r>
      <w:r w:rsidR="00D96003" w:rsidRPr="00C66550">
        <w:t xml:space="preserve">Figure </w:t>
      </w:r>
      <w:r w:rsidR="00D96003">
        <w:rPr>
          <w:noProof/>
        </w:rPr>
        <w:t>24</w:t>
      </w:r>
      <w:r w:rsidRPr="00C66550">
        <w:fldChar w:fldCharType="end"/>
      </w:r>
      <w:r w:rsidR="007475B7" w:rsidRPr="00C66550">
        <w:t xml:space="preserve"> shows the </w:t>
      </w:r>
      <w:r w:rsidR="006D25F9" w:rsidRPr="00C66550">
        <w:t>trends in total waste generation and management</w:t>
      </w:r>
      <w:r w:rsidR="007475B7" w:rsidRPr="00C66550">
        <w:t xml:space="preserve"> for the</w:t>
      </w:r>
      <w:r w:rsidR="006D25F9" w:rsidRPr="00C66550">
        <w:t xml:space="preserve"> period</w:t>
      </w:r>
      <w:r w:rsidR="007475B7" w:rsidRPr="00C66550">
        <w:t xml:space="preserve"> 2006/07</w:t>
      </w:r>
      <w:r w:rsidR="006D25F9" w:rsidRPr="00C66550">
        <w:t xml:space="preserve"> to </w:t>
      </w:r>
      <w:r w:rsidR="007475B7" w:rsidRPr="00C66550">
        <w:t xml:space="preserve">2010/11 </w:t>
      </w:r>
      <w:r w:rsidR="006D25F9" w:rsidRPr="00C66550">
        <w:t xml:space="preserve">in </w:t>
      </w:r>
      <w:r w:rsidR="007475B7" w:rsidRPr="00C66550">
        <w:t>NSW.</w:t>
      </w:r>
    </w:p>
    <w:p w:rsidR="007475B7" w:rsidRPr="00C66550" w:rsidRDefault="007475B7" w:rsidP="007475B7">
      <w:pPr>
        <w:pStyle w:val="BodyText"/>
      </w:pPr>
    </w:p>
    <w:p w:rsidR="00627520" w:rsidRPr="00C66550" w:rsidRDefault="00627520" w:rsidP="00FB4820">
      <w:pPr>
        <w:pStyle w:val="Figures"/>
        <w:rPr>
          <w:noProof/>
          <w:lang w:eastAsia="en-AU"/>
        </w:rPr>
      </w:pPr>
      <w:bookmarkStart w:id="124" w:name="_Ref354750089"/>
      <w:bookmarkStart w:id="125" w:name="_Toc365385033"/>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24</w:t>
      </w:r>
      <w:r w:rsidR="0062001A" w:rsidRPr="00C66550">
        <w:rPr>
          <w:noProof/>
        </w:rPr>
        <w:fldChar w:fldCharType="end"/>
      </w:r>
      <w:bookmarkEnd w:id="123"/>
      <w:bookmarkEnd w:id="124"/>
      <w:r w:rsidR="00E533BB" w:rsidRPr="00C66550">
        <w:t>:</w:t>
      </w:r>
      <w:r w:rsidR="00E533BB" w:rsidRPr="00C66550">
        <w:tab/>
      </w:r>
      <w:r w:rsidR="002E2ED8" w:rsidRPr="00C66550">
        <w:t>T</w:t>
      </w:r>
      <w:r w:rsidRPr="00C66550">
        <w:t xml:space="preserve">rends in </w:t>
      </w:r>
      <w:r w:rsidR="007475B7" w:rsidRPr="00C66550">
        <w:t xml:space="preserve">total </w:t>
      </w:r>
      <w:r w:rsidRPr="00C66550">
        <w:t>waste generation and management</w:t>
      </w:r>
      <w:r w:rsidR="002E2ED8" w:rsidRPr="00C66550">
        <w:t>, NSW 2006/07 to 2010/11</w:t>
      </w:r>
      <w:bookmarkEnd w:id="125"/>
      <w:r w:rsidR="00FF12A8" w:rsidRPr="00C66550">
        <w:t xml:space="preserve"> </w:t>
      </w:r>
    </w:p>
    <w:p w:rsidR="006751D0" w:rsidRPr="00C66550" w:rsidRDefault="004233A6" w:rsidP="004F2708">
      <w:pPr>
        <w:pStyle w:val="BodyText"/>
      </w:pPr>
      <w:r w:rsidRPr="00C66550">
        <w:rPr>
          <w:noProof/>
          <w:lang w:eastAsia="en-AU"/>
        </w:rPr>
        <w:drawing>
          <wp:anchor distT="0" distB="0" distL="114300" distR="114300" simplePos="0" relativeHeight="251832320" behindDoc="0" locked="0" layoutInCell="1" allowOverlap="1">
            <wp:simplePos x="0" y="0"/>
            <wp:positionH relativeFrom="column">
              <wp:posOffset>41910</wp:posOffset>
            </wp:positionH>
            <wp:positionV relativeFrom="paragraph">
              <wp:posOffset>65405</wp:posOffset>
            </wp:positionV>
            <wp:extent cx="4380230" cy="2651125"/>
            <wp:effectExtent l="0" t="0" r="127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0230" cy="2651125"/>
                    </a:xfrm>
                    <a:prstGeom prst="rect">
                      <a:avLst/>
                    </a:prstGeom>
                  </pic:spPr>
                </pic:pic>
              </a:graphicData>
            </a:graphic>
          </wp:anchor>
        </w:drawing>
      </w: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4C62E8" w:rsidRPr="00C66550" w:rsidRDefault="004C62E8" w:rsidP="004F2708">
      <w:pPr>
        <w:pStyle w:val="BodyText"/>
      </w:pPr>
    </w:p>
    <w:p w:rsidR="00627520" w:rsidRPr="00C66550" w:rsidRDefault="00083894" w:rsidP="004F2708">
      <w:pPr>
        <w:pStyle w:val="BodyText"/>
        <w:rPr>
          <w:rFonts w:cs="Arial"/>
          <w:i/>
          <w:color w:val="0000FF"/>
          <w:szCs w:val="20"/>
        </w:rPr>
      </w:pPr>
      <w:r w:rsidRPr="00C66550">
        <w:rPr>
          <w:rFonts w:cs="Arial"/>
          <w:i/>
          <w:color w:val="0000FF"/>
          <w:szCs w:val="20"/>
        </w:rPr>
        <w:t>Relies on interpolation for 07/08 and 08/09</w:t>
      </w:r>
    </w:p>
    <w:p w:rsidR="004C62E8" w:rsidRPr="00C66550" w:rsidRDefault="004C62E8" w:rsidP="004F2708">
      <w:pPr>
        <w:pStyle w:val="BodyText"/>
        <w:rPr>
          <w:rFonts w:cs="Arial"/>
          <w:i/>
          <w:color w:val="0000FF"/>
          <w:szCs w:val="20"/>
        </w:rPr>
      </w:pPr>
    </w:p>
    <w:p w:rsidR="004C62E8" w:rsidRPr="00C66550" w:rsidRDefault="004C62E8" w:rsidP="004C62E8">
      <w:pPr>
        <w:spacing w:line="240" w:lineRule="auto"/>
        <w:rPr>
          <w:color w:val="080808"/>
          <w:sz w:val="22"/>
        </w:rPr>
      </w:pPr>
      <w:r w:rsidRPr="00C66550">
        <w:rPr>
          <w:color w:val="080808"/>
          <w:sz w:val="22"/>
        </w:rPr>
        <w:t>Over the period the following trends are illustrated in relation to total waste tonnages:</w:t>
      </w:r>
    </w:p>
    <w:p w:rsidR="004C62E8" w:rsidRPr="00C66550" w:rsidRDefault="004C62E8" w:rsidP="004C62E8">
      <w:pPr>
        <w:pStyle w:val="Bullet1"/>
      </w:pPr>
      <w:r w:rsidRPr="00C66550">
        <w:t>waste generation increased by 12%, consistent with population and GSP growth</w:t>
      </w:r>
    </w:p>
    <w:p w:rsidR="004C62E8" w:rsidRPr="00C66550" w:rsidRDefault="004C62E8" w:rsidP="004C62E8">
      <w:pPr>
        <w:pStyle w:val="Bullet1"/>
      </w:pPr>
      <w:r w:rsidRPr="00C66550">
        <w:t xml:space="preserve">recycling increased significantly by 34% </w:t>
      </w:r>
    </w:p>
    <w:p w:rsidR="004C62E8" w:rsidRPr="00C66550" w:rsidRDefault="004C62E8" w:rsidP="004C62E8">
      <w:pPr>
        <w:pStyle w:val="Bullet1"/>
      </w:pPr>
      <w:r w:rsidRPr="00C66550">
        <w:t xml:space="preserve">energy recovery increased by about </w:t>
      </w:r>
      <w:r w:rsidR="004233A6" w:rsidRPr="00C66550">
        <w:t>3</w:t>
      </w:r>
      <w:r w:rsidRPr="00C66550">
        <w:t xml:space="preserve">8% due to increased landfill gas recovery </w:t>
      </w:r>
    </w:p>
    <w:p w:rsidR="004C62E8" w:rsidRPr="00C66550" w:rsidRDefault="004C62E8" w:rsidP="004C62E8">
      <w:pPr>
        <w:pStyle w:val="Bullet1"/>
      </w:pPr>
      <w:r w:rsidRPr="00C66550">
        <w:t>disposal decreased significantly by 15</w:t>
      </w:r>
      <w:r w:rsidR="00095AB2" w:rsidRPr="00C66550">
        <w:t>%</w:t>
      </w:r>
      <w:r w:rsidRPr="00C66550">
        <w:t xml:space="preserve">. </w:t>
      </w:r>
    </w:p>
    <w:p w:rsidR="00154794" w:rsidRPr="00C66550" w:rsidRDefault="00154794" w:rsidP="004F2708">
      <w:pPr>
        <w:spacing w:line="240" w:lineRule="auto"/>
        <w:rPr>
          <w:color w:val="080808"/>
          <w:sz w:val="22"/>
        </w:rPr>
      </w:pPr>
      <w:r w:rsidRPr="00C66550">
        <w:br w:type="page"/>
      </w:r>
    </w:p>
    <w:p w:rsidR="0006200F" w:rsidRPr="00C66550" w:rsidRDefault="0006200F" w:rsidP="006D25F9">
      <w:pPr>
        <w:pStyle w:val="Heading1"/>
      </w:pPr>
      <w:bookmarkStart w:id="126" w:name="_Ref354674092"/>
      <w:bookmarkStart w:id="127" w:name="_Toc379466367"/>
      <w:r w:rsidRPr="00C66550">
        <w:lastRenderedPageBreak/>
        <w:t>Northern Territory</w:t>
      </w:r>
      <w:bookmarkEnd w:id="126"/>
      <w:bookmarkEnd w:id="127"/>
      <w:r w:rsidRPr="00C66550">
        <w:t xml:space="preserve"> </w:t>
      </w:r>
    </w:p>
    <w:p w:rsidR="0006200F" w:rsidRPr="00C66550" w:rsidRDefault="0006200F" w:rsidP="006D25F9">
      <w:pPr>
        <w:pStyle w:val="Heading2"/>
      </w:pPr>
      <w:bookmarkStart w:id="128" w:name="_Toc379466368"/>
      <w:r w:rsidRPr="00C66550">
        <w:t>NT 2010/11</w:t>
      </w:r>
      <w:bookmarkEnd w:id="128"/>
    </w:p>
    <w:p w:rsidR="00F83666" w:rsidRPr="00C66550" w:rsidRDefault="00F83666" w:rsidP="006D25F9">
      <w:pPr>
        <w:pStyle w:val="Heading3"/>
      </w:pPr>
      <w:r w:rsidRPr="00C66550">
        <w:t>Data</w:t>
      </w:r>
      <w:r w:rsidR="00C35952" w:rsidRPr="00C66550">
        <w:t xml:space="preserve"> reliability</w:t>
      </w:r>
      <w:r w:rsidR="00FF12A8" w:rsidRPr="00C66550">
        <w:t xml:space="preserve"> </w:t>
      </w:r>
    </w:p>
    <w:p w:rsidR="00F83666" w:rsidRPr="00C66550" w:rsidRDefault="0089707A" w:rsidP="00F83666">
      <w:pPr>
        <w:pStyle w:val="BodyText"/>
      </w:pPr>
      <w:r w:rsidRPr="00C66550">
        <w:t xml:space="preserve">The low </w:t>
      </w:r>
      <w:r w:rsidR="00C35952" w:rsidRPr="00C66550">
        <w:t xml:space="preserve">reliability </w:t>
      </w:r>
      <w:r w:rsidRPr="00C66550">
        <w:t xml:space="preserve">of the waste </w:t>
      </w:r>
      <w:r w:rsidR="00A00110" w:rsidRPr="00C66550">
        <w:t xml:space="preserve">data </w:t>
      </w:r>
      <w:r w:rsidRPr="00C66550">
        <w:t>in</w:t>
      </w:r>
      <w:r w:rsidR="00A00110" w:rsidRPr="00C66550">
        <w:t xml:space="preserve"> this report for the </w:t>
      </w:r>
      <w:r w:rsidR="00C35952" w:rsidRPr="00C66550">
        <w:t xml:space="preserve">NT </w:t>
      </w:r>
      <w:r w:rsidR="008D3D4F" w:rsidRPr="00C66550">
        <w:t xml:space="preserve">requires </w:t>
      </w:r>
      <w:r w:rsidRPr="00C66550">
        <w:t xml:space="preserve">a discussion </w:t>
      </w:r>
      <w:r w:rsidR="008D3D4F" w:rsidRPr="00C66550">
        <w:t>before the data</w:t>
      </w:r>
      <w:r w:rsidRPr="00C66550">
        <w:t xml:space="preserve"> are considered</w:t>
      </w:r>
      <w:r w:rsidR="00C35952" w:rsidRPr="00C66550">
        <w:t xml:space="preserve">. </w:t>
      </w:r>
      <w:r w:rsidRPr="00C66550">
        <w:t>No</w:t>
      </w:r>
      <w:r w:rsidR="00F83666" w:rsidRPr="00C66550">
        <w:t xml:space="preserve"> waste data </w:t>
      </w:r>
      <w:r w:rsidRPr="00C66550">
        <w:t xml:space="preserve">were </w:t>
      </w:r>
      <w:r w:rsidR="00F83666" w:rsidRPr="00C66550">
        <w:t xml:space="preserve">available for whole of the NT. </w:t>
      </w:r>
      <w:r w:rsidRPr="00C66550">
        <w:t>The d</w:t>
      </w:r>
      <w:r w:rsidR="00F83666" w:rsidRPr="00C66550">
        <w:t xml:space="preserve">ata presented here </w:t>
      </w:r>
      <w:r w:rsidRPr="00C66550">
        <w:t>are</w:t>
      </w:r>
      <w:r w:rsidR="00F83666" w:rsidRPr="00C66550">
        <w:t xml:space="preserve"> </w:t>
      </w:r>
      <w:r w:rsidRPr="00C66550">
        <w:t>derived largely from</w:t>
      </w:r>
      <w:r w:rsidR="00F83666" w:rsidRPr="00C66550">
        <w:t xml:space="preserve"> </w:t>
      </w:r>
      <w:r w:rsidRPr="00C66550">
        <w:t xml:space="preserve">the </w:t>
      </w:r>
      <w:r w:rsidR="00F83666" w:rsidRPr="00C66550">
        <w:t>landfill and recovery centre that receives most of Darwin’s waste</w:t>
      </w:r>
      <w:r w:rsidR="006901E3" w:rsidRPr="00C66550">
        <w:t xml:space="preserve"> (</w:t>
      </w:r>
      <w:r w:rsidR="00DA0951" w:rsidRPr="00C66550">
        <w:t xml:space="preserve">Shoal </w:t>
      </w:r>
      <w:r w:rsidR="000C21D0" w:rsidRPr="00C66550">
        <w:t>B</w:t>
      </w:r>
      <w:r w:rsidR="00DA0951" w:rsidRPr="00C66550">
        <w:t>ay)</w:t>
      </w:r>
      <w:r w:rsidR="00F83666" w:rsidRPr="00C66550">
        <w:t xml:space="preserve">. </w:t>
      </w:r>
      <w:r w:rsidRPr="00C66550">
        <w:t>It is assumed</w:t>
      </w:r>
      <w:r w:rsidR="00F83666" w:rsidRPr="00C66550">
        <w:t xml:space="preserve"> that waste generation </w:t>
      </w:r>
      <w:r w:rsidRPr="00C66550">
        <w:t xml:space="preserve">per capita in </w:t>
      </w:r>
      <w:r w:rsidR="00F83666" w:rsidRPr="00C66550">
        <w:t xml:space="preserve">the territory </w:t>
      </w:r>
      <w:r w:rsidRPr="00C66550">
        <w:t xml:space="preserve">is the same </w:t>
      </w:r>
      <w:r w:rsidR="00AD5277" w:rsidRPr="00C66550">
        <w:t xml:space="preserve">as for </w:t>
      </w:r>
      <w:r w:rsidR="00DA0951" w:rsidRPr="00C66550">
        <w:t xml:space="preserve">the </w:t>
      </w:r>
      <w:r w:rsidR="00890C53" w:rsidRPr="00C66550">
        <w:t xml:space="preserve">Darwin area </w:t>
      </w:r>
      <w:r w:rsidR="00F83666" w:rsidRPr="00C66550">
        <w:t xml:space="preserve">and that no </w:t>
      </w:r>
      <w:r w:rsidR="00573727" w:rsidRPr="00C66550">
        <w:t>recycling</w:t>
      </w:r>
      <w:r w:rsidR="00F83666" w:rsidRPr="00C66550">
        <w:t xml:space="preserve"> occurs </w:t>
      </w:r>
      <w:r w:rsidRPr="00C66550">
        <w:t>outside Darwin</w:t>
      </w:r>
      <w:r w:rsidR="00F83666" w:rsidRPr="00C66550">
        <w:t>.</w:t>
      </w:r>
      <w:r w:rsidR="00DA0951" w:rsidRPr="00C66550">
        <w:t xml:space="preserve"> </w:t>
      </w:r>
      <w:r w:rsidRPr="00C66550">
        <w:t>O</w:t>
      </w:r>
      <w:r w:rsidR="00DA0951" w:rsidRPr="00C66550">
        <w:t xml:space="preserve">ther recycling </w:t>
      </w:r>
      <w:r w:rsidRPr="00C66550">
        <w:t>may well be</w:t>
      </w:r>
      <w:r w:rsidR="00DA0951" w:rsidRPr="00C66550">
        <w:t xml:space="preserve"> occurring</w:t>
      </w:r>
      <w:r w:rsidRPr="00C66550">
        <w:t xml:space="preserve"> elsewhere </w:t>
      </w:r>
      <w:r w:rsidR="00DA0951" w:rsidRPr="00C66550">
        <w:t xml:space="preserve">in the NT, </w:t>
      </w:r>
      <w:r w:rsidRPr="00C66550">
        <w:t>so recycling</w:t>
      </w:r>
      <w:r w:rsidR="000C21D0" w:rsidRPr="00C66550">
        <w:t xml:space="preserve"> levels </w:t>
      </w:r>
      <w:r w:rsidRPr="00C66550">
        <w:t>may</w:t>
      </w:r>
      <w:r w:rsidR="006901E3" w:rsidRPr="00C66550">
        <w:t xml:space="preserve"> </w:t>
      </w:r>
      <w:r w:rsidR="000C21D0" w:rsidRPr="00C66550">
        <w:t>be under-</w:t>
      </w:r>
      <w:r w:rsidR="00DA0951" w:rsidRPr="00C66550">
        <w:t>reported.</w:t>
      </w:r>
      <w:r w:rsidR="00573727" w:rsidRPr="00C66550">
        <w:t xml:space="preserve"> </w:t>
      </w:r>
    </w:p>
    <w:p w:rsidR="0011222A" w:rsidRPr="00C66550" w:rsidRDefault="0011222A" w:rsidP="006D25F9">
      <w:pPr>
        <w:pStyle w:val="Heading3"/>
      </w:pPr>
      <w:r w:rsidRPr="00C66550">
        <w:t>Per capita waste generation and resource recovery rate</w:t>
      </w:r>
    </w:p>
    <w:p w:rsidR="00B60BD3" w:rsidRPr="00C66550" w:rsidRDefault="00B60BD3" w:rsidP="00B60BD3">
      <w:pPr>
        <w:pStyle w:val="BodyText"/>
      </w:pPr>
      <w:r w:rsidRPr="00C66550">
        <w:t>In 2010/11, the per capita</w:t>
      </w:r>
      <w:r w:rsidR="0089707A" w:rsidRPr="00C66550">
        <w:t xml:space="preserve"> rate of</w:t>
      </w:r>
      <w:r w:rsidRPr="00C66550">
        <w:t xml:space="preserve"> waste generation </w:t>
      </w:r>
      <w:r w:rsidR="0089707A" w:rsidRPr="00C66550">
        <w:t xml:space="preserve">in the </w:t>
      </w:r>
      <w:r w:rsidR="000B146C" w:rsidRPr="00C66550">
        <w:t>NT</w:t>
      </w:r>
      <w:r w:rsidRPr="00C66550">
        <w:t xml:space="preserve"> was about </w:t>
      </w:r>
      <w:r w:rsidR="000B146C" w:rsidRPr="00C66550">
        <w:t>1.</w:t>
      </w:r>
      <w:r w:rsidR="00640D68" w:rsidRPr="00C66550">
        <w:t>3</w:t>
      </w:r>
      <w:r w:rsidRPr="00C66550">
        <w:t xml:space="preserve"> tonnes (see </w:t>
      </w:r>
      <w:r w:rsidR="0062001A" w:rsidRPr="00C66550">
        <w:fldChar w:fldCharType="begin"/>
      </w:r>
      <w:r w:rsidRPr="00C66550">
        <w:instrText xml:space="preserve"> REF _Ref348975336 \h </w:instrText>
      </w:r>
      <w:r w:rsidR="0062001A" w:rsidRPr="00C66550">
        <w:fldChar w:fldCharType="separate"/>
      </w:r>
      <w:r w:rsidR="00D96003" w:rsidRPr="00C66550">
        <w:t xml:space="preserve">Figure </w:t>
      </w:r>
      <w:r w:rsidR="00D96003">
        <w:rPr>
          <w:noProof/>
        </w:rPr>
        <w:t>6</w:t>
      </w:r>
      <w:r w:rsidR="0062001A" w:rsidRPr="00C66550">
        <w:fldChar w:fldCharType="end"/>
      </w:r>
      <w:r w:rsidRPr="00C66550">
        <w:t xml:space="preserve">) which was the </w:t>
      </w:r>
      <w:r w:rsidR="000B146C" w:rsidRPr="00C66550">
        <w:t xml:space="preserve">second lowest </w:t>
      </w:r>
      <w:r w:rsidRPr="00C66550">
        <w:t>(</w:t>
      </w:r>
      <w:r w:rsidR="000B146C" w:rsidRPr="00C66550">
        <w:t xml:space="preserve">above </w:t>
      </w:r>
      <w:r w:rsidR="00DF4FB7">
        <w:t>Tas</w:t>
      </w:r>
      <w:r w:rsidR="008A1A56">
        <w:t xml:space="preserve"> </w:t>
      </w:r>
      <w:r w:rsidRPr="00C66550">
        <w:t>) in Australia.</w:t>
      </w:r>
      <w:r w:rsidR="004711E8" w:rsidRPr="00C66550">
        <w:t xml:space="preserve"> </w:t>
      </w:r>
      <w:r w:rsidR="00EF4CAA" w:rsidRPr="00C66550">
        <w:t xml:space="preserve">NT </w:t>
      </w:r>
      <w:r w:rsidRPr="00C66550">
        <w:t xml:space="preserve">had Australia’s </w:t>
      </w:r>
      <w:r w:rsidR="00EF4CAA" w:rsidRPr="00C66550">
        <w:t xml:space="preserve">lowest </w:t>
      </w:r>
      <w:r w:rsidRPr="00C66550">
        <w:t xml:space="preserve">resource recovery rate at around </w:t>
      </w:r>
      <w:r w:rsidR="00640D68" w:rsidRPr="00C66550">
        <w:t>9</w:t>
      </w:r>
      <w:r w:rsidRPr="00C66550">
        <w:t>%</w:t>
      </w:r>
      <w:r w:rsidR="000C21D0" w:rsidRPr="00C66550">
        <w:t>,</w:t>
      </w:r>
      <w:r w:rsidRPr="00C66550">
        <w:t xml:space="preserve"> which is </w:t>
      </w:r>
      <w:r w:rsidR="00640D68" w:rsidRPr="00C66550">
        <w:t>around 51</w:t>
      </w:r>
      <w:r w:rsidRPr="00C66550">
        <w:t xml:space="preserve">% </w:t>
      </w:r>
      <w:r w:rsidR="00F83666" w:rsidRPr="00C66550">
        <w:t xml:space="preserve">below </w:t>
      </w:r>
      <w:r w:rsidRPr="00C66550">
        <w:t>the national average</w:t>
      </w:r>
      <w:r w:rsidR="0089707A" w:rsidRPr="00C66550">
        <w:t>. This suggests</w:t>
      </w:r>
      <w:r w:rsidR="00F83666" w:rsidRPr="00C66550">
        <w:t xml:space="preserve"> a low level of resource recovery infrastructure in the NT</w:t>
      </w:r>
      <w:r w:rsidR="006901E3" w:rsidRPr="00C66550">
        <w:t xml:space="preserve"> compared to other </w:t>
      </w:r>
      <w:r w:rsidR="0089707A" w:rsidRPr="00C66550">
        <w:t>jurisdictions,</w:t>
      </w:r>
      <w:r w:rsidR="005B71F7" w:rsidRPr="00C66550">
        <w:t xml:space="preserve"> and significant difficulties transporting recyclables to markets</w:t>
      </w:r>
      <w:r w:rsidR="00F83666" w:rsidRPr="00C66550">
        <w:t>.</w:t>
      </w:r>
      <w:r w:rsidR="006F2CE3" w:rsidRPr="00C66550">
        <w:t xml:space="preserve"> </w:t>
      </w:r>
    </w:p>
    <w:p w:rsidR="00B60BD3" w:rsidRPr="00C66550" w:rsidRDefault="0089707A" w:rsidP="006D25F9">
      <w:pPr>
        <w:pStyle w:val="Heading3"/>
      </w:pPr>
      <w:r w:rsidRPr="00C66550">
        <w:t>Total waste generated</w:t>
      </w:r>
    </w:p>
    <w:p w:rsidR="00B60BD3" w:rsidRPr="00C66550" w:rsidRDefault="0062001A" w:rsidP="00B60BD3">
      <w:pPr>
        <w:pStyle w:val="BodyText"/>
      </w:pPr>
      <w:r w:rsidRPr="00C66550">
        <w:fldChar w:fldCharType="begin"/>
      </w:r>
      <w:r w:rsidR="00DA0951" w:rsidRPr="00C66550">
        <w:instrText xml:space="preserve"> REF _Ref349139897 \h </w:instrText>
      </w:r>
      <w:r w:rsidRPr="00C66550">
        <w:fldChar w:fldCharType="separate"/>
      </w:r>
      <w:r w:rsidR="00D96003" w:rsidRPr="00C66550">
        <w:t xml:space="preserve">Figure </w:t>
      </w:r>
      <w:r w:rsidR="00D96003">
        <w:rPr>
          <w:noProof/>
        </w:rPr>
        <w:t>25</w:t>
      </w:r>
      <w:r w:rsidRPr="00C66550">
        <w:fldChar w:fldCharType="end"/>
      </w:r>
      <w:r w:rsidR="00DA0951" w:rsidRPr="00C66550">
        <w:t xml:space="preserve"> </w:t>
      </w:r>
      <w:r w:rsidR="004043E1" w:rsidRPr="00C66550">
        <w:t>suggests</w:t>
      </w:r>
      <w:r w:rsidR="00B60BD3" w:rsidRPr="00C66550">
        <w:t xml:space="preserve"> that</w:t>
      </w:r>
      <w:r w:rsidR="004043E1" w:rsidRPr="00C66550">
        <w:t xml:space="preserve"> about 300 kt of </w:t>
      </w:r>
      <w:r w:rsidR="00B60BD3" w:rsidRPr="00C66550">
        <w:t xml:space="preserve">waste </w:t>
      </w:r>
      <w:r w:rsidR="004043E1" w:rsidRPr="00C66550">
        <w:t xml:space="preserve">was generated </w:t>
      </w:r>
      <w:r w:rsidR="00B60BD3" w:rsidRPr="00C66550">
        <w:t>in</w:t>
      </w:r>
      <w:r w:rsidR="004043E1" w:rsidRPr="00C66550">
        <w:t xml:space="preserve"> the</w:t>
      </w:r>
      <w:r w:rsidR="00B60BD3" w:rsidRPr="00C66550">
        <w:t xml:space="preserve"> N</w:t>
      </w:r>
      <w:r w:rsidR="00DA0951" w:rsidRPr="00C66550">
        <w:t>T</w:t>
      </w:r>
      <w:r w:rsidR="00B60BD3" w:rsidRPr="00C66550">
        <w:t xml:space="preserve"> </w:t>
      </w:r>
      <w:r w:rsidR="004043E1" w:rsidRPr="00C66550">
        <w:t xml:space="preserve">in </w:t>
      </w:r>
      <w:r w:rsidR="00B60BD3" w:rsidRPr="00C66550">
        <w:t>2010/11</w:t>
      </w:r>
      <w:r w:rsidR="004043E1" w:rsidRPr="00C66550">
        <w:t xml:space="preserve">. This is lower than any other jurisdiction, </w:t>
      </w:r>
      <w:r w:rsidR="00151E1B" w:rsidRPr="00C66550">
        <w:t xml:space="preserve">consistent with </w:t>
      </w:r>
      <w:r w:rsidR="00872290" w:rsidRPr="00C66550">
        <w:t xml:space="preserve">the </w:t>
      </w:r>
      <w:r w:rsidR="00151E1B" w:rsidRPr="00C66550">
        <w:t xml:space="preserve">NT’s </w:t>
      </w:r>
      <w:r w:rsidR="004043E1" w:rsidRPr="00C66550">
        <w:t xml:space="preserve">low </w:t>
      </w:r>
      <w:r w:rsidR="00151E1B" w:rsidRPr="00C66550">
        <w:t>population and GSP.</w:t>
      </w:r>
      <w:r w:rsidR="00FF12A8" w:rsidRPr="00C66550">
        <w:t xml:space="preserve"> </w:t>
      </w:r>
      <w:r w:rsidR="000C21D0" w:rsidRPr="00C66550">
        <w:t>No fly ash was generated as there are no coal fired power stations.</w:t>
      </w:r>
    </w:p>
    <w:p w:rsidR="00B60BD3" w:rsidRPr="00C66550" w:rsidRDefault="00B60BD3" w:rsidP="006D25F9">
      <w:pPr>
        <w:pStyle w:val="Heading3"/>
      </w:pPr>
      <w:r w:rsidRPr="00C66550">
        <w:t xml:space="preserve">Waste streams </w:t>
      </w:r>
    </w:p>
    <w:p w:rsidR="00B60BD3" w:rsidRPr="00C66550" w:rsidRDefault="006901E3" w:rsidP="007F35C6">
      <w:pPr>
        <w:pStyle w:val="Bullet1"/>
      </w:pPr>
      <w:r w:rsidRPr="00C66550">
        <w:t>NT</w:t>
      </w:r>
      <w:r w:rsidR="00B60BD3" w:rsidRPr="00C66550">
        <w:t xml:space="preserve"> MSW generation was</w:t>
      </w:r>
      <w:r w:rsidR="006E2D5F" w:rsidRPr="00C66550">
        <w:t xml:space="preserve"> an</w:t>
      </w:r>
      <w:r w:rsidR="00B60BD3" w:rsidRPr="00C66550">
        <w:t xml:space="preserve"> </w:t>
      </w:r>
      <w:r w:rsidR="006E2D5F" w:rsidRPr="00C66550">
        <w:t xml:space="preserve">estimated </w:t>
      </w:r>
      <w:r w:rsidRPr="00C66550">
        <w:t>1</w:t>
      </w:r>
      <w:r w:rsidR="004043E1" w:rsidRPr="00C66550">
        <w:t>40</w:t>
      </w:r>
      <w:r w:rsidR="00B60BD3" w:rsidRPr="00C66550">
        <w:t xml:space="preserve"> </w:t>
      </w:r>
      <w:r w:rsidR="0012047B" w:rsidRPr="00C66550">
        <w:t>kt</w:t>
      </w:r>
      <w:r w:rsidR="00B60BD3" w:rsidRPr="00C66550">
        <w:t xml:space="preserve"> with a resource recovery rate of </w:t>
      </w:r>
      <w:r w:rsidRPr="00C66550">
        <w:t>1</w:t>
      </w:r>
      <w:r w:rsidR="009F0448" w:rsidRPr="00C66550">
        <w:t>7</w:t>
      </w:r>
      <w:r w:rsidR="00B60BD3" w:rsidRPr="00C66550">
        <w:t>%</w:t>
      </w:r>
      <w:r w:rsidR="00872290" w:rsidRPr="00C66550">
        <w:t>,</w:t>
      </w:r>
      <w:r w:rsidR="00B60BD3" w:rsidRPr="00C66550">
        <w:t xml:space="preserve"> which is </w:t>
      </w:r>
      <w:r w:rsidR="009F0448" w:rsidRPr="00C66550">
        <w:t>34</w:t>
      </w:r>
      <w:r w:rsidR="00B60BD3" w:rsidRPr="00C66550">
        <w:t xml:space="preserve">% </w:t>
      </w:r>
      <w:r w:rsidRPr="00C66550">
        <w:t>below</w:t>
      </w:r>
      <w:r w:rsidR="00B60BD3" w:rsidRPr="00C66550">
        <w:t xml:space="preserve"> the Australian average.</w:t>
      </w:r>
    </w:p>
    <w:p w:rsidR="00B60BD3" w:rsidRPr="00C66550" w:rsidRDefault="006901E3" w:rsidP="007F35C6">
      <w:pPr>
        <w:pStyle w:val="Bullet1"/>
      </w:pPr>
      <w:r w:rsidRPr="00C66550">
        <w:t>NT</w:t>
      </w:r>
      <w:r w:rsidR="00B60BD3" w:rsidRPr="00C66550">
        <w:t xml:space="preserve"> C&amp;I</w:t>
      </w:r>
      <w:r w:rsidR="006E2D5F" w:rsidRPr="00C66550">
        <w:t xml:space="preserve"> waste</w:t>
      </w:r>
      <w:r w:rsidR="00B60BD3" w:rsidRPr="00C66550">
        <w:t xml:space="preserve"> generation was </w:t>
      </w:r>
      <w:r w:rsidR="006E2D5F" w:rsidRPr="00C66550">
        <w:t xml:space="preserve">an estimated </w:t>
      </w:r>
      <w:r w:rsidRPr="00C66550">
        <w:t>4</w:t>
      </w:r>
      <w:r w:rsidR="009F0448" w:rsidRPr="00C66550">
        <w:t>1</w:t>
      </w:r>
      <w:r w:rsidR="00B60BD3" w:rsidRPr="00C66550">
        <w:t xml:space="preserve"> </w:t>
      </w:r>
      <w:r w:rsidR="0012047B" w:rsidRPr="00C66550">
        <w:t>kt</w:t>
      </w:r>
      <w:r w:rsidR="00B60BD3" w:rsidRPr="00C66550">
        <w:t xml:space="preserve"> with a resource recovery rate of </w:t>
      </w:r>
      <w:r w:rsidRPr="00C66550">
        <w:t>8</w:t>
      </w:r>
      <w:r w:rsidR="00B60BD3" w:rsidRPr="00C66550">
        <w:t>%</w:t>
      </w:r>
      <w:r w:rsidR="00872290" w:rsidRPr="00C66550">
        <w:t>,</w:t>
      </w:r>
      <w:r w:rsidR="00B60BD3" w:rsidRPr="00C66550">
        <w:t xml:space="preserve"> which is </w:t>
      </w:r>
      <w:r w:rsidRPr="00C66550">
        <w:t>5</w:t>
      </w:r>
      <w:r w:rsidR="009F0448" w:rsidRPr="00C66550">
        <w:t>1</w:t>
      </w:r>
      <w:r w:rsidR="00B60BD3" w:rsidRPr="00C66550">
        <w:t xml:space="preserve">% </w:t>
      </w:r>
      <w:r w:rsidR="004043E1" w:rsidRPr="00C66550">
        <w:t>less than</w:t>
      </w:r>
      <w:r w:rsidR="00B60BD3" w:rsidRPr="00C66550">
        <w:t xml:space="preserve"> the Australian average. </w:t>
      </w:r>
    </w:p>
    <w:p w:rsidR="00B60BD3" w:rsidRPr="00C66550" w:rsidRDefault="006901E3" w:rsidP="004043E1">
      <w:pPr>
        <w:pStyle w:val="Bullet1"/>
      </w:pPr>
      <w:r w:rsidRPr="00C66550">
        <w:t xml:space="preserve">NT </w:t>
      </w:r>
      <w:r w:rsidR="00B60BD3" w:rsidRPr="00C66550">
        <w:t>C&amp;</w:t>
      </w:r>
      <w:r w:rsidRPr="00C66550">
        <w:t>D</w:t>
      </w:r>
      <w:r w:rsidR="00B60BD3" w:rsidRPr="00C66550">
        <w:t xml:space="preserve"> generation was </w:t>
      </w:r>
      <w:r w:rsidR="006E2D5F" w:rsidRPr="00C66550">
        <w:t>an estimated</w:t>
      </w:r>
      <w:r w:rsidR="00B60BD3" w:rsidRPr="00C66550">
        <w:t xml:space="preserve"> </w:t>
      </w:r>
      <w:r w:rsidRPr="00C66550">
        <w:t>12</w:t>
      </w:r>
      <w:r w:rsidR="004043E1" w:rsidRPr="00C66550">
        <w:t>0</w:t>
      </w:r>
      <w:r w:rsidR="00B60BD3" w:rsidRPr="00C66550">
        <w:t xml:space="preserve"> </w:t>
      </w:r>
      <w:r w:rsidR="0012047B" w:rsidRPr="00C66550">
        <w:t>kt</w:t>
      </w:r>
      <w:r w:rsidR="00B60BD3" w:rsidRPr="00C66550">
        <w:t xml:space="preserve"> with a resource recovery rate of </w:t>
      </w:r>
      <w:r w:rsidRPr="00C66550">
        <w:t>1</w:t>
      </w:r>
      <w:r w:rsidR="00B60BD3" w:rsidRPr="00C66550">
        <w:t>%</w:t>
      </w:r>
      <w:r w:rsidR="00872290" w:rsidRPr="00C66550">
        <w:t>,</w:t>
      </w:r>
      <w:r w:rsidR="00B60BD3" w:rsidRPr="00C66550">
        <w:t xml:space="preserve"> which is </w:t>
      </w:r>
      <w:r w:rsidR="009F0448" w:rsidRPr="00C66550">
        <w:t>65</w:t>
      </w:r>
      <w:r w:rsidR="00B60BD3" w:rsidRPr="00C66550">
        <w:t xml:space="preserve">% </w:t>
      </w:r>
      <w:r w:rsidRPr="00C66550">
        <w:t>below</w:t>
      </w:r>
      <w:r w:rsidR="00B60BD3" w:rsidRPr="00C66550">
        <w:t xml:space="preserve"> the Australian average.</w:t>
      </w:r>
    </w:p>
    <w:p w:rsidR="004043E1" w:rsidRPr="00C66550" w:rsidRDefault="004043E1" w:rsidP="00FC43BA">
      <w:pPr>
        <w:pStyle w:val="BodyText"/>
      </w:pPr>
    </w:p>
    <w:p w:rsidR="00FC43BA" w:rsidRPr="00C66550" w:rsidRDefault="00FC43BA" w:rsidP="00FC43BA">
      <w:pPr>
        <w:pStyle w:val="BodyText"/>
      </w:pPr>
      <w:r w:rsidRPr="00C66550">
        <w:t>These figures reflect socio-economic factors, low population density over vast areas, and the lack of established resource recovery systems due to logistics co</w:t>
      </w:r>
      <w:r w:rsidR="005D0F12" w:rsidRPr="00C66550">
        <w:t>sts and poor economies of scale.</w:t>
      </w:r>
    </w:p>
    <w:p w:rsidR="00B60BD3" w:rsidRPr="00C66550" w:rsidRDefault="00B60BD3" w:rsidP="006D25F9">
      <w:pPr>
        <w:pStyle w:val="Heading3"/>
      </w:pPr>
      <w:r w:rsidRPr="00C66550">
        <w:t>Material categories</w:t>
      </w:r>
    </w:p>
    <w:p w:rsidR="00B867D4" w:rsidRPr="00C66550" w:rsidRDefault="007F35C6" w:rsidP="00B867D4">
      <w:pPr>
        <w:pStyle w:val="BodyText"/>
      </w:pPr>
      <w:r w:rsidRPr="00C66550">
        <w:t>The</w:t>
      </w:r>
      <w:r w:rsidR="000C21D0" w:rsidRPr="00C66550">
        <w:t xml:space="preserve"> available</w:t>
      </w:r>
      <w:r w:rsidRPr="00C66550">
        <w:t xml:space="preserve"> NT data </w:t>
      </w:r>
      <w:r w:rsidR="000C21D0" w:rsidRPr="00C66550">
        <w:t>are not</w:t>
      </w:r>
      <w:r w:rsidRPr="00C66550">
        <w:t xml:space="preserve"> </w:t>
      </w:r>
      <w:r w:rsidR="000C21D0" w:rsidRPr="00C66550">
        <w:t xml:space="preserve">able </w:t>
      </w:r>
      <w:r w:rsidRPr="00C66550">
        <w:t>to support</w:t>
      </w:r>
      <w:r w:rsidR="009F0448" w:rsidRPr="00C66550">
        <w:t xml:space="preserve"> </w:t>
      </w:r>
      <w:r w:rsidR="006901E3" w:rsidRPr="00C66550">
        <w:t>analysis of material categories data.</w:t>
      </w:r>
    </w:p>
    <w:p w:rsidR="0057290A" w:rsidRPr="00C66550" w:rsidRDefault="00147951" w:rsidP="006D25F9">
      <w:pPr>
        <w:pStyle w:val="Heading2"/>
      </w:pPr>
      <w:bookmarkStart w:id="129" w:name="_Toc379466369"/>
      <w:r w:rsidRPr="00C66550">
        <w:t>NT trends 2006 – 10</w:t>
      </w:r>
      <w:bookmarkEnd w:id="129"/>
      <w:r w:rsidRPr="00C66550">
        <w:t xml:space="preserve"> </w:t>
      </w:r>
    </w:p>
    <w:p w:rsidR="006751D0" w:rsidRPr="00C66550" w:rsidRDefault="004043E1" w:rsidP="00147951">
      <w:pPr>
        <w:pStyle w:val="BodyText"/>
      </w:pPr>
      <w:r w:rsidRPr="00C66550">
        <w:t>Insufficient</w:t>
      </w:r>
      <w:r w:rsidR="00147951" w:rsidRPr="00C66550">
        <w:t xml:space="preserve"> data </w:t>
      </w:r>
      <w:r w:rsidRPr="00C66550">
        <w:t xml:space="preserve">are available to </w:t>
      </w:r>
      <w:r w:rsidR="00147951" w:rsidRPr="00C66550">
        <w:t xml:space="preserve">support analysis of waste generation and management over the </w:t>
      </w:r>
      <w:r w:rsidR="0077426E" w:rsidRPr="00C66550">
        <w:t>trend</w:t>
      </w:r>
      <w:r w:rsidR="00147951" w:rsidRPr="00C66550">
        <w:t xml:space="preserve"> period</w:t>
      </w:r>
      <w:r w:rsidRPr="00C66550">
        <w:rPr>
          <w:rStyle w:val="FootnoteReference"/>
        </w:rPr>
        <w:footnoteReference w:id="9"/>
      </w:r>
      <w:r w:rsidR="00147951" w:rsidRPr="00C66550">
        <w:t>.</w:t>
      </w:r>
      <w:r w:rsidR="00FF12A8" w:rsidRPr="00C66550">
        <w:t xml:space="preserve"> </w:t>
      </w:r>
      <w:r w:rsidR="006751D0" w:rsidRPr="00C66550">
        <w:br w:type="page"/>
      </w:r>
    </w:p>
    <w:p w:rsidR="00627520" w:rsidRPr="00C66550" w:rsidRDefault="00627520" w:rsidP="00FB4820">
      <w:pPr>
        <w:pStyle w:val="Figures"/>
        <w:rPr>
          <w:noProof/>
          <w:lang w:eastAsia="en-AU"/>
        </w:rPr>
      </w:pPr>
      <w:bookmarkStart w:id="130" w:name="_Ref349139897"/>
      <w:bookmarkStart w:id="131" w:name="_Toc365385034"/>
      <w:r w:rsidRPr="00C66550">
        <w:lastRenderedPageBreak/>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25</w:t>
      </w:r>
      <w:r w:rsidR="0062001A" w:rsidRPr="00C66550">
        <w:rPr>
          <w:noProof/>
        </w:rPr>
        <w:fldChar w:fldCharType="end"/>
      </w:r>
      <w:bookmarkEnd w:id="130"/>
      <w:r w:rsidR="00E533BB" w:rsidRPr="00C66550">
        <w:t>:</w:t>
      </w:r>
      <w:r w:rsidR="00E533BB" w:rsidRPr="00C66550">
        <w:tab/>
      </w:r>
      <w:r w:rsidRPr="00C66550">
        <w:t>NT 2010/11</w:t>
      </w:r>
      <w:r w:rsidR="000D7C2B">
        <w:t>, total waste generation</w:t>
      </w:r>
      <w:r w:rsidR="00E264ED" w:rsidRPr="00C66550">
        <w:t xml:space="preserve"> by </w:t>
      </w:r>
      <w:r w:rsidR="003A7FCE" w:rsidRPr="00C66550">
        <w:t xml:space="preserve">(a) </w:t>
      </w:r>
      <w:r w:rsidR="00E264ED" w:rsidRPr="00C66550">
        <w:t>management (b) waste stream and management</w:t>
      </w:r>
      <w:r w:rsidR="000D7C2B">
        <w:t xml:space="preserve"> (c)</w:t>
      </w:r>
      <w:r w:rsidR="00E264ED" w:rsidRPr="00C66550">
        <w:t xml:space="preserve"> material category and management</w:t>
      </w:r>
      <w:bookmarkEnd w:id="131"/>
    </w:p>
    <w:p w:rsidR="00627520" w:rsidRPr="00C66550" w:rsidRDefault="009F0448" w:rsidP="003C0F31">
      <w:pPr>
        <w:pStyle w:val="Monkey"/>
      </w:pPr>
      <w:r w:rsidRPr="00C66550">
        <w:rPr>
          <w:noProof/>
          <w:lang w:eastAsia="en-AU"/>
        </w:rPr>
        <w:drawing>
          <wp:anchor distT="0" distB="0" distL="114300" distR="114300" simplePos="0" relativeHeight="251833344" behindDoc="0" locked="0" layoutInCell="1" allowOverlap="1">
            <wp:simplePos x="0" y="0"/>
            <wp:positionH relativeFrom="column">
              <wp:posOffset>520065</wp:posOffset>
            </wp:positionH>
            <wp:positionV relativeFrom="paragraph">
              <wp:posOffset>76835</wp:posOffset>
            </wp:positionV>
            <wp:extent cx="4199255" cy="2641600"/>
            <wp:effectExtent l="0" t="0" r="0" b="6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9255" cy="2641600"/>
                    </a:xfrm>
                    <a:prstGeom prst="rect">
                      <a:avLst/>
                    </a:prstGeom>
                  </pic:spPr>
                </pic:pic>
              </a:graphicData>
            </a:graphic>
          </wp:anchor>
        </w:drawing>
      </w:r>
      <w:r w:rsidRPr="00C66550">
        <w:t xml:space="preserve"> </w:t>
      </w:r>
      <w:r w:rsidR="00E264ED" w:rsidRPr="00C66550">
        <w:t>(a)</w:t>
      </w:r>
    </w:p>
    <w:p w:rsidR="00627520" w:rsidRPr="00C66550" w:rsidRDefault="00627520" w:rsidP="00D352BE">
      <w:pPr>
        <w:pStyle w:val="BodyText"/>
        <w:keepNext/>
      </w:pPr>
    </w:p>
    <w:p w:rsidR="00627520" w:rsidRPr="00C66550" w:rsidRDefault="00627520" w:rsidP="00D352BE">
      <w:pPr>
        <w:pStyle w:val="BodyText"/>
        <w:keepNext/>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9F0448" w:rsidP="00D352BE">
      <w:pPr>
        <w:pStyle w:val="BodyText"/>
        <w:keepNext/>
        <w:rPr>
          <w:rFonts w:ascii="Arial Rounded MT Bold" w:hAnsi="Arial Rounded MT Bold" w:cs="Arial"/>
          <w:color w:val="0000FF"/>
        </w:rPr>
      </w:pPr>
      <w:r w:rsidRPr="00C66550">
        <w:rPr>
          <w:noProof/>
          <w:lang w:eastAsia="en-AU"/>
        </w:rPr>
        <w:drawing>
          <wp:anchor distT="0" distB="0" distL="114300" distR="114300" simplePos="0" relativeHeight="251834368" behindDoc="0" locked="0" layoutInCell="1" allowOverlap="1">
            <wp:simplePos x="0" y="0"/>
            <wp:positionH relativeFrom="column">
              <wp:posOffset>520065</wp:posOffset>
            </wp:positionH>
            <wp:positionV relativeFrom="paragraph">
              <wp:posOffset>-5080</wp:posOffset>
            </wp:positionV>
            <wp:extent cx="4146550" cy="2649220"/>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6550" cy="2649220"/>
                    </a:xfrm>
                    <a:prstGeom prst="rect">
                      <a:avLst/>
                    </a:prstGeom>
                  </pic:spPr>
                </pic:pic>
              </a:graphicData>
            </a:graphic>
          </wp:anchor>
        </w:drawing>
      </w:r>
    </w:p>
    <w:p w:rsidR="00794429" w:rsidRPr="00C66550" w:rsidRDefault="00E264ED" w:rsidP="00D352BE">
      <w:pPr>
        <w:pStyle w:val="BodyText"/>
        <w:keepNext/>
        <w:rPr>
          <w:rFonts w:ascii="Arial Rounded MT Bold" w:hAnsi="Arial Rounded MT Bold" w:cs="Arial"/>
          <w:color w:val="0000FF"/>
        </w:rPr>
      </w:pPr>
      <w:r w:rsidRPr="00C66550">
        <w:rPr>
          <w:rFonts w:ascii="Arial Rounded MT Bold" w:hAnsi="Arial Rounded MT Bold" w:cs="Arial"/>
          <w:color w:val="0000FF"/>
        </w:rPr>
        <w:t>(b)</w:t>
      </w: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D352BE">
      <w:pPr>
        <w:pStyle w:val="BodyText"/>
        <w:keepNext/>
        <w:rPr>
          <w:rFonts w:ascii="Arial Rounded MT Bold" w:hAnsi="Arial Rounded MT Bold" w:cs="Arial"/>
          <w:color w:val="0000FF"/>
        </w:rPr>
      </w:pPr>
    </w:p>
    <w:p w:rsidR="00794429" w:rsidRPr="00C66550" w:rsidRDefault="00794429" w:rsidP="00794429">
      <w:pPr>
        <w:pStyle w:val="BodyText"/>
      </w:pPr>
    </w:p>
    <w:p w:rsidR="006751D0" w:rsidRPr="00C66550" w:rsidRDefault="006751D0" w:rsidP="00794429">
      <w:pPr>
        <w:pStyle w:val="BodyText"/>
      </w:pPr>
    </w:p>
    <w:p w:rsidR="006751D0" w:rsidRPr="00C66550" w:rsidRDefault="00E264ED" w:rsidP="00E264ED">
      <w:pPr>
        <w:pStyle w:val="BodyText"/>
        <w:keepNext/>
        <w:rPr>
          <w:rFonts w:ascii="Arial Rounded MT Bold" w:hAnsi="Arial Rounded MT Bold" w:cs="Arial"/>
          <w:color w:val="0000FF"/>
        </w:rPr>
      </w:pPr>
      <w:r w:rsidRPr="00C66550">
        <w:rPr>
          <w:rFonts w:ascii="Arial Rounded MT Bold" w:hAnsi="Arial Rounded MT Bold" w:cs="Arial"/>
          <w:color w:val="0000FF"/>
        </w:rPr>
        <w:t>(c)</w:t>
      </w:r>
    </w:p>
    <w:p w:rsidR="006751D0" w:rsidRPr="00C66550" w:rsidRDefault="009F0448" w:rsidP="00794429">
      <w:pPr>
        <w:pStyle w:val="BodyText"/>
        <w:rPr>
          <w:noProof/>
          <w:lang w:eastAsia="en-AU"/>
        </w:rPr>
      </w:pPr>
      <w:r w:rsidRPr="00C66550">
        <w:rPr>
          <w:noProof/>
          <w:lang w:eastAsia="en-AU"/>
        </w:rPr>
        <w:drawing>
          <wp:anchor distT="0" distB="0" distL="114300" distR="114300" simplePos="0" relativeHeight="251835392" behindDoc="0" locked="0" layoutInCell="1" allowOverlap="1">
            <wp:simplePos x="0" y="0"/>
            <wp:positionH relativeFrom="column">
              <wp:posOffset>-299085</wp:posOffset>
            </wp:positionH>
            <wp:positionV relativeFrom="paragraph">
              <wp:posOffset>262890</wp:posOffset>
            </wp:positionV>
            <wp:extent cx="6262370" cy="2350135"/>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62370" cy="2350135"/>
                    </a:xfrm>
                    <a:prstGeom prst="rect">
                      <a:avLst/>
                    </a:prstGeom>
                  </pic:spPr>
                </pic:pic>
              </a:graphicData>
            </a:graphic>
          </wp:anchor>
        </w:drawing>
      </w:r>
    </w:p>
    <w:p w:rsidR="003626AE" w:rsidRPr="00C66550" w:rsidRDefault="003626AE" w:rsidP="00794429">
      <w:pPr>
        <w:pStyle w:val="BodyText"/>
      </w:pPr>
    </w:p>
    <w:p w:rsidR="00154794" w:rsidRPr="00C66550" w:rsidRDefault="00154794">
      <w:pPr>
        <w:spacing w:line="240" w:lineRule="auto"/>
        <w:rPr>
          <w:color w:val="080808"/>
          <w:sz w:val="22"/>
        </w:rPr>
      </w:pPr>
    </w:p>
    <w:p w:rsidR="00154794" w:rsidRPr="00C66550" w:rsidRDefault="00777C18" w:rsidP="006D25F9">
      <w:pPr>
        <w:pStyle w:val="Heading1"/>
      </w:pPr>
      <w:bookmarkStart w:id="132" w:name="_Toc379466370"/>
      <w:r w:rsidRPr="00C66550">
        <w:t>Queensland</w:t>
      </w:r>
      <w:bookmarkEnd w:id="132"/>
      <w:r w:rsidR="004711E8" w:rsidRPr="00C66550">
        <w:t xml:space="preserve"> </w:t>
      </w:r>
    </w:p>
    <w:p w:rsidR="00154794" w:rsidRPr="00C66550" w:rsidRDefault="00DF4FB7" w:rsidP="006D25F9">
      <w:pPr>
        <w:pStyle w:val="Heading2"/>
      </w:pPr>
      <w:bookmarkStart w:id="133" w:name="_Toc379466371"/>
      <w:r>
        <w:lastRenderedPageBreak/>
        <w:t>Qld</w:t>
      </w:r>
      <w:r w:rsidR="00154794" w:rsidRPr="00C66550">
        <w:t xml:space="preserve"> 2010/11</w:t>
      </w:r>
      <w:bookmarkEnd w:id="133"/>
    </w:p>
    <w:p w:rsidR="0011222A" w:rsidRPr="00C66550" w:rsidRDefault="0011222A" w:rsidP="006D25F9">
      <w:pPr>
        <w:pStyle w:val="Heading3"/>
      </w:pPr>
      <w:r w:rsidRPr="00C66550">
        <w:t>Per capita waste generation and resource recovery rate</w:t>
      </w:r>
    </w:p>
    <w:p w:rsidR="005879F5" w:rsidRPr="00C66550" w:rsidRDefault="005879F5" w:rsidP="005879F5">
      <w:pPr>
        <w:pStyle w:val="BodyText"/>
      </w:pPr>
      <w:r w:rsidRPr="00C66550">
        <w:t xml:space="preserve">In 2010/11, per capita waste generation for </w:t>
      </w:r>
      <w:r w:rsidR="00DF4FB7">
        <w:t>Qld</w:t>
      </w:r>
      <w:r w:rsidR="00126AAB" w:rsidRPr="00C66550">
        <w:t xml:space="preserve"> </w:t>
      </w:r>
      <w:r w:rsidRPr="00C66550">
        <w:t xml:space="preserve">was </w:t>
      </w:r>
      <w:r w:rsidR="00126AAB" w:rsidRPr="00C66550">
        <w:t>1.</w:t>
      </w:r>
      <w:r w:rsidR="00F40CB3" w:rsidRPr="00C66550">
        <w:t>7</w:t>
      </w:r>
      <w:r w:rsidRPr="00C66550">
        <w:t xml:space="preserve"> tonnes (see </w:t>
      </w:r>
      <w:r w:rsidR="0062001A" w:rsidRPr="00C66550">
        <w:fldChar w:fldCharType="begin"/>
      </w:r>
      <w:r w:rsidRPr="00C66550">
        <w:instrText xml:space="preserve"> REF _Ref348975336 \h </w:instrText>
      </w:r>
      <w:r w:rsidR="0062001A" w:rsidRPr="00C66550">
        <w:fldChar w:fldCharType="separate"/>
      </w:r>
      <w:r w:rsidR="00D96003" w:rsidRPr="00C66550">
        <w:t xml:space="preserve">Figure </w:t>
      </w:r>
      <w:r w:rsidR="00D96003">
        <w:rPr>
          <w:noProof/>
        </w:rPr>
        <w:t>6</w:t>
      </w:r>
      <w:r w:rsidR="0062001A" w:rsidRPr="00C66550">
        <w:fldChar w:fldCharType="end"/>
      </w:r>
      <w:r w:rsidRPr="00C66550">
        <w:t>)</w:t>
      </w:r>
      <w:r w:rsidR="00ED703A" w:rsidRPr="00C66550">
        <w:t>,</w:t>
      </w:r>
      <w:r w:rsidRPr="00C66550">
        <w:t xml:space="preserve"> which was the third </w:t>
      </w:r>
      <w:r w:rsidR="00126AAB" w:rsidRPr="00C66550">
        <w:t xml:space="preserve">lowest </w:t>
      </w:r>
      <w:r w:rsidRPr="00C66550">
        <w:t>in Australia</w:t>
      </w:r>
      <w:r w:rsidR="00ED703A" w:rsidRPr="00C66550">
        <w:t>,</w:t>
      </w:r>
      <w:r w:rsidR="00F673DA" w:rsidRPr="00C66550">
        <w:t xml:space="preserve"> above</w:t>
      </w:r>
      <w:r w:rsidR="00F40CB3" w:rsidRPr="00C66550">
        <w:t xml:space="preserve"> the</w:t>
      </w:r>
      <w:r w:rsidR="00F673DA" w:rsidRPr="00C66550">
        <w:t xml:space="preserve"> NT</w:t>
      </w:r>
      <w:r w:rsidR="00FE7639" w:rsidRPr="00C66550">
        <w:t xml:space="preserve"> and </w:t>
      </w:r>
      <w:r w:rsidR="00DF4FB7">
        <w:t>Tas</w:t>
      </w:r>
      <w:r w:rsidRPr="00C66550">
        <w:t>.</w:t>
      </w:r>
      <w:r w:rsidR="004711E8" w:rsidRPr="00C66550">
        <w:t xml:space="preserve"> This follows the pattern of lower waste generation </w:t>
      </w:r>
      <w:r w:rsidR="006E2D5F" w:rsidRPr="00C66550">
        <w:t>in</w:t>
      </w:r>
      <w:r w:rsidR="004711E8" w:rsidRPr="00C66550">
        <w:t xml:space="preserve"> jurisdictions</w:t>
      </w:r>
      <w:r w:rsidR="006E2D5F" w:rsidRPr="00C66550">
        <w:t xml:space="preserve"> that have</w:t>
      </w:r>
      <w:r w:rsidR="004711E8" w:rsidRPr="00C66550">
        <w:t xml:space="preserve"> </w:t>
      </w:r>
      <w:r w:rsidR="006E2D5F" w:rsidRPr="00C66550">
        <w:t xml:space="preserve">lower per capita incomes and less urbanised populations </w:t>
      </w:r>
      <w:r w:rsidR="004711E8" w:rsidRPr="00C66550">
        <w:t xml:space="preserve">(see </w:t>
      </w:r>
      <w:r w:rsidR="00912151" w:rsidRPr="00C66550">
        <w:t>section</w:t>
      </w:r>
      <w:r w:rsidR="004711E8" w:rsidRPr="00C66550">
        <w:t xml:space="preserve"> </w:t>
      </w:r>
      <w:r w:rsidR="0062001A" w:rsidRPr="00C66550">
        <w:fldChar w:fldCharType="begin"/>
      </w:r>
      <w:r w:rsidR="003626AE" w:rsidRPr="00C66550">
        <w:instrText xml:space="preserve"> REF _Ref348975624 \r \h </w:instrText>
      </w:r>
      <w:r w:rsidR="0062001A" w:rsidRPr="00C66550">
        <w:fldChar w:fldCharType="separate"/>
      </w:r>
      <w:r w:rsidR="00D96003">
        <w:t>2</w:t>
      </w:r>
      <w:r w:rsidR="0062001A" w:rsidRPr="00C66550">
        <w:fldChar w:fldCharType="end"/>
      </w:r>
      <w:r w:rsidR="004711E8" w:rsidRPr="00C66550">
        <w:t>).</w:t>
      </w:r>
      <w:r w:rsidR="00E5424C" w:rsidRPr="00C66550">
        <w:t xml:space="preserve"> </w:t>
      </w:r>
    </w:p>
    <w:p w:rsidR="005879F5" w:rsidRPr="00C66550" w:rsidRDefault="005879F5" w:rsidP="005879F5">
      <w:pPr>
        <w:pStyle w:val="BodyText"/>
      </w:pPr>
    </w:p>
    <w:p w:rsidR="00A0017D" w:rsidRPr="00C66550" w:rsidRDefault="00DF4FB7" w:rsidP="005879F5">
      <w:pPr>
        <w:pStyle w:val="BodyText"/>
      </w:pPr>
      <w:r>
        <w:t>Qld</w:t>
      </w:r>
      <w:r w:rsidR="00126AAB" w:rsidRPr="00C66550">
        <w:t xml:space="preserve"> </w:t>
      </w:r>
      <w:r w:rsidR="005879F5" w:rsidRPr="00C66550">
        <w:t xml:space="preserve">also had Australia’s third </w:t>
      </w:r>
      <w:r w:rsidR="00F673DA" w:rsidRPr="00C66550">
        <w:t>lowest</w:t>
      </w:r>
      <w:r w:rsidR="005879F5" w:rsidRPr="00C66550">
        <w:t xml:space="preserve"> resource recovery rate at around </w:t>
      </w:r>
      <w:r w:rsidR="00F673DA" w:rsidRPr="00C66550">
        <w:t>5</w:t>
      </w:r>
      <w:r w:rsidR="00FE7639" w:rsidRPr="00C66550">
        <w:t>2</w:t>
      </w:r>
      <w:r w:rsidR="005879F5" w:rsidRPr="00C66550">
        <w:t>%</w:t>
      </w:r>
      <w:r w:rsidR="00ED703A" w:rsidRPr="00C66550">
        <w:t>,</w:t>
      </w:r>
      <w:r w:rsidR="005879F5" w:rsidRPr="00C66550">
        <w:t xml:space="preserve"> which is </w:t>
      </w:r>
      <w:r w:rsidR="00B80AEF" w:rsidRPr="00C66550">
        <w:t>8</w:t>
      </w:r>
      <w:r w:rsidR="005879F5" w:rsidRPr="00C66550">
        <w:t xml:space="preserve">% </w:t>
      </w:r>
      <w:r w:rsidR="00F673DA" w:rsidRPr="00C66550">
        <w:t>below</w:t>
      </w:r>
      <w:r w:rsidR="005879F5" w:rsidRPr="00C66550">
        <w:t xml:space="preserve"> the national average and reflects</w:t>
      </w:r>
      <w:r w:rsidR="00A0017D" w:rsidRPr="00C66550">
        <w:t>:</w:t>
      </w:r>
    </w:p>
    <w:p w:rsidR="00AE764F" w:rsidRPr="00C66550" w:rsidRDefault="00AE764F" w:rsidP="00AE764F">
      <w:pPr>
        <w:pStyle w:val="Bullet1"/>
      </w:pPr>
      <w:r w:rsidRPr="00C66550">
        <w:t>large transport distances that make recovery of some waste types cost-prohibitive</w:t>
      </w:r>
    </w:p>
    <w:p w:rsidR="00A0017D" w:rsidRPr="00C66550" w:rsidRDefault="008D622D" w:rsidP="00A0017D">
      <w:pPr>
        <w:pStyle w:val="Bullet1"/>
      </w:pPr>
      <w:r w:rsidRPr="00C66550">
        <w:t>the absence of a</w:t>
      </w:r>
      <w:r w:rsidR="00F673DA" w:rsidRPr="00C66550">
        <w:t xml:space="preserve"> landfill levy</w:t>
      </w:r>
      <w:r w:rsidR="00236DFC" w:rsidRPr="00C66550">
        <w:t xml:space="preserve"> (except </w:t>
      </w:r>
      <w:r w:rsidR="000C21D0" w:rsidRPr="00C66550">
        <w:t>for</w:t>
      </w:r>
      <w:r w:rsidR="00236DFC" w:rsidRPr="00C66550">
        <w:t xml:space="preserve"> a six</w:t>
      </w:r>
      <w:r w:rsidRPr="00C66550">
        <w:t>-</w:t>
      </w:r>
      <w:r w:rsidR="00236DFC" w:rsidRPr="00C66550">
        <w:t xml:space="preserve">month period in </w:t>
      </w:r>
      <w:r w:rsidR="000C21D0" w:rsidRPr="00C66550">
        <w:t>20</w:t>
      </w:r>
      <w:r w:rsidR="00236DFC" w:rsidRPr="00C66550">
        <w:t>11/12)</w:t>
      </w:r>
    </w:p>
    <w:p w:rsidR="005879F5" w:rsidRPr="00C66550" w:rsidRDefault="00AE764F" w:rsidP="00AE764F">
      <w:pPr>
        <w:pStyle w:val="Bullet1"/>
      </w:pPr>
      <w:r w:rsidRPr="00C66550">
        <w:t>less developed resource recovery infrastructure</w:t>
      </w:r>
      <w:r w:rsidR="005879F5" w:rsidRPr="00C66550">
        <w:t xml:space="preserve">. </w:t>
      </w:r>
    </w:p>
    <w:p w:rsidR="00E264ED" w:rsidRPr="00C66550" w:rsidRDefault="0089707A" w:rsidP="006D25F9">
      <w:pPr>
        <w:pStyle w:val="Heading3"/>
      </w:pPr>
      <w:r w:rsidRPr="00C66550">
        <w:t>Total waste generated</w:t>
      </w:r>
    </w:p>
    <w:p w:rsidR="005879F5" w:rsidRPr="00C66550" w:rsidRDefault="00D534E5" w:rsidP="005879F5">
      <w:pPr>
        <w:pStyle w:val="BodyText"/>
      </w:pPr>
      <w:r w:rsidRPr="00C66550">
        <w:t>T</w:t>
      </w:r>
      <w:r w:rsidR="005879F5" w:rsidRPr="00C66550">
        <w:t xml:space="preserve">otal waste generation in </w:t>
      </w:r>
      <w:r w:rsidR="00DF4FB7">
        <w:t>Qld</w:t>
      </w:r>
      <w:r w:rsidR="00B32B8A" w:rsidRPr="00C66550">
        <w:t xml:space="preserve"> </w:t>
      </w:r>
      <w:r w:rsidR="005879F5" w:rsidRPr="00C66550">
        <w:t xml:space="preserve">for 2010/11 was around </w:t>
      </w:r>
      <w:r w:rsidR="00B32B8A" w:rsidRPr="00C66550">
        <w:t>7</w:t>
      </w:r>
      <w:r w:rsidR="00543286" w:rsidRPr="00C66550">
        <w:t>.5 Mt</w:t>
      </w:r>
      <w:r w:rsidR="005879F5" w:rsidRPr="00C66550">
        <w:t xml:space="preserve"> excluding fly ash and </w:t>
      </w:r>
      <w:r w:rsidR="00B32B8A" w:rsidRPr="00C66550">
        <w:t>1</w:t>
      </w:r>
      <w:r w:rsidR="00B80AEF" w:rsidRPr="00C66550">
        <w:t>3</w:t>
      </w:r>
      <w:r w:rsidR="00543286" w:rsidRPr="00C66550">
        <w:t xml:space="preserve"> Mt</w:t>
      </w:r>
      <w:r w:rsidR="005879F5" w:rsidRPr="00C66550">
        <w:t xml:space="preserve"> including fly ash</w:t>
      </w:r>
      <w:r w:rsidRPr="00C66550">
        <w:t xml:space="preserve"> (see </w:t>
      </w:r>
      <w:r w:rsidR="0062001A" w:rsidRPr="00C66550">
        <w:fldChar w:fldCharType="begin"/>
      </w:r>
      <w:r w:rsidRPr="00C66550">
        <w:instrText xml:space="preserve"> REF _Ref349148031 \h </w:instrText>
      </w:r>
      <w:r w:rsidR="0062001A" w:rsidRPr="00C66550">
        <w:fldChar w:fldCharType="separate"/>
      </w:r>
      <w:r w:rsidR="00D96003" w:rsidRPr="00C66550">
        <w:t xml:space="preserve">Figure </w:t>
      </w:r>
      <w:r w:rsidR="00D96003">
        <w:rPr>
          <w:noProof/>
        </w:rPr>
        <w:t>26</w:t>
      </w:r>
      <w:r w:rsidR="0062001A" w:rsidRPr="00C66550">
        <w:fldChar w:fldCharType="end"/>
      </w:r>
      <w:r w:rsidR="00B32B8A" w:rsidRPr="00C66550">
        <w:t>)</w:t>
      </w:r>
      <w:r w:rsidRPr="00C66550">
        <w:t xml:space="preserve">. This </w:t>
      </w:r>
      <w:r w:rsidR="005879F5" w:rsidRPr="00C66550">
        <w:t xml:space="preserve">is the </w:t>
      </w:r>
      <w:r w:rsidR="00B32B8A" w:rsidRPr="00C66550">
        <w:t xml:space="preserve">third </w:t>
      </w:r>
      <w:r w:rsidR="005879F5" w:rsidRPr="00C66550">
        <w:t xml:space="preserve">highest </w:t>
      </w:r>
      <w:r w:rsidRPr="00C66550">
        <w:t>of</w:t>
      </w:r>
      <w:r w:rsidR="005879F5" w:rsidRPr="00C66550">
        <w:t xml:space="preserve"> Australia</w:t>
      </w:r>
      <w:r w:rsidRPr="00C66550">
        <w:t>’s jurisdictions</w:t>
      </w:r>
      <w:r w:rsidR="008D622D" w:rsidRPr="00C66550">
        <w:t>,</w:t>
      </w:r>
      <w:r w:rsidR="005879F5" w:rsidRPr="00C66550">
        <w:t xml:space="preserve"> </w:t>
      </w:r>
      <w:r w:rsidR="00B32B8A" w:rsidRPr="00C66550">
        <w:t xml:space="preserve">consistent with </w:t>
      </w:r>
      <w:r w:rsidR="00DF4FB7">
        <w:t>Qld</w:t>
      </w:r>
      <w:r w:rsidR="00B32B8A" w:rsidRPr="00C66550">
        <w:t>’s</w:t>
      </w:r>
      <w:r w:rsidRPr="00C66550">
        <w:t xml:space="preserve"> ranking in relation to</w:t>
      </w:r>
      <w:r w:rsidR="00B32B8A" w:rsidRPr="00C66550">
        <w:t xml:space="preserve"> </w:t>
      </w:r>
      <w:r w:rsidR="005879F5" w:rsidRPr="00C66550">
        <w:t xml:space="preserve">population and GSP. </w:t>
      </w:r>
      <w:r w:rsidR="00B32B8A" w:rsidRPr="00C66550">
        <w:t>The almost 6</w:t>
      </w:r>
      <w:r w:rsidR="00AB0701" w:rsidRPr="00C66550">
        <w:t xml:space="preserve"> </w:t>
      </w:r>
      <w:r w:rsidR="00B32B8A" w:rsidRPr="00C66550">
        <w:t xml:space="preserve">Mt of fly ash generated in </w:t>
      </w:r>
      <w:r w:rsidR="00DF4FB7">
        <w:t>Qld</w:t>
      </w:r>
      <w:r w:rsidR="00B32B8A" w:rsidRPr="00C66550">
        <w:t xml:space="preserve"> is</w:t>
      </w:r>
      <w:r w:rsidR="00653502" w:rsidRPr="00C66550">
        <w:t xml:space="preserve"> around 40%</w:t>
      </w:r>
      <w:r w:rsidR="00B32B8A" w:rsidRPr="00C66550">
        <w:t xml:space="preserve"> of Australia’s total fly ash generation, reflecting the large number of coal</w:t>
      </w:r>
      <w:r w:rsidR="008D622D" w:rsidRPr="00C66550">
        <w:t>-</w:t>
      </w:r>
      <w:r w:rsidR="00B32B8A" w:rsidRPr="00C66550">
        <w:t>fired power station</w:t>
      </w:r>
      <w:r w:rsidR="004221E0" w:rsidRPr="00C66550">
        <w:t>s</w:t>
      </w:r>
      <w:r w:rsidR="00B32B8A" w:rsidRPr="00C66550">
        <w:t xml:space="preserve"> in </w:t>
      </w:r>
      <w:r w:rsidR="00DF4FB7">
        <w:t>Qld</w:t>
      </w:r>
      <w:r w:rsidR="00B32B8A" w:rsidRPr="00C66550">
        <w:t>.</w:t>
      </w:r>
    </w:p>
    <w:p w:rsidR="005879F5" w:rsidRPr="00C66550" w:rsidRDefault="005879F5" w:rsidP="006D25F9">
      <w:pPr>
        <w:pStyle w:val="Heading3"/>
      </w:pPr>
      <w:r w:rsidRPr="00C66550">
        <w:t xml:space="preserve">Waste streams </w:t>
      </w:r>
    </w:p>
    <w:p w:rsidR="005879F5" w:rsidRPr="00C66550" w:rsidRDefault="00DF4FB7" w:rsidP="004221E0">
      <w:pPr>
        <w:pStyle w:val="Bullet1"/>
      </w:pPr>
      <w:r>
        <w:t>Qld</w:t>
      </w:r>
      <w:r w:rsidR="00653502" w:rsidRPr="00C66550">
        <w:t xml:space="preserve"> </w:t>
      </w:r>
      <w:r w:rsidR="005879F5" w:rsidRPr="00C66550">
        <w:t xml:space="preserve">MSW generation was around </w:t>
      </w:r>
      <w:r w:rsidR="00653502" w:rsidRPr="00C66550">
        <w:t>2</w:t>
      </w:r>
      <w:r w:rsidR="00AE764F" w:rsidRPr="00C66550">
        <w:t>.0 Mt</w:t>
      </w:r>
      <w:r w:rsidR="005879F5" w:rsidRPr="00C66550">
        <w:t xml:space="preserve"> with a resource recovery rate of </w:t>
      </w:r>
      <w:r w:rsidR="00653502" w:rsidRPr="00C66550">
        <w:t>4</w:t>
      </w:r>
      <w:r w:rsidR="00A01E20" w:rsidRPr="00C66550">
        <w:t>8</w:t>
      </w:r>
      <w:r w:rsidR="005879F5" w:rsidRPr="00C66550">
        <w:t>%</w:t>
      </w:r>
      <w:r w:rsidR="008D622D" w:rsidRPr="00C66550">
        <w:t>,</w:t>
      </w:r>
      <w:r w:rsidR="005879F5" w:rsidRPr="00C66550">
        <w:t xml:space="preserve"> which is </w:t>
      </w:r>
      <w:r w:rsidR="00A01E20" w:rsidRPr="00C66550">
        <w:t>3</w:t>
      </w:r>
      <w:r w:rsidR="005879F5" w:rsidRPr="00C66550">
        <w:t xml:space="preserve">% </w:t>
      </w:r>
      <w:r w:rsidR="00653502" w:rsidRPr="00C66550">
        <w:t xml:space="preserve">below </w:t>
      </w:r>
      <w:r w:rsidR="005879F5" w:rsidRPr="00C66550">
        <w:t>the Australian average.</w:t>
      </w:r>
    </w:p>
    <w:p w:rsidR="005879F5" w:rsidRPr="00C66550" w:rsidRDefault="00DF4FB7" w:rsidP="004221E0">
      <w:pPr>
        <w:pStyle w:val="Bullet1"/>
      </w:pPr>
      <w:r>
        <w:t>Qld</w:t>
      </w:r>
      <w:r w:rsidR="005879F5" w:rsidRPr="00C66550">
        <w:t xml:space="preserve"> C&amp;I </w:t>
      </w:r>
      <w:r w:rsidR="00AE764F" w:rsidRPr="00C66550">
        <w:t xml:space="preserve">waste </w:t>
      </w:r>
      <w:r w:rsidR="005879F5" w:rsidRPr="00C66550">
        <w:t xml:space="preserve">generation was around </w:t>
      </w:r>
      <w:r w:rsidR="00653502" w:rsidRPr="00C66550">
        <w:t>2</w:t>
      </w:r>
      <w:r w:rsidR="00AE764F" w:rsidRPr="00C66550">
        <w:t>.3 Mt</w:t>
      </w:r>
      <w:r w:rsidR="005879F5" w:rsidRPr="00C66550">
        <w:t xml:space="preserve"> with a resource recovery rate of </w:t>
      </w:r>
      <w:r w:rsidR="004221E0" w:rsidRPr="00C66550">
        <w:t>5</w:t>
      </w:r>
      <w:r w:rsidR="00A01E20" w:rsidRPr="00C66550">
        <w:t>2</w:t>
      </w:r>
      <w:r w:rsidR="005879F5" w:rsidRPr="00C66550">
        <w:t>%</w:t>
      </w:r>
      <w:r w:rsidR="008D622D" w:rsidRPr="00C66550">
        <w:t>,</w:t>
      </w:r>
      <w:r w:rsidR="005879F5" w:rsidRPr="00C66550">
        <w:t xml:space="preserve"> which is </w:t>
      </w:r>
      <w:r w:rsidR="00B80AEF" w:rsidRPr="00C66550">
        <w:t>7</w:t>
      </w:r>
      <w:r w:rsidR="005879F5" w:rsidRPr="00C66550">
        <w:t xml:space="preserve">% </w:t>
      </w:r>
      <w:r w:rsidR="00653502" w:rsidRPr="00C66550">
        <w:t xml:space="preserve">below </w:t>
      </w:r>
      <w:r w:rsidR="005879F5" w:rsidRPr="00C66550">
        <w:t xml:space="preserve">the Australian average. </w:t>
      </w:r>
    </w:p>
    <w:p w:rsidR="005879F5" w:rsidRPr="00C66550" w:rsidRDefault="00DF4FB7" w:rsidP="004221E0">
      <w:pPr>
        <w:pStyle w:val="Bullet1"/>
      </w:pPr>
      <w:r>
        <w:t>Qld</w:t>
      </w:r>
      <w:r w:rsidR="004F6D90" w:rsidRPr="00C66550">
        <w:t xml:space="preserve"> </w:t>
      </w:r>
      <w:r w:rsidR="005879F5" w:rsidRPr="00C66550">
        <w:t xml:space="preserve">C&amp;D </w:t>
      </w:r>
      <w:r w:rsidR="00AE764F" w:rsidRPr="00C66550">
        <w:t xml:space="preserve">waste </w:t>
      </w:r>
      <w:r w:rsidR="005879F5" w:rsidRPr="00C66550">
        <w:t xml:space="preserve">generation was around </w:t>
      </w:r>
      <w:r w:rsidR="00653502" w:rsidRPr="00C66550">
        <w:t>2</w:t>
      </w:r>
      <w:r w:rsidR="00AE764F" w:rsidRPr="00C66550">
        <w:t>.2 Mt</w:t>
      </w:r>
      <w:r w:rsidR="005879F5" w:rsidRPr="00C66550">
        <w:t xml:space="preserve"> with a resource recovery rate of </w:t>
      </w:r>
      <w:r w:rsidR="00B80AEF" w:rsidRPr="00C66550">
        <w:t>59</w:t>
      </w:r>
      <w:r w:rsidR="005879F5" w:rsidRPr="00C66550">
        <w:t>%</w:t>
      </w:r>
      <w:r w:rsidR="008D622D" w:rsidRPr="00C66550">
        <w:t>,</w:t>
      </w:r>
      <w:r w:rsidR="005879F5" w:rsidRPr="00C66550">
        <w:t xml:space="preserve"> which is </w:t>
      </w:r>
      <w:r w:rsidR="00A01E20" w:rsidRPr="00C66550">
        <w:t>7</w:t>
      </w:r>
      <w:r w:rsidR="005879F5" w:rsidRPr="00C66550">
        <w:t xml:space="preserve">% </w:t>
      </w:r>
      <w:r w:rsidR="00653502" w:rsidRPr="00C66550">
        <w:t xml:space="preserve">below </w:t>
      </w:r>
      <w:r w:rsidR="005879F5" w:rsidRPr="00C66550">
        <w:t>the Australian average.</w:t>
      </w:r>
    </w:p>
    <w:p w:rsidR="005879F5" w:rsidRPr="00C66550" w:rsidRDefault="005879F5" w:rsidP="006D25F9">
      <w:pPr>
        <w:pStyle w:val="Heading3"/>
      </w:pPr>
      <w:r w:rsidRPr="00C66550">
        <w:t>Material categories</w:t>
      </w:r>
    </w:p>
    <w:p w:rsidR="00593017" w:rsidRPr="00C66550" w:rsidRDefault="005879F5" w:rsidP="005879F5">
      <w:pPr>
        <w:pStyle w:val="BodyText"/>
      </w:pPr>
      <w:r w:rsidRPr="00C66550">
        <w:t xml:space="preserve">In </w:t>
      </w:r>
      <w:r w:rsidR="00DF4FB7">
        <w:t>Qld,</w:t>
      </w:r>
      <w:r w:rsidR="00164760" w:rsidRPr="00C66550">
        <w:t xml:space="preserve"> </w:t>
      </w:r>
      <w:r w:rsidRPr="00C66550">
        <w:t xml:space="preserve">the waste categories that </w:t>
      </w:r>
      <w:r w:rsidR="003E1D77" w:rsidRPr="00C66550">
        <w:t>make up</w:t>
      </w:r>
      <w:r w:rsidRPr="00C66550">
        <w:t xml:space="preserve"> the bulk of waste generation are </w:t>
      </w:r>
      <w:r w:rsidR="00164760" w:rsidRPr="00C66550">
        <w:t xml:space="preserve">fly ash, </w:t>
      </w:r>
      <w:r w:rsidR="004221E0" w:rsidRPr="00C66550">
        <w:t xml:space="preserve">organics, </w:t>
      </w:r>
      <w:r w:rsidRPr="00C66550">
        <w:t>masonry materials, paper and cardboard</w:t>
      </w:r>
      <w:r w:rsidR="00A01E20" w:rsidRPr="00C66550">
        <w:t>, and metals</w:t>
      </w:r>
      <w:r w:rsidRPr="00C66550">
        <w:t xml:space="preserve">. The resource recovery rates </w:t>
      </w:r>
      <w:r w:rsidR="00164760" w:rsidRPr="00C66550">
        <w:t>for most material categories are</w:t>
      </w:r>
      <w:r w:rsidR="00593017" w:rsidRPr="00C66550">
        <w:t xml:space="preserve"> </w:t>
      </w:r>
      <w:r w:rsidR="00164760" w:rsidRPr="00C66550">
        <w:t xml:space="preserve">below the national average. The exceptions </w:t>
      </w:r>
      <w:r w:rsidR="001F0CC1" w:rsidRPr="00C66550">
        <w:t>being hazardous wastes with a resource recovery rate 10% higher than the national average.</w:t>
      </w:r>
    </w:p>
    <w:p w:rsidR="00593017" w:rsidRPr="00C66550" w:rsidRDefault="00593017" w:rsidP="005879F5">
      <w:pPr>
        <w:pStyle w:val="BodyText"/>
      </w:pPr>
    </w:p>
    <w:p w:rsidR="00593017" w:rsidRPr="00C66550" w:rsidRDefault="00593017" w:rsidP="005879F5">
      <w:pPr>
        <w:pStyle w:val="BodyText"/>
      </w:pPr>
    </w:p>
    <w:p w:rsidR="00E475B1" w:rsidRPr="00C66550" w:rsidRDefault="00E475B1" w:rsidP="005879F5">
      <w:pPr>
        <w:pStyle w:val="BodyText"/>
      </w:pPr>
    </w:p>
    <w:p w:rsidR="008D622D" w:rsidRPr="00C66550" w:rsidRDefault="008D622D" w:rsidP="005879F5">
      <w:pPr>
        <w:pStyle w:val="BodyText"/>
      </w:pPr>
    </w:p>
    <w:p w:rsidR="00AE764F" w:rsidRPr="00C66550" w:rsidRDefault="00AE764F" w:rsidP="005879F5">
      <w:pPr>
        <w:pStyle w:val="BodyText"/>
      </w:pPr>
    </w:p>
    <w:p w:rsidR="00AE764F" w:rsidRPr="00C66550" w:rsidRDefault="00AE764F" w:rsidP="005879F5">
      <w:pPr>
        <w:pStyle w:val="BodyText"/>
      </w:pPr>
    </w:p>
    <w:p w:rsidR="00AE764F" w:rsidRPr="00C66550" w:rsidRDefault="00AE764F" w:rsidP="005879F5">
      <w:pPr>
        <w:pStyle w:val="BodyText"/>
      </w:pPr>
    </w:p>
    <w:p w:rsidR="006E2D5F" w:rsidRPr="00C66550" w:rsidRDefault="006E2D5F" w:rsidP="005879F5">
      <w:pPr>
        <w:pStyle w:val="BodyText"/>
      </w:pPr>
    </w:p>
    <w:p w:rsidR="00AE764F" w:rsidRPr="00C66550" w:rsidRDefault="00AE764F" w:rsidP="005879F5">
      <w:pPr>
        <w:pStyle w:val="BodyText"/>
      </w:pPr>
    </w:p>
    <w:p w:rsidR="00AE764F" w:rsidRPr="00C66550" w:rsidRDefault="00AE764F" w:rsidP="005879F5">
      <w:pPr>
        <w:pStyle w:val="BodyText"/>
      </w:pPr>
    </w:p>
    <w:p w:rsidR="00AE764F" w:rsidRPr="00C66550" w:rsidRDefault="00AE764F" w:rsidP="005879F5">
      <w:pPr>
        <w:pStyle w:val="BodyText"/>
      </w:pPr>
    </w:p>
    <w:p w:rsidR="00627520" w:rsidRPr="00C66550" w:rsidRDefault="00627520" w:rsidP="00FB4820">
      <w:pPr>
        <w:pStyle w:val="Figures"/>
        <w:rPr>
          <w:noProof/>
          <w:lang w:eastAsia="en-AU"/>
        </w:rPr>
      </w:pPr>
      <w:bookmarkStart w:id="134" w:name="_Ref349148031"/>
      <w:bookmarkStart w:id="135" w:name="_Toc365385035"/>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26</w:t>
      </w:r>
      <w:r w:rsidR="0062001A" w:rsidRPr="00C66550">
        <w:rPr>
          <w:noProof/>
        </w:rPr>
        <w:fldChar w:fldCharType="end"/>
      </w:r>
      <w:bookmarkEnd w:id="134"/>
      <w:r w:rsidR="00E533BB" w:rsidRPr="00C66550">
        <w:t>:</w:t>
      </w:r>
      <w:r w:rsidR="00E533BB" w:rsidRPr="00C66550">
        <w:tab/>
      </w:r>
      <w:r w:rsidR="000D7C2B">
        <w:t>Qld</w:t>
      </w:r>
      <w:r w:rsidRPr="00C66550">
        <w:t xml:space="preserve"> 2010/11</w:t>
      </w:r>
      <w:r w:rsidR="000D7C2B">
        <w:t>, total waste generation</w:t>
      </w:r>
      <w:r w:rsidR="003A7FCE" w:rsidRPr="00C66550">
        <w:t xml:space="preserve"> by</w:t>
      </w:r>
      <w:r w:rsidR="003A7FCE">
        <w:t>:</w:t>
      </w:r>
      <w:r w:rsidR="003A7FCE" w:rsidRPr="00C66550">
        <w:t xml:space="preserve"> (a) management (b) waste stream and management</w:t>
      </w:r>
      <w:r w:rsidR="000D7C2B">
        <w:t xml:space="preserve"> (c)</w:t>
      </w:r>
      <w:r w:rsidR="003A7FCE" w:rsidRPr="00C66550">
        <w:t xml:space="preserve"> material category and management</w:t>
      </w:r>
      <w:bookmarkEnd w:id="135"/>
    </w:p>
    <w:p w:rsidR="00627520" w:rsidRPr="00C66550" w:rsidRDefault="00F32065" w:rsidP="003C0F31">
      <w:pPr>
        <w:pStyle w:val="Monkey"/>
      </w:pPr>
      <w:r w:rsidRPr="00C66550">
        <w:rPr>
          <w:noProof/>
          <w:lang w:eastAsia="en-AU"/>
        </w:rPr>
        <w:lastRenderedPageBreak/>
        <w:drawing>
          <wp:anchor distT="0" distB="0" distL="114300" distR="114300" simplePos="0" relativeHeight="251836416" behindDoc="0" locked="0" layoutInCell="1" allowOverlap="1">
            <wp:simplePos x="0" y="0"/>
            <wp:positionH relativeFrom="column">
              <wp:posOffset>520065</wp:posOffset>
            </wp:positionH>
            <wp:positionV relativeFrom="paragraph">
              <wp:posOffset>76835</wp:posOffset>
            </wp:positionV>
            <wp:extent cx="4146550" cy="2735580"/>
            <wp:effectExtent l="0" t="0" r="635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6550" cy="2735580"/>
                    </a:xfrm>
                    <a:prstGeom prst="rect">
                      <a:avLst/>
                    </a:prstGeom>
                  </pic:spPr>
                </pic:pic>
              </a:graphicData>
            </a:graphic>
          </wp:anchor>
        </w:drawing>
      </w:r>
      <w:r w:rsidRPr="00C66550">
        <w:t xml:space="preserve"> </w:t>
      </w:r>
      <w:r w:rsidR="000C3D8D" w:rsidRPr="00C66550">
        <w:t>(a)</w:t>
      </w:r>
      <w:r w:rsidR="00B80AEF" w:rsidRPr="00C66550">
        <w:rPr>
          <w:noProof/>
          <w:lang w:eastAsia="en-AU"/>
        </w:rPr>
        <w:t xml:space="preserve"> </w:t>
      </w:r>
    </w:p>
    <w:p w:rsidR="00154794" w:rsidRPr="00C66550" w:rsidRDefault="00154794"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C3D8D" w:rsidP="003C0F31">
      <w:pPr>
        <w:pStyle w:val="Monkey"/>
      </w:pPr>
      <w:r w:rsidRPr="00C66550">
        <w:t>(b)</w:t>
      </w:r>
    </w:p>
    <w:p w:rsidR="00087093" w:rsidRPr="00C66550" w:rsidRDefault="00F32065" w:rsidP="00E93926">
      <w:pPr>
        <w:pStyle w:val="BodyText"/>
      </w:pPr>
      <w:r w:rsidRPr="00C66550">
        <w:rPr>
          <w:noProof/>
          <w:lang w:eastAsia="en-AU"/>
        </w:rPr>
        <w:drawing>
          <wp:anchor distT="0" distB="0" distL="114300" distR="114300" simplePos="0" relativeHeight="251837440" behindDoc="0" locked="0" layoutInCell="1" allowOverlap="1">
            <wp:simplePos x="0" y="0"/>
            <wp:positionH relativeFrom="column">
              <wp:posOffset>522605</wp:posOffset>
            </wp:positionH>
            <wp:positionV relativeFrom="paragraph">
              <wp:posOffset>1270</wp:posOffset>
            </wp:positionV>
            <wp:extent cx="4028440" cy="2704465"/>
            <wp:effectExtent l="0" t="0" r="0"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8440" cy="2704465"/>
                    </a:xfrm>
                    <a:prstGeom prst="rect">
                      <a:avLst/>
                    </a:prstGeom>
                  </pic:spPr>
                </pic:pic>
              </a:graphicData>
            </a:graphic>
          </wp:anchor>
        </w:drawing>
      </w: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87093" w:rsidRPr="00C66550" w:rsidRDefault="00087093" w:rsidP="00E93926">
      <w:pPr>
        <w:pStyle w:val="BodyText"/>
      </w:pPr>
    </w:p>
    <w:p w:rsidR="000C3D8D" w:rsidRPr="00C66550" w:rsidRDefault="000C3D8D" w:rsidP="00E93926">
      <w:pPr>
        <w:pStyle w:val="BodyText"/>
      </w:pPr>
    </w:p>
    <w:p w:rsidR="00087093" w:rsidRPr="00C66550" w:rsidRDefault="00087093" w:rsidP="00E93926">
      <w:pPr>
        <w:pStyle w:val="BodyText"/>
      </w:pPr>
    </w:p>
    <w:p w:rsidR="00B80AEF" w:rsidRPr="00C66550" w:rsidRDefault="00B80AEF" w:rsidP="00E93926">
      <w:pPr>
        <w:pStyle w:val="BodyText"/>
      </w:pPr>
    </w:p>
    <w:p w:rsidR="00B80AEF" w:rsidRPr="00C66550" w:rsidRDefault="00B80AEF" w:rsidP="00E93926">
      <w:pPr>
        <w:pStyle w:val="BodyText"/>
      </w:pPr>
    </w:p>
    <w:p w:rsidR="00B80AEF" w:rsidRPr="00C66550" w:rsidRDefault="00B80AEF" w:rsidP="00E93926">
      <w:pPr>
        <w:pStyle w:val="BodyText"/>
      </w:pPr>
    </w:p>
    <w:p w:rsidR="00B80AEF" w:rsidRPr="00C66550" w:rsidRDefault="00B80AEF" w:rsidP="00E93926">
      <w:pPr>
        <w:pStyle w:val="BodyText"/>
      </w:pPr>
    </w:p>
    <w:p w:rsidR="00B80AEF" w:rsidRPr="00C66550" w:rsidRDefault="00B80AEF" w:rsidP="00E93926">
      <w:pPr>
        <w:pStyle w:val="BodyText"/>
      </w:pPr>
    </w:p>
    <w:p w:rsidR="00B80AEF" w:rsidRPr="00C66550" w:rsidRDefault="00B80AEF" w:rsidP="00E93926">
      <w:pPr>
        <w:pStyle w:val="BodyText"/>
      </w:pPr>
    </w:p>
    <w:p w:rsidR="00B80AEF" w:rsidRPr="00C66550" w:rsidRDefault="00B80AEF" w:rsidP="00E93926">
      <w:pPr>
        <w:pStyle w:val="BodyText"/>
      </w:pPr>
    </w:p>
    <w:p w:rsidR="00087093" w:rsidRPr="00C66550" w:rsidRDefault="00F32065" w:rsidP="00F32065">
      <w:pPr>
        <w:pStyle w:val="Monkey"/>
        <w:spacing w:before="0" w:after="0"/>
      </w:pPr>
      <w:r w:rsidRPr="00C66550">
        <w:t xml:space="preserve"> </w:t>
      </w:r>
      <w:r w:rsidR="000C3D8D" w:rsidRPr="00C66550">
        <w:t>(c)</w:t>
      </w:r>
    </w:p>
    <w:p w:rsidR="00B80AEF" w:rsidRPr="00C66550" w:rsidRDefault="00F32065" w:rsidP="003C0F31">
      <w:pPr>
        <w:pStyle w:val="Monkey"/>
      </w:pPr>
      <w:r w:rsidRPr="00C66550">
        <w:rPr>
          <w:noProof/>
          <w:lang w:eastAsia="en-AU"/>
        </w:rPr>
        <w:drawing>
          <wp:anchor distT="0" distB="0" distL="114300" distR="114300" simplePos="0" relativeHeight="251838464" behindDoc="0" locked="0" layoutInCell="1" allowOverlap="1">
            <wp:simplePos x="0" y="0"/>
            <wp:positionH relativeFrom="column">
              <wp:posOffset>-224155</wp:posOffset>
            </wp:positionH>
            <wp:positionV relativeFrom="paragraph">
              <wp:posOffset>53340</wp:posOffset>
            </wp:positionV>
            <wp:extent cx="5773420" cy="231203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3420" cy="2312035"/>
                    </a:xfrm>
                    <a:prstGeom prst="rect">
                      <a:avLst/>
                    </a:prstGeom>
                  </pic:spPr>
                </pic:pic>
              </a:graphicData>
            </a:graphic>
          </wp:anchor>
        </w:drawing>
      </w:r>
    </w:p>
    <w:p w:rsidR="00A0017D" w:rsidRPr="00C66550" w:rsidRDefault="00A0017D" w:rsidP="006D25F9">
      <w:pPr>
        <w:pStyle w:val="Heading3"/>
        <w:numPr>
          <w:ilvl w:val="0"/>
          <w:numId w:val="0"/>
        </w:numPr>
        <w:ind w:left="709"/>
        <w:rPr>
          <w:color w:val="080808"/>
          <w:sz w:val="22"/>
        </w:rPr>
      </w:pPr>
      <w:r w:rsidRPr="00C66550">
        <w:br w:type="page"/>
      </w:r>
    </w:p>
    <w:p w:rsidR="00154794" w:rsidRPr="00C66550" w:rsidRDefault="00DF4FB7" w:rsidP="006D25F9">
      <w:pPr>
        <w:pStyle w:val="Heading2"/>
      </w:pPr>
      <w:bookmarkStart w:id="136" w:name="_Toc379466372"/>
      <w:r>
        <w:lastRenderedPageBreak/>
        <w:t>Qld</w:t>
      </w:r>
      <w:r w:rsidR="00154794" w:rsidRPr="00C66550">
        <w:t xml:space="preserve"> trends 20</w:t>
      </w:r>
      <w:r w:rsidR="00741B22" w:rsidRPr="00C66550">
        <w:t>08</w:t>
      </w:r>
      <w:r w:rsidR="002E2ED8" w:rsidRPr="00C66550">
        <w:t>/09</w:t>
      </w:r>
      <w:r w:rsidR="00154794" w:rsidRPr="00C66550">
        <w:t xml:space="preserve"> </w:t>
      </w:r>
      <w:r w:rsidR="002E2ED8" w:rsidRPr="00C66550">
        <w:t>to</w:t>
      </w:r>
      <w:r w:rsidR="00154794" w:rsidRPr="00C66550">
        <w:t xml:space="preserve"> 20</w:t>
      </w:r>
      <w:r w:rsidR="002E2ED8" w:rsidRPr="00C66550">
        <w:t>11/</w:t>
      </w:r>
      <w:r w:rsidR="00154794" w:rsidRPr="00C66550">
        <w:t>1</w:t>
      </w:r>
      <w:r w:rsidR="00741B22" w:rsidRPr="00C66550">
        <w:t>2</w:t>
      </w:r>
      <w:bookmarkEnd w:id="136"/>
      <w:r w:rsidR="00154794" w:rsidRPr="00C66550">
        <w:t xml:space="preserve"> </w:t>
      </w:r>
    </w:p>
    <w:p w:rsidR="00D616D6" w:rsidRPr="00C66550" w:rsidRDefault="00D616D6" w:rsidP="00E533BB">
      <w:pPr>
        <w:pStyle w:val="BodyText"/>
      </w:pPr>
      <w:r w:rsidRPr="00C66550">
        <w:t>Over the</w:t>
      </w:r>
      <w:r w:rsidR="00A85C46" w:rsidRPr="00C66550">
        <w:t xml:space="preserve"> </w:t>
      </w:r>
      <w:r w:rsidR="000E6054">
        <w:t>three</w:t>
      </w:r>
      <w:r w:rsidR="00C76F0B" w:rsidRPr="00C66550">
        <w:t>-</w:t>
      </w:r>
      <w:r w:rsidRPr="00C66550">
        <w:t>year period</w:t>
      </w:r>
      <w:r w:rsidR="00A85C46" w:rsidRPr="00C66550">
        <w:t>,</w:t>
      </w:r>
      <w:r w:rsidRPr="00C66550">
        <w:t xml:space="preserve"> </w:t>
      </w:r>
      <w:r w:rsidR="00DF4FB7">
        <w:t>Qld’s</w:t>
      </w:r>
      <w:r w:rsidRPr="00C66550">
        <w:t xml:space="preserve"> population increased by </w:t>
      </w:r>
      <w:r w:rsidR="000E6054">
        <w:t>4.5</w:t>
      </w:r>
      <w:r w:rsidRPr="00C66550">
        <w:t xml:space="preserve">% and GSP increased by </w:t>
      </w:r>
      <w:r w:rsidR="00C05AA6">
        <w:t>6.5</w:t>
      </w:r>
      <w:r w:rsidRPr="00C66550">
        <w:t xml:space="preserve">%. </w:t>
      </w:r>
      <w:r w:rsidR="00E04906" w:rsidRPr="00C66550">
        <w:t xml:space="preserve">The </w:t>
      </w:r>
      <w:r w:rsidR="00DF4FB7">
        <w:t>Qld</w:t>
      </w:r>
      <w:r w:rsidR="0089447E" w:rsidRPr="00C66550">
        <w:t xml:space="preserve"> data suggest a</w:t>
      </w:r>
      <w:r w:rsidR="007D247F" w:rsidRPr="00C66550">
        <w:t xml:space="preserve"> reduction in waste generated of about</w:t>
      </w:r>
      <w:r w:rsidR="0089447E" w:rsidRPr="00C66550">
        <w:t xml:space="preserve"> </w:t>
      </w:r>
      <w:r w:rsidR="00E04906" w:rsidRPr="00C66550">
        <w:t xml:space="preserve">10% over </w:t>
      </w:r>
      <w:r w:rsidR="000E6054">
        <w:t>this period</w:t>
      </w:r>
      <w:r w:rsidR="00E04906" w:rsidRPr="00C66550">
        <w:t xml:space="preserve">. </w:t>
      </w:r>
      <w:r w:rsidRPr="00C66550">
        <w:t xml:space="preserve">An increasing population and GSP and decreasing total waste generation is inconsistent with trends identified in </w:t>
      </w:r>
      <w:r w:rsidR="00A85C46" w:rsidRPr="00C66550">
        <w:t>the</w:t>
      </w:r>
      <w:r w:rsidRPr="00C66550">
        <w:t xml:space="preserve"> other jurisdictions and internationally. </w:t>
      </w:r>
      <w:r w:rsidR="003E05B7" w:rsidRPr="00C66550">
        <w:t xml:space="preserve">The </w:t>
      </w:r>
      <w:r w:rsidR="00DF4FB7">
        <w:t>Qld</w:t>
      </w:r>
      <w:r w:rsidR="00E04906" w:rsidRPr="00C66550">
        <w:t xml:space="preserve"> </w:t>
      </w:r>
      <w:r w:rsidR="003E05B7" w:rsidRPr="00C66550">
        <w:t>data (</w:t>
      </w:r>
      <w:r w:rsidR="00EE0A85" w:rsidRPr="00C66550">
        <w:t xml:space="preserve">see </w:t>
      </w:r>
      <w:r w:rsidR="00381955" w:rsidRPr="00C66550">
        <w:t>accompanying Excel workbook</w:t>
      </w:r>
      <w:r w:rsidR="003E05B7" w:rsidRPr="00C66550">
        <w:t xml:space="preserve">) </w:t>
      </w:r>
      <w:r w:rsidR="007D247F" w:rsidRPr="00C66550">
        <w:t xml:space="preserve">indicate </w:t>
      </w:r>
      <w:r w:rsidRPr="00C66550">
        <w:t>that the decrease in waste is due mainly to</w:t>
      </w:r>
      <w:r w:rsidR="003E05B7" w:rsidRPr="00C66550">
        <w:t xml:space="preserve"> decreasing disposal of</w:t>
      </w:r>
      <w:r w:rsidRPr="00C66550">
        <w:t xml:space="preserve"> MSW, C&amp;D and contaminated soils</w:t>
      </w:r>
      <w:r w:rsidR="00E04906" w:rsidRPr="00C66550">
        <w:t xml:space="preserve">. Large fluctuations in contaminated soils tonnages are not unusual. </w:t>
      </w:r>
      <w:r w:rsidR="003727DC" w:rsidRPr="00C66550">
        <w:t xml:space="preserve">Other decreases in waste generation for </w:t>
      </w:r>
      <w:r w:rsidR="00DF4FB7">
        <w:t>Qld</w:t>
      </w:r>
      <w:r w:rsidR="003727DC" w:rsidRPr="00C66550">
        <w:t xml:space="preserve"> over the four-year period suggest that report</w:t>
      </w:r>
      <w:r w:rsidR="001F0CC1" w:rsidRPr="00C66550">
        <w:t>ing</w:t>
      </w:r>
      <w:r w:rsidR="003727DC" w:rsidRPr="00C66550">
        <w:t xml:space="preserve"> to</w:t>
      </w:r>
      <w:r w:rsidR="007D247F" w:rsidRPr="00C66550">
        <w:t xml:space="preserve"> the </w:t>
      </w:r>
      <w:r w:rsidR="00DF4FB7">
        <w:t>Qld</w:t>
      </w:r>
      <w:r w:rsidR="007D247F" w:rsidRPr="00C66550">
        <w:t xml:space="preserve"> G</w:t>
      </w:r>
      <w:r w:rsidR="003727DC" w:rsidRPr="00C66550">
        <w:t>overnment, and</w:t>
      </w:r>
      <w:r w:rsidR="007D247F" w:rsidRPr="00C66550">
        <w:t>/</w:t>
      </w:r>
      <w:r w:rsidR="003727DC" w:rsidRPr="00C66550">
        <w:t>or collation methods may have varied over the period.</w:t>
      </w:r>
      <w:r w:rsidR="00EB794C" w:rsidRPr="00C66550">
        <w:t xml:space="preserve"> The </w:t>
      </w:r>
      <w:r w:rsidR="00DF4FB7">
        <w:t>Qld</w:t>
      </w:r>
      <w:r w:rsidR="00EB794C" w:rsidRPr="00C66550">
        <w:t xml:space="preserve"> </w:t>
      </w:r>
      <w:r w:rsidR="007D247F" w:rsidRPr="00C66550">
        <w:t xml:space="preserve">Government </w:t>
      </w:r>
      <w:r w:rsidR="00EB794C" w:rsidRPr="00C66550">
        <w:t xml:space="preserve">noted the following </w:t>
      </w:r>
      <w:r w:rsidR="006E2D5F" w:rsidRPr="00C66550">
        <w:t>in relation to</w:t>
      </w:r>
      <w:r w:rsidR="00EB794C" w:rsidRPr="00C66550">
        <w:t xml:space="preserve"> the unusual trends in the data:</w:t>
      </w:r>
    </w:p>
    <w:p w:rsidR="00EB794C" w:rsidRPr="00C66550" w:rsidRDefault="00EB794C" w:rsidP="00EB794C">
      <w:pPr>
        <w:pStyle w:val="Bullet1"/>
      </w:pPr>
      <w:r w:rsidRPr="00C66550">
        <w:t>MSW was increasing till 08</w:t>
      </w:r>
      <w:r w:rsidR="007D247F" w:rsidRPr="00C66550">
        <w:t>/</w:t>
      </w:r>
      <w:r w:rsidRPr="00C66550">
        <w:t>09 and has trend</w:t>
      </w:r>
      <w:r w:rsidR="007D247F" w:rsidRPr="00C66550">
        <w:t>ed</w:t>
      </w:r>
      <w:r w:rsidRPr="00C66550">
        <w:t xml:space="preserve"> down</w:t>
      </w:r>
      <w:r w:rsidR="007D247F" w:rsidRPr="00C66550">
        <w:t>wards</w:t>
      </w:r>
      <w:r w:rsidRPr="00C66550">
        <w:t xml:space="preserve"> since. </w:t>
      </w:r>
    </w:p>
    <w:p w:rsidR="00EB794C" w:rsidRPr="00C66550" w:rsidRDefault="00EB794C" w:rsidP="00EB794C">
      <w:pPr>
        <w:pStyle w:val="Bullet1"/>
      </w:pPr>
      <w:r w:rsidRPr="00C66550">
        <w:t>Council</w:t>
      </w:r>
      <w:r w:rsidR="007D247F" w:rsidRPr="00C66550">
        <w:t>s</w:t>
      </w:r>
      <w:r w:rsidRPr="00C66550">
        <w:t xml:space="preserve"> may be recording landfill waste more accurately in recent years. </w:t>
      </w:r>
      <w:r w:rsidR="007D247F" w:rsidRPr="00C66550">
        <w:t>Earlier</w:t>
      </w:r>
      <w:r w:rsidRPr="00C66550">
        <w:t xml:space="preserve"> estimates may have</w:t>
      </w:r>
      <w:r w:rsidR="007D247F" w:rsidRPr="00C66550">
        <w:t xml:space="preserve"> sometimes</w:t>
      </w:r>
      <w:r w:rsidRPr="00C66550">
        <w:t xml:space="preserve"> included </w:t>
      </w:r>
      <w:r w:rsidR="00744209" w:rsidRPr="00C66550">
        <w:t>garden organic</w:t>
      </w:r>
      <w:r w:rsidRPr="00C66550">
        <w:t xml:space="preserve"> waste</w:t>
      </w:r>
      <w:r w:rsidR="00744209" w:rsidRPr="00C66550">
        <w:t>s</w:t>
      </w:r>
      <w:r w:rsidRPr="00C66550">
        <w:t xml:space="preserve"> for recycling. </w:t>
      </w:r>
    </w:p>
    <w:p w:rsidR="00EB794C" w:rsidRPr="00C66550" w:rsidRDefault="00EB794C" w:rsidP="00EB794C">
      <w:pPr>
        <w:pStyle w:val="Bullet1"/>
      </w:pPr>
      <w:r w:rsidRPr="00C66550">
        <w:t xml:space="preserve">The </w:t>
      </w:r>
      <w:r w:rsidR="00DF4FB7">
        <w:t>Qld</w:t>
      </w:r>
      <w:r w:rsidRPr="00C66550">
        <w:t xml:space="preserve"> </w:t>
      </w:r>
      <w:r w:rsidRPr="00C66550">
        <w:rPr>
          <w:i/>
        </w:rPr>
        <w:t xml:space="preserve">Waste Recycling and Reduction Act 2011 </w:t>
      </w:r>
      <w:r w:rsidRPr="00C66550">
        <w:t>now requires reporting by local governments, landfills, recyclers a</w:t>
      </w:r>
      <w:r w:rsidR="007D247F" w:rsidRPr="00C66550">
        <w:t>nd potentially waste generators, so future data should be of high quality</w:t>
      </w:r>
      <w:r w:rsidRPr="00C66550">
        <w:t xml:space="preserve">. </w:t>
      </w:r>
    </w:p>
    <w:p w:rsidR="00EB794C" w:rsidRPr="00C66550" w:rsidRDefault="00EB794C" w:rsidP="00EB794C">
      <w:pPr>
        <w:pStyle w:val="Bullet1"/>
      </w:pPr>
      <w:r w:rsidRPr="00C66550">
        <w:t xml:space="preserve">In </w:t>
      </w:r>
      <w:r w:rsidR="007D247F" w:rsidRPr="00C66550">
        <w:t>20</w:t>
      </w:r>
      <w:r w:rsidRPr="00C66550">
        <w:t>11/12</w:t>
      </w:r>
      <w:r w:rsidR="007D247F" w:rsidRPr="00C66550">
        <w:t xml:space="preserve"> the annual survey of organic waste processing was conducted by the government instead of the usual private organisation. This is likely to have resulted in a higher rate of reporting.</w:t>
      </w:r>
    </w:p>
    <w:p w:rsidR="00EB794C" w:rsidRPr="00C66550" w:rsidRDefault="00744209" w:rsidP="00EB794C">
      <w:pPr>
        <w:pStyle w:val="Bullet1"/>
      </w:pPr>
      <w:r w:rsidRPr="00C66550">
        <w:t>Garden</w:t>
      </w:r>
      <w:r w:rsidR="00EB794C" w:rsidRPr="00C66550">
        <w:t xml:space="preserve"> waste</w:t>
      </w:r>
      <w:r w:rsidR="007D247F" w:rsidRPr="00C66550">
        <w:t xml:space="preserve"> quantities are</w:t>
      </w:r>
      <w:r w:rsidR="002A5897" w:rsidRPr="00C66550">
        <w:t xml:space="preserve"> weather dependent and</w:t>
      </w:r>
      <w:r w:rsidR="00EB794C" w:rsidRPr="00C66550">
        <w:t xml:space="preserve"> volatil</w:t>
      </w:r>
      <w:r w:rsidR="007D247F" w:rsidRPr="00C66550">
        <w:t>e</w:t>
      </w:r>
      <w:r w:rsidR="00EB794C" w:rsidRPr="00C66550">
        <w:t xml:space="preserve">. Cyclones can cause big peaks. </w:t>
      </w:r>
    </w:p>
    <w:p w:rsidR="00EB794C" w:rsidRPr="00C66550" w:rsidRDefault="00EB794C" w:rsidP="00EB794C">
      <w:pPr>
        <w:pStyle w:val="Bullet1"/>
      </w:pPr>
      <w:r w:rsidRPr="00C66550">
        <w:t>Metal recycling rates have been trending downwards and could be linked to the Australian dollar. Glass recovery has also been slow and trending downwards.</w:t>
      </w:r>
    </w:p>
    <w:p w:rsidR="002A5897" w:rsidRPr="00C66550" w:rsidRDefault="002A5897">
      <w:pPr>
        <w:spacing w:line="240" w:lineRule="auto"/>
      </w:pPr>
    </w:p>
    <w:p w:rsidR="00A45EAB" w:rsidRPr="00C66550" w:rsidRDefault="0062001A" w:rsidP="00E533BB">
      <w:pPr>
        <w:pStyle w:val="BodyText"/>
      </w:pPr>
      <w:fldSimple w:instr=" REF _Ref349758245 \h  \* MERGEFORMAT ">
        <w:r w:rsidR="00D96003" w:rsidRPr="00C66550">
          <w:t xml:space="preserve">Figure </w:t>
        </w:r>
        <w:r w:rsidR="00D96003">
          <w:rPr>
            <w:noProof/>
          </w:rPr>
          <w:t>27</w:t>
        </w:r>
      </w:fldSimple>
      <w:r w:rsidR="00FF12A8" w:rsidRPr="00C66550">
        <w:t xml:space="preserve"> </w:t>
      </w:r>
      <w:r w:rsidR="00A45EAB" w:rsidRPr="00C66550">
        <w:t xml:space="preserve">shows the </w:t>
      </w:r>
      <w:r w:rsidR="00A45EAB" w:rsidRPr="00C66550">
        <w:rPr>
          <w:b/>
        </w:rPr>
        <w:t>per capita</w:t>
      </w:r>
      <w:r w:rsidR="002A5897" w:rsidRPr="00C66550">
        <w:t xml:space="preserve"> trends in</w:t>
      </w:r>
      <w:r w:rsidR="00A45EAB" w:rsidRPr="00C66550">
        <w:t xml:space="preserve"> </w:t>
      </w:r>
      <w:r w:rsidR="00C26CB3" w:rsidRPr="00C66550">
        <w:t>w</w:t>
      </w:r>
      <w:r w:rsidR="00A45EAB" w:rsidRPr="00C66550">
        <w:t>aste generation</w:t>
      </w:r>
      <w:r w:rsidR="006D25F9" w:rsidRPr="00C66550">
        <w:t xml:space="preserve"> and management</w:t>
      </w:r>
      <w:r w:rsidR="00A45EAB" w:rsidRPr="00C66550">
        <w:t xml:space="preserve"> for the</w:t>
      </w:r>
      <w:r w:rsidR="00A85C46" w:rsidRPr="00C66550">
        <w:t xml:space="preserve"> period</w:t>
      </w:r>
      <w:r w:rsidR="00A45EAB" w:rsidRPr="00C66550">
        <w:t xml:space="preserve"> 200</w:t>
      </w:r>
      <w:r w:rsidR="00741B22" w:rsidRPr="00C66550">
        <w:t>8</w:t>
      </w:r>
      <w:r w:rsidR="00A45EAB" w:rsidRPr="00C66550">
        <w:t>/0</w:t>
      </w:r>
      <w:r w:rsidR="00741B22" w:rsidRPr="00C66550">
        <w:t>9</w:t>
      </w:r>
      <w:r w:rsidR="00A85C46" w:rsidRPr="00C66550">
        <w:t xml:space="preserve"> to 2</w:t>
      </w:r>
      <w:r w:rsidR="00A45EAB" w:rsidRPr="00C66550">
        <w:t>01</w:t>
      </w:r>
      <w:r w:rsidR="00741B22" w:rsidRPr="00C66550">
        <w:t>1</w:t>
      </w:r>
      <w:r w:rsidR="00A45EAB" w:rsidRPr="00C66550">
        <w:t>/1</w:t>
      </w:r>
      <w:r w:rsidR="00741B22" w:rsidRPr="00C66550">
        <w:t>2</w:t>
      </w:r>
      <w:r w:rsidR="00A45EAB" w:rsidRPr="00C66550">
        <w:t>.</w:t>
      </w:r>
      <w:r w:rsidR="00FF12A8" w:rsidRPr="00C66550">
        <w:t xml:space="preserve"> </w:t>
      </w:r>
      <w:r w:rsidR="003E05B7" w:rsidRPr="00C66550">
        <w:t>T</w:t>
      </w:r>
      <w:r w:rsidR="00741B22" w:rsidRPr="00C66550">
        <w:t>here w</w:t>
      </w:r>
      <w:r w:rsidR="003E05B7" w:rsidRPr="00C66550">
        <w:t>ere</w:t>
      </w:r>
      <w:r w:rsidR="00741B22" w:rsidRPr="00C66550">
        <w:t xml:space="preserve"> insufficient data to report on the </w:t>
      </w:r>
      <w:r w:rsidR="003E05B7" w:rsidRPr="00C66550">
        <w:t>20</w:t>
      </w:r>
      <w:r w:rsidR="00741B22" w:rsidRPr="00C66550">
        <w:t>06/07 period</w:t>
      </w:r>
      <w:r w:rsidR="002A5897" w:rsidRPr="00C66550">
        <w:rPr>
          <w:rStyle w:val="FootnoteReference"/>
        </w:rPr>
        <w:footnoteReference w:id="10"/>
      </w:r>
      <w:r w:rsidR="00741B22" w:rsidRPr="00C66550">
        <w:t xml:space="preserve">. </w:t>
      </w:r>
      <w:r w:rsidR="00DF4FB7">
        <w:t>Qld</w:t>
      </w:r>
      <w:r w:rsidR="00741B22" w:rsidRPr="00C66550">
        <w:t xml:space="preserve"> </w:t>
      </w:r>
      <w:r w:rsidR="003E05B7" w:rsidRPr="00C66550">
        <w:t xml:space="preserve">was </w:t>
      </w:r>
      <w:r w:rsidR="00741B22" w:rsidRPr="00C66550">
        <w:t xml:space="preserve">the only jurisdiction to provide </w:t>
      </w:r>
      <w:r w:rsidR="005C7645" w:rsidRPr="00C66550">
        <w:t>20</w:t>
      </w:r>
      <w:r w:rsidR="00741B22" w:rsidRPr="00C66550">
        <w:t>11/12 data for reporting.</w:t>
      </w:r>
    </w:p>
    <w:p w:rsidR="00E533BB" w:rsidRPr="00C66550" w:rsidRDefault="00E533BB" w:rsidP="002A5897">
      <w:pPr>
        <w:pStyle w:val="BodyText"/>
        <w:jc w:val="center"/>
      </w:pPr>
    </w:p>
    <w:p w:rsidR="00C26CB3" w:rsidRPr="00C66550" w:rsidRDefault="003A7FCE" w:rsidP="00FB4820">
      <w:pPr>
        <w:pStyle w:val="Figures"/>
      </w:pPr>
      <w:bookmarkStart w:id="137" w:name="_Ref349758245"/>
      <w:bookmarkStart w:id="138" w:name="_Toc365385036"/>
      <w:r w:rsidRPr="00C66550">
        <w:rPr>
          <w:noProof/>
          <w:lang w:eastAsia="en-AU"/>
        </w:rPr>
        <w:drawing>
          <wp:anchor distT="0" distB="0" distL="114300" distR="114300" simplePos="0" relativeHeight="251839488" behindDoc="0" locked="0" layoutInCell="1" allowOverlap="1">
            <wp:simplePos x="0" y="0"/>
            <wp:positionH relativeFrom="column">
              <wp:posOffset>108585</wp:posOffset>
            </wp:positionH>
            <wp:positionV relativeFrom="paragraph">
              <wp:posOffset>180340</wp:posOffset>
            </wp:positionV>
            <wp:extent cx="4105910" cy="2944495"/>
            <wp:effectExtent l="0" t="0" r="8890" b="82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5910" cy="2944495"/>
                    </a:xfrm>
                    <a:prstGeom prst="rect">
                      <a:avLst/>
                    </a:prstGeom>
                  </pic:spPr>
                </pic:pic>
              </a:graphicData>
            </a:graphic>
          </wp:anchor>
        </w:drawing>
      </w:r>
      <w:r w:rsidR="00C26CB3" w:rsidRPr="00C66550">
        <w:t xml:space="preserve">Figure </w:t>
      </w:r>
      <w:r w:rsidR="0062001A" w:rsidRPr="00C66550">
        <w:fldChar w:fldCharType="begin"/>
      </w:r>
      <w:r w:rsidR="00C26CB3" w:rsidRPr="00C66550">
        <w:instrText xml:space="preserve"> SEQ Figure \* ARABIC </w:instrText>
      </w:r>
      <w:r w:rsidR="0062001A" w:rsidRPr="00C66550">
        <w:fldChar w:fldCharType="separate"/>
      </w:r>
      <w:r w:rsidR="00D96003">
        <w:rPr>
          <w:noProof/>
        </w:rPr>
        <w:t>27</w:t>
      </w:r>
      <w:r w:rsidR="0062001A" w:rsidRPr="00C66550">
        <w:rPr>
          <w:noProof/>
        </w:rPr>
        <w:fldChar w:fldCharType="end"/>
      </w:r>
      <w:bookmarkEnd w:id="137"/>
      <w:r w:rsidR="00C26CB3" w:rsidRPr="00C66550">
        <w:t>:</w:t>
      </w:r>
      <w:r w:rsidR="00C26CB3" w:rsidRPr="00C66550">
        <w:tab/>
      </w:r>
      <w:r w:rsidR="002E2ED8" w:rsidRPr="00C66550">
        <w:t xml:space="preserve">Trends </w:t>
      </w:r>
      <w:r w:rsidR="00C26CB3" w:rsidRPr="00C66550">
        <w:t>in per capita waste generation and management</w:t>
      </w:r>
      <w:r w:rsidR="002E2ED8" w:rsidRPr="00C66550">
        <w:t xml:space="preserve">, </w:t>
      </w:r>
      <w:r w:rsidR="004F6D90">
        <w:t>Qld</w:t>
      </w:r>
      <w:r w:rsidR="002E2ED8" w:rsidRPr="00C66550">
        <w:t xml:space="preserve"> 2008/09 to</w:t>
      </w:r>
      <w:r w:rsidR="00FC2D1C">
        <w:t xml:space="preserve"> </w:t>
      </w:r>
      <w:r w:rsidR="002E2ED8" w:rsidRPr="00C66550">
        <w:t>2011/12</w:t>
      </w:r>
      <w:bookmarkEnd w:id="138"/>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3A7FCE" w:rsidRDefault="003A7FCE" w:rsidP="00A45EAB">
      <w:pPr>
        <w:spacing w:line="240" w:lineRule="auto"/>
        <w:rPr>
          <w:color w:val="080808"/>
          <w:sz w:val="22"/>
        </w:rPr>
      </w:pPr>
    </w:p>
    <w:p w:rsidR="00A45EAB" w:rsidRPr="00C66550" w:rsidRDefault="00A45EAB" w:rsidP="00A45EAB">
      <w:pPr>
        <w:spacing w:line="240" w:lineRule="auto"/>
        <w:rPr>
          <w:color w:val="080808"/>
          <w:sz w:val="22"/>
        </w:rPr>
      </w:pPr>
      <w:r w:rsidRPr="00C66550">
        <w:rPr>
          <w:color w:val="080808"/>
          <w:sz w:val="22"/>
        </w:rPr>
        <w:t>Over the</w:t>
      </w:r>
      <w:r w:rsidR="005C7645" w:rsidRPr="00C66550">
        <w:rPr>
          <w:color w:val="080808"/>
          <w:sz w:val="22"/>
        </w:rPr>
        <w:t xml:space="preserve"> four</w:t>
      </w:r>
      <w:r w:rsidR="003A4151" w:rsidRPr="00C66550">
        <w:rPr>
          <w:color w:val="080808"/>
          <w:sz w:val="22"/>
        </w:rPr>
        <w:t>-</w:t>
      </w:r>
      <w:r w:rsidRPr="00C66550">
        <w:rPr>
          <w:color w:val="080808"/>
          <w:sz w:val="22"/>
        </w:rPr>
        <w:t>year period</w:t>
      </w:r>
      <w:r w:rsidR="005C7645" w:rsidRPr="00C66550">
        <w:rPr>
          <w:color w:val="080808"/>
          <w:sz w:val="22"/>
        </w:rPr>
        <w:t xml:space="preserve"> from </w:t>
      </w:r>
      <w:r w:rsidR="003D0ED6" w:rsidRPr="00C66550">
        <w:rPr>
          <w:sz w:val="22"/>
        </w:rPr>
        <w:t>2008/09 to 2011/12</w:t>
      </w:r>
      <w:r w:rsidR="005C7645" w:rsidRPr="00C66550">
        <w:t>,</w:t>
      </w:r>
      <w:r w:rsidRPr="00C66550">
        <w:rPr>
          <w:color w:val="080808"/>
          <w:sz w:val="22"/>
        </w:rPr>
        <w:t xml:space="preserve"> the following </w:t>
      </w:r>
      <w:r w:rsidR="003D0ED6" w:rsidRPr="00C66550">
        <w:rPr>
          <w:b/>
          <w:color w:val="080808"/>
          <w:sz w:val="22"/>
        </w:rPr>
        <w:t>per capita</w:t>
      </w:r>
      <w:r w:rsidRPr="00C66550">
        <w:rPr>
          <w:color w:val="080808"/>
          <w:sz w:val="22"/>
        </w:rPr>
        <w:t xml:space="preserve"> trends are illustrated:</w:t>
      </w:r>
    </w:p>
    <w:p w:rsidR="00741B22" w:rsidRPr="00C66550" w:rsidRDefault="00A45EAB" w:rsidP="00E533BB">
      <w:pPr>
        <w:pStyle w:val="Bullet1"/>
      </w:pPr>
      <w:r w:rsidRPr="00C66550">
        <w:lastRenderedPageBreak/>
        <w:t xml:space="preserve">waste generation </w:t>
      </w:r>
      <w:r w:rsidR="005C7645" w:rsidRPr="00C66550">
        <w:t>fell by</w:t>
      </w:r>
      <w:r w:rsidRPr="00C66550">
        <w:t xml:space="preserve"> </w:t>
      </w:r>
      <w:r w:rsidR="00741B22" w:rsidRPr="00C66550">
        <w:t xml:space="preserve">14% </w:t>
      </w:r>
    </w:p>
    <w:p w:rsidR="00D969EA" w:rsidRPr="00C66550" w:rsidRDefault="00D969EA" w:rsidP="00D969EA">
      <w:pPr>
        <w:pStyle w:val="Bullet1"/>
      </w:pPr>
      <w:r w:rsidRPr="00C66550">
        <w:t>the resource recovery rate decreased from 4</w:t>
      </w:r>
      <w:r w:rsidR="00945228" w:rsidRPr="00C66550">
        <w:t>7</w:t>
      </w:r>
      <w:r w:rsidRPr="00C66550">
        <w:t>% to 4</w:t>
      </w:r>
      <w:r w:rsidR="00945228" w:rsidRPr="00C66550">
        <w:t>5</w:t>
      </w:r>
      <w:r w:rsidRPr="00C66550">
        <w:t>% between 0</w:t>
      </w:r>
      <w:r w:rsidR="008150A1" w:rsidRPr="00C66550">
        <w:t>7</w:t>
      </w:r>
      <w:r w:rsidRPr="00C66550">
        <w:t>/0</w:t>
      </w:r>
      <w:r w:rsidR="008150A1" w:rsidRPr="00C66550">
        <w:t>8</w:t>
      </w:r>
      <w:r w:rsidRPr="00C66550">
        <w:t xml:space="preserve"> and </w:t>
      </w:r>
      <w:r w:rsidR="008150A1" w:rsidRPr="00C66550">
        <w:t>11</w:t>
      </w:r>
      <w:r w:rsidRPr="00C66550">
        <w:t>/1</w:t>
      </w:r>
      <w:r w:rsidR="008150A1" w:rsidRPr="00C66550">
        <w:t>2</w:t>
      </w:r>
    </w:p>
    <w:p w:rsidR="00A45EAB" w:rsidRPr="00C66550" w:rsidRDefault="00A45EAB" w:rsidP="00E533BB">
      <w:pPr>
        <w:pStyle w:val="Bullet1"/>
      </w:pPr>
      <w:r w:rsidRPr="00C66550">
        <w:t xml:space="preserve">recycling </w:t>
      </w:r>
      <w:r w:rsidR="00896BCE" w:rsidRPr="00C66550">
        <w:t xml:space="preserve">decreased by </w:t>
      </w:r>
      <w:r w:rsidRPr="00C66550">
        <w:t>2</w:t>
      </w:r>
      <w:r w:rsidR="00896BCE" w:rsidRPr="00C66550">
        <w:t>0</w:t>
      </w:r>
      <w:r w:rsidRPr="00C66550">
        <w:t>%</w:t>
      </w:r>
    </w:p>
    <w:p w:rsidR="00A45EAB" w:rsidRPr="00C66550" w:rsidRDefault="002A5897" w:rsidP="00E533BB">
      <w:pPr>
        <w:pStyle w:val="Bullet1"/>
      </w:pPr>
      <w:r w:rsidRPr="00C66550">
        <w:t xml:space="preserve">waste tonnages used for energy recovery </w:t>
      </w:r>
      <w:r w:rsidR="00945228" w:rsidRPr="00C66550">
        <w:t>remained virtually unchanged</w:t>
      </w:r>
      <w:r w:rsidR="00E5424C" w:rsidRPr="00C66550">
        <w:t xml:space="preserve"> </w:t>
      </w:r>
    </w:p>
    <w:p w:rsidR="00896BCE" w:rsidRPr="00C66550" w:rsidRDefault="00A45EAB" w:rsidP="00E533BB">
      <w:pPr>
        <w:pStyle w:val="Bullet1"/>
      </w:pPr>
      <w:r w:rsidRPr="00C66550">
        <w:t xml:space="preserve">waste disposal </w:t>
      </w:r>
      <w:r w:rsidR="00896BCE" w:rsidRPr="00C66550">
        <w:t>decreased</w:t>
      </w:r>
      <w:r w:rsidRPr="00C66550">
        <w:t xml:space="preserve"> by 1</w:t>
      </w:r>
      <w:r w:rsidR="00896BCE" w:rsidRPr="00C66550">
        <w:t>0</w:t>
      </w:r>
      <w:r w:rsidRPr="00C66550">
        <w:t>%.</w:t>
      </w:r>
    </w:p>
    <w:p w:rsidR="00C26CB3" w:rsidRPr="00C66550" w:rsidRDefault="00C26CB3" w:rsidP="00E533BB">
      <w:pPr>
        <w:pStyle w:val="BodyText"/>
      </w:pPr>
    </w:p>
    <w:p w:rsidR="00D70227" w:rsidRPr="00C66550" w:rsidRDefault="0062001A" w:rsidP="00D70227">
      <w:pPr>
        <w:pStyle w:val="BodyText"/>
      </w:pPr>
      <w:r w:rsidRPr="00C66550">
        <w:fldChar w:fldCharType="begin"/>
      </w:r>
      <w:r w:rsidR="00D70227" w:rsidRPr="00C66550">
        <w:instrText xml:space="preserve"> REF _Ref349159108 \h </w:instrText>
      </w:r>
      <w:r w:rsidRPr="00C66550">
        <w:fldChar w:fldCharType="separate"/>
      </w:r>
      <w:r w:rsidR="00D96003" w:rsidRPr="00C66550">
        <w:t xml:space="preserve">Figure </w:t>
      </w:r>
      <w:r w:rsidR="00D96003">
        <w:rPr>
          <w:noProof/>
        </w:rPr>
        <w:t>29</w:t>
      </w:r>
      <w:r w:rsidRPr="00C66550">
        <w:fldChar w:fldCharType="end"/>
      </w:r>
      <w:r w:rsidR="00D70227" w:rsidRPr="00C66550">
        <w:t xml:space="preserve"> shows the</w:t>
      </w:r>
      <w:r w:rsidR="002A5897" w:rsidRPr="00C66550">
        <w:t xml:space="preserve"> trends in</w:t>
      </w:r>
      <w:r w:rsidR="00D70227" w:rsidRPr="00C66550">
        <w:t xml:space="preserve"> </w:t>
      </w:r>
      <w:r w:rsidR="006D25F9" w:rsidRPr="00C66550">
        <w:t xml:space="preserve">total </w:t>
      </w:r>
      <w:r w:rsidR="0089707A" w:rsidRPr="00C66550">
        <w:t>waste generat</w:t>
      </w:r>
      <w:r w:rsidR="006D25F9" w:rsidRPr="00C66550">
        <w:t>ion and management</w:t>
      </w:r>
      <w:r w:rsidR="002A5897" w:rsidRPr="00C66550">
        <w:t xml:space="preserve"> in </w:t>
      </w:r>
      <w:r w:rsidR="00DF4FB7">
        <w:t>Qld</w:t>
      </w:r>
      <w:r w:rsidR="00D70227" w:rsidRPr="00C66550">
        <w:t xml:space="preserve"> for the</w:t>
      </w:r>
      <w:r w:rsidR="002A5897" w:rsidRPr="00C66550">
        <w:t xml:space="preserve"> period</w:t>
      </w:r>
      <w:r w:rsidR="00D70227" w:rsidRPr="00C66550">
        <w:t xml:space="preserve"> 20</w:t>
      </w:r>
      <w:r w:rsidR="008150A1" w:rsidRPr="00C66550">
        <w:t>08</w:t>
      </w:r>
      <w:r w:rsidR="00D70227" w:rsidRPr="00C66550">
        <w:t>/</w:t>
      </w:r>
      <w:r w:rsidR="008150A1" w:rsidRPr="00C66550">
        <w:t>09</w:t>
      </w:r>
      <w:r w:rsidR="002A5897" w:rsidRPr="00C66550">
        <w:t xml:space="preserve"> to </w:t>
      </w:r>
      <w:r w:rsidR="00D70227" w:rsidRPr="00C66550">
        <w:t>20</w:t>
      </w:r>
      <w:r w:rsidR="008150A1" w:rsidRPr="00C66550">
        <w:t>11</w:t>
      </w:r>
      <w:r w:rsidR="00D70227" w:rsidRPr="00C66550">
        <w:t>/1</w:t>
      </w:r>
      <w:r w:rsidR="008150A1" w:rsidRPr="00C66550">
        <w:t>2</w:t>
      </w:r>
      <w:r w:rsidR="006D25F9" w:rsidRPr="00C66550">
        <w:t>.</w:t>
      </w:r>
      <w:r w:rsidR="00D70227" w:rsidRPr="00C66550">
        <w:t xml:space="preserve"> </w:t>
      </w:r>
    </w:p>
    <w:p w:rsidR="00D70227" w:rsidRPr="00C66550" w:rsidRDefault="00D70227" w:rsidP="00FB4820">
      <w:pPr>
        <w:pStyle w:val="Figures"/>
      </w:pPr>
    </w:p>
    <w:p w:rsidR="00C26CB3" w:rsidRPr="00C66550" w:rsidRDefault="00C26CB3" w:rsidP="00FB4820">
      <w:pPr>
        <w:pStyle w:val="Figures"/>
      </w:pPr>
      <w:bookmarkStart w:id="139" w:name="_Toc365385037"/>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28</w:t>
      </w:r>
      <w:r w:rsidR="0062001A" w:rsidRPr="00C66550">
        <w:rPr>
          <w:noProof/>
        </w:rPr>
        <w:fldChar w:fldCharType="end"/>
      </w:r>
      <w:r w:rsidRPr="00C66550">
        <w:t>:</w:t>
      </w:r>
      <w:r w:rsidRPr="00C66550">
        <w:tab/>
      </w:r>
      <w:r w:rsidR="002E2ED8" w:rsidRPr="00C66550">
        <w:t xml:space="preserve">Trends in total waste generation and management, </w:t>
      </w:r>
      <w:r w:rsidR="000D7C2B">
        <w:t>Qld</w:t>
      </w:r>
      <w:r w:rsidR="002E2ED8" w:rsidRPr="00C66550">
        <w:t xml:space="preserve"> 2008/09 to 2011/12</w:t>
      </w:r>
      <w:bookmarkEnd w:id="139"/>
    </w:p>
    <w:p w:rsidR="00C26CB3" w:rsidRPr="00C66550" w:rsidRDefault="00085D3B" w:rsidP="00E533BB">
      <w:pPr>
        <w:pStyle w:val="BodyText"/>
      </w:pPr>
      <w:r w:rsidRPr="00C66550">
        <w:rPr>
          <w:noProof/>
          <w:lang w:eastAsia="en-AU"/>
        </w:rPr>
        <w:drawing>
          <wp:anchor distT="0" distB="0" distL="114300" distR="114300" simplePos="0" relativeHeight="251840512" behindDoc="0" locked="0" layoutInCell="1" allowOverlap="1">
            <wp:simplePos x="0" y="0"/>
            <wp:positionH relativeFrom="column">
              <wp:posOffset>-2540</wp:posOffset>
            </wp:positionH>
            <wp:positionV relativeFrom="paragraph">
              <wp:posOffset>10160</wp:posOffset>
            </wp:positionV>
            <wp:extent cx="4331970" cy="31242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1970" cy="3124200"/>
                    </a:xfrm>
                    <a:prstGeom prst="rect">
                      <a:avLst/>
                    </a:prstGeom>
                  </pic:spPr>
                </pic:pic>
              </a:graphicData>
            </a:graphic>
          </wp:anchor>
        </w:drawing>
      </w: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C26CB3" w:rsidRPr="00C66550" w:rsidRDefault="00C26CB3" w:rsidP="00E533BB">
      <w:pPr>
        <w:pStyle w:val="BodyText"/>
      </w:pPr>
    </w:p>
    <w:p w:rsidR="00D969EA" w:rsidRPr="00C66550" w:rsidRDefault="00D969EA" w:rsidP="00E533BB">
      <w:pPr>
        <w:pStyle w:val="BodyText"/>
      </w:pPr>
    </w:p>
    <w:p w:rsidR="00C26CB3" w:rsidRPr="00C66550" w:rsidRDefault="00C26CB3" w:rsidP="00E533BB">
      <w:pPr>
        <w:pStyle w:val="BodyText"/>
      </w:pPr>
    </w:p>
    <w:p w:rsidR="00C26CB3" w:rsidRPr="00C66550" w:rsidRDefault="00C26CB3" w:rsidP="00E533BB">
      <w:pPr>
        <w:pStyle w:val="BodyText"/>
      </w:pPr>
    </w:p>
    <w:p w:rsidR="00CC727C" w:rsidRPr="00C66550" w:rsidRDefault="00CC727C" w:rsidP="00E533BB">
      <w:pPr>
        <w:pStyle w:val="BodyText"/>
      </w:pPr>
    </w:p>
    <w:p w:rsidR="00A45EAB" w:rsidRPr="00C66550" w:rsidRDefault="00A45EAB" w:rsidP="00E533BB">
      <w:pPr>
        <w:pStyle w:val="BodyText"/>
      </w:pPr>
      <w:r w:rsidRPr="00C66550">
        <w:t>Over the</w:t>
      </w:r>
      <w:r w:rsidR="005C7645" w:rsidRPr="00C66550">
        <w:t xml:space="preserve"> four</w:t>
      </w:r>
      <w:r w:rsidR="003A4151" w:rsidRPr="00C66550">
        <w:t>-</w:t>
      </w:r>
      <w:r w:rsidRPr="00C66550">
        <w:t xml:space="preserve">year period the following </w:t>
      </w:r>
      <w:r w:rsidR="00AE63CE" w:rsidRPr="00C66550">
        <w:t xml:space="preserve">trends are illustrated in relation to </w:t>
      </w:r>
      <w:r w:rsidR="003D0ED6" w:rsidRPr="00C66550">
        <w:t>total</w:t>
      </w:r>
      <w:r w:rsidR="003A4151" w:rsidRPr="00C66550">
        <w:t xml:space="preserve"> </w:t>
      </w:r>
      <w:r w:rsidR="00AE63CE" w:rsidRPr="00C66550">
        <w:t>waste tonnages</w:t>
      </w:r>
      <w:r w:rsidRPr="00C66550">
        <w:t>:</w:t>
      </w:r>
    </w:p>
    <w:p w:rsidR="00A45EAB" w:rsidRPr="00C66550" w:rsidRDefault="00A45EAB" w:rsidP="00E533BB">
      <w:pPr>
        <w:pStyle w:val="Bullet1"/>
      </w:pPr>
      <w:r w:rsidRPr="00C66550">
        <w:t xml:space="preserve">waste generation </w:t>
      </w:r>
      <w:r w:rsidR="00016B2F" w:rsidRPr="00C66550">
        <w:t xml:space="preserve">decreased by </w:t>
      </w:r>
      <w:r w:rsidR="001A3324" w:rsidRPr="00C66550">
        <w:t>10</w:t>
      </w:r>
      <w:r w:rsidRPr="00C66550">
        <w:t>%</w:t>
      </w:r>
    </w:p>
    <w:p w:rsidR="00A45EAB" w:rsidRPr="00C66550" w:rsidRDefault="00A45EAB" w:rsidP="00E533BB">
      <w:pPr>
        <w:pStyle w:val="Bullet1"/>
      </w:pPr>
      <w:r w:rsidRPr="00C66550">
        <w:t xml:space="preserve">recycling </w:t>
      </w:r>
      <w:r w:rsidR="00016B2F" w:rsidRPr="00C66550">
        <w:t>decreased by 16%</w:t>
      </w:r>
    </w:p>
    <w:p w:rsidR="00A45EAB" w:rsidRPr="00C66550" w:rsidRDefault="002A5897" w:rsidP="00E533BB">
      <w:pPr>
        <w:pStyle w:val="Bullet1"/>
      </w:pPr>
      <w:r w:rsidRPr="00C66550">
        <w:t xml:space="preserve">waste tonnages used for </w:t>
      </w:r>
      <w:r w:rsidR="00A45EAB" w:rsidRPr="00C66550">
        <w:t xml:space="preserve">energy recovery </w:t>
      </w:r>
      <w:r w:rsidR="00016B2F" w:rsidRPr="00C66550">
        <w:t xml:space="preserve">increased </w:t>
      </w:r>
      <w:r w:rsidR="00A45EAB" w:rsidRPr="00C66550">
        <w:t xml:space="preserve">by </w:t>
      </w:r>
      <w:r w:rsidR="00016B2F" w:rsidRPr="00C66550">
        <w:t>1</w:t>
      </w:r>
      <w:r w:rsidR="00A45EAB" w:rsidRPr="00C66550">
        <w:t xml:space="preserve">6% </w:t>
      </w:r>
    </w:p>
    <w:p w:rsidR="00E533BB" w:rsidRPr="00C66550" w:rsidRDefault="00A45EAB" w:rsidP="00E533BB">
      <w:pPr>
        <w:pStyle w:val="Bullet1"/>
      </w:pPr>
      <w:r w:rsidRPr="00C66550">
        <w:t xml:space="preserve">disposal </w:t>
      </w:r>
      <w:r w:rsidR="00016B2F" w:rsidRPr="00C66550">
        <w:t xml:space="preserve">decreased </w:t>
      </w:r>
      <w:r w:rsidRPr="00C66550">
        <w:t xml:space="preserve">by </w:t>
      </w:r>
      <w:r w:rsidR="001A3324" w:rsidRPr="00C66550">
        <w:t>6</w:t>
      </w:r>
      <w:r w:rsidRPr="00C66550">
        <w:t xml:space="preserve">%. </w:t>
      </w:r>
      <w:bookmarkStart w:id="140" w:name="_Ref349152302"/>
    </w:p>
    <w:bookmarkEnd w:id="140"/>
    <w:p w:rsidR="00AA5AB8" w:rsidRPr="00C66550" w:rsidRDefault="00AA5AB8" w:rsidP="00D616D6">
      <w:pPr>
        <w:pStyle w:val="Bullet1"/>
        <w:numPr>
          <w:ilvl w:val="0"/>
          <w:numId w:val="0"/>
        </w:numPr>
        <w:ind w:left="454" w:hanging="454"/>
      </w:pPr>
      <w:r w:rsidRPr="00C66550">
        <w:br w:type="page"/>
      </w:r>
    </w:p>
    <w:p w:rsidR="00A645A3" w:rsidRPr="00C66550" w:rsidRDefault="00777C18" w:rsidP="006D25F9">
      <w:pPr>
        <w:pStyle w:val="Heading1"/>
      </w:pPr>
      <w:bookmarkStart w:id="141" w:name="_Toc379466373"/>
      <w:r w:rsidRPr="00C66550">
        <w:lastRenderedPageBreak/>
        <w:t>South Australia</w:t>
      </w:r>
      <w:bookmarkEnd w:id="141"/>
      <w:r w:rsidR="00E24F3F" w:rsidRPr="00C66550">
        <w:t xml:space="preserve"> </w:t>
      </w:r>
    </w:p>
    <w:p w:rsidR="00A645A3" w:rsidRPr="00C66550" w:rsidRDefault="00A645A3" w:rsidP="006D25F9">
      <w:pPr>
        <w:pStyle w:val="Heading2"/>
      </w:pPr>
      <w:bookmarkStart w:id="142" w:name="_Toc379466374"/>
      <w:r w:rsidRPr="00C66550">
        <w:t>SA 2010/11</w:t>
      </w:r>
      <w:bookmarkEnd w:id="142"/>
    </w:p>
    <w:p w:rsidR="0011222A" w:rsidRPr="00C66550" w:rsidRDefault="0011222A" w:rsidP="006D25F9">
      <w:pPr>
        <w:pStyle w:val="Heading3"/>
      </w:pPr>
      <w:r w:rsidRPr="00C66550">
        <w:t>Per capita waste generation and resource recovery rate</w:t>
      </w:r>
    </w:p>
    <w:p w:rsidR="004A1B5B" w:rsidRPr="00C66550" w:rsidRDefault="004A1B5B" w:rsidP="005C7645">
      <w:pPr>
        <w:pStyle w:val="BodyText"/>
      </w:pPr>
      <w:r w:rsidRPr="00C66550">
        <w:t xml:space="preserve">In 2010/11, per capita waste generation for </w:t>
      </w:r>
      <w:r w:rsidR="009B34A2" w:rsidRPr="00C66550">
        <w:t>SA</w:t>
      </w:r>
      <w:r w:rsidRPr="00C66550">
        <w:t xml:space="preserve"> was about </w:t>
      </w:r>
      <w:r w:rsidR="009B34A2" w:rsidRPr="00C66550">
        <w:t>2.</w:t>
      </w:r>
      <w:r w:rsidR="006E2D5F" w:rsidRPr="00C66550">
        <w:t>4</w:t>
      </w:r>
      <w:r w:rsidRPr="00C66550">
        <w:t xml:space="preserve"> tonnes (see </w:t>
      </w:r>
      <w:fldSimple w:instr=" REF _Ref348975336 \h  \* MERGEFORMAT ">
        <w:r w:rsidR="00D96003" w:rsidRPr="00C66550">
          <w:t xml:space="preserve">Figure </w:t>
        </w:r>
        <w:r w:rsidR="00D96003">
          <w:t>6</w:t>
        </w:r>
      </w:fldSimple>
      <w:r w:rsidRPr="00C66550">
        <w:t xml:space="preserve">) which was the </w:t>
      </w:r>
      <w:r w:rsidR="009B34A2" w:rsidRPr="00C66550">
        <w:t xml:space="preserve">fourth </w:t>
      </w:r>
      <w:r w:rsidR="00A9024D" w:rsidRPr="00C66550">
        <w:t>highest</w:t>
      </w:r>
      <w:r w:rsidRPr="00C66550">
        <w:t xml:space="preserve"> in Australia. </w:t>
      </w:r>
      <w:r w:rsidR="00C16A16" w:rsidRPr="00C66550">
        <w:t xml:space="preserve">This follows the pattern of lower waste generation </w:t>
      </w:r>
      <w:r w:rsidR="006E2D5F" w:rsidRPr="00C66550">
        <w:t>in</w:t>
      </w:r>
      <w:r w:rsidR="00C16A16" w:rsidRPr="00C66550">
        <w:t xml:space="preserve"> jurisdictions </w:t>
      </w:r>
      <w:r w:rsidR="006E2D5F" w:rsidRPr="00C66550">
        <w:t>that have</w:t>
      </w:r>
      <w:r w:rsidR="00C16A16" w:rsidRPr="00C66550">
        <w:t xml:space="preserve"> lower per capita income</w:t>
      </w:r>
      <w:r w:rsidR="006E2D5F" w:rsidRPr="00C66550">
        <w:t>s</w:t>
      </w:r>
      <w:r w:rsidR="00C16A16" w:rsidRPr="00C66550">
        <w:t xml:space="preserve"> and </w:t>
      </w:r>
      <w:r w:rsidR="006E2D5F" w:rsidRPr="00C66550">
        <w:t>less urbanised populations</w:t>
      </w:r>
      <w:r w:rsidR="00C16A16" w:rsidRPr="00C66550">
        <w:t xml:space="preserve"> (see </w:t>
      </w:r>
      <w:r w:rsidR="00912151" w:rsidRPr="00C66550">
        <w:t>section</w:t>
      </w:r>
      <w:r w:rsidR="00C16A16" w:rsidRPr="00C66550">
        <w:t xml:space="preserve"> </w:t>
      </w:r>
      <w:r w:rsidR="0062001A" w:rsidRPr="00C66550">
        <w:fldChar w:fldCharType="begin"/>
      </w:r>
      <w:r w:rsidR="00310982" w:rsidRPr="00C66550">
        <w:instrText xml:space="preserve"> REF _Ref348975624 \r \h </w:instrText>
      </w:r>
      <w:r w:rsidR="0062001A" w:rsidRPr="00C66550">
        <w:fldChar w:fldCharType="separate"/>
      </w:r>
      <w:r w:rsidR="00D96003">
        <w:t>2</w:t>
      </w:r>
      <w:r w:rsidR="0062001A" w:rsidRPr="00C66550">
        <w:fldChar w:fldCharType="end"/>
      </w:r>
      <w:r w:rsidR="00C16A16" w:rsidRPr="00C66550">
        <w:t>).</w:t>
      </w:r>
      <w:r w:rsidR="00E5424C" w:rsidRPr="00C66550">
        <w:t xml:space="preserve"> </w:t>
      </w:r>
    </w:p>
    <w:p w:rsidR="004A1B5B" w:rsidRPr="00C66550" w:rsidRDefault="004A1B5B" w:rsidP="005C7645">
      <w:pPr>
        <w:pStyle w:val="BodyText"/>
      </w:pPr>
    </w:p>
    <w:p w:rsidR="00153D6A" w:rsidRPr="00C66550" w:rsidRDefault="009B34A2" w:rsidP="005C7645">
      <w:pPr>
        <w:pStyle w:val="BodyText"/>
      </w:pPr>
      <w:r w:rsidRPr="00C66550">
        <w:t xml:space="preserve">SA </w:t>
      </w:r>
      <w:r w:rsidR="004A1B5B" w:rsidRPr="00C66550">
        <w:t xml:space="preserve">had Australia’s </w:t>
      </w:r>
      <w:r w:rsidRPr="00C66550">
        <w:t xml:space="preserve">second highest </w:t>
      </w:r>
      <w:r w:rsidR="004A1B5B" w:rsidRPr="00C66550">
        <w:t xml:space="preserve">resource recovery rate at around </w:t>
      </w:r>
      <w:r w:rsidRPr="00C66550">
        <w:t>7</w:t>
      </w:r>
      <w:r w:rsidR="001D09C4">
        <w:t>7</w:t>
      </w:r>
      <w:r w:rsidR="004A1B5B" w:rsidRPr="00C66550">
        <w:t>%</w:t>
      </w:r>
      <w:r w:rsidR="00E24F3F" w:rsidRPr="00C66550">
        <w:t>,</w:t>
      </w:r>
      <w:r w:rsidR="004A1B5B" w:rsidRPr="00C66550">
        <w:t xml:space="preserve"> which is </w:t>
      </w:r>
      <w:r w:rsidRPr="00C66550">
        <w:t>1</w:t>
      </w:r>
      <w:r w:rsidR="001D09C4">
        <w:t>7</w:t>
      </w:r>
      <w:r w:rsidR="004A1B5B" w:rsidRPr="00C66550">
        <w:t xml:space="preserve">% </w:t>
      </w:r>
      <w:r w:rsidRPr="00C66550">
        <w:t>above</w:t>
      </w:r>
      <w:r w:rsidR="004A1B5B" w:rsidRPr="00C66550">
        <w:t xml:space="preserve"> the national average and reflects</w:t>
      </w:r>
      <w:r w:rsidR="005C7645" w:rsidRPr="00C66550">
        <w:t>:</w:t>
      </w:r>
    </w:p>
    <w:p w:rsidR="00153D6A" w:rsidRPr="00C66550" w:rsidRDefault="002E66B7" w:rsidP="00153D6A">
      <w:pPr>
        <w:pStyle w:val="Bullet1"/>
      </w:pPr>
      <w:r w:rsidRPr="00C66550">
        <w:t>well-developed</w:t>
      </w:r>
      <w:r w:rsidR="009B34A2" w:rsidRPr="00C66550">
        <w:t xml:space="preserve"> </w:t>
      </w:r>
      <w:r w:rsidR="004A1B5B" w:rsidRPr="00C66550">
        <w:t>resource recovery infrastructure</w:t>
      </w:r>
      <w:r w:rsidR="005D0F12" w:rsidRPr="00C66550">
        <w:t>, including larg</w:t>
      </w:r>
      <w:r w:rsidR="00775CB6" w:rsidRPr="00C66550">
        <w:t>e organics recycling operations</w:t>
      </w:r>
    </w:p>
    <w:p w:rsidR="00153D6A" w:rsidRPr="00C66550" w:rsidRDefault="009B34A2" w:rsidP="00153D6A">
      <w:pPr>
        <w:pStyle w:val="Bullet1"/>
      </w:pPr>
      <w:r w:rsidRPr="00C66550">
        <w:t xml:space="preserve">progressive waste management policies (including </w:t>
      </w:r>
      <w:r w:rsidR="00DD5B60" w:rsidRPr="00C66550">
        <w:t xml:space="preserve">broad </w:t>
      </w:r>
      <w:r w:rsidRPr="00C66550">
        <w:t>landfill prohibitions</w:t>
      </w:r>
      <w:r w:rsidR="00F11EC0" w:rsidRPr="00C66550">
        <w:t xml:space="preserve"> </w:t>
      </w:r>
      <w:r w:rsidR="00DD5B60" w:rsidRPr="00C66550">
        <w:t>for unsorted waste</w:t>
      </w:r>
      <w:r w:rsidR="005D0F12" w:rsidRPr="00C66550">
        <w:t xml:space="preserve">, </w:t>
      </w:r>
      <w:r w:rsidR="00F11EC0" w:rsidRPr="00C66550">
        <w:t>recovery targets</w:t>
      </w:r>
      <w:r w:rsidR="005D0F12" w:rsidRPr="00C66550">
        <w:t xml:space="preserve"> and government investment in resource recovery infrastructure and programs</w:t>
      </w:r>
      <w:r w:rsidRPr="00C66550">
        <w:t>)</w:t>
      </w:r>
    </w:p>
    <w:p w:rsidR="00153D6A" w:rsidRPr="00C66550" w:rsidRDefault="00E24F3F" w:rsidP="00153D6A">
      <w:pPr>
        <w:pStyle w:val="Bullet1"/>
      </w:pPr>
      <w:r w:rsidRPr="00C66550">
        <w:t xml:space="preserve">a </w:t>
      </w:r>
      <w:r w:rsidR="00F11EC0" w:rsidRPr="00C66550">
        <w:t xml:space="preserve">moderate </w:t>
      </w:r>
      <w:r w:rsidR="004A1B5B" w:rsidRPr="00C66550">
        <w:t>landfill levy</w:t>
      </w:r>
      <w:r w:rsidR="00153D6A" w:rsidRPr="00C66550">
        <w:t>.</w:t>
      </w:r>
    </w:p>
    <w:p w:rsidR="00E264ED" w:rsidRPr="00C66550" w:rsidRDefault="0089707A" w:rsidP="006D25F9">
      <w:pPr>
        <w:pStyle w:val="Heading3"/>
      </w:pPr>
      <w:r w:rsidRPr="00C66550">
        <w:t>Total waste generated</w:t>
      </w:r>
    </w:p>
    <w:p w:rsidR="004A1B5B" w:rsidRPr="00C66550" w:rsidRDefault="00D534E5" w:rsidP="004A1B5B">
      <w:pPr>
        <w:pStyle w:val="BodyText"/>
      </w:pPr>
      <w:r w:rsidRPr="00C66550">
        <w:t xml:space="preserve">About </w:t>
      </w:r>
      <w:r w:rsidR="006E2D5F" w:rsidRPr="00C66550">
        <w:t xml:space="preserve">3.9 Mt of waste was generated </w:t>
      </w:r>
      <w:r w:rsidR="004A1B5B" w:rsidRPr="00C66550">
        <w:t xml:space="preserve">in </w:t>
      </w:r>
      <w:r w:rsidR="00F11EC0" w:rsidRPr="00C66550">
        <w:t>SA</w:t>
      </w:r>
      <w:r w:rsidR="004A1B5B" w:rsidRPr="00C66550">
        <w:t xml:space="preserve"> for 2010/11 excluding fly ash</w:t>
      </w:r>
      <w:r w:rsidRPr="00C66550">
        <w:t xml:space="preserve">, and </w:t>
      </w:r>
      <w:r w:rsidR="00F65579" w:rsidRPr="00C66550">
        <w:t>4</w:t>
      </w:r>
      <w:r w:rsidR="006E2D5F" w:rsidRPr="00C66550">
        <w:t>.</w:t>
      </w:r>
      <w:r w:rsidR="00F65579" w:rsidRPr="00C66550">
        <w:t>1</w:t>
      </w:r>
      <w:r w:rsidR="00F11EC0" w:rsidRPr="00C66550">
        <w:t xml:space="preserve"> </w:t>
      </w:r>
      <w:r w:rsidR="006E2D5F" w:rsidRPr="00C66550">
        <w:t>M</w:t>
      </w:r>
      <w:r w:rsidR="0012047B" w:rsidRPr="00C66550">
        <w:t>t</w:t>
      </w:r>
      <w:r w:rsidR="004A1B5B" w:rsidRPr="00C66550">
        <w:t xml:space="preserve"> including fly ash</w:t>
      </w:r>
      <w:r w:rsidRPr="00C66550">
        <w:t xml:space="preserve"> (see </w:t>
      </w:r>
      <w:r w:rsidR="0062001A" w:rsidRPr="00C66550">
        <w:fldChar w:fldCharType="begin"/>
      </w:r>
      <w:r w:rsidRPr="00C66550">
        <w:instrText xml:space="preserve"> REF _Ref349159108 \h </w:instrText>
      </w:r>
      <w:r w:rsidR="0062001A" w:rsidRPr="00C66550">
        <w:fldChar w:fldCharType="separate"/>
      </w:r>
      <w:r w:rsidR="00D96003" w:rsidRPr="00C66550">
        <w:t xml:space="preserve">Figure </w:t>
      </w:r>
      <w:r w:rsidR="00D96003">
        <w:rPr>
          <w:noProof/>
        </w:rPr>
        <w:t>29</w:t>
      </w:r>
      <w:r w:rsidR="0062001A" w:rsidRPr="00C66550">
        <w:fldChar w:fldCharType="end"/>
      </w:r>
      <w:r w:rsidR="004A1B5B" w:rsidRPr="00C66550">
        <w:t>)</w:t>
      </w:r>
      <w:r w:rsidR="006E2D5F" w:rsidRPr="00C66550">
        <w:t>. This</w:t>
      </w:r>
      <w:r w:rsidR="004A1B5B" w:rsidRPr="00C66550">
        <w:t xml:space="preserve"> is the</w:t>
      </w:r>
      <w:r w:rsidR="00F11EC0" w:rsidRPr="00C66550">
        <w:t xml:space="preserve"> fourth lowest</w:t>
      </w:r>
      <w:r w:rsidR="004A1B5B" w:rsidRPr="00C66550">
        <w:t xml:space="preserve"> in Australia</w:t>
      </w:r>
      <w:r w:rsidR="00E24F3F" w:rsidRPr="00C66550">
        <w:t>,</w:t>
      </w:r>
      <w:r w:rsidR="004A1B5B" w:rsidRPr="00C66550">
        <w:t xml:space="preserve"> consistent with </w:t>
      </w:r>
      <w:r w:rsidR="00F11EC0" w:rsidRPr="00C66550">
        <w:t>SA</w:t>
      </w:r>
      <w:r w:rsidR="004A1B5B" w:rsidRPr="00C66550">
        <w:t>’s</w:t>
      </w:r>
      <w:r w:rsidRPr="00C66550">
        <w:t xml:space="preserve"> ranking in relation to</w:t>
      </w:r>
      <w:r w:rsidR="004A1B5B" w:rsidRPr="00C66550">
        <w:t xml:space="preserve"> population and GSP. </w:t>
      </w:r>
    </w:p>
    <w:p w:rsidR="004A1B5B" w:rsidRPr="00C66550" w:rsidRDefault="004A1B5B" w:rsidP="006D25F9">
      <w:pPr>
        <w:pStyle w:val="Heading3"/>
      </w:pPr>
      <w:r w:rsidRPr="00C66550">
        <w:t xml:space="preserve">Waste streams </w:t>
      </w:r>
    </w:p>
    <w:p w:rsidR="004A1B5B" w:rsidRPr="00C66550" w:rsidRDefault="00F11EC0" w:rsidP="00153D6A">
      <w:pPr>
        <w:pStyle w:val="Bullet1"/>
      </w:pPr>
      <w:r w:rsidRPr="00C66550">
        <w:t>SA</w:t>
      </w:r>
      <w:r w:rsidR="004A1B5B" w:rsidRPr="00C66550">
        <w:t xml:space="preserve"> MSW generation was around </w:t>
      </w:r>
      <w:r w:rsidR="006E2D5F" w:rsidRPr="00C66550">
        <w:t>0.</w:t>
      </w:r>
      <w:r w:rsidR="00D356A3" w:rsidRPr="00C66550">
        <w:t>7</w:t>
      </w:r>
      <w:r w:rsidR="00267C6B" w:rsidRPr="00C66550">
        <w:t xml:space="preserve">9 </w:t>
      </w:r>
      <w:r w:rsidR="006E2D5F" w:rsidRPr="00C66550">
        <w:t>M</w:t>
      </w:r>
      <w:r w:rsidR="0012047B" w:rsidRPr="00C66550">
        <w:t>t</w:t>
      </w:r>
      <w:r w:rsidR="004A1B5B" w:rsidRPr="00C66550">
        <w:t xml:space="preserve"> with a resource recovery rate of </w:t>
      </w:r>
      <w:r w:rsidR="00267C6B" w:rsidRPr="00C66550">
        <w:t>61</w:t>
      </w:r>
      <w:r w:rsidR="004A1B5B" w:rsidRPr="00C66550">
        <w:t>%</w:t>
      </w:r>
      <w:r w:rsidR="00E24F3F" w:rsidRPr="00C66550">
        <w:t>,</w:t>
      </w:r>
      <w:r w:rsidR="004A1B5B" w:rsidRPr="00C66550">
        <w:t xml:space="preserve"> which is </w:t>
      </w:r>
      <w:r w:rsidR="00267C6B" w:rsidRPr="00C66550">
        <w:t>10</w:t>
      </w:r>
      <w:r w:rsidR="004A1B5B" w:rsidRPr="00C66550">
        <w:t xml:space="preserve">% </w:t>
      </w:r>
      <w:r w:rsidR="00D356A3" w:rsidRPr="00C66550">
        <w:t>above</w:t>
      </w:r>
      <w:r w:rsidR="004A1B5B" w:rsidRPr="00C66550">
        <w:t xml:space="preserve"> the Australian average.</w:t>
      </w:r>
      <w:r w:rsidR="00D356A3" w:rsidRPr="00C66550">
        <w:t xml:space="preserve"> SA is targeting a MSW recovery rate of 65% by 2015.</w:t>
      </w:r>
    </w:p>
    <w:p w:rsidR="004A1B5B" w:rsidRPr="00C66550" w:rsidRDefault="00D356A3" w:rsidP="00153D6A">
      <w:pPr>
        <w:pStyle w:val="Bullet1"/>
      </w:pPr>
      <w:r w:rsidRPr="00C66550">
        <w:t>SA</w:t>
      </w:r>
      <w:r w:rsidR="004A1B5B" w:rsidRPr="00C66550">
        <w:t xml:space="preserve"> C&amp;I</w:t>
      </w:r>
      <w:r w:rsidR="006E2D5F" w:rsidRPr="00C66550">
        <w:t xml:space="preserve"> waste</w:t>
      </w:r>
      <w:r w:rsidR="004A1B5B" w:rsidRPr="00C66550">
        <w:t xml:space="preserve"> generation was around </w:t>
      </w:r>
      <w:r w:rsidRPr="00C66550">
        <w:t>1</w:t>
      </w:r>
      <w:r w:rsidR="006E2D5F" w:rsidRPr="00C66550">
        <w:t>.</w:t>
      </w:r>
      <w:r w:rsidR="007C1C9D">
        <w:t>4</w:t>
      </w:r>
      <w:r w:rsidR="006E2D5F" w:rsidRPr="00C66550">
        <w:t xml:space="preserve"> Mt</w:t>
      </w:r>
      <w:r w:rsidR="004A1B5B" w:rsidRPr="00C66550">
        <w:t xml:space="preserve"> with a resource recovery rate of </w:t>
      </w:r>
      <w:r w:rsidRPr="00C66550">
        <w:t>8</w:t>
      </w:r>
      <w:r w:rsidR="00267C6B" w:rsidRPr="00C66550">
        <w:t>9</w:t>
      </w:r>
      <w:r w:rsidR="004A1B5B" w:rsidRPr="00C66550">
        <w:t>%</w:t>
      </w:r>
      <w:r w:rsidR="00E24F3F" w:rsidRPr="00C66550">
        <w:t>,</w:t>
      </w:r>
      <w:r w:rsidR="004A1B5B" w:rsidRPr="00C66550">
        <w:t xml:space="preserve"> which is </w:t>
      </w:r>
      <w:r w:rsidR="00267C6B" w:rsidRPr="00C66550">
        <w:t>30</w:t>
      </w:r>
      <w:r w:rsidR="004A1B5B" w:rsidRPr="00C66550">
        <w:t xml:space="preserve">% </w:t>
      </w:r>
      <w:r w:rsidRPr="00C66550">
        <w:t xml:space="preserve">above </w:t>
      </w:r>
      <w:r w:rsidR="004A1B5B" w:rsidRPr="00C66550">
        <w:t>the Australian average.</w:t>
      </w:r>
      <w:r w:rsidR="00FF12A8" w:rsidRPr="00C66550">
        <w:t xml:space="preserve"> </w:t>
      </w:r>
      <w:r w:rsidRPr="00C66550">
        <w:t>SA</w:t>
      </w:r>
      <w:r w:rsidR="006E2D5F" w:rsidRPr="00C66550">
        <w:t xml:space="preserve"> appears to have</w:t>
      </w:r>
      <w:r w:rsidRPr="00C66550">
        <w:t xml:space="preserve"> </w:t>
      </w:r>
      <w:r w:rsidR="00E24F3F" w:rsidRPr="00C66550">
        <w:t xml:space="preserve">surpassed its </w:t>
      </w:r>
      <w:r w:rsidRPr="00C66550">
        <w:t>C&amp;I recovery rate</w:t>
      </w:r>
      <w:r w:rsidR="00E24F3F" w:rsidRPr="00C66550">
        <w:t xml:space="preserve"> target</w:t>
      </w:r>
      <w:r w:rsidRPr="00C66550">
        <w:t xml:space="preserve"> of 75% by 2015.</w:t>
      </w:r>
    </w:p>
    <w:p w:rsidR="004A1B5B" w:rsidRPr="00C66550" w:rsidRDefault="00D356A3" w:rsidP="00153D6A">
      <w:pPr>
        <w:pStyle w:val="Bullet1"/>
      </w:pPr>
      <w:r w:rsidRPr="00C66550">
        <w:t>SA</w:t>
      </w:r>
      <w:r w:rsidR="004A1B5B" w:rsidRPr="00C66550">
        <w:t xml:space="preserve"> C&amp;D</w:t>
      </w:r>
      <w:r w:rsidR="006E2D5F" w:rsidRPr="00C66550">
        <w:t xml:space="preserve"> waste</w:t>
      </w:r>
      <w:r w:rsidR="004A1B5B" w:rsidRPr="00C66550">
        <w:t xml:space="preserve"> generation was around </w:t>
      </w:r>
      <w:r w:rsidRPr="00C66550">
        <w:t>1</w:t>
      </w:r>
      <w:r w:rsidR="006E2D5F" w:rsidRPr="00C66550">
        <w:t>.7 Mt</w:t>
      </w:r>
      <w:r w:rsidR="004A1B5B" w:rsidRPr="00C66550">
        <w:t xml:space="preserve"> with a resource recovery rate of </w:t>
      </w:r>
      <w:r w:rsidR="00267C6B" w:rsidRPr="00C66550">
        <w:t>75</w:t>
      </w:r>
      <w:r w:rsidR="004A1B5B" w:rsidRPr="00C66550">
        <w:t>%</w:t>
      </w:r>
      <w:r w:rsidR="00E24F3F" w:rsidRPr="00C66550">
        <w:t>,</w:t>
      </w:r>
      <w:r w:rsidR="004A1B5B" w:rsidRPr="00C66550">
        <w:t xml:space="preserve"> which is </w:t>
      </w:r>
      <w:r w:rsidR="00267C6B" w:rsidRPr="00C66550">
        <w:t>9</w:t>
      </w:r>
      <w:r w:rsidR="004A1B5B" w:rsidRPr="00C66550">
        <w:t xml:space="preserve">% </w:t>
      </w:r>
      <w:r w:rsidRPr="00C66550">
        <w:t xml:space="preserve">above </w:t>
      </w:r>
      <w:r w:rsidR="004A1B5B" w:rsidRPr="00C66550">
        <w:t>the Australian average.</w:t>
      </w:r>
      <w:r w:rsidRPr="00C66550">
        <w:t xml:space="preserve"> SA is targeting a C&amp;D recovery rate of 90% by 2015.</w:t>
      </w:r>
    </w:p>
    <w:p w:rsidR="00D356A3" w:rsidRPr="00C66550" w:rsidRDefault="00D356A3" w:rsidP="00D356A3">
      <w:pPr>
        <w:pStyle w:val="BodyText"/>
      </w:pPr>
    </w:p>
    <w:p w:rsidR="002E66B7" w:rsidRPr="00C66550" w:rsidRDefault="006A1FFB" w:rsidP="002E66B7">
      <w:pPr>
        <w:pStyle w:val="BodyText"/>
      </w:pPr>
      <w:r w:rsidRPr="00C66550">
        <w:t>These data reflect the well-established recovery industry for the MSW, C&amp;D and C&amp;I waste streams in SA</w:t>
      </w:r>
      <w:r w:rsidR="001240F1" w:rsidRPr="00C66550">
        <w:t xml:space="preserve">. </w:t>
      </w:r>
    </w:p>
    <w:p w:rsidR="004A1B5B" w:rsidRPr="00C66550" w:rsidRDefault="004A1B5B" w:rsidP="006D25F9">
      <w:pPr>
        <w:pStyle w:val="Heading3"/>
      </w:pPr>
      <w:r w:rsidRPr="00C66550">
        <w:t>Material categories</w:t>
      </w:r>
    </w:p>
    <w:p w:rsidR="00267C6B" w:rsidRPr="00C66550" w:rsidRDefault="004A1B5B" w:rsidP="004A1B5B">
      <w:pPr>
        <w:pStyle w:val="BodyText"/>
      </w:pPr>
      <w:r w:rsidRPr="00C66550">
        <w:t xml:space="preserve">In </w:t>
      </w:r>
      <w:r w:rsidR="00EF5501" w:rsidRPr="00C66550">
        <w:t>SA</w:t>
      </w:r>
      <w:r w:rsidRPr="00C66550">
        <w:t xml:space="preserve"> the waste categories</w:t>
      </w:r>
      <w:r w:rsidR="005C7645" w:rsidRPr="00C66550">
        <w:t xml:space="preserve"> that make </w:t>
      </w:r>
      <w:r w:rsidRPr="00C66550">
        <w:t>up the bulk of waste generation are</w:t>
      </w:r>
      <w:r w:rsidR="00970BB0" w:rsidRPr="00C66550">
        <w:t xml:space="preserve"> masonry, organics,</w:t>
      </w:r>
      <w:r w:rsidR="00153D6A" w:rsidRPr="00C66550">
        <w:t xml:space="preserve"> metals,</w:t>
      </w:r>
      <w:r w:rsidR="00970BB0" w:rsidRPr="00C66550">
        <w:t xml:space="preserve"> paper</w:t>
      </w:r>
      <w:r w:rsidR="006A1FFB" w:rsidRPr="00C66550">
        <w:t>,</w:t>
      </w:r>
      <w:r w:rsidR="00970BB0" w:rsidRPr="00C66550">
        <w:t xml:space="preserve"> cardboard and </w:t>
      </w:r>
      <w:r w:rsidRPr="00C66550">
        <w:t xml:space="preserve">fly ash. The resource recovery rates for most material categories are </w:t>
      </w:r>
      <w:r w:rsidR="00970BB0" w:rsidRPr="00C66550">
        <w:t xml:space="preserve">well above </w:t>
      </w:r>
      <w:r w:rsidRPr="00C66550">
        <w:t xml:space="preserve">the national average. </w:t>
      </w:r>
      <w:r w:rsidR="006A1FFB" w:rsidRPr="00C66550">
        <w:t>The high</w:t>
      </w:r>
      <w:r w:rsidR="00153D6A" w:rsidRPr="00C66550">
        <w:t xml:space="preserve"> recovery rates f</w:t>
      </w:r>
      <w:r w:rsidR="006A1FFB" w:rsidRPr="00C66550">
        <w:t>or</w:t>
      </w:r>
      <w:r w:rsidR="00153D6A" w:rsidRPr="00C66550">
        <w:t xml:space="preserve"> </w:t>
      </w:r>
      <w:r w:rsidR="006A1FFB" w:rsidRPr="00C66550">
        <w:t xml:space="preserve">glass and plastics are linked to </w:t>
      </w:r>
      <w:r w:rsidR="00183659" w:rsidRPr="00C66550">
        <w:t xml:space="preserve">the container deposit </w:t>
      </w:r>
      <w:r w:rsidR="006A1FFB" w:rsidRPr="00C66550">
        <w:t xml:space="preserve">system operating in </w:t>
      </w:r>
      <w:r w:rsidR="00183659" w:rsidRPr="00C66550">
        <w:t>SA.</w:t>
      </w:r>
    </w:p>
    <w:p w:rsidR="00267C6B" w:rsidRPr="00C66550" w:rsidRDefault="00267C6B" w:rsidP="00267C6B">
      <w:pPr>
        <w:rPr>
          <w:color w:val="080808"/>
          <w:sz w:val="22"/>
        </w:rPr>
      </w:pPr>
      <w:r w:rsidRPr="00C66550">
        <w:br w:type="page"/>
      </w:r>
    </w:p>
    <w:p w:rsidR="00627520" w:rsidRPr="00C66550" w:rsidRDefault="00627520" w:rsidP="00FB4820">
      <w:pPr>
        <w:pStyle w:val="Figures"/>
        <w:rPr>
          <w:noProof/>
          <w:lang w:eastAsia="en-AU"/>
        </w:rPr>
      </w:pPr>
      <w:bookmarkStart w:id="143" w:name="_Ref349159108"/>
      <w:bookmarkStart w:id="144" w:name="_Toc365385038"/>
      <w:r w:rsidRPr="00C66550">
        <w:lastRenderedPageBreak/>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29</w:t>
      </w:r>
      <w:r w:rsidR="0062001A" w:rsidRPr="00C66550">
        <w:rPr>
          <w:noProof/>
        </w:rPr>
        <w:fldChar w:fldCharType="end"/>
      </w:r>
      <w:bookmarkEnd w:id="143"/>
      <w:r w:rsidR="00E533BB" w:rsidRPr="00C66550">
        <w:t>:</w:t>
      </w:r>
      <w:r w:rsidR="00E533BB" w:rsidRPr="00C66550">
        <w:tab/>
      </w:r>
      <w:r w:rsidR="00EA7D45" w:rsidRPr="00C66550">
        <w:t>SA</w:t>
      </w:r>
      <w:r w:rsidRPr="00C66550">
        <w:t xml:space="preserve"> 2010/11</w:t>
      </w:r>
      <w:r w:rsidR="000D7C2B">
        <w:t>, total waste generation</w:t>
      </w:r>
      <w:r w:rsidR="003A7FCE" w:rsidRPr="00C66550">
        <w:t xml:space="preserve"> by</w:t>
      </w:r>
      <w:r w:rsidR="003A7FCE">
        <w:t>:</w:t>
      </w:r>
      <w:r w:rsidR="003A7FCE" w:rsidRPr="00C66550">
        <w:t xml:space="preserve"> (a) management (b) waste stream and management</w:t>
      </w:r>
      <w:r w:rsidR="000D7C2B">
        <w:t xml:space="preserve"> (c)</w:t>
      </w:r>
      <w:r w:rsidR="003A7FCE" w:rsidRPr="00C66550">
        <w:t xml:space="preserve"> material category and management</w:t>
      </w:r>
      <w:bookmarkEnd w:id="144"/>
    </w:p>
    <w:p w:rsidR="00D13C05" w:rsidRPr="00C66550" w:rsidRDefault="009413D8" w:rsidP="006D25F9">
      <w:pPr>
        <w:pStyle w:val="Heading3"/>
        <w:numPr>
          <w:ilvl w:val="0"/>
          <w:numId w:val="0"/>
        </w:numPr>
        <w:ind w:left="709"/>
      </w:pPr>
      <w:r w:rsidRPr="009413D8">
        <w:rPr>
          <w:noProof/>
          <w:lang w:eastAsia="en-AU"/>
        </w:rPr>
        <w:drawing>
          <wp:anchor distT="0" distB="0" distL="114300" distR="114300" simplePos="0" relativeHeight="251871232" behindDoc="0" locked="0" layoutInCell="1" allowOverlap="1">
            <wp:simplePos x="0" y="0"/>
            <wp:positionH relativeFrom="column">
              <wp:posOffset>448945</wp:posOffset>
            </wp:positionH>
            <wp:positionV relativeFrom="paragraph">
              <wp:posOffset>154940</wp:posOffset>
            </wp:positionV>
            <wp:extent cx="4142740" cy="27330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2740" cy="2733040"/>
                    </a:xfrm>
                    <a:prstGeom prst="rect">
                      <a:avLst/>
                    </a:prstGeom>
                  </pic:spPr>
                </pic:pic>
              </a:graphicData>
            </a:graphic>
          </wp:anchor>
        </w:drawing>
      </w:r>
    </w:p>
    <w:p w:rsidR="00D13C05" w:rsidRPr="00C66550" w:rsidRDefault="003C0F31" w:rsidP="009413D8">
      <w:pPr>
        <w:pStyle w:val="Monkey"/>
        <w:keepNext w:val="0"/>
      </w:pPr>
      <w:r w:rsidRPr="00C66550">
        <w:t>(a)</w:t>
      </w: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9413D8" w:rsidP="009413D8">
      <w:pPr>
        <w:pStyle w:val="BodyText"/>
      </w:pPr>
      <w:r w:rsidRPr="009413D8">
        <w:rPr>
          <w:noProof/>
          <w:lang w:eastAsia="en-AU"/>
        </w:rPr>
        <w:drawing>
          <wp:anchor distT="0" distB="0" distL="114300" distR="114300" simplePos="0" relativeHeight="251872256" behindDoc="0" locked="0" layoutInCell="1" allowOverlap="1">
            <wp:simplePos x="0" y="0"/>
            <wp:positionH relativeFrom="column">
              <wp:posOffset>508000</wp:posOffset>
            </wp:positionH>
            <wp:positionV relativeFrom="paragraph">
              <wp:posOffset>103505</wp:posOffset>
            </wp:positionV>
            <wp:extent cx="4018915" cy="2704465"/>
            <wp:effectExtent l="0" t="0" r="635" b="6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8915" cy="2704465"/>
                    </a:xfrm>
                    <a:prstGeom prst="rect">
                      <a:avLst/>
                    </a:prstGeom>
                  </pic:spPr>
                </pic:pic>
              </a:graphicData>
            </a:graphic>
          </wp:anchor>
        </w:drawing>
      </w:r>
    </w:p>
    <w:p w:rsidR="00D13C05" w:rsidRPr="00C66550" w:rsidRDefault="003C0F31" w:rsidP="009413D8">
      <w:pPr>
        <w:pStyle w:val="Monkey"/>
        <w:keepNext w:val="0"/>
      </w:pPr>
      <w:r w:rsidRPr="00C66550">
        <w:t>(b)</w:t>
      </w:r>
      <w:r w:rsidR="008150A1" w:rsidRPr="00C66550">
        <w:rPr>
          <w:noProof/>
          <w:lang w:eastAsia="en-AU"/>
        </w:rPr>
        <w:t xml:space="preserve"> </w:t>
      </w: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Pr="00C66550" w:rsidRDefault="00D13C05" w:rsidP="009413D8">
      <w:pPr>
        <w:pStyle w:val="BodyText"/>
      </w:pPr>
    </w:p>
    <w:p w:rsidR="00D13C05" w:rsidRDefault="00D13C05" w:rsidP="009413D8">
      <w:pPr>
        <w:pStyle w:val="BodyText"/>
      </w:pPr>
    </w:p>
    <w:p w:rsidR="009413D8" w:rsidRDefault="009413D8" w:rsidP="009413D8">
      <w:pPr>
        <w:pStyle w:val="BodyText"/>
      </w:pPr>
    </w:p>
    <w:p w:rsidR="009413D8" w:rsidRPr="00C66550" w:rsidRDefault="009413D8" w:rsidP="009413D8">
      <w:pPr>
        <w:pStyle w:val="BodyText"/>
      </w:pPr>
    </w:p>
    <w:p w:rsidR="00D13C05" w:rsidRPr="00C66550" w:rsidRDefault="00D13C05" w:rsidP="009413D8">
      <w:pPr>
        <w:pStyle w:val="BodyText"/>
      </w:pPr>
    </w:p>
    <w:p w:rsidR="003C0F31" w:rsidRDefault="0064623E" w:rsidP="009413D8">
      <w:pPr>
        <w:pStyle w:val="Monkey"/>
        <w:keepNext w:val="0"/>
        <w:spacing w:before="0" w:after="0"/>
      </w:pPr>
      <w:r w:rsidRPr="009413D8">
        <w:rPr>
          <w:noProof/>
          <w:lang w:eastAsia="en-AU"/>
        </w:rPr>
        <w:drawing>
          <wp:anchor distT="0" distB="0" distL="114300" distR="114300" simplePos="0" relativeHeight="251873280" behindDoc="0" locked="0" layoutInCell="1" allowOverlap="1">
            <wp:simplePos x="0" y="0"/>
            <wp:positionH relativeFrom="column">
              <wp:posOffset>-40640</wp:posOffset>
            </wp:positionH>
            <wp:positionV relativeFrom="paragraph">
              <wp:posOffset>187960</wp:posOffset>
            </wp:positionV>
            <wp:extent cx="5944235" cy="23145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4235" cy="2314575"/>
                    </a:xfrm>
                    <a:prstGeom prst="rect">
                      <a:avLst/>
                    </a:prstGeom>
                  </pic:spPr>
                </pic:pic>
              </a:graphicData>
            </a:graphic>
          </wp:anchor>
        </w:drawing>
      </w:r>
      <w:r w:rsidR="00267C6B" w:rsidRPr="00C66550">
        <w:t xml:space="preserve"> </w:t>
      </w:r>
      <w:r w:rsidR="003C0F31" w:rsidRPr="00C66550">
        <w:t>(c)</w:t>
      </w:r>
    </w:p>
    <w:p w:rsidR="009413D8" w:rsidRDefault="009413D8" w:rsidP="009413D8">
      <w:pPr>
        <w:pStyle w:val="Monkey"/>
        <w:keepNext w:val="0"/>
        <w:spacing w:before="0" w:after="0"/>
        <w:rPr>
          <w:b w:val="0"/>
          <w:bCs w:val="0"/>
        </w:rPr>
      </w:pPr>
      <w:r>
        <w:br w:type="page"/>
      </w:r>
    </w:p>
    <w:p w:rsidR="00A645A3" w:rsidRPr="00C66550" w:rsidRDefault="00A645A3" w:rsidP="006D25F9">
      <w:pPr>
        <w:pStyle w:val="Heading2"/>
      </w:pPr>
      <w:bookmarkStart w:id="145" w:name="_Toc379466375"/>
      <w:r w:rsidRPr="00C66550">
        <w:lastRenderedPageBreak/>
        <w:t xml:space="preserve">SA trends </w:t>
      </w:r>
      <w:r w:rsidR="00081CFB" w:rsidRPr="00C66550">
        <w:t>2006/07 to 2010/11</w:t>
      </w:r>
      <w:bookmarkEnd w:id="145"/>
      <w:r w:rsidRPr="00C66550">
        <w:t xml:space="preserve"> </w:t>
      </w:r>
    </w:p>
    <w:p w:rsidR="00970BB0" w:rsidRPr="00C66550" w:rsidRDefault="0062001A" w:rsidP="00970BB0">
      <w:pPr>
        <w:spacing w:line="240" w:lineRule="auto"/>
        <w:rPr>
          <w:color w:val="080808"/>
          <w:sz w:val="22"/>
        </w:rPr>
      </w:pPr>
      <w:fldSimple w:instr=" REF _Ref349161158 \h  \* MERGEFORMAT ">
        <w:r w:rsidR="00D96003" w:rsidRPr="00D96003">
          <w:rPr>
            <w:sz w:val="22"/>
          </w:rPr>
          <w:t xml:space="preserve">Figure </w:t>
        </w:r>
        <w:r w:rsidR="00D96003" w:rsidRPr="00D96003">
          <w:rPr>
            <w:noProof/>
            <w:sz w:val="22"/>
          </w:rPr>
          <w:t>30</w:t>
        </w:r>
      </w:fldSimple>
      <w:r w:rsidR="00970BB0" w:rsidRPr="00C66550">
        <w:rPr>
          <w:color w:val="080808"/>
          <w:sz w:val="22"/>
        </w:rPr>
        <w:t xml:space="preserve"> shows</w:t>
      </w:r>
      <w:r w:rsidR="006D25F9" w:rsidRPr="00C66550">
        <w:rPr>
          <w:color w:val="080808"/>
          <w:sz w:val="22"/>
        </w:rPr>
        <w:t xml:space="preserve"> the</w:t>
      </w:r>
      <w:r w:rsidR="00970BB0" w:rsidRPr="00C66550">
        <w:rPr>
          <w:color w:val="080808"/>
          <w:sz w:val="22"/>
        </w:rPr>
        <w:t xml:space="preserve"> </w:t>
      </w:r>
      <w:r w:rsidR="00970BB0" w:rsidRPr="00C66550">
        <w:rPr>
          <w:b/>
          <w:color w:val="080808"/>
          <w:sz w:val="22"/>
        </w:rPr>
        <w:t>per capita</w:t>
      </w:r>
      <w:r w:rsidR="006D25F9" w:rsidRPr="00C66550">
        <w:rPr>
          <w:color w:val="080808"/>
          <w:sz w:val="22"/>
        </w:rPr>
        <w:t xml:space="preserve"> trends in waste</w:t>
      </w:r>
      <w:r w:rsidR="00970BB0" w:rsidRPr="00C66550">
        <w:rPr>
          <w:color w:val="080808"/>
          <w:sz w:val="22"/>
        </w:rPr>
        <w:t xml:space="preserve"> generation</w:t>
      </w:r>
      <w:r w:rsidR="006D25F9" w:rsidRPr="00C66550">
        <w:rPr>
          <w:color w:val="080808"/>
          <w:sz w:val="22"/>
        </w:rPr>
        <w:t xml:space="preserve"> and management</w:t>
      </w:r>
      <w:r w:rsidR="00970BB0" w:rsidRPr="00C66550">
        <w:rPr>
          <w:color w:val="080808"/>
          <w:sz w:val="22"/>
        </w:rPr>
        <w:t xml:space="preserve"> for the</w:t>
      </w:r>
      <w:r w:rsidR="00AE63CE" w:rsidRPr="00C66550">
        <w:rPr>
          <w:color w:val="080808"/>
          <w:sz w:val="22"/>
        </w:rPr>
        <w:t xml:space="preserve"> period</w:t>
      </w:r>
      <w:r w:rsidR="00970BB0" w:rsidRPr="00C66550">
        <w:rPr>
          <w:color w:val="080808"/>
          <w:sz w:val="22"/>
        </w:rPr>
        <w:t xml:space="preserve"> 2006/07</w:t>
      </w:r>
      <w:r w:rsidR="00AE63CE" w:rsidRPr="00C66550">
        <w:rPr>
          <w:color w:val="080808"/>
          <w:sz w:val="22"/>
        </w:rPr>
        <w:t xml:space="preserve"> to </w:t>
      </w:r>
      <w:r w:rsidR="00970BB0" w:rsidRPr="00C66550">
        <w:rPr>
          <w:color w:val="080808"/>
          <w:sz w:val="22"/>
        </w:rPr>
        <w:t xml:space="preserve">2010/11 </w:t>
      </w:r>
      <w:r w:rsidR="006D25F9" w:rsidRPr="00C66550">
        <w:rPr>
          <w:color w:val="080808"/>
          <w:sz w:val="22"/>
        </w:rPr>
        <w:t>in</w:t>
      </w:r>
      <w:r w:rsidR="00970BB0" w:rsidRPr="00C66550">
        <w:rPr>
          <w:color w:val="080808"/>
          <w:sz w:val="22"/>
        </w:rPr>
        <w:t xml:space="preserve"> SA.</w:t>
      </w:r>
      <w:r w:rsidR="00FF12A8" w:rsidRPr="00C66550">
        <w:rPr>
          <w:color w:val="080808"/>
          <w:sz w:val="22"/>
        </w:rPr>
        <w:t xml:space="preserve"> </w:t>
      </w:r>
    </w:p>
    <w:p w:rsidR="00380746" w:rsidRPr="00C66550" w:rsidRDefault="00380746" w:rsidP="00970BB0">
      <w:pPr>
        <w:spacing w:line="240" w:lineRule="auto"/>
        <w:rPr>
          <w:color w:val="080808"/>
          <w:sz w:val="22"/>
        </w:rPr>
      </w:pPr>
    </w:p>
    <w:p w:rsidR="003C0F31" w:rsidRPr="00C66550" w:rsidRDefault="006F13EC" w:rsidP="00FB4820">
      <w:pPr>
        <w:pStyle w:val="Figures"/>
      </w:pPr>
      <w:bookmarkStart w:id="146" w:name="_Ref349161158"/>
      <w:bookmarkStart w:id="147" w:name="_Toc365385039"/>
      <w:r w:rsidRPr="00C66550">
        <w:rPr>
          <w:noProof/>
          <w:lang w:eastAsia="en-AU"/>
        </w:rPr>
        <w:drawing>
          <wp:anchor distT="0" distB="0" distL="114300" distR="114300" simplePos="0" relativeHeight="251845632" behindDoc="0" locked="0" layoutInCell="1" allowOverlap="1">
            <wp:simplePos x="0" y="0"/>
            <wp:positionH relativeFrom="column">
              <wp:posOffset>-635</wp:posOffset>
            </wp:positionH>
            <wp:positionV relativeFrom="paragraph">
              <wp:posOffset>303530</wp:posOffset>
            </wp:positionV>
            <wp:extent cx="4990465" cy="2806700"/>
            <wp:effectExtent l="0" t="0" r="635"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0465" cy="2806700"/>
                    </a:xfrm>
                    <a:prstGeom prst="rect">
                      <a:avLst/>
                    </a:prstGeom>
                  </pic:spPr>
                </pic:pic>
              </a:graphicData>
            </a:graphic>
          </wp:anchor>
        </w:drawing>
      </w:r>
      <w:r w:rsidR="003C0F31" w:rsidRPr="00C66550">
        <w:t xml:space="preserve">Figure </w:t>
      </w:r>
      <w:r w:rsidR="0062001A" w:rsidRPr="00C66550">
        <w:fldChar w:fldCharType="begin"/>
      </w:r>
      <w:r w:rsidR="003C0F31" w:rsidRPr="00C66550">
        <w:instrText xml:space="preserve"> SEQ Figure \* ARABIC </w:instrText>
      </w:r>
      <w:r w:rsidR="0062001A" w:rsidRPr="00C66550">
        <w:fldChar w:fldCharType="separate"/>
      </w:r>
      <w:r w:rsidR="00D96003">
        <w:rPr>
          <w:noProof/>
        </w:rPr>
        <w:t>30</w:t>
      </w:r>
      <w:r w:rsidR="0062001A" w:rsidRPr="00C66550">
        <w:rPr>
          <w:noProof/>
        </w:rPr>
        <w:fldChar w:fldCharType="end"/>
      </w:r>
      <w:bookmarkEnd w:id="146"/>
      <w:r w:rsidR="003C0F31" w:rsidRPr="00C66550">
        <w:t>:</w:t>
      </w:r>
      <w:r w:rsidR="003C0F31" w:rsidRPr="00C66550">
        <w:tab/>
      </w:r>
      <w:r w:rsidR="002E2ED8" w:rsidRPr="00C66550">
        <w:t>T</w:t>
      </w:r>
      <w:r w:rsidR="003C0F31" w:rsidRPr="00C66550">
        <w:t>rends in per capita waste generation and management</w:t>
      </w:r>
      <w:r w:rsidR="002E2ED8" w:rsidRPr="00C66550">
        <w:t>, SA 2006/07 to 2010/11</w:t>
      </w:r>
      <w:bookmarkEnd w:id="147"/>
    </w:p>
    <w:p w:rsidR="003C0F31" w:rsidRPr="00C66550" w:rsidRDefault="003C0F31" w:rsidP="00FB4820">
      <w:pPr>
        <w:pStyle w:val="Figures"/>
      </w:pPr>
    </w:p>
    <w:p w:rsidR="003C0F31" w:rsidRPr="00C66550" w:rsidRDefault="003C0F31" w:rsidP="00FB4820">
      <w:pPr>
        <w:pStyle w:val="Figures"/>
      </w:pPr>
    </w:p>
    <w:p w:rsidR="003C0F31" w:rsidRPr="00C66550" w:rsidRDefault="003C0F31" w:rsidP="003C0F31">
      <w:pPr>
        <w:spacing w:after="120" w:line="240" w:lineRule="auto"/>
        <w:outlineLvl w:val="2"/>
      </w:pPr>
    </w:p>
    <w:p w:rsidR="003C0F31" w:rsidRPr="00C66550" w:rsidRDefault="003C0F31" w:rsidP="003C0F31">
      <w:pPr>
        <w:spacing w:line="240" w:lineRule="auto"/>
      </w:pPr>
    </w:p>
    <w:p w:rsidR="003C0F31" w:rsidRPr="00C66550" w:rsidRDefault="003C0F31" w:rsidP="003C0F31">
      <w:pPr>
        <w:spacing w:line="240" w:lineRule="auto"/>
      </w:pPr>
    </w:p>
    <w:p w:rsidR="003C0F31" w:rsidRPr="00C66550" w:rsidRDefault="003C0F31" w:rsidP="003C0F31">
      <w:pPr>
        <w:spacing w:line="240" w:lineRule="auto"/>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CC727C" w:rsidRPr="00C66550" w:rsidRDefault="00CC727C" w:rsidP="00970BB0">
      <w:pPr>
        <w:spacing w:line="240" w:lineRule="auto"/>
        <w:rPr>
          <w:color w:val="080808"/>
          <w:sz w:val="22"/>
        </w:rPr>
      </w:pPr>
    </w:p>
    <w:p w:rsidR="00CC727C" w:rsidRPr="00C66550" w:rsidRDefault="00CC727C" w:rsidP="00970BB0">
      <w:pPr>
        <w:spacing w:line="240" w:lineRule="auto"/>
        <w:rPr>
          <w:color w:val="080808"/>
          <w:sz w:val="22"/>
        </w:rPr>
      </w:pPr>
    </w:p>
    <w:p w:rsidR="00CC727C" w:rsidRPr="00C66550" w:rsidRDefault="00CC727C" w:rsidP="00970BB0">
      <w:pPr>
        <w:spacing w:line="240" w:lineRule="auto"/>
        <w:rPr>
          <w:color w:val="080808"/>
          <w:sz w:val="22"/>
        </w:rPr>
      </w:pPr>
    </w:p>
    <w:p w:rsidR="003C0F31" w:rsidRPr="00C66550" w:rsidRDefault="003C0F31" w:rsidP="00970BB0">
      <w:pPr>
        <w:spacing w:line="240" w:lineRule="auto"/>
        <w:rPr>
          <w:color w:val="080808"/>
          <w:sz w:val="22"/>
        </w:rPr>
      </w:pPr>
    </w:p>
    <w:p w:rsidR="00970BB0" w:rsidRPr="00C66550" w:rsidRDefault="00970BB0" w:rsidP="00970BB0">
      <w:pPr>
        <w:spacing w:line="240" w:lineRule="auto"/>
        <w:rPr>
          <w:color w:val="080808"/>
          <w:sz w:val="22"/>
        </w:rPr>
      </w:pPr>
      <w:r w:rsidRPr="00C66550">
        <w:rPr>
          <w:color w:val="080808"/>
          <w:sz w:val="22"/>
        </w:rPr>
        <w:t>Over the</w:t>
      </w:r>
      <w:r w:rsidR="006F2CE3" w:rsidRPr="00C66550">
        <w:rPr>
          <w:color w:val="080808"/>
          <w:sz w:val="22"/>
        </w:rPr>
        <w:t xml:space="preserve"> </w:t>
      </w:r>
      <w:r w:rsidRPr="00C66550">
        <w:rPr>
          <w:color w:val="080808"/>
          <w:sz w:val="22"/>
        </w:rPr>
        <w:t xml:space="preserve">period the following </w:t>
      </w:r>
      <w:r w:rsidR="003D0ED6" w:rsidRPr="00C66550">
        <w:rPr>
          <w:b/>
          <w:color w:val="080808"/>
          <w:sz w:val="22"/>
        </w:rPr>
        <w:t>per capita</w:t>
      </w:r>
      <w:r w:rsidRPr="00C66550">
        <w:rPr>
          <w:color w:val="080808"/>
          <w:sz w:val="22"/>
        </w:rPr>
        <w:t xml:space="preserve"> trends are illustrated</w:t>
      </w:r>
      <w:r w:rsidR="00AE63CE" w:rsidRPr="00C66550">
        <w:rPr>
          <w:color w:val="080808"/>
          <w:sz w:val="22"/>
        </w:rPr>
        <w:t xml:space="preserve"> for waste in SA</w:t>
      </w:r>
      <w:r w:rsidRPr="00C66550">
        <w:rPr>
          <w:color w:val="080808"/>
          <w:sz w:val="22"/>
        </w:rPr>
        <w:t>:</w:t>
      </w:r>
    </w:p>
    <w:p w:rsidR="00380746" w:rsidRPr="00C66550" w:rsidRDefault="00970BB0" w:rsidP="004201C6">
      <w:pPr>
        <w:pStyle w:val="Bullet1"/>
      </w:pPr>
      <w:r w:rsidRPr="00C66550">
        <w:t xml:space="preserve">waste generation </w:t>
      </w:r>
      <w:r w:rsidR="00380746" w:rsidRPr="00C66550">
        <w:t>increased by 1</w:t>
      </w:r>
      <w:r w:rsidR="00267C6B" w:rsidRPr="00C66550">
        <w:t>6</w:t>
      </w:r>
      <w:r w:rsidR="00380746" w:rsidRPr="00C66550">
        <w:t>%</w:t>
      </w:r>
      <w:r w:rsidRPr="00C66550">
        <w:t xml:space="preserve"> </w:t>
      </w:r>
    </w:p>
    <w:p w:rsidR="008150A1" w:rsidRPr="00C66550" w:rsidRDefault="008150A1" w:rsidP="008150A1">
      <w:pPr>
        <w:pStyle w:val="Bullet1"/>
      </w:pPr>
      <w:r w:rsidRPr="00C66550">
        <w:t>the resource recovery rate increased from 6</w:t>
      </w:r>
      <w:r w:rsidR="00267C6B" w:rsidRPr="00C66550">
        <w:t>9</w:t>
      </w:r>
      <w:r w:rsidRPr="00C66550">
        <w:t xml:space="preserve">% to </w:t>
      </w:r>
      <w:r w:rsidR="00267C6B" w:rsidRPr="00C66550">
        <w:t>77</w:t>
      </w:r>
      <w:r w:rsidRPr="00C66550">
        <w:t>% between 06/07 and 10/11</w:t>
      </w:r>
    </w:p>
    <w:p w:rsidR="00970BB0" w:rsidRPr="00C66550" w:rsidRDefault="00970BB0" w:rsidP="004201C6">
      <w:pPr>
        <w:pStyle w:val="Bullet1"/>
      </w:pPr>
      <w:r w:rsidRPr="00C66550">
        <w:t>recycling increased</w:t>
      </w:r>
      <w:r w:rsidR="00B648DA" w:rsidRPr="00C66550">
        <w:t xml:space="preserve"> by</w:t>
      </w:r>
      <w:r w:rsidRPr="00C66550">
        <w:t xml:space="preserve"> </w:t>
      </w:r>
      <w:r w:rsidR="00267C6B" w:rsidRPr="00C66550">
        <w:t>31</w:t>
      </w:r>
      <w:r w:rsidRPr="00C66550">
        <w:t>%</w:t>
      </w:r>
    </w:p>
    <w:p w:rsidR="00970BB0" w:rsidRPr="00C66550" w:rsidRDefault="006D25F9" w:rsidP="004201C6">
      <w:pPr>
        <w:pStyle w:val="Bullet1"/>
      </w:pPr>
      <w:r w:rsidRPr="00C66550">
        <w:t xml:space="preserve">waste tonnages used for energy recovery </w:t>
      </w:r>
      <w:r w:rsidR="00920CCD" w:rsidRPr="00C66550">
        <w:t xml:space="preserve">increased by </w:t>
      </w:r>
      <w:r w:rsidR="006F13EC" w:rsidRPr="00C66550">
        <w:t>26</w:t>
      </w:r>
      <w:r w:rsidR="00380746" w:rsidRPr="00C66550">
        <w:t>%</w:t>
      </w:r>
      <w:r w:rsidRPr="00C66550">
        <w:t xml:space="preserve">, </w:t>
      </w:r>
      <w:r w:rsidR="00380746" w:rsidRPr="00C66550">
        <w:t xml:space="preserve">mostly due to the commissioning of the </w:t>
      </w:r>
      <w:r w:rsidR="00AE63CE" w:rsidRPr="00C66550">
        <w:t xml:space="preserve">SITA </w:t>
      </w:r>
      <w:r w:rsidR="00380746" w:rsidRPr="00C66550">
        <w:t xml:space="preserve">Resource Co facility </w:t>
      </w:r>
    </w:p>
    <w:p w:rsidR="00970BB0" w:rsidRPr="00C66550" w:rsidRDefault="0025079A" w:rsidP="004201C6">
      <w:pPr>
        <w:pStyle w:val="Bullet1"/>
      </w:pPr>
      <w:r w:rsidRPr="00C66550">
        <w:t>waste disposal</w:t>
      </w:r>
      <w:r w:rsidR="00192C44" w:rsidRPr="00C66550">
        <w:t xml:space="preserve"> decreased</w:t>
      </w:r>
      <w:r w:rsidR="006A7C21" w:rsidRPr="00C66550">
        <w:t xml:space="preserve"> </w:t>
      </w:r>
      <w:r w:rsidR="00970BB0" w:rsidRPr="00C66550">
        <w:t xml:space="preserve">by </w:t>
      </w:r>
      <w:r w:rsidR="006F13EC" w:rsidRPr="00C66550">
        <w:t>16</w:t>
      </w:r>
      <w:r w:rsidR="00970BB0" w:rsidRPr="00C66550">
        <w:t xml:space="preserve">%. </w:t>
      </w:r>
    </w:p>
    <w:p w:rsidR="003C0F31" w:rsidRPr="00C66550" w:rsidRDefault="003C0F31">
      <w:pPr>
        <w:spacing w:line="240" w:lineRule="auto"/>
        <w:rPr>
          <w:color w:val="080808"/>
          <w:sz w:val="22"/>
        </w:rPr>
      </w:pPr>
      <w:r w:rsidRPr="00C66550">
        <w:rPr>
          <w:color w:val="080808"/>
          <w:sz w:val="22"/>
        </w:rPr>
        <w:br w:type="page"/>
      </w:r>
    </w:p>
    <w:p w:rsidR="00970BB0" w:rsidRPr="00C66550" w:rsidRDefault="00970BB0" w:rsidP="00970BB0">
      <w:pPr>
        <w:spacing w:line="240" w:lineRule="auto"/>
        <w:rPr>
          <w:color w:val="080808"/>
          <w:sz w:val="22"/>
        </w:rPr>
      </w:pPr>
    </w:p>
    <w:p w:rsidR="003C0F31" w:rsidRPr="00C66550" w:rsidRDefault="0062001A" w:rsidP="003C0F31">
      <w:pPr>
        <w:spacing w:line="240" w:lineRule="auto"/>
        <w:rPr>
          <w:color w:val="080808"/>
          <w:sz w:val="22"/>
        </w:rPr>
      </w:pPr>
      <w:fldSimple w:instr=" REF _Ref355036196 \h  \* MERGEFORMAT ">
        <w:r w:rsidR="00D96003" w:rsidRPr="00D96003">
          <w:rPr>
            <w:sz w:val="22"/>
          </w:rPr>
          <w:t xml:space="preserve">Figure </w:t>
        </w:r>
        <w:r w:rsidR="00D96003" w:rsidRPr="00D96003">
          <w:rPr>
            <w:noProof/>
            <w:sz w:val="22"/>
          </w:rPr>
          <w:t>31</w:t>
        </w:r>
      </w:fldSimple>
      <w:r w:rsidR="003C0F31" w:rsidRPr="00C66550">
        <w:rPr>
          <w:color w:val="080808"/>
          <w:sz w:val="22"/>
        </w:rPr>
        <w:t xml:space="preserve"> shows the</w:t>
      </w:r>
      <w:r w:rsidR="006D25F9" w:rsidRPr="00C66550">
        <w:rPr>
          <w:color w:val="080808"/>
          <w:sz w:val="22"/>
        </w:rPr>
        <w:t xml:space="preserve"> trends in</w:t>
      </w:r>
      <w:r w:rsidR="003C0F31" w:rsidRPr="00C66550">
        <w:rPr>
          <w:color w:val="080808"/>
          <w:sz w:val="22"/>
        </w:rPr>
        <w:t xml:space="preserve"> total </w:t>
      </w:r>
      <w:r w:rsidR="006D25F9" w:rsidRPr="00C66550">
        <w:rPr>
          <w:color w:val="080808"/>
          <w:sz w:val="22"/>
        </w:rPr>
        <w:t xml:space="preserve">waste </w:t>
      </w:r>
      <w:r w:rsidR="003C0F31" w:rsidRPr="00C66550">
        <w:rPr>
          <w:color w:val="080808"/>
          <w:sz w:val="22"/>
        </w:rPr>
        <w:t xml:space="preserve">generation </w:t>
      </w:r>
      <w:r w:rsidR="006D25F9" w:rsidRPr="00C66550">
        <w:rPr>
          <w:color w:val="080808"/>
          <w:sz w:val="22"/>
        </w:rPr>
        <w:t xml:space="preserve">and management </w:t>
      </w:r>
      <w:r w:rsidR="003C0F31" w:rsidRPr="00C66550">
        <w:rPr>
          <w:color w:val="080808"/>
          <w:sz w:val="22"/>
        </w:rPr>
        <w:t xml:space="preserve">for the period 2006/07 to 2010/11 </w:t>
      </w:r>
      <w:r w:rsidR="006D25F9" w:rsidRPr="00C66550">
        <w:rPr>
          <w:color w:val="080808"/>
          <w:sz w:val="22"/>
        </w:rPr>
        <w:t xml:space="preserve">in </w:t>
      </w:r>
      <w:r w:rsidR="003C0F31" w:rsidRPr="00C66550">
        <w:rPr>
          <w:color w:val="080808"/>
          <w:sz w:val="22"/>
        </w:rPr>
        <w:t xml:space="preserve">SA. </w:t>
      </w:r>
    </w:p>
    <w:p w:rsidR="003C0F31" w:rsidRPr="00C66550" w:rsidRDefault="003C0F31" w:rsidP="003C0F31">
      <w:pPr>
        <w:spacing w:line="240" w:lineRule="auto"/>
        <w:rPr>
          <w:color w:val="080808"/>
          <w:sz w:val="22"/>
        </w:rPr>
      </w:pPr>
    </w:p>
    <w:p w:rsidR="003C0F31" w:rsidRPr="00C66550" w:rsidRDefault="003C0F31" w:rsidP="00FB4820">
      <w:pPr>
        <w:pStyle w:val="Figures"/>
      </w:pPr>
      <w:bookmarkStart w:id="148" w:name="_Ref355036196"/>
      <w:bookmarkStart w:id="149" w:name="_Toc365385040"/>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31</w:t>
      </w:r>
      <w:r w:rsidR="0062001A" w:rsidRPr="00C66550">
        <w:rPr>
          <w:noProof/>
        </w:rPr>
        <w:fldChar w:fldCharType="end"/>
      </w:r>
      <w:bookmarkEnd w:id="148"/>
      <w:r w:rsidRPr="00C66550">
        <w:t>:</w:t>
      </w:r>
      <w:r w:rsidRPr="00C66550">
        <w:tab/>
      </w:r>
      <w:r w:rsidR="002E2ED8" w:rsidRPr="00C66550">
        <w:t>Trends in total waste generation and management, SA 2006/07 to 2010/11</w:t>
      </w:r>
      <w:bookmarkEnd w:id="149"/>
    </w:p>
    <w:p w:rsidR="003C0F31" w:rsidRPr="00C66550" w:rsidRDefault="006F13EC" w:rsidP="00970BB0">
      <w:pPr>
        <w:spacing w:line="240" w:lineRule="auto"/>
        <w:rPr>
          <w:color w:val="080808"/>
          <w:sz w:val="22"/>
        </w:rPr>
      </w:pPr>
      <w:r w:rsidRPr="00C66550">
        <w:rPr>
          <w:noProof/>
          <w:lang w:eastAsia="en-AU"/>
        </w:rPr>
        <w:drawing>
          <wp:anchor distT="0" distB="0" distL="114300" distR="114300" simplePos="0" relativeHeight="251844608" behindDoc="0" locked="0" layoutInCell="1" allowOverlap="1">
            <wp:simplePos x="0" y="0"/>
            <wp:positionH relativeFrom="column">
              <wp:posOffset>-635</wp:posOffset>
            </wp:positionH>
            <wp:positionV relativeFrom="paragraph">
              <wp:posOffset>172085</wp:posOffset>
            </wp:positionV>
            <wp:extent cx="5124450" cy="305308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4450" cy="3053080"/>
                    </a:xfrm>
                    <a:prstGeom prst="rect">
                      <a:avLst/>
                    </a:prstGeom>
                  </pic:spPr>
                </pic:pic>
              </a:graphicData>
            </a:graphic>
          </wp:anchor>
        </w:drawing>
      </w: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3C0F31" w:rsidRPr="00C66550" w:rsidRDefault="003C0F31" w:rsidP="00970BB0">
      <w:pPr>
        <w:spacing w:line="240" w:lineRule="auto"/>
        <w:rPr>
          <w:color w:val="080808"/>
          <w:sz w:val="22"/>
        </w:rPr>
      </w:pPr>
    </w:p>
    <w:p w:rsidR="00CC727C" w:rsidRPr="00C66550" w:rsidRDefault="00CC727C" w:rsidP="00970BB0">
      <w:pPr>
        <w:spacing w:line="240" w:lineRule="auto"/>
        <w:rPr>
          <w:color w:val="080808"/>
          <w:sz w:val="22"/>
        </w:rPr>
      </w:pPr>
    </w:p>
    <w:p w:rsidR="00CC727C" w:rsidRPr="00C66550" w:rsidRDefault="00CC727C" w:rsidP="00970BB0">
      <w:pPr>
        <w:spacing w:line="240" w:lineRule="auto"/>
        <w:rPr>
          <w:color w:val="080808"/>
          <w:sz w:val="22"/>
        </w:rPr>
      </w:pPr>
    </w:p>
    <w:p w:rsidR="006F13EC" w:rsidRPr="00C66550" w:rsidRDefault="006F13EC" w:rsidP="00970BB0">
      <w:pPr>
        <w:spacing w:line="240" w:lineRule="auto"/>
        <w:rPr>
          <w:color w:val="080808"/>
          <w:sz w:val="22"/>
        </w:rPr>
      </w:pPr>
    </w:p>
    <w:p w:rsidR="00970BB0" w:rsidRPr="00C66550" w:rsidRDefault="00970BB0" w:rsidP="00970BB0">
      <w:pPr>
        <w:spacing w:line="240" w:lineRule="auto"/>
        <w:rPr>
          <w:color w:val="080808"/>
          <w:sz w:val="22"/>
        </w:rPr>
      </w:pPr>
      <w:r w:rsidRPr="00C66550">
        <w:rPr>
          <w:color w:val="080808"/>
          <w:sz w:val="22"/>
        </w:rPr>
        <w:t>Over the</w:t>
      </w:r>
      <w:r w:rsidR="006F2CE3" w:rsidRPr="00C66550">
        <w:rPr>
          <w:color w:val="080808"/>
          <w:sz w:val="22"/>
        </w:rPr>
        <w:t xml:space="preserve"> </w:t>
      </w:r>
      <w:r w:rsidRPr="00C66550">
        <w:rPr>
          <w:color w:val="080808"/>
          <w:sz w:val="22"/>
        </w:rPr>
        <w:t xml:space="preserve">period the following </w:t>
      </w:r>
      <w:r w:rsidR="003D0ED6" w:rsidRPr="00C66550">
        <w:rPr>
          <w:sz w:val="22"/>
        </w:rPr>
        <w:t xml:space="preserve">trends </w:t>
      </w:r>
      <w:r w:rsidR="00AE63CE" w:rsidRPr="00C66550">
        <w:rPr>
          <w:color w:val="080808"/>
          <w:sz w:val="22"/>
        </w:rPr>
        <w:t>are illustrated in relation to</w:t>
      </w:r>
      <w:r w:rsidR="00DC72B8" w:rsidRPr="00C66550">
        <w:rPr>
          <w:color w:val="080808"/>
          <w:sz w:val="22"/>
        </w:rPr>
        <w:t xml:space="preserve"> </w:t>
      </w:r>
      <w:r w:rsidR="003D0ED6" w:rsidRPr="00C66550">
        <w:rPr>
          <w:color w:val="080808"/>
          <w:sz w:val="22"/>
        </w:rPr>
        <w:t>total</w:t>
      </w:r>
      <w:r w:rsidR="00AE63CE" w:rsidRPr="00C66550">
        <w:rPr>
          <w:color w:val="080808"/>
          <w:sz w:val="22"/>
        </w:rPr>
        <w:t xml:space="preserve"> waste tonnages</w:t>
      </w:r>
      <w:r w:rsidRPr="00C66550">
        <w:rPr>
          <w:color w:val="080808"/>
          <w:sz w:val="22"/>
        </w:rPr>
        <w:t>:</w:t>
      </w:r>
    </w:p>
    <w:p w:rsidR="00970BB0" w:rsidRPr="00C66550" w:rsidRDefault="00970BB0" w:rsidP="004201C6">
      <w:pPr>
        <w:pStyle w:val="Bullet1"/>
      </w:pPr>
      <w:r w:rsidRPr="00C66550">
        <w:t>waste generation increased by</w:t>
      </w:r>
      <w:r w:rsidR="006F13EC" w:rsidRPr="00C66550">
        <w:t xml:space="preserve"> 20</w:t>
      </w:r>
      <w:r w:rsidRPr="00C66550">
        <w:t>%</w:t>
      </w:r>
    </w:p>
    <w:p w:rsidR="00970BB0" w:rsidRPr="00C66550" w:rsidRDefault="00970BB0" w:rsidP="004201C6">
      <w:pPr>
        <w:pStyle w:val="Bullet1"/>
      </w:pPr>
      <w:r w:rsidRPr="00C66550">
        <w:t xml:space="preserve">recycling increased by </w:t>
      </w:r>
      <w:r w:rsidR="006F13EC" w:rsidRPr="00C66550">
        <w:t>3</w:t>
      </w:r>
      <w:r w:rsidR="0064623E">
        <w:t>5</w:t>
      </w:r>
      <w:r w:rsidRPr="00C66550">
        <w:t>%</w:t>
      </w:r>
    </w:p>
    <w:p w:rsidR="00970BB0" w:rsidRPr="00C66550" w:rsidRDefault="006D25F9" w:rsidP="004201C6">
      <w:pPr>
        <w:pStyle w:val="Bullet1"/>
      </w:pPr>
      <w:r w:rsidRPr="00C66550">
        <w:t xml:space="preserve">waste tonnages used for energy recovery </w:t>
      </w:r>
      <w:r w:rsidR="006A7C21" w:rsidRPr="00C66550">
        <w:t xml:space="preserve">increased </w:t>
      </w:r>
      <w:r w:rsidR="00970BB0" w:rsidRPr="00C66550">
        <w:t xml:space="preserve">by </w:t>
      </w:r>
      <w:r w:rsidR="006F13EC" w:rsidRPr="00C66550">
        <w:t>30</w:t>
      </w:r>
      <w:r w:rsidR="00970BB0" w:rsidRPr="00C66550">
        <w:t xml:space="preserve">% </w:t>
      </w:r>
    </w:p>
    <w:p w:rsidR="00A645A3" w:rsidRPr="00C66550" w:rsidRDefault="003C0F31" w:rsidP="003C0F31">
      <w:pPr>
        <w:pStyle w:val="Bullet1"/>
      </w:pPr>
      <w:r w:rsidRPr="00C66550">
        <w:t>d</w:t>
      </w:r>
      <w:r w:rsidR="00970BB0" w:rsidRPr="00C66550">
        <w:t xml:space="preserve">isposal </w:t>
      </w:r>
      <w:r w:rsidR="006A7C21" w:rsidRPr="00C66550">
        <w:t xml:space="preserve">decreased </w:t>
      </w:r>
      <w:r w:rsidR="005807E9" w:rsidRPr="00C66550">
        <w:t xml:space="preserve">by </w:t>
      </w:r>
      <w:r w:rsidR="006F13EC" w:rsidRPr="00C66550">
        <w:t>13</w:t>
      </w:r>
      <w:r w:rsidR="00970BB0" w:rsidRPr="00C66550">
        <w:t xml:space="preserve">%. </w:t>
      </w:r>
    </w:p>
    <w:p w:rsidR="003C0F31" w:rsidRPr="00C66550" w:rsidRDefault="003C0F31">
      <w:pPr>
        <w:spacing w:line="240" w:lineRule="auto"/>
        <w:rPr>
          <w:sz w:val="22"/>
        </w:rPr>
      </w:pPr>
      <w:r w:rsidRPr="00C66550">
        <w:br w:type="page"/>
      </w:r>
    </w:p>
    <w:p w:rsidR="00A645A3" w:rsidRPr="00C66550" w:rsidRDefault="00777C18" w:rsidP="006D25F9">
      <w:pPr>
        <w:pStyle w:val="Heading1"/>
      </w:pPr>
      <w:bookmarkStart w:id="150" w:name="_Toc379466376"/>
      <w:r w:rsidRPr="00C66550">
        <w:lastRenderedPageBreak/>
        <w:t>Tasmania</w:t>
      </w:r>
      <w:bookmarkEnd w:id="150"/>
      <w:r w:rsidR="005B71F7" w:rsidRPr="00C66550">
        <w:t xml:space="preserve"> </w:t>
      </w:r>
    </w:p>
    <w:p w:rsidR="00A645A3" w:rsidRPr="00C66550" w:rsidRDefault="00DF4FB7" w:rsidP="006D25F9">
      <w:pPr>
        <w:pStyle w:val="Heading2"/>
      </w:pPr>
      <w:bookmarkStart w:id="151" w:name="_Toc379466377"/>
      <w:r>
        <w:t>Tas</w:t>
      </w:r>
      <w:r w:rsidR="00575602">
        <w:t xml:space="preserve"> </w:t>
      </w:r>
      <w:r w:rsidR="00A645A3" w:rsidRPr="00C66550">
        <w:t>2010/11</w:t>
      </w:r>
      <w:bookmarkEnd w:id="151"/>
    </w:p>
    <w:p w:rsidR="0011222A" w:rsidRPr="00C66550" w:rsidRDefault="0011222A" w:rsidP="006D25F9">
      <w:pPr>
        <w:pStyle w:val="Heading3"/>
      </w:pPr>
      <w:r w:rsidRPr="00C66550">
        <w:t>Per capita waste generation and resource recovery rate</w:t>
      </w:r>
    </w:p>
    <w:p w:rsidR="006333DD" w:rsidRPr="00C66550" w:rsidRDefault="006333DD" w:rsidP="006333DD">
      <w:pPr>
        <w:pStyle w:val="BodyText"/>
      </w:pPr>
      <w:r w:rsidRPr="00C66550">
        <w:t xml:space="preserve">In 2010/11, </w:t>
      </w:r>
      <w:r w:rsidR="00DF4FB7">
        <w:t>Tas</w:t>
      </w:r>
      <w:r w:rsidR="00F42DFC" w:rsidRPr="00C66550">
        <w:t xml:space="preserve"> generated about 1.2 tonnes of waste</w:t>
      </w:r>
      <w:r w:rsidRPr="00C66550">
        <w:t xml:space="preserve"> per capita waste (see </w:t>
      </w:r>
      <w:r w:rsidR="0062001A" w:rsidRPr="00C66550">
        <w:fldChar w:fldCharType="begin"/>
      </w:r>
      <w:r w:rsidRPr="00C66550">
        <w:instrText xml:space="preserve"> REF _Ref348975336 \h </w:instrText>
      </w:r>
      <w:r w:rsidR="0062001A" w:rsidRPr="00C66550">
        <w:fldChar w:fldCharType="separate"/>
      </w:r>
      <w:r w:rsidR="00D96003" w:rsidRPr="00C66550">
        <w:t xml:space="preserve">Figure </w:t>
      </w:r>
      <w:r w:rsidR="00D96003">
        <w:rPr>
          <w:noProof/>
        </w:rPr>
        <w:t>6</w:t>
      </w:r>
      <w:r w:rsidR="0062001A" w:rsidRPr="00C66550">
        <w:fldChar w:fldCharType="end"/>
      </w:r>
      <w:r w:rsidRPr="00C66550">
        <w:t>)</w:t>
      </w:r>
      <w:r w:rsidR="00F42DFC" w:rsidRPr="00C66550">
        <w:t xml:space="preserve"> – the lowest of all </w:t>
      </w:r>
      <w:r w:rsidRPr="00C66550">
        <w:t>Australia</w:t>
      </w:r>
      <w:r w:rsidR="00F42DFC" w:rsidRPr="00C66550">
        <w:t>n jurisdictions</w:t>
      </w:r>
      <w:r w:rsidRPr="00C66550">
        <w:t>. This correlates with</w:t>
      </w:r>
      <w:r w:rsidR="00E52AC5" w:rsidRPr="00C66550">
        <w:t xml:space="preserve"> </w:t>
      </w:r>
      <w:r w:rsidR="00DF4FB7">
        <w:t>Tas</w:t>
      </w:r>
      <w:r w:rsidR="00575602">
        <w:t xml:space="preserve"> </w:t>
      </w:r>
      <w:r w:rsidR="00E52AC5" w:rsidRPr="00C66550">
        <w:t>having the lowest</w:t>
      </w:r>
      <w:r w:rsidRPr="00C66550">
        <w:t xml:space="preserve"> </w:t>
      </w:r>
      <w:r w:rsidR="00E52AC5" w:rsidRPr="00C66550">
        <w:t xml:space="preserve">average income and a relatively low level of urbanisation </w:t>
      </w:r>
      <w:r w:rsidRPr="00C66550">
        <w:t xml:space="preserve">(see </w:t>
      </w:r>
      <w:r w:rsidR="00912151" w:rsidRPr="00C66550">
        <w:t>section</w:t>
      </w:r>
      <w:r w:rsidRPr="00C66550">
        <w:t xml:space="preserve"> </w:t>
      </w:r>
      <w:r w:rsidR="0062001A" w:rsidRPr="00C66550">
        <w:fldChar w:fldCharType="begin"/>
      </w:r>
      <w:r w:rsidRPr="00C66550">
        <w:instrText xml:space="preserve"> REF _Ref348975624 \r \h </w:instrText>
      </w:r>
      <w:r w:rsidR="0062001A" w:rsidRPr="00C66550">
        <w:fldChar w:fldCharType="separate"/>
      </w:r>
      <w:r w:rsidR="00D96003">
        <w:t>2</w:t>
      </w:r>
      <w:r w:rsidR="0062001A" w:rsidRPr="00C66550">
        <w:fldChar w:fldCharType="end"/>
      </w:r>
      <w:r w:rsidRPr="00C66550">
        <w:t xml:space="preserve">). </w:t>
      </w:r>
    </w:p>
    <w:p w:rsidR="006333DD" w:rsidRPr="00C66550" w:rsidRDefault="006333DD" w:rsidP="006333DD">
      <w:pPr>
        <w:pStyle w:val="BodyText"/>
      </w:pPr>
    </w:p>
    <w:p w:rsidR="005C4C47" w:rsidRPr="00C66550" w:rsidRDefault="00DF4FB7" w:rsidP="006333DD">
      <w:pPr>
        <w:pStyle w:val="BodyText"/>
      </w:pPr>
      <w:r>
        <w:t>Tas</w:t>
      </w:r>
      <w:r w:rsidR="00575602">
        <w:t xml:space="preserve"> </w:t>
      </w:r>
      <w:r w:rsidR="006333DD" w:rsidRPr="00C66550">
        <w:t xml:space="preserve">had Australia’s second </w:t>
      </w:r>
      <w:r w:rsidR="00287AB5" w:rsidRPr="00C66550">
        <w:t xml:space="preserve">lowest </w:t>
      </w:r>
      <w:r w:rsidR="006333DD" w:rsidRPr="00C66550">
        <w:t xml:space="preserve">resource recovery rate at around </w:t>
      </w:r>
      <w:r w:rsidR="00287AB5" w:rsidRPr="00C66550">
        <w:t>33</w:t>
      </w:r>
      <w:r w:rsidR="006333DD" w:rsidRPr="00C66550">
        <w:t>%</w:t>
      </w:r>
      <w:r w:rsidR="005A0708" w:rsidRPr="00C66550">
        <w:t>,</w:t>
      </w:r>
      <w:r w:rsidR="006333DD" w:rsidRPr="00C66550">
        <w:t xml:space="preserve"> which is </w:t>
      </w:r>
      <w:r w:rsidR="00287AB5" w:rsidRPr="00C66550">
        <w:t>2</w:t>
      </w:r>
      <w:r w:rsidR="00D220C9" w:rsidRPr="00C66550">
        <w:t>7</w:t>
      </w:r>
      <w:r w:rsidR="006333DD" w:rsidRPr="00C66550">
        <w:t xml:space="preserve">% </w:t>
      </w:r>
      <w:r w:rsidR="00287AB5" w:rsidRPr="00C66550">
        <w:t>below</w:t>
      </w:r>
      <w:r w:rsidR="006333DD" w:rsidRPr="00C66550">
        <w:t xml:space="preserve"> the national average and reflects on </w:t>
      </w:r>
      <w:r>
        <w:t>Tas</w:t>
      </w:r>
      <w:r w:rsidR="00575602">
        <w:t xml:space="preserve"> </w:t>
      </w:r>
      <w:r w:rsidR="0025079A" w:rsidRPr="00C66550">
        <w:t>having</w:t>
      </w:r>
      <w:r w:rsidR="005C4C47" w:rsidRPr="00C66550">
        <w:t>:</w:t>
      </w:r>
    </w:p>
    <w:p w:rsidR="0025079A" w:rsidRPr="00C66550" w:rsidRDefault="0025079A" w:rsidP="005C4C47">
      <w:pPr>
        <w:pStyle w:val="Bullet1"/>
      </w:pPr>
      <w:r w:rsidRPr="00C66550">
        <w:t>significant difficulties transporting many recyclables to markets</w:t>
      </w:r>
    </w:p>
    <w:p w:rsidR="005C4C47" w:rsidRPr="00C66550" w:rsidRDefault="005C4C47" w:rsidP="005C4C47">
      <w:pPr>
        <w:pStyle w:val="Bullet1"/>
      </w:pPr>
      <w:r w:rsidRPr="00C66550">
        <w:t xml:space="preserve">relatively (compared to some jurisdictions) </w:t>
      </w:r>
      <w:r w:rsidR="0025079A" w:rsidRPr="00C66550">
        <w:t>under</w:t>
      </w:r>
      <w:r w:rsidR="00D410EE" w:rsidRPr="00C66550">
        <w:t>-</w:t>
      </w:r>
      <w:r w:rsidR="006333DD" w:rsidRPr="00C66550">
        <w:t>developed resource recovery infrastructure</w:t>
      </w:r>
    </w:p>
    <w:p w:rsidR="005C4C47" w:rsidRPr="00C66550" w:rsidRDefault="005C4C47" w:rsidP="005C4C47">
      <w:pPr>
        <w:pStyle w:val="Bullet1"/>
      </w:pPr>
      <w:r w:rsidRPr="00C66550">
        <w:t>a very low landfill levy ($2 voluntary l</w:t>
      </w:r>
      <w:r w:rsidR="00443650" w:rsidRPr="00C66550">
        <w:t>andfill levy</w:t>
      </w:r>
      <w:r w:rsidRPr="00C66550">
        <w:t>)</w:t>
      </w:r>
    </w:p>
    <w:p w:rsidR="006333DD" w:rsidRPr="00C66550" w:rsidRDefault="005C4C47" w:rsidP="005C4C47">
      <w:pPr>
        <w:pStyle w:val="Bullet1"/>
      </w:pPr>
      <w:r w:rsidRPr="00C66550">
        <w:t>n</w:t>
      </w:r>
      <w:r w:rsidR="00162EDB" w:rsidRPr="00C66550">
        <w:t xml:space="preserve">o </w:t>
      </w:r>
      <w:r w:rsidRPr="00C66550">
        <w:t xml:space="preserve">resource </w:t>
      </w:r>
      <w:r w:rsidR="00162EDB" w:rsidRPr="00C66550">
        <w:t>recovery targets</w:t>
      </w:r>
      <w:r w:rsidR="006333DD" w:rsidRPr="00C66550">
        <w:t>.</w:t>
      </w:r>
      <w:r w:rsidR="00FF12A8" w:rsidRPr="00C66550">
        <w:t xml:space="preserve"> </w:t>
      </w:r>
    </w:p>
    <w:p w:rsidR="00E264ED" w:rsidRPr="00C66550" w:rsidRDefault="0089707A" w:rsidP="006D25F9">
      <w:pPr>
        <w:pStyle w:val="Heading3"/>
      </w:pPr>
      <w:r w:rsidRPr="00C66550">
        <w:t>Total waste generated</w:t>
      </w:r>
    </w:p>
    <w:p w:rsidR="006333DD" w:rsidRPr="00C66550" w:rsidRDefault="00DF4FB7" w:rsidP="006333DD">
      <w:pPr>
        <w:pStyle w:val="BodyText"/>
      </w:pPr>
      <w:r>
        <w:t>Tas</w:t>
      </w:r>
      <w:r w:rsidR="00D410EE" w:rsidRPr="00C66550">
        <w:t xml:space="preserve"> generated about 600 kt of waste in 2010/11 (see </w:t>
      </w:r>
      <w:r w:rsidR="0062001A" w:rsidRPr="00C66550">
        <w:fldChar w:fldCharType="begin"/>
      </w:r>
      <w:r w:rsidR="00151E1B" w:rsidRPr="00C66550">
        <w:instrText xml:space="preserve"> REF _Ref349166632 \h </w:instrText>
      </w:r>
      <w:r w:rsidR="0062001A" w:rsidRPr="00C66550">
        <w:fldChar w:fldCharType="separate"/>
      </w:r>
      <w:r w:rsidR="00D96003" w:rsidRPr="00C66550">
        <w:t xml:space="preserve">Figure </w:t>
      </w:r>
      <w:r w:rsidR="00D96003">
        <w:rPr>
          <w:noProof/>
        </w:rPr>
        <w:t>32</w:t>
      </w:r>
      <w:r w:rsidR="0062001A" w:rsidRPr="00C66550">
        <w:fldChar w:fldCharType="end"/>
      </w:r>
      <w:r w:rsidR="00D410EE" w:rsidRPr="00C66550">
        <w:t>)</w:t>
      </w:r>
      <w:r w:rsidR="009C1078" w:rsidRPr="00C66550">
        <w:t>.</w:t>
      </w:r>
      <w:r w:rsidR="00D410EE" w:rsidRPr="00C66550">
        <w:t xml:space="preserve"> This is </w:t>
      </w:r>
      <w:r w:rsidR="006333DD" w:rsidRPr="00C66550">
        <w:t xml:space="preserve">the </w:t>
      </w:r>
      <w:r w:rsidR="00FE5CEF" w:rsidRPr="00C66550">
        <w:t xml:space="preserve">second lowest </w:t>
      </w:r>
      <w:r w:rsidR="00D410EE" w:rsidRPr="00C66550">
        <w:t xml:space="preserve">figure for Australian jurisdictions, </w:t>
      </w:r>
      <w:r w:rsidR="006333DD" w:rsidRPr="00C66550">
        <w:t>consistent with</w:t>
      </w:r>
      <w:r w:rsidR="00D410EE" w:rsidRPr="00C66550">
        <w:t xml:space="preserve"> the </w:t>
      </w:r>
      <w:r>
        <w:t>Tas</w:t>
      </w:r>
      <w:r w:rsidR="006333DD" w:rsidRPr="00C66550">
        <w:t xml:space="preserve"> </w:t>
      </w:r>
      <w:r w:rsidR="00FE5CEF" w:rsidRPr="00C66550">
        <w:t>GSP</w:t>
      </w:r>
      <w:r w:rsidR="006333DD" w:rsidRPr="00C66550">
        <w:t xml:space="preserve"> being the </w:t>
      </w:r>
      <w:r w:rsidR="00FE5CEF" w:rsidRPr="00C66550">
        <w:t xml:space="preserve">second </w:t>
      </w:r>
      <w:r w:rsidR="006333DD" w:rsidRPr="00C66550">
        <w:t>lowest</w:t>
      </w:r>
      <w:r w:rsidR="00FE5CEF" w:rsidRPr="00C66550">
        <w:t xml:space="preserve"> and its population being the third lowest.</w:t>
      </w:r>
    </w:p>
    <w:p w:rsidR="006333DD" w:rsidRPr="00C66550" w:rsidRDefault="006333DD" w:rsidP="006D25F9">
      <w:pPr>
        <w:pStyle w:val="Heading3"/>
      </w:pPr>
      <w:r w:rsidRPr="00C66550">
        <w:t xml:space="preserve">Waste streams </w:t>
      </w:r>
    </w:p>
    <w:p w:rsidR="006333DD" w:rsidRPr="00C66550" w:rsidRDefault="00DF4FB7" w:rsidP="005C4C47">
      <w:pPr>
        <w:pStyle w:val="Bullet1"/>
      </w:pPr>
      <w:r>
        <w:t>Tas</w:t>
      </w:r>
      <w:r w:rsidR="00575602">
        <w:t xml:space="preserve"> </w:t>
      </w:r>
      <w:r w:rsidR="006333DD" w:rsidRPr="00C66550">
        <w:t xml:space="preserve">MSW generation was around </w:t>
      </w:r>
      <w:r w:rsidR="00D22C90" w:rsidRPr="00C66550">
        <w:t>2</w:t>
      </w:r>
      <w:r w:rsidR="00D410EE" w:rsidRPr="00C66550">
        <w:t>60</w:t>
      </w:r>
      <w:r w:rsidR="006333DD" w:rsidRPr="00C66550">
        <w:t xml:space="preserve"> </w:t>
      </w:r>
      <w:r w:rsidR="0012047B" w:rsidRPr="00C66550">
        <w:t>kt</w:t>
      </w:r>
      <w:r w:rsidR="006333DD" w:rsidRPr="00C66550">
        <w:t xml:space="preserve"> with a resource recovery rate of </w:t>
      </w:r>
      <w:r w:rsidR="008F50BE" w:rsidRPr="00C66550">
        <w:t>40</w:t>
      </w:r>
      <w:r w:rsidR="006333DD" w:rsidRPr="00C66550">
        <w:t>%</w:t>
      </w:r>
      <w:r w:rsidR="00C9102B" w:rsidRPr="00C66550">
        <w:t>,</w:t>
      </w:r>
      <w:r w:rsidR="006333DD" w:rsidRPr="00C66550">
        <w:t xml:space="preserve"> which is </w:t>
      </w:r>
      <w:r w:rsidR="005C4C47" w:rsidRPr="00C66550">
        <w:t>1</w:t>
      </w:r>
      <w:r w:rsidR="00D220C9" w:rsidRPr="00C66550">
        <w:t>1</w:t>
      </w:r>
      <w:r w:rsidR="006333DD" w:rsidRPr="00C66550">
        <w:t xml:space="preserve">% </w:t>
      </w:r>
      <w:r w:rsidR="008F50BE" w:rsidRPr="00C66550">
        <w:t>below</w:t>
      </w:r>
      <w:r w:rsidR="006333DD" w:rsidRPr="00C66550">
        <w:t xml:space="preserve"> the Australian average.</w:t>
      </w:r>
    </w:p>
    <w:p w:rsidR="006333DD" w:rsidRPr="00C66550" w:rsidRDefault="00DF4FB7" w:rsidP="005C4C47">
      <w:pPr>
        <w:pStyle w:val="Bullet1"/>
      </w:pPr>
      <w:r>
        <w:t>Tas</w:t>
      </w:r>
      <w:r w:rsidR="00575602">
        <w:t xml:space="preserve"> </w:t>
      </w:r>
      <w:r w:rsidR="006333DD" w:rsidRPr="00C66550">
        <w:t xml:space="preserve">C&amp;I </w:t>
      </w:r>
      <w:r w:rsidR="00D410EE" w:rsidRPr="00C66550">
        <w:t xml:space="preserve">waste </w:t>
      </w:r>
      <w:r w:rsidR="006333DD" w:rsidRPr="00C66550">
        <w:t xml:space="preserve">generation was around </w:t>
      </w:r>
      <w:r w:rsidR="008F50BE" w:rsidRPr="00C66550">
        <w:t>3</w:t>
      </w:r>
      <w:r w:rsidR="00D410EE" w:rsidRPr="00C66550">
        <w:t>1</w:t>
      </w:r>
      <w:r w:rsidR="008F50BE" w:rsidRPr="00C66550">
        <w:t>0</w:t>
      </w:r>
      <w:r w:rsidR="006333DD" w:rsidRPr="00C66550">
        <w:t xml:space="preserve"> </w:t>
      </w:r>
      <w:r w:rsidR="0012047B" w:rsidRPr="00C66550">
        <w:t>kt</w:t>
      </w:r>
      <w:r w:rsidR="006333DD" w:rsidRPr="00C66550">
        <w:t xml:space="preserve"> with a resource recovery rate of </w:t>
      </w:r>
      <w:r w:rsidR="008F50BE" w:rsidRPr="00C66550">
        <w:t>30</w:t>
      </w:r>
      <w:r w:rsidR="006333DD" w:rsidRPr="00C66550">
        <w:t>%</w:t>
      </w:r>
      <w:r w:rsidR="00C9102B" w:rsidRPr="00C66550">
        <w:t>,</w:t>
      </w:r>
      <w:r w:rsidR="006333DD" w:rsidRPr="00C66550">
        <w:t xml:space="preserve"> which is </w:t>
      </w:r>
      <w:r w:rsidR="008F50BE" w:rsidRPr="00C66550">
        <w:t>2</w:t>
      </w:r>
      <w:r w:rsidR="00D220C9" w:rsidRPr="00C66550">
        <w:t>9</w:t>
      </w:r>
      <w:r w:rsidR="006333DD" w:rsidRPr="00C66550">
        <w:t xml:space="preserve">% </w:t>
      </w:r>
      <w:r w:rsidR="008F50BE" w:rsidRPr="00C66550">
        <w:t>below</w:t>
      </w:r>
      <w:r w:rsidR="006333DD" w:rsidRPr="00C66550">
        <w:t xml:space="preserve"> the Australian average.</w:t>
      </w:r>
      <w:r w:rsidR="00FF12A8" w:rsidRPr="00C66550">
        <w:t xml:space="preserve"> </w:t>
      </w:r>
    </w:p>
    <w:p w:rsidR="008F50BE" w:rsidRPr="00C66550" w:rsidRDefault="00DF4FB7" w:rsidP="005C4C47">
      <w:pPr>
        <w:pStyle w:val="Bullet1"/>
      </w:pPr>
      <w:r>
        <w:t>Tas</w:t>
      </w:r>
      <w:r w:rsidR="00575602">
        <w:t xml:space="preserve"> </w:t>
      </w:r>
      <w:r w:rsidR="006333DD" w:rsidRPr="00C66550">
        <w:t xml:space="preserve">C&amp;D </w:t>
      </w:r>
      <w:r w:rsidR="00D410EE" w:rsidRPr="00C66550">
        <w:t xml:space="preserve">waste </w:t>
      </w:r>
      <w:r w:rsidR="006333DD" w:rsidRPr="00C66550">
        <w:t xml:space="preserve">generation was around </w:t>
      </w:r>
      <w:r w:rsidR="008F50BE" w:rsidRPr="00C66550">
        <w:t>39</w:t>
      </w:r>
      <w:r w:rsidR="006333DD" w:rsidRPr="00C66550">
        <w:t xml:space="preserve"> </w:t>
      </w:r>
      <w:r w:rsidR="0012047B" w:rsidRPr="00C66550">
        <w:t>kt</w:t>
      </w:r>
      <w:r w:rsidR="006333DD" w:rsidRPr="00C66550">
        <w:t xml:space="preserve"> with a resource recovery rate of </w:t>
      </w:r>
      <w:r w:rsidR="008F50BE" w:rsidRPr="00C66550">
        <w:t>2</w:t>
      </w:r>
      <w:r w:rsidR="006333DD" w:rsidRPr="00C66550">
        <w:t>%</w:t>
      </w:r>
      <w:r w:rsidR="00C9102B" w:rsidRPr="00C66550">
        <w:t>,</w:t>
      </w:r>
      <w:r w:rsidR="006333DD" w:rsidRPr="00C66550">
        <w:t xml:space="preserve"> which is </w:t>
      </w:r>
      <w:r w:rsidR="008F50BE" w:rsidRPr="00C66550">
        <w:t>6</w:t>
      </w:r>
      <w:r w:rsidR="00D220C9" w:rsidRPr="00C66550">
        <w:t>4</w:t>
      </w:r>
      <w:r w:rsidR="006333DD" w:rsidRPr="00C66550">
        <w:t xml:space="preserve">% </w:t>
      </w:r>
      <w:r w:rsidR="008F50BE" w:rsidRPr="00C66550">
        <w:t>below</w:t>
      </w:r>
      <w:r w:rsidR="006333DD" w:rsidRPr="00C66550">
        <w:t xml:space="preserve"> the Australian average. </w:t>
      </w:r>
    </w:p>
    <w:p w:rsidR="008F50BE" w:rsidRPr="00C66550" w:rsidRDefault="008F50BE" w:rsidP="006333DD">
      <w:pPr>
        <w:pStyle w:val="BodyText"/>
      </w:pPr>
    </w:p>
    <w:p w:rsidR="003E7A80" w:rsidRPr="00C66550" w:rsidRDefault="00D410EE" w:rsidP="006333DD">
      <w:pPr>
        <w:pStyle w:val="BodyText"/>
      </w:pPr>
      <w:r w:rsidRPr="00C66550">
        <w:t>The</w:t>
      </w:r>
      <w:r w:rsidR="006333DD" w:rsidRPr="00C66550">
        <w:t>s</w:t>
      </w:r>
      <w:r w:rsidRPr="00C66550">
        <w:t>e data reflect</w:t>
      </w:r>
      <w:r w:rsidR="006333DD" w:rsidRPr="00C66550">
        <w:t xml:space="preserve"> the relatively </w:t>
      </w:r>
      <w:r w:rsidR="00CD5A81" w:rsidRPr="00C66550">
        <w:t>underdevelop</w:t>
      </w:r>
      <w:r w:rsidR="008F50BE" w:rsidRPr="00C66550">
        <w:t xml:space="preserve">ed </w:t>
      </w:r>
      <w:r w:rsidR="005C4C47" w:rsidRPr="00C66550">
        <w:t xml:space="preserve">resource </w:t>
      </w:r>
      <w:r w:rsidR="006333DD" w:rsidRPr="00C66550">
        <w:t>recovery industry</w:t>
      </w:r>
      <w:r w:rsidR="008F50BE" w:rsidRPr="00C66550">
        <w:t xml:space="preserve"> in </w:t>
      </w:r>
      <w:r w:rsidR="00DF4FB7">
        <w:t>Tas</w:t>
      </w:r>
      <w:r w:rsidR="00575602">
        <w:t xml:space="preserve"> </w:t>
      </w:r>
      <w:r w:rsidR="006333DD" w:rsidRPr="00C66550">
        <w:t xml:space="preserve">for </w:t>
      </w:r>
      <w:r w:rsidR="008F50BE" w:rsidRPr="00C66550">
        <w:t xml:space="preserve">all streams and in particular for C&amp;D </w:t>
      </w:r>
      <w:r w:rsidR="005C4C47" w:rsidRPr="00C66550">
        <w:t>waste</w:t>
      </w:r>
      <w:r w:rsidR="008F50BE" w:rsidRPr="00C66550">
        <w:t xml:space="preserve">. </w:t>
      </w:r>
      <w:r w:rsidR="003E7A80" w:rsidRPr="00C66550">
        <w:t>D</w:t>
      </w:r>
      <w:r w:rsidRPr="00C66550">
        <w:t>uring consultation with</w:t>
      </w:r>
      <w:r w:rsidR="00575602">
        <w:t xml:space="preserve"> the </w:t>
      </w:r>
      <w:r w:rsidR="00DF4FB7">
        <w:t>Tas</w:t>
      </w:r>
      <w:r w:rsidRPr="00C66550">
        <w:t xml:space="preserve"> G</w:t>
      </w:r>
      <w:r w:rsidR="003E7A80" w:rsidRPr="00C66550">
        <w:t>overnment, it was noted that the</w:t>
      </w:r>
      <w:r w:rsidRPr="00C66550">
        <w:t xml:space="preserve"> definition of</w:t>
      </w:r>
      <w:r w:rsidR="003E7A80" w:rsidRPr="00C66550">
        <w:t xml:space="preserve"> ‘clean fill’ in </w:t>
      </w:r>
      <w:r w:rsidR="00DF4FB7">
        <w:t>Tas</w:t>
      </w:r>
      <w:r w:rsidR="00575602">
        <w:t xml:space="preserve"> </w:t>
      </w:r>
      <w:r w:rsidR="003E7A80" w:rsidRPr="00C66550">
        <w:t xml:space="preserve">is broader than other </w:t>
      </w:r>
      <w:r w:rsidR="00712455" w:rsidRPr="00C66550">
        <w:t>jurisdictions</w:t>
      </w:r>
      <w:r w:rsidR="003E7A80" w:rsidRPr="00C66550">
        <w:t xml:space="preserve"> and</w:t>
      </w:r>
      <w:r w:rsidRPr="00C66550">
        <w:t xml:space="preserve"> encompasses</w:t>
      </w:r>
      <w:r w:rsidR="003E7A80" w:rsidRPr="00C66550">
        <w:t xml:space="preserve"> includes some C&amp;D materials such as brick and concrete</w:t>
      </w:r>
      <w:r w:rsidRPr="00C66550">
        <w:t xml:space="preserve"> rubble</w:t>
      </w:r>
      <w:r w:rsidR="003E7A80" w:rsidRPr="00C66550">
        <w:t xml:space="preserve">. </w:t>
      </w:r>
      <w:r w:rsidRPr="00C66550">
        <w:t>This may partially explain the</w:t>
      </w:r>
      <w:r w:rsidR="00F74E95" w:rsidRPr="00C66550">
        <w:t xml:space="preserve"> </w:t>
      </w:r>
      <w:r w:rsidR="003E7A80" w:rsidRPr="00C66550">
        <w:t xml:space="preserve">very low C&amp;D </w:t>
      </w:r>
      <w:r w:rsidR="00F74E95" w:rsidRPr="00C66550">
        <w:t xml:space="preserve">generation </w:t>
      </w:r>
      <w:r w:rsidR="00385DE2" w:rsidRPr="00C66550">
        <w:t xml:space="preserve">tonnages </w:t>
      </w:r>
      <w:r w:rsidR="00F74E95" w:rsidRPr="00C66550">
        <w:t>in Tas</w:t>
      </w:r>
      <w:r w:rsidRPr="00C66550">
        <w:t>, since materials</w:t>
      </w:r>
      <w:r w:rsidR="00F74E95" w:rsidRPr="00C66550">
        <w:t xml:space="preserve"> </w:t>
      </w:r>
      <w:r w:rsidR="00385DE2" w:rsidRPr="00C66550">
        <w:t xml:space="preserve">are being sent </w:t>
      </w:r>
      <w:r w:rsidR="00F74E95" w:rsidRPr="00C66550">
        <w:t xml:space="preserve">to </w:t>
      </w:r>
      <w:r w:rsidR="00385DE2" w:rsidRPr="00C66550">
        <w:t>clean fill sites</w:t>
      </w:r>
      <w:r w:rsidRPr="00C66550">
        <w:t xml:space="preserve"> that do not report ‘waste’</w:t>
      </w:r>
      <w:r w:rsidR="003E7A80" w:rsidRPr="00C66550">
        <w:t>.</w:t>
      </w:r>
      <w:r w:rsidR="00E5424C" w:rsidRPr="00C66550">
        <w:t xml:space="preserve"> </w:t>
      </w:r>
      <w:r w:rsidR="00DF4FB7">
        <w:t>Tas</w:t>
      </w:r>
      <w:r w:rsidR="00575602">
        <w:t xml:space="preserve"> </w:t>
      </w:r>
      <w:r w:rsidR="00F74E95" w:rsidRPr="00C66550">
        <w:t xml:space="preserve">also noted that some </w:t>
      </w:r>
      <w:r w:rsidR="003E7A80" w:rsidRPr="00C66550">
        <w:t xml:space="preserve">C&amp;D </w:t>
      </w:r>
      <w:r w:rsidR="0087708D" w:rsidRPr="00C66550">
        <w:t xml:space="preserve">materials are crushed at </w:t>
      </w:r>
      <w:r w:rsidR="003E7A80" w:rsidRPr="00C66550">
        <w:t xml:space="preserve">two landfills </w:t>
      </w:r>
      <w:r w:rsidR="00F74E95" w:rsidRPr="00C66550">
        <w:t xml:space="preserve">that </w:t>
      </w:r>
      <w:r w:rsidR="003E7A80" w:rsidRPr="00C66550">
        <w:t xml:space="preserve">use </w:t>
      </w:r>
      <w:r w:rsidR="00F74E95" w:rsidRPr="00C66550">
        <w:t xml:space="preserve">the material </w:t>
      </w:r>
      <w:r w:rsidR="003E7A80" w:rsidRPr="00C66550">
        <w:t>on site</w:t>
      </w:r>
      <w:r w:rsidR="0087708D" w:rsidRPr="00C66550">
        <w:t xml:space="preserve"> for roads</w:t>
      </w:r>
      <w:r w:rsidR="003E7A80" w:rsidRPr="00C66550">
        <w:t>.</w:t>
      </w:r>
    </w:p>
    <w:p w:rsidR="006333DD" w:rsidRPr="00C66550" w:rsidRDefault="006333DD" w:rsidP="006D25F9">
      <w:pPr>
        <w:pStyle w:val="Heading3"/>
      </w:pPr>
      <w:r w:rsidRPr="00C66550">
        <w:t>Material categories</w:t>
      </w:r>
    </w:p>
    <w:p w:rsidR="006333DD" w:rsidRPr="00C66550" w:rsidRDefault="006333DD" w:rsidP="006333DD">
      <w:pPr>
        <w:pStyle w:val="BodyText"/>
      </w:pPr>
      <w:r w:rsidRPr="00C66550">
        <w:t xml:space="preserve">In </w:t>
      </w:r>
      <w:r w:rsidR="00DF4FB7">
        <w:t>Tas</w:t>
      </w:r>
      <w:r w:rsidR="00575602">
        <w:t xml:space="preserve">, </w:t>
      </w:r>
      <w:r w:rsidR="0025079A" w:rsidRPr="00C66550">
        <w:t>the</w:t>
      </w:r>
      <w:r w:rsidR="0087708D" w:rsidRPr="00C66550">
        <w:t xml:space="preserve"> bulk of</w:t>
      </w:r>
      <w:r w:rsidR="0025079A" w:rsidRPr="00C66550">
        <w:t xml:space="preserve"> </w:t>
      </w:r>
      <w:r w:rsidR="0087708D" w:rsidRPr="00C66550">
        <w:t xml:space="preserve">reported </w:t>
      </w:r>
      <w:r w:rsidR="0025079A" w:rsidRPr="00C66550">
        <w:t xml:space="preserve">waste </w:t>
      </w:r>
      <w:r w:rsidR="0087708D" w:rsidRPr="00C66550">
        <w:t xml:space="preserve">is </w:t>
      </w:r>
      <w:r w:rsidR="008F50BE" w:rsidRPr="00C66550">
        <w:t>organics</w:t>
      </w:r>
      <w:r w:rsidR="0087708D" w:rsidRPr="00C66550">
        <w:t xml:space="preserve"> and paper and cardboard</w:t>
      </w:r>
      <w:r w:rsidR="008F50BE" w:rsidRPr="00C66550">
        <w:t>.</w:t>
      </w:r>
      <w:r w:rsidRPr="00C66550">
        <w:t xml:space="preserve"> The resource recovery rates for most material categories are well </w:t>
      </w:r>
      <w:r w:rsidR="008F50BE" w:rsidRPr="00C66550">
        <w:t xml:space="preserve">below </w:t>
      </w:r>
      <w:r w:rsidRPr="00C66550">
        <w:t xml:space="preserve">the national </w:t>
      </w:r>
      <w:r w:rsidR="008F50BE" w:rsidRPr="00C66550">
        <w:t>average (with the exception of glass).</w:t>
      </w:r>
    </w:p>
    <w:p w:rsidR="005879F5" w:rsidRPr="00C66550" w:rsidRDefault="005879F5" w:rsidP="00FB4820">
      <w:pPr>
        <w:pStyle w:val="Figures"/>
      </w:pPr>
    </w:p>
    <w:p w:rsidR="0087708D" w:rsidRPr="00C66550" w:rsidRDefault="0087708D" w:rsidP="00FB4820">
      <w:pPr>
        <w:pStyle w:val="Figures"/>
      </w:pPr>
    </w:p>
    <w:p w:rsidR="0087708D" w:rsidRPr="00C66550" w:rsidRDefault="0087708D" w:rsidP="00FB4820">
      <w:pPr>
        <w:pStyle w:val="Figures"/>
      </w:pPr>
    </w:p>
    <w:p w:rsidR="0087708D" w:rsidRPr="00C66550" w:rsidRDefault="0087708D" w:rsidP="00FB4820">
      <w:pPr>
        <w:pStyle w:val="Figures"/>
      </w:pPr>
    </w:p>
    <w:p w:rsidR="0087708D" w:rsidRPr="00C66550" w:rsidRDefault="0087708D" w:rsidP="00FB4820">
      <w:pPr>
        <w:pStyle w:val="Figures"/>
      </w:pPr>
    </w:p>
    <w:p w:rsidR="00575621" w:rsidRPr="00C66550" w:rsidRDefault="00575621" w:rsidP="00FB4820">
      <w:pPr>
        <w:pStyle w:val="Figures"/>
      </w:pPr>
    </w:p>
    <w:p w:rsidR="00627520" w:rsidRPr="00C66550" w:rsidRDefault="00627520" w:rsidP="00FB4820">
      <w:pPr>
        <w:pStyle w:val="Figures"/>
        <w:rPr>
          <w:noProof/>
          <w:lang w:eastAsia="en-AU"/>
        </w:rPr>
      </w:pPr>
      <w:bookmarkStart w:id="152" w:name="_Ref349166632"/>
      <w:bookmarkStart w:id="153" w:name="_Toc365385041"/>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32</w:t>
      </w:r>
      <w:r w:rsidR="0062001A" w:rsidRPr="00C66550">
        <w:rPr>
          <w:noProof/>
        </w:rPr>
        <w:fldChar w:fldCharType="end"/>
      </w:r>
      <w:bookmarkEnd w:id="152"/>
      <w:r w:rsidR="00E533BB" w:rsidRPr="00C66550">
        <w:t>:</w:t>
      </w:r>
      <w:r w:rsidR="00E533BB" w:rsidRPr="00C66550">
        <w:tab/>
      </w:r>
      <w:r w:rsidR="004E354D" w:rsidRPr="00C66550">
        <w:t>Tas</w:t>
      </w:r>
      <w:r w:rsidRPr="00C66550">
        <w:t xml:space="preserve"> 2010/11</w:t>
      </w:r>
      <w:r w:rsidR="000D7C2B">
        <w:t>, total waste generation</w:t>
      </w:r>
      <w:r w:rsidR="003A7FCE" w:rsidRPr="00C66550">
        <w:t xml:space="preserve"> by</w:t>
      </w:r>
      <w:r w:rsidR="003A7FCE">
        <w:t>:</w:t>
      </w:r>
      <w:r w:rsidR="003A7FCE" w:rsidRPr="00C66550">
        <w:t xml:space="preserve"> (a) management (b) waste stream and management</w:t>
      </w:r>
      <w:r w:rsidR="000D7C2B">
        <w:t xml:space="preserve"> (c)</w:t>
      </w:r>
      <w:r w:rsidR="003A7FCE" w:rsidRPr="00C66550">
        <w:t xml:space="preserve"> material category and management</w:t>
      </w:r>
      <w:bookmarkEnd w:id="153"/>
    </w:p>
    <w:p w:rsidR="00627520" w:rsidRPr="00C66550" w:rsidRDefault="00575621" w:rsidP="00E93926">
      <w:pPr>
        <w:pStyle w:val="BodyText"/>
      </w:pPr>
      <w:r w:rsidRPr="00C66550">
        <w:rPr>
          <w:noProof/>
          <w:lang w:eastAsia="en-AU"/>
        </w:rPr>
        <w:lastRenderedPageBreak/>
        <w:drawing>
          <wp:anchor distT="0" distB="0" distL="114300" distR="114300" simplePos="0" relativeHeight="251685888" behindDoc="0" locked="0" layoutInCell="1" allowOverlap="1">
            <wp:simplePos x="0" y="0"/>
            <wp:positionH relativeFrom="column">
              <wp:posOffset>5080</wp:posOffset>
            </wp:positionH>
            <wp:positionV relativeFrom="paragraph">
              <wp:posOffset>6350</wp:posOffset>
            </wp:positionV>
            <wp:extent cx="4142740" cy="273304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2740" cy="2733040"/>
                    </a:xfrm>
                    <a:prstGeom prst="rect">
                      <a:avLst/>
                    </a:prstGeom>
                  </pic:spPr>
                </pic:pic>
              </a:graphicData>
            </a:graphic>
          </wp:anchor>
        </w:drawing>
      </w:r>
    </w:p>
    <w:p w:rsidR="00A645A3" w:rsidRPr="00C66550" w:rsidRDefault="00A645A3" w:rsidP="00E93926">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575621" w:rsidRPr="00C66550" w:rsidRDefault="006333DD" w:rsidP="00575621">
      <w:pPr>
        <w:pStyle w:val="BodyText"/>
      </w:pPr>
      <w:r w:rsidRPr="00C66550">
        <w:rPr>
          <w:noProof/>
          <w:lang w:eastAsia="en-AU"/>
        </w:rPr>
        <w:drawing>
          <wp:anchor distT="0" distB="0" distL="114300" distR="114300" simplePos="0" relativeHeight="251728896" behindDoc="0" locked="0" layoutInCell="1" allowOverlap="1">
            <wp:simplePos x="0" y="0"/>
            <wp:positionH relativeFrom="column">
              <wp:posOffset>-4153535</wp:posOffset>
            </wp:positionH>
            <wp:positionV relativeFrom="paragraph">
              <wp:posOffset>635</wp:posOffset>
            </wp:positionV>
            <wp:extent cx="4305300" cy="2889885"/>
            <wp:effectExtent l="0" t="0" r="0" b="571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5300" cy="2889885"/>
                    </a:xfrm>
                    <a:prstGeom prst="rect">
                      <a:avLst/>
                    </a:prstGeom>
                  </pic:spPr>
                </pic:pic>
              </a:graphicData>
            </a:graphic>
          </wp:anchor>
        </w:drawing>
      </w:r>
    </w:p>
    <w:p w:rsidR="00575621" w:rsidRPr="00C66550" w:rsidRDefault="00575621" w:rsidP="00575621">
      <w:pPr>
        <w:pStyle w:val="BodyText"/>
      </w:pPr>
    </w:p>
    <w:p w:rsidR="00575621" w:rsidRPr="00C66550" w:rsidRDefault="00575621" w:rsidP="00575621">
      <w:pPr>
        <w:pStyle w:val="BodyText"/>
      </w:pPr>
    </w:p>
    <w:p w:rsidR="00575621" w:rsidRPr="00C66550" w:rsidRDefault="00575621"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p>
    <w:p w:rsidR="006333DD" w:rsidRPr="00C66550" w:rsidRDefault="006333DD" w:rsidP="00575621">
      <w:pPr>
        <w:pStyle w:val="BodyText"/>
      </w:pPr>
      <w:r w:rsidRPr="00C66550">
        <w:rPr>
          <w:noProof/>
          <w:lang w:eastAsia="en-AU"/>
        </w:rPr>
        <w:drawing>
          <wp:anchor distT="0" distB="0" distL="114300" distR="114300" simplePos="0" relativeHeight="251729920" behindDoc="0" locked="0" layoutInCell="1" allowOverlap="1">
            <wp:simplePos x="0" y="0"/>
            <wp:positionH relativeFrom="column">
              <wp:posOffset>-4696460</wp:posOffset>
            </wp:positionH>
            <wp:positionV relativeFrom="paragraph">
              <wp:posOffset>275590</wp:posOffset>
            </wp:positionV>
            <wp:extent cx="6405880" cy="25622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5880" cy="2562225"/>
                    </a:xfrm>
                    <a:prstGeom prst="rect">
                      <a:avLst/>
                    </a:prstGeom>
                  </pic:spPr>
                </pic:pic>
              </a:graphicData>
            </a:graphic>
          </wp:anchor>
        </w:drawing>
      </w:r>
    </w:p>
    <w:p w:rsidR="00A645A3" w:rsidRPr="00C66550" w:rsidRDefault="00DF4FB7" w:rsidP="006D25F9">
      <w:pPr>
        <w:pStyle w:val="Heading2"/>
      </w:pPr>
      <w:bookmarkStart w:id="154" w:name="_Toc379466378"/>
      <w:r>
        <w:t>Tas</w:t>
      </w:r>
      <w:r w:rsidR="00575602">
        <w:t xml:space="preserve"> </w:t>
      </w:r>
      <w:r w:rsidR="00A645A3" w:rsidRPr="00C66550">
        <w:t xml:space="preserve">trends </w:t>
      </w:r>
      <w:r w:rsidR="00081CFB" w:rsidRPr="00C66550">
        <w:t>2006/07 to 2010/11</w:t>
      </w:r>
      <w:bookmarkEnd w:id="154"/>
      <w:r w:rsidR="00A645A3" w:rsidRPr="00C66550">
        <w:t xml:space="preserve"> </w:t>
      </w:r>
    </w:p>
    <w:p w:rsidR="00643368" w:rsidRPr="00C66550" w:rsidRDefault="0062001A" w:rsidP="00AC6D60">
      <w:pPr>
        <w:pStyle w:val="BodyText"/>
      </w:pPr>
      <w:r w:rsidRPr="00C66550">
        <w:lastRenderedPageBreak/>
        <w:fldChar w:fldCharType="begin"/>
      </w:r>
      <w:r w:rsidR="00AB7628" w:rsidRPr="00C66550">
        <w:instrText xml:space="preserve"> REF _Ref355037879 \h </w:instrText>
      </w:r>
      <w:r w:rsidRPr="00C66550">
        <w:fldChar w:fldCharType="separate"/>
      </w:r>
      <w:r w:rsidR="00D96003" w:rsidRPr="00C66550">
        <w:t xml:space="preserve">Figure </w:t>
      </w:r>
      <w:r w:rsidR="00D96003">
        <w:rPr>
          <w:noProof/>
        </w:rPr>
        <w:t>33</w:t>
      </w:r>
      <w:r w:rsidRPr="00C66550">
        <w:fldChar w:fldCharType="end"/>
      </w:r>
      <w:r w:rsidR="00CC6448" w:rsidRPr="00C66550">
        <w:t xml:space="preserve"> </w:t>
      </w:r>
      <w:r w:rsidR="00643368" w:rsidRPr="00C66550">
        <w:t xml:space="preserve">shows the </w:t>
      </w:r>
      <w:r w:rsidR="00643368" w:rsidRPr="00C66550">
        <w:rPr>
          <w:b/>
        </w:rPr>
        <w:t>per capita</w:t>
      </w:r>
      <w:r w:rsidR="0087708D" w:rsidRPr="00C66550">
        <w:t xml:space="preserve"> trends in</w:t>
      </w:r>
      <w:r w:rsidR="00643368" w:rsidRPr="00C66550">
        <w:t xml:space="preserve"> </w:t>
      </w:r>
      <w:r w:rsidR="00E651B1" w:rsidRPr="00C66550">
        <w:t>wa</w:t>
      </w:r>
      <w:r w:rsidR="00643368" w:rsidRPr="00C66550">
        <w:t xml:space="preserve">ste generation </w:t>
      </w:r>
      <w:r w:rsidR="0087708D" w:rsidRPr="00C66550">
        <w:t xml:space="preserve">and management </w:t>
      </w:r>
      <w:r w:rsidR="00643368" w:rsidRPr="00C66550">
        <w:t>for the</w:t>
      </w:r>
      <w:r w:rsidR="0025079A" w:rsidRPr="00C66550">
        <w:t xml:space="preserve"> period</w:t>
      </w:r>
      <w:r w:rsidR="00643368" w:rsidRPr="00C66550">
        <w:t xml:space="preserve"> 2006/07</w:t>
      </w:r>
      <w:r w:rsidR="0025079A" w:rsidRPr="00C66550">
        <w:t xml:space="preserve"> to </w:t>
      </w:r>
      <w:r w:rsidR="00643368" w:rsidRPr="00C66550">
        <w:t xml:space="preserve">2010/11 for </w:t>
      </w:r>
      <w:r w:rsidR="00DF4FB7">
        <w:t>Tas</w:t>
      </w:r>
      <w:r w:rsidR="00643368" w:rsidRPr="00C66550">
        <w:t>.</w:t>
      </w:r>
      <w:r w:rsidR="00FF12A8" w:rsidRPr="00C66550">
        <w:t xml:space="preserve"> </w:t>
      </w:r>
    </w:p>
    <w:p w:rsidR="00643368" w:rsidRPr="00C66550" w:rsidRDefault="00643368" w:rsidP="00AC6D60">
      <w:pPr>
        <w:pStyle w:val="BodyText"/>
      </w:pPr>
    </w:p>
    <w:p w:rsidR="00E651B1" w:rsidRPr="00C66550" w:rsidRDefault="00E651B1" w:rsidP="00FB4820">
      <w:pPr>
        <w:pStyle w:val="Figures"/>
        <w:rPr>
          <w:noProof/>
          <w:lang w:eastAsia="en-AU"/>
        </w:rPr>
      </w:pPr>
      <w:bookmarkStart w:id="155" w:name="_Ref355037879"/>
      <w:bookmarkStart w:id="156" w:name="_Toc365385042"/>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33</w:t>
      </w:r>
      <w:r w:rsidR="0062001A" w:rsidRPr="00C66550">
        <w:rPr>
          <w:noProof/>
        </w:rPr>
        <w:fldChar w:fldCharType="end"/>
      </w:r>
      <w:bookmarkEnd w:id="155"/>
      <w:r w:rsidRPr="00C66550">
        <w:t>:</w:t>
      </w:r>
      <w:r w:rsidRPr="00C66550">
        <w:tab/>
      </w:r>
      <w:r w:rsidR="002E2ED8" w:rsidRPr="00C66550">
        <w:t xml:space="preserve">Trends in per capita waste generation and management, </w:t>
      </w:r>
      <w:r w:rsidR="00575602">
        <w:t xml:space="preserve">Tas </w:t>
      </w:r>
      <w:r w:rsidR="002E2ED8" w:rsidRPr="00C66550">
        <w:t>2006/07 to 2010/11</w:t>
      </w:r>
      <w:bookmarkEnd w:id="156"/>
      <w:r w:rsidRPr="00C66550">
        <w:t xml:space="preserve"> </w:t>
      </w:r>
    </w:p>
    <w:p w:rsidR="00E651B1" w:rsidRPr="00C66550" w:rsidRDefault="00E651B1" w:rsidP="00E651B1">
      <w:pPr>
        <w:pStyle w:val="BodyText"/>
      </w:pPr>
      <w:r w:rsidRPr="00C66550">
        <w:rPr>
          <w:noProof/>
          <w:lang w:eastAsia="en-AU"/>
        </w:rPr>
        <w:drawing>
          <wp:anchor distT="0" distB="0" distL="114300" distR="114300" simplePos="0" relativeHeight="251789312" behindDoc="0" locked="0" layoutInCell="1" allowOverlap="1">
            <wp:simplePos x="0" y="0"/>
            <wp:positionH relativeFrom="column">
              <wp:posOffset>196215</wp:posOffset>
            </wp:positionH>
            <wp:positionV relativeFrom="paragraph">
              <wp:posOffset>160655</wp:posOffset>
            </wp:positionV>
            <wp:extent cx="5231130" cy="2947670"/>
            <wp:effectExtent l="0" t="0" r="762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1130" cy="2947670"/>
                    </a:xfrm>
                    <a:prstGeom prst="rect">
                      <a:avLst/>
                    </a:prstGeom>
                  </pic:spPr>
                </pic:pic>
              </a:graphicData>
            </a:graphic>
          </wp:anchor>
        </w:drawing>
      </w: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8A02CF" w:rsidRPr="00C66550" w:rsidRDefault="008A02CF" w:rsidP="00AC6D60">
      <w:pPr>
        <w:pStyle w:val="BodyText"/>
      </w:pPr>
    </w:p>
    <w:p w:rsidR="008A02CF" w:rsidRPr="00C66550" w:rsidRDefault="008A02CF" w:rsidP="00AC6D60">
      <w:pPr>
        <w:pStyle w:val="BodyText"/>
      </w:pPr>
    </w:p>
    <w:p w:rsidR="00E651B1" w:rsidRPr="00C66550" w:rsidRDefault="00E651B1" w:rsidP="00AC6D60">
      <w:pPr>
        <w:pStyle w:val="BodyText"/>
      </w:pPr>
    </w:p>
    <w:p w:rsidR="00CC727C" w:rsidRPr="00C66550" w:rsidRDefault="00CC727C" w:rsidP="00AC6D60">
      <w:pPr>
        <w:pStyle w:val="BodyText"/>
      </w:pPr>
    </w:p>
    <w:p w:rsidR="00CC727C" w:rsidRPr="00C66550" w:rsidRDefault="00CC727C" w:rsidP="00AC6D60">
      <w:pPr>
        <w:pStyle w:val="BodyText"/>
      </w:pPr>
    </w:p>
    <w:p w:rsidR="0087708D" w:rsidRPr="00C66550" w:rsidRDefault="0087708D" w:rsidP="00AC6D60">
      <w:pPr>
        <w:pStyle w:val="BodyText"/>
      </w:pPr>
    </w:p>
    <w:p w:rsidR="00643368" w:rsidRPr="00C66550" w:rsidRDefault="00643368" w:rsidP="00AC6D60">
      <w:pPr>
        <w:pStyle w:val="BodyText"/>
      </w:pPr>
      <w:r w:rsidRPr="00C66550">
        <w:t>Over the</w:t>
      </w:r>
      <w:r w:rsidR="006F2CE3" w:rsidRPr="00C66550">
        <w:t xml:space="preserve"> </w:t>
      </w:r>
      <w:r w:rsidRPr="00C66550">
        <w:t>period</w:t>
      </w:r>
      <w:r w:rsidR="0087708D" w:rsidRPr="00C66550">
        <w:t>,</w:t>
      </w:r>
      <w:r w:rsidRPr="00C66550">
        <w:t xml:space="preserve"> the following </w:t>
      </w:r>
      <w:r w:rsidR="003D0ED6" w:rsidRPr="00C66550">
        <w:rPr>
          <w:b/>
        </w:rPr>
        <w:t>per capita</w:t>
      </w:r>
      <w:r w:rsidRPr="00C66550">
        <w:t xml:space="preserve"> trends</w:t>
      </w:r>
      <w:r w:rsidR="0025079A" w:rsidRPr="00C66550">
        <w:t xml:space="preserve"> in Tas</w:t>
      </w:r>
      <w:r w:rsidRPr="00C66550">
        <w:t xml:space="preserve"> are illustrated:</w:t>
      </w:r>
    </w:p>
    <w:p w:rsidR="003B615E" w:rsidRPr="00C66550" w:rsidRDefault="0025079A" w:rsidP="004201C6">
      <w:pPr>
        <w:pStyle w:val="Bullet1"/>
      </w:pPr>
      <w:r w:rsidRPr="00C66550">
        <w:t xml:space="preserve">Waste </w:t>
      </w:r>
      <w:r w:rsidR="00643368" w:rsidRPr="00C66550">
        <w:t xml:space="preserve">generation </w:t>
      </w:r>
      <w:r w:rsidR="003B615E" w:rsidRPr="00C66550">
        <w:t xml:space="preserve">decreased between </w:t>
      </w:r>
      <w:r w:rsidRPr="00C66550">
        <w:t>20</w:t>
      </w:r>
      <w:r w:rsidR="003B615E" w:rsidRPr="00C66550">
        <w:t xml:space="preserve">06/07 and </w:t>
      </w:r>
      <w:r w:rsidRPr="00C66550">
        <w:t>20</w:t>
      </w:r>
      <w:r w:rsidR="003B615E" w:rsidRPr="00C66550">
        <w:t>08/09</w:t>
      </w:r>
      <w:r w:rsidRPr="00C66550">
        <w:t xml:space="preserve"> but increased thereafter, resulting in </w:t>
      </w:r>
      <w:r w:rsidR="003B615E" w:rsidRPr="00C66550">
        <w:t>an overall increase of 10%</w:t>
      </w:r>
      <w:r w:rsidR="00775CB6" w:rsidRPr="00C66550">
        <w:t>.</w:t>
      </w:r>
    </w:p>
    <w:p w:rsidR="008A02CF" w:rsidRPr="00C66550" w:rsidRDefault="008A02CF" w:rsidP="008A02CF">
      <w:pPr>
        <w:pStyle w:val="Bullet1"/>
      </w:pPr>
      <w:r w:rsidRPr="00C66550">
        <w:t>The resource recovery rate increased significantly from 22% to 33% between 06/07 and 10/11</w:t>
      </w:r>
      <w:r w:rsidR="0087708D" w:rsidRPr="00C66550">
        <w:t>.</w:t>
      </w:r>
    </w:p>
    <w:p w:rsidR="004E4374" w:rsidRPr="00C66550" w:rsidRDefault="0025079A" w:rsidP="004201C6">
      <w:pPr>
        <w:pStyle w:val="Bullet1"/>
      </w:pPr>
      <w:r w:rsidRPr="00C66550">
        <w:t xml:space="preserve">Recycling </w:t>
      </w:r>
      <w:r w:rsidR="00643368" w:rsidRPr="00C66550">
        <w:t xml:space="preserve">increased </w:t>
      </w:r>
      <w:r w:rsidR="003B615E" w:rsidRPr="00C66550">
        <w:t>dramatically by 89</w:t>
      </w:r>
      <w:r w:rsidR="00643368" w:rsidRPr="00C66550">
        <w:t xml:space="preserve">% </w:t>
      </w:r>
      <w:r w:rsidR="00ED1F2A">
        <w:t>in four</w:t>
      </w:r>
      <w:r w:rsidR="006F2CE3" w:rsidRPr="00C66550">
        <w:t xml:space="preserve"> year</w:t>
      </w:r>
      <w:r w:rsidR="003B615E" w:rsidRPr="00C66550">
        <w:t>s</w:t>
      </w:r>
      <w:r w:rsidR="0087708D" w:rsidRPr="00C66550">
        <w:t xml:space="preserve">, mainly due to </w:t>
      </w:r>
      <w:r w:rsidR="004E4374" w:rsidRPr="00C66550">
        <w:t>organics</w:t>
      </w:r>
      <w:r w:rsidR="00564D3F" w:rsidRPr="00C66550">
        <w:t xml:space="preserve"> </w:t>
      </w:r>
      <w:r w:rsidR="004E4374" w:rsidRPr="00C66550">
        <w:t>recycling</w:t>
      </w:r>
      <w:r w:rsidRPr="00C66550">
        <w:t>, which</w:t>
      </w:r>
      <w:r w:rsidR="008B6D4C" w:rsidRPr="00C66550">
        <w:t xml:space="preserve"> </w:t>
      </w:r>
      <w:r w:rsidRPr="00C66550">
        <w:t xml:space="preserve">jumped significantly </w:t>
      </w:r>
      <w:r w:rsidR="004E4374" w:rsidRPr="00C66550">
        <w:t xml:space="preserve">in </w:t>
      </w:r>
      <w:r w:rsidRPr="00C66550">
        <w:t>20</w:t>
      </w:r>
      <w:r w:rsidR="004E4374" w:rsidRPr="00C66550">
        <w:t>0</w:t>
      </w:r>
      <w:r w:rsidR="00564D3F" w:rsidRPr="00C66550">
        <w:t>8</w:t>
      </w:r>
      <w:r w:rsidR="004E4374" w:rsidRPr="00C66550">
        <w:t>/</w:t>
      </w:r>
      <w:r w:rsidR="00564D3F" w:rsidRPr="00C66550">
        <w:t>09</w:t>
      </w:r>
      <w:r w:rsidR="004E4374" w:rsidRPr="00C66550">
        <w:t xml:space="preserve"> </w:t>
      </w:r>
      <w:r w:rsidRPr="00C66550">
        <w:t>to levels that have been maintained since.</w:t>
      </w:r>
      <w:r w:rsidR="008B6D4C" w:rsidRPr="00C66550">
        <w:t xml:space="preserve"> Consultation with </w:t>
      </w:r>
      <w:r w:rsidR="00DF4FB7">
        <w:t>Tas</w:t>
      </w:r>
      <w:r w:rsidR="00575602">
        <w:t xml:space="preserve"> </w:t>
      </w:r>
      <w:r w:rsidR="008B6D4C" w:rsidRPr="00C66550">
        <w:t xml:space="preserve">confirmed that the increase </w:t>
      </w:r>
      <w:r w:rsidR="00F85E18" w:rsidRPr="00C66550">
        <w:t>resulted from</w:t>
      </w:r>
      <w:r w:rsidR="008B6D4C" w:rsidRPr="00C66550">
        <w:t xml:space="preserve"> the inclusion of</w:t>
      </w:r>
      <w:r w:rsidR="00F85E18" w:rsidRPr="00C66550">
        <w:t xml:space="preserve"> waste tonnes from</w:t>
      </w:r>
      <w:r w:rsidR="008B6D4C" w:rsidRPr="00C66550">
        <w:t xml:space="preserve"> industrial secondary food processing (e.g. abattoir and rendering plants) that had previously not been reported</w:t>
      </w:r>
      <w:r w:rsidR="00F85E18" w:rsidRPr="00C66550">
        <w:rPr>
          <w:rStyle w:val="FootnoteReference"/>
        </w:rPr>
        <w:footnoteReference w:id="11"/>
      </w:r>
      <w:r w:rsidR="008B6D4C" w:rsidRPr="00C66550">
        <w:t>.</w:t>
      </w:r>
    </w:p>
    <w:p w:rsidR="00643368" w:rsidRPr="00C66550" w:rsidRDefault="00F85E18" w:rsidP="004201C6">
      <w:pPr>
        <w:pStyle w:val="Bullet1"/>
      </w:pPr>
      <w:r w:rsidRPr="00C66550">
        <w:t xml:space="preserve">Waste tonnages used for energy recovery </w:t>
      </w:r>
      <w:r w:rsidR="004E4374" w:rsidRPr="00C66550">
        <w:t xml:space="preserve">increased </w:t>
      </w:r>
      <w:r w:rsidR="009D6F68" w:rsidRPr="00C66550">
        <w:t xml:space="preserve">by </w:t>
      </w:r>
      <w:r w:rsidR="004E4374" w:rsidRPr="00C66550">
        <w:t>5</w:t>
      </w:r>
      <w:r w:rsidR="00643368" w:rsidRPr="00C66550">
        <w:t>%</w:t>
      </w:r>
      <w:r w:rsidR="0025079A" w:rsidRPr="00C66550">
        <w:t>.</w:t>
      </w:r>
    </w:p>
    <w:p w:rsidR="00643368" w:rsidRPr="00C66550" w:rsidRDefault="0025079A" w:rsidP="004201C6">
      <w:pPr>
        <w:pStyle w:val="Bullet1"/>
      </w:pPr>
      <w:r w:rsidRPr="00C66550">
        <w:t xml:space="preserve">Waste </w:t>
      </w:r>
      <w:r w:rsidR="004E4374" w:rsidRPr="00C66550">
        <w:t xml:space="preserve">disposal </w:t>
      </w:r>
      <w:r w:rsidR="00192C44" w:rsidRPr="00C66550">
        <w:t>decreased</w:t>
      </w:r>
      <w:r w:rsidR="004E4374" w:rsidRPr="00C66550">
        <w:t xml:space="preserve"> </w:t>
      </w:r>
      <w:r w:rsidR="00192C44" w:rsidRPr="00C66550">
        <w:t>by 5</w:t>
      </w:r>
      <w:r w:rsidR="00643368" w:rsidRPr="00C66550">
        <w:t xml:space="preserve">% </w:t>
      </w:r>
      <w:r w:rsidR="00ED1F2A">
        <w:t>in four</w:t>
      </w:r>
      <w:r w:rsidR="006F2CE3" w:rsidRPr="00C66550">
        <w:t xml:space="preserve"> year</w:t>
      </w:r>
      <w:r w:rsidR="004E4374" w:rsidRPr="00C66550">
        <w:t>s</w:t>
      </w:r>
      <w:r w:rsidR="00643368" w:rsidRPr="00C66550">
        <w:t xml:space="preserve">. </w:t>
      </w:r>
    </w:p>
    <w:p w:rsidR="00FE0AFB" w:rsidRPr="00C66550" w:rsidRDefault="00FE0AFB">
      <w:pPr>
        <w:spacing w:line="240" w:lineRule="auto"/>
        <w:rPr>
          <w:color w:val="080808"/>
          <w:sz w:val="22"/>
        </w:rPr>
      </w:pPr>
      <w:r w:rsidRPr="00C66550">
        <w:br w:type="page"/>
      </w:r>
    </w:p>
    <w:p w:rsidR="00E651B1" w:rsidRDefault="0062001A" w:rsidP="00E651B1">
      <w:pPr>
        <w:pStyle w:val="BodyText"/>
      </w:pPr>
      <w:r w:rsidRPr="00C66550">
        <w:lastRenderedPageBreak/>
        <w:fldChar w:fldCharType="begin"/>
      </w:r>
      <w:r w:rsidR="00E651B1" w:rsidRPr="00C66550">
        <w:instrText xml:space="preserve"> REF _Ref355037113 \h </w:instrText>
      </w:r>
      <w:r w:rsidRPr="00C66550">
        <w:fldChar w:fldCharType="separate"/>
      </w:r>
      <w:r w:rsidR="00D96003" w:rsidRPr="00C66550">
        <w:t xml:space="preserve">Figure </w:t>
      </w:r>
      <w:r w:rsidR="00D96003">
        <w:rPr>
          <w:noProof/>
        </w:rPr>
        <w:t>34</w:t>
      </w:r>
      <w:r w:rsidRPr="00C66550">
        <w:fldChar w:fldCharType="end"/>
      </w:r>
      <w:r w:rsidR="00E651B1" w:rsidRPr="00C66550">
        <w:t xml:space="preserve"> shows the</w:t>
      </w:r>
      <w:r w:rsidR="00F85E18" w:rsidRPr="00C66550">
        <w:t xml:space="preserve"> trends in</w:t>
      </w:r>
      <w:r w:rsidR="00FE0AFB" w:rsidRPr="00C66550">
        <w:t xml:space="preserve"> total </w:t>
      </w:r>
      <w:r w:rsidR="00E651B1" w:rsidRPr="00C66550">
        <w:t>waste generation</w:t>
      </w:r>
      <w:r w:rsidR="00F85E18" w:rsidRPr="00C66550">
        <w:t xml:space="preserve"> and management</w:t>
      </w:r>
      <w:r w:rsidR="00E651B1" w:rsidRPr="00C66550">
        <w:t xml:space="preserve"> for the period 2006/07 to 2010/11 for </w:t>
      </w:r>
      <w:r w:rsidR="00DF4FB7">
        <w:t>Tas</w:t>
      </w:r>
      <w:r w:rsidR="00F240AC">
        <w:t>.</w:t>
      </w:r>
    </w:p>
    <w:p w:rsidR="00132749" w:rsidRPr="00C66550" w:rsidRDefault="00132749" w:rsidP="00E651B1">
      <w:pPr>
        <w:pStyle w:val="BodyText"/>
      </w:pPr>
    </w:p>
    <w:p w:rsidR="00132749" w:rsidRPr="00C66550" w:rsidRDefault="00132749" w:rsidP="00132749">
      <w:pPr>
        <w:pStyle w:val="Figures"/>
        <w:rPr>
          <w:noProof/>
          <w:lang w:eastAsia="en-AU"/>
        </w:rPr>
      </w:pPr>
      <w:bookmarkStart w:id="157" w:name="_Ref355037113"/>
      <w:bookmarkStart w:id="158" w:name="_Toc365385043"/>
      <w:r w:rsidRPr="00C66550">
        <w:t xml:space="preserve">Figure </w:t>
      </w:r>
      <w:r w:rsidR="0062001A">
        <w:fldChar w:fldCharType="begin"/>
      </w:r>
      <w:r w:rsidR="00D30041">
        <w:instrText xml:space="preserve"> SEQ Figure \* ARABIC </w:instrText>
      </w:r>
      <w:r w:rsidR="0062001A">
        <w:fldChar w:fldCharType="separate"/>
      </w:r>
      <w:r w:rsidR="00D96003">
        <w:rPr>
          <w:noProof/>
        </w:rPr>
        <w:t>34</w:t>
      </w:r>
      <w:r w:rsidR="0062001A">
        <w:rPr>
          <w:noProof/>
        </w:rPr>
        <w:fldChar w:fldCharType="end"/>
      </w:r>
      <w:bookmarkEnd w:id="157"/>
      <w:r w:rsidRPr="00C66550">
        <w:t>:</w:t>
      </w:r>
      <w:r w:rsidRPr="00C66550">
        <w:tab/>
        <w:t xml:space="preserve">Trends in total waste generation and management, </w:t>
      </w:r>
      <w:r>
        <w:t xml:space="preserve">Tas </w:t>
      </w:r>
      <w:r w:rsidRPr="00C66550">
        <w:t>2006/07 to 2010/11</w:t>
      </w:r>
      <w:bookmarkEnd w:id="158"/>
    </w:p>
    <w:p w:rsidR="00E651B1" w:rsidRPr="00C66550" w:rsidRDefault="00E651B1" w:rsidP="00AC6D60">
      <w:pPr>
        <w:pStyle w:val="BodyText"/>
      </w:pPr>
      <w:r w:rsidRPr="00C66550">
        <w:rPr>
          <w:noProof/>
          <w:lang w:eastAsia="en-AU"/>
        </w:rPr>
        <w:drawing>
          <wp:anchor distT="0" distB="0" distL="114300" distR="114300" simplePos="0" relativeHeight="251788288" behindDoc="0" locked="0" layoutInCell="1" allowOverlap="1">
            <wp:simplePos x="0" y="0"/>
            <wp:positionH relativeFrom="column">
              <wp:posOffset>278130</wp:posOffset>
            </wp:positionH>
            <wp:positionV relativeFrom="paragraph">
              <wp:posOffset>59055</wp:posOffset>
            </wp:positionV>
            <wp:extent cx="5208270" cy="2933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8270" cy="2933700"/>
                    </a:xfrm>
                    <a:prstGeom prst="rect">
                      <a:avLst/>
                    </a:prstGeom>
                  </pic:spPr>
                </pic:pic>
              </a:graphicData>
            </a:graphic>
          </wp:anchor>
        </w:drawing>
      </w: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E651B1" w:rsidRPr="00C66550" w:rsidRDefault="00E651B1" w:rsidP="00AC6D60">
      <w:pPr>
        <w:pStyle w:val="BodyText"/>
      </w:pPr>
    </w:p>
    <w:p w:rsidR="009A0243" w:rsidRPr="00C66550" w:rsidRDefault="009A0243" w:rsidP="00AC6D60">
      <w:pPr>
        <w:pStyle w:val="BodyText"/>
      </w:pPr>
    </w:p>
    <w:p w:rsidR="009A0243" w:rsidRPr="00C66550" w:rsidRDefault="009A0243" w:rsidP="00AC6D60">
      <w:pPr>
        <w:pStyle w:val="BodyText"/>
      </w:pPr>
    </w:p>
    <w:p w:rsidR="00E651B1" w:rsidRPr="00C66550" w:rsidRDefault="00E651B1" w:rsidP="00AC6D60">
      <w:pPr>
        <w:pStyle w:val="BodyText"/>
      </w:pPr>
    </w:p>
    <w:p w:rsidR="00CC727C" w:rsidRPr="00C66550" w:rsidRDefault="00CC727C" w:rsidP="00AC6D60">
      <w:pPr>
        <w:pStyle w:val="BodyText"/>
      </w:pPr>
    </w:p>
    <w:p w:rsidR="00CC727C" w:rsidRPr="00C66550" w:rsidRDefault="00CC727C" w:rsidP="00AC6D60">
      <w:pPr>
        <w:pStyle w:val="BodyText"/>
      </w:pPr>
    </w:p>
    <w:p w:rsidR="00CC727C" w:rsidRPr="00C66550" w:rsidRDefault="00CC727C" w:rsidP="00AC6D60">
      <w:pPr>
        <w:pStyle w:val="BodyText"/>
      </w:pPr>
    </w:p>
    <w:p w:rsidR="00CC727C" w:rsidRPr="00C66550" w:rsidRDefault="00CC727C" w:rsidP="00AC6D60">
      <w:pPr>
        <w:pStyle w:val="BodyText"/>
      </w:pPr>
    </w:p>
    <w:p w:rsidR="00CC727C" w:rsidRPr="00C66550" w:rsidRDefault="00CC727C" w:rsidP="00AC6D60">
      <w:pPr>
        <w:pStyle w:val="BodyText"/>
      </w:pPr>
    </w:p>
    <w:p w:rsidR="00643368" w:rsidRPr="00C66550" w:rsidRDefault="00643368" w:rsidP="00AC6D60">
      <w:pPr>
        <w:pStyle w:val="BodyText"/>
      </w:pPr>
      <w:r w:rsidRPr="00C66550">
        <w:t>Over the</w:t>
      </w:r>
      <w:r w:rsidR="006F2CE3" w:rsidRPr="00C66550">
        <w:t xml:space="preserve"> </w:t>
      </w:r>
      <w:r w:rsidRPr="00C66550">
        <w:t xml:space="preserve">period the following </w:t>
      </w:r>
      <w:r w:rsidR="00AE63CE" w:rsidRPr="00C66550">
        <w:t xml:space="preserve">trends are illustrated in relation to </w:t>
      </w:r>
      <w:r w:rsidR="003D0ED6" w:rsidRPr="00C66550">
        <w:t>total</w:t>
      </w:r>
      <w:r w:rsidR="009D6F68" w:rsidRPr="00C66550">
        <w:t xml:space="preserve"> </w:t>
      </w:r>
      <w:r w:rsidR="00AE63CE" w:rsidRPr="00C66550">
        <w:t>waste tonnages</w:t>
      </w:r>
      <w:r w:rsidRPr="00C66550">
        <w:t>:</w:t>
      </w:r>
    </w:p>
    <w:p w:rsidR="00643368" w:rsidRPr="00C66550" w:rsidRDefault="00643368" w:rsidP="004201C6">
      <w:pPr>
        <w:pStyle w:val="Bullet1"/>
      </w:pPr>
      <w:r w:rsidRPr="00C66550">
        <w:t xml:space="preserve">waste generation increased by </w:t>
      </w:r>
      <w:r w:rsidR="004E4374" w:rsidRPr="00C66550">
        <w:t>14</w:t>
      </w:r>
      <w:r w:rsidRPr="00C66550">
        <w:t xml:space="preserve">% </w:t>
      </w:r>
    </w:p>
    <w:p w:rsidR="00643368" w:rsidRPr="00C66550" w:rsidRDefault="00643368" w:rsidP="004201C6">
      <w:pPr>
        <w:pStyle w:val="Bullet1"/>
      </w:pPr>
      <w:r w:rsidRPr="00C66550">
        <w:t xml:space="preserve">recycling </w:t>
      </w:r>
      <w:r w:rsidR="004E4374" w:rsidRPr="00C66550">
        <w:t>almost doubled increasing by 96</w:t>
      </w:r>
      <w:r w:rsidRPr="00C66550">
        <w:t>%</w:t>
      </w:r>
    </w:p>
    <w:p w:rsidR="00643368" w:rsidRPr="00C66550" w:rsidRDefault="00F85E18" w:rsidP="004201C6">
      <w:pPr>
        <w:pStyle w:val="Bullet1"/>
      </w:pPr>
      <w:r w:rsidRPr="00C66550">
        <w:t xml:space="preserve">waste tonnages used for </w:t>
      </w:r>
      <w:r w:rsidR="00643368" w:rsidRPr="00C66550">
        <w:t xml:space="preserve">energy recovery </w:t>
      </w:r>
      <w:r w:rsidR="004E4374" w:rsidRPr="00C66550">
        <w:t xml:space="preserve">increased </w:t>
      </w:r>
      <w:r w:rsidR="00643368" w:rsidRPr="00C66550">
        <w:t xml:space="preserve">by about </w:t>
      </w:r>
      <w:r w:rsidR="004E4374" w:rsidRPr="00C66550">
        <w:t xml:space="preserve">9% </w:t>
      </w:r>
    </w:p>
    <w:p w:rsidR="00643368" w:rsidRPr="00C66550" w:rsidRDefault="00643368" w:rsidP="004201C6">
      <w:pPr>
        <w:pStyle w:val="Bullet1"/>
      </w:pPr>
      <w:r w:rsidRPr="00C66550">
        <w:t xml:space="preserve">disposal </w:t>
      </w:r>
      <w:r w:rsidR="00564D3F" w:rsidRPr="00C66550">
        <w:t>decreased by 1</w:t>
      </w:r>
      <w:r w:rsidRPr="00C66550">
        <w:t xml:space="preserve">%. </w:t>
      </w:r>
    </w:p>
    <w:p w:rsidR="00DA65E2" w:rsidRPr="00C66550" w:rsidRDefault="00DA65E2" w:rsidP="00AC6D60">
      <w:pPr>
        <w:pStyle w:val="BodyText"/>
      </w:pPr>
    </w:p>
    <w:p w:rsidR="0010370E" w:rsidRPr="00C66550" w:rsidRDefault="0010370E" w:rsidP="00AC6D60">
      <w:pPr>
        <w:pStyle w:val="BodyText"/>
      </w:pPr>
      <w:bookmarkStart w:id="159" w:name="_Ref349168137"/>
    </w:p>
    <w:p w:rsidR="00DA65E2" w:rsidRPr="00C66550" w:rsidRDefault="00F85E18" w:rsidP="00F85E18">
      <w:pPr>
        <w:pStyle w:val="BodyText"/>
        <w:tabs>
          <w:tab w:val="left" w:pos="1306"/>
        </w:tabs>
      </w:pPr>
      <w:r w:rsidRPr="00C66550">
        <w:tab/>
      </w:r>
    </w:p>
    <w:bookmarkEnd w:id="159"/>
    <w:p w:rsidR="00A645A3" w:rsidRPr="00C66550" w:rsidRDefault="00A645A3">
      <w:pPr>
        <w:spacing w:line="240" w:lineRule="auto"/>
        <w:rPr>
          <w:color w:val="080808"/>
          <w:sz w:val="22"/>
        </w:rPr>
      </w:pPr>
      <w:r w:rsidRPr="00C66550">
        <w:br w:type="page"/>
      </w:r>
    </w:p>
    <w:p w:rsidR="00F11CC9" w:rsidRPr="00C66550" w:rsidRDefault="00777C18" w:rsidP="006D25F9">
      <w:pPr>
        <w:pStyle w:val="Heading1"/>
      </w:pPr>
      <w:bookmarkStart w:id="160" w:name="_Toc379466379"/>
      <w:r w:rsidRPr="00C66550">
        <w:lastRenderedPageBreak/>
        <w:t>Victoria</w:t>
      </w:r>
      <w:bookmarkEnd w:id="160"/>
      <w:r w:rsidR="005B71F7" w:rsidRPr="00C66550">
        <w:t xml:space="preserve"> </w:t>
      </w:r>
    </w:p>
    <w:p w:rsidR="00A645A3" w:rsidRPr="00C66550" w:rsidRDefault="00D85477" w:rsidP="006D25F9">
      <w:pPr>
        <w:pStyle w:val="Heading2"/>
      </w:pPr>
      <w:bookmarkStart w:id="161" w:name="_Toc379466380"/>
      <w:r>
        <w:t>Vic</w:t>
      </w:r>
      <w:r w:rsidR="00A645A3" w:rsidRPr="00C66550">
        <w:t xml:space="preserve"> 2010/11</w:t>
      </w:r>
      <w:bookmarkEnd w:id="161"/>
    </w:p>
    <w:p w:rsidR="00DA21C5" w:rsidRPr="00C66550" w:rsidRDefault="00DA21C5" w:rsidP="006D25F9">
      <w:pPr>
        <w:pStyle w:val="Heading3"/>
      </w:pPr>
      <w:r w:rsidRPr="00C66550">
        <w:t xml:space="preserve">Reconciliation with </w:t>
      </w:r>
      <w:r w:rsidR="00D85477">
        <w:t>Vic</w:t>
      </w:r>
      <w:r w:rsidRPr="00C66550">
        <w:t xml:space="preserve"> reported data</w:t>
      </w:r>
    </w:p>
    <w:p w:rsidR="00DA21C5" w:rsidRPr="00C66550" w:rsidRDefault="00DA21C5" w:rsidP="00DA21C5">
      <w:pPr>
        <w:pStyle w:val="BodyText"/>
      </w:pPr>
      <w:r w:rsidRPr="00C66550">
        <w:t xml:space="preserve">As discussed in section </w:t>
      </w:r>
      <w:r w:rsidR="0062001A" w:rsidRPr="00C66550">
        <w:fldChar w:fldCharType="begin"/>
      </w:r>
      <w:r w:rsidRPr="00C66550">
        <w:instrText xml:space="preserve"> REF _Ref360484978 \r \h </w:instrText>
      </w:r>
      <w:r w:rsidR="0062001A" w:rsidRPr="00C66550">
        <w:fldChar w:fldCharType="separate"/>
      </w:r>
      <w:r w:rsidR="00D96003">
        <w:t>1</w:t>
      </w:r>
      <w:r w:rsidR="0062001A" w:rsidRPr="00C66550">
        <w:fldChar w:fldCharType="end"/>
      </w:r>
      <w:r w:rsidRPr="00C66550">
        <w:t xml:space="preserve">, the data </w:t>
      </w:r>
      <w:r w:rsidR="00385E34" w:rsidRPr="00C66550">
        <w:t>i</w:t>
      </w:r>
      <w:r w:rsidRPr="00C66550">
        <w:t xml:space="preserve">n this report </w:t>
      </w:r>
      <w:r w:rsidR="007B2C3C" w:rsidRPr="00C66550">
        <w:t>do</w:t>
      </w:r>
      <w:r w:rsidRPr="00C66550">
        <w:t xml:space="preserve"> not always reconcile with other reported data by the jurisdictions. </w:t>
      </w:r>
      <w:r w:rsidR="00385E34" w:rsidRPr="00C66550">
        <w:t>During consultation</w:t>
      </w:r>
      <w:r w:rsidR="007F40C4" w:rsidRPr="00C66550">
        <w:t>,</w:t>
      </w:r>
      <w:r w:rsidR="00385E34" w:rsidRPr="00C66550">
        <w:t xml:space="preserve"> </w:t>
      </w:r>
      <w:r w:rsidR="00D85477">
        <w:t>Vic</w:t>
      </w:r>
      <w:r w:rsidR="00385E34" w:rsidRPr="00C66550">
        <w:t xml:space="preserve"> requested </w:t>
      </w:r>
      <w:r w:rsidR="007B2C3C" w:rsidRPr="00C66550">
        <w:t>the discrepancies between its reported waste data and the data in this report were explicitly recognised. The discrepancies are due to differences in scope, method of compilation, and assumptions.</w:t>
      </w:r>
    </w:p>
    <w:p w:rsidR="0011222A" w:rsidRPr="00C66550" w:rsidRDefault="0011222A" w:rsidP="006D25F9">
      <w:pPr>
        <w:pStyle w:val="Heading3"/>
      </w:pPr>
      <w:r w:rsidRPr="00C66550">
        <w:t>Per capita waste generation and resource recovery rate</w:t>
      </w:r>
    </w:p>
    <w:p w:rsidR="007B2C3C" w:rsidRPr="00C66550" w:rsidRDefault="003166FE" w:rsidP="007B2C3C">
      <w:pPr>
        <w:pStyle w:val="BodyText"/>
      </w:pPr>
      <w:r w:rsidRPr="00C66550">
        <w:t xml:space="preserve">In 2010/11, </w:t>
      </w:r>
      <w:r w:rsidR="00D85477">
        <w:t>Vic</w:t>
      </w:r>
      <w:r w:rsidR="007B2C3C" w:rsidRPr="00C66550">
        <w:t xml:space="preserve"> generated</w:t>
      </w:r>
      <w:r w:rsidRPr="00C66550">
        <w:t xml:space="preserve"> </w:t>
      </w:r>
      <w:r w:rsidR="007B2C3C" w:rsidRPr="00C66550">
        <w:t xml:space="preserve">about 2.2 tonnes of waste </w:t>
      </w:r>
      <w:r w:rsidRPr="00C66550">
        <w:t xml:space="preserve">per capita (see </w:t>
      </w:r>
      <w:r w:rsidR="0062001A" w:rsidRPr="00C66550">
        <w:fldChar w:fldCharType="begin"/>
      </w:r>
      <w:r w:rsidRPr="00C66550">
        <w:instrText xml:space="preserve"> REF _Ref348975336 \h </w:instrText>
      </w:r>
      <w:r w:rsidR="0062001A" w:rsidRPr="00C66550">
        <w:fldChar w:fldCharType="separate"/>
      </w:r>
      <w:r w:rsidR="00D96003" w:rsidRPr="00C66550">
        <w:t xml:space="preserve">Figure </w:t>
      </w:r>
      <w:r w:rsidR="00D96003">
        <w:rPr>
          <w:noProof/>
        </w:rPr>
        <w:t>6</w:t>
      </w:r>
      <w:r w:rsidR="0062001A" w:rsidRPr="00C66550">
        <w:fldChar w:fldCharType="end"/>
      </w:r>
      <w:r w:rsidRPr="00C66550">
        <w:t>)</w:t>
      </w:r>
      <w:r w:rsidR="007B2C3C" w:rsidRPr="00C66550">
        <w:t>,</w:t>
      </w:r>
      <w:r w:rsidRPr="00C66550">
        <w:t xml:space="preserve"> which </w:t>
      </w:r>
      <w:r w:rsidR="00937078" w:rsidRPr="00C66550">
        <w:t xml:space="preserve">is </w:t>
      </w:r>
      <w:r w:rsidR="007B2C3C" w:rsidRPr="00C66550">
        <w:t>slightly less than</w:t>
      </w:r>
      <w:r w:rsidR="00937078" w:rsidRPr="00C66550">
        <w:t xml:space="preserve"> </w:t>
      </w:r>
      <w:r w:rsidR="0074715A" w:rsidRPr="00C66550">
        <w:t xml:space="preserve">SA and NSW </w:t>
      </w:r>
      <w:r w:rsidR="00937078" w:rsidRPr="00C66550">
        <w:t>and the f</w:t>
      </w:r>
      <w:r w:rsidR="0074715A" w:rsidRPr="00C66550">
        <w:t xml:space="preserve">ifth </w:t>
      </w:r>
      <w:r w:rsidR="00937078" w:rsidRPr="00C66550">
        <w:t>highest</w:t>
      </w:r>
      <w:r w:rsidR="007B2C3C" w:rsidRPr="00C66550">
        <w:t xml:space="preserve"> of </w:t>
      </w:r>
      <w:r w:rsidR="00937078" w:rsidRPr="00C66550">
        <w:t>Australia</w:t>
      </w:r>
      <w:r w:rsidR="007B2C3C" w:rsidRPr="00C66550">
        <w:t>’s jurisdictions</w:t>
      </w:r>
      <w:r w:rsidRPr="00C66550">
        <w:t xml:space="preserve">. </w:t>
      </w:r>
      <w:r w:rsidR="007B2C3C" w:rsidRPr="00C66550">
        <w:t xml:space="preserve">This is consistent with the pattern of greater levels of waste per capita where incomes and urbanisation are high (see section </w:t>
      </w:r>
      <w:r w:rsidR="0062001A" w:rsidRPr="00C66550">
        <w:fldChar w:fldCharType="begin"/>
      </w:r>
      <w:r w:rsidR="007B2C3C" w:rsidRPr="00C66550">
        <w:instrText xml:space="preserve"> REF _Ref348975624 \r \h </w:instrText>
      </w:r>
      <w:r w:rsidR="0062001A" w:rsidRPr="00C66550">
        <w:fldChar w:fldCharType="separate"/>
      </w:r>
      <w:r w:rsidR="00D96003">
        <w:t>2</w:t>
      </w:r>
      <w:r w:rsidR="0062001A" w:rsidRPr="00C66550">
        <w:fldChar w:fldCharType="end"/>
      </w:r>
      <w:r w:rsidR="007B2C3C" w:rsidRPr="00C66550">
        <w:t xml:space="preserve">). </w:t>
      </w:r>
      <w:r w:rsidR="00D85477">
        <w:t>The</w:t>
      </w:r>
      <w:r w:rsidR="007B2C3C" w:rsidRPr="00C66550">
        <w:t xml:space="preserve"> large secondary and tertiary industry base</w:t>
      </w:r>
      <w:r w:rsidR="00D85477">
        <w:t xml:space="preserve"> in Vic</w:t>
      </w:r>
      <w:r w:rsidR="007B2C3C" w:rsidRPr="00C66550">
        <w:t xml:space="preserve"> is also likely to have influenced this figure.</w:t>
      </w:r>
    </w:p>
    <w:p w:rsidR="007B2C3C" w:rsidRPr="00C66550" w:rsidRDefault="007B2C3C" w:rsidP="003166FE">
      <w:pPr>
        <w:pStyle w:val="BodyText"/>
      </w:pPr>
    </w:p>
    <w:p w:rsidR="00DD5B60" w:rsidRPr="00C66550" w:rsidRDefault="00D85477" w:rsidP="003166FE">
      <w:pPr>
        <w:pStyle w:val="BodyText"/>
      </w:pPr>
      <w:r>
        <w:t>Vic</w:t>
      </w:r>
      <w:r w:rsidR="00DD5B60" w:rsidRPr="00C66550">
        <w:t xml:space="preserve"> </w:t>
      </w:r>
      <w:r w:rsidR="003166FE" w:rsidRPr="00C66550">
        <w:t xml:space="preserve">had Australia’s </w:t>
      </w:r>
      <w:r w:rsidR="00E56B57" w:rsidRPr="00C66550">
        <w:t>fourth</w:t>
      </w:r>
      <w:r w:rsidR="003166FE" w:rsidRPr="00C66550">
        <w:t xml:space="preserve"> highest resource recovery rate at around </w:t>
      </w:r>
      <w:r w:rsidR="00E56B57" w:rsidRPr="00C66550">
        <w:t>6</w:t>
      </w:r>
      <w:r w:rsidR="0074715A" w:rsidRPr="00C66550">
        <w:t>2</w:t>
      </w:r>
      <w:r w:rsidR="003166FE" w:rsidRPr="00C66550">
        <w:t>%</w:t>
      </w:r>
      <w:r w:rsidR="00B20F9D" w:rsidRPr="00C66550">
        <w:t>,</w:t>
      </w:r>
      <w:r w:rsidR="003166FE" w:rsidRPr="00C66550">
        <w:t xml:space="preserve"> which is </w:t>
      </w:r>
      <w:r w:rsidR="00467A3A" w:rsidRPr="00C66550">
        <w:t>2</w:t>
      </w:r>
      <w:r w:rsidR="003166FE" w:rsidRPr="00C66550">
        <w:t>% above the national average and reflects</w:t>
      </w:r>
      <w:r w:rsidR="00E022CA" w:rsidRPr="00C66550">
        <w:t>:</w:t>
      </w:r>
    </w:p>
    <w:p w:rsidR="00DD5B60" w:rsidRPr="00C66550" w:rsidRDefault="00B20F9D" w:rsidP="00DD5B60">
      <w:pPr>
        <w:pStyle w:val="Bullet1"/>
      </w:pPr>
      <w:r w:rsidRPr="00C66550">
        <w:t xml:space="preserve">a </w:t>
      </w:r>
      <w:r w:rsidR="00DD5B60" w:rsidRPr="00C66550">
        <w:t xml:space="preserve">moderate </w:t>
      </w:r>
      <w:r w:rsidR="00467A3A" w:rsidRPr="00C66550">
        <w:t xml:space="preserve">level of </w:t>
      </w:r>
      <w:r w:rsidR="003166FE" w:rsidRPr="00C66550">
        <w:t>resource recovery infrastructure</w:t>
      </w:r>
    </w:p>
    <w:p w:rsidR="00DD5B60" w:rsidRPr="00C66550" w:rsidRDefault="00B20F9D" w:rsidP="00DD5B60">
      <w:pPr>
        <w:pStyle w:val="Bullet1"/>
      </w:pPr>
      <w:r w:rsidRPr="00C66550">
        <w:t xml:space="preserve">a </w:t>
      </w:r>
      <w:r w:rsidR="00467A3A" w:rsidRPr="00C66550">
        <w:t xml:space="preserve">history of </w:t>
      </w:r>
      <w:r w:rsidR="003166FE" w:rsidRPr="00C66550">
        <w:t>progressive waste management policies</w:t>
      </w:r>
      <w:r w:rsidR="00E5424C" w:rsidRPr="00C66550">
        <w:t xml:space="preserve"> </w:t>
      </w:r>
      <w:r w:rsidR="005D0F12" w:rsidRPr="00C66550">
        <w:t>and state government investment in infrastructure, market development and education programs</w:t>
      </w:r>
    </w:p>
    <w:p w:rsidR="003166FE" w:rsidRPr="00C66550" w:rsidRDefault="00B20F9D" w:rsidP="00DD5B60">
      <w:pPr>
        <w:pStyle w:val="Bullet1"/>
      </w:pPr>
      <w:r w:rsidRPr="00C66550">
        <w:t xml:space="preserve">a </w:t>
      </w:r>
      <w:r w:rsidR="003166FE" w:rsidRPr="00C66550">
        <w:t>moderate landfill levy</w:t>
      </w:r>
      <w:r w:rsidR="007B2C3C" w:rsidRPr="00C66550">
        <w:t xml:space="preserve"> during the data period</w:t>
      </w:r>
      <w:r w:rsidR="00DD5B60" w:rsidRPr="00C66550">
        <w:t xml:space="preserve"> (with the exception of </w:t>
      </w:r>
      <w:r w:rsidRPr="00C66550">
        <w:t xml:space="preserve">the </w:t>
      </w:r>
      <w:r w:rsidR="00DD5B60" w:rsidRPr="00C66550">
        <w:t>hazardous waste levy</w:t>
      </w:r>
      <w:r w:rsidRPr="00C66550">
        <w:t>,</w:t>
      </w:r>
      <w:r w:rsidR="00DD5B60" w:rsidRPr="00C66550">
        <w:t xml:space="preserve"> which </w:t>
      </w:r>
      <w:r w:rsidR="007B2C3C" w:rsidRPr="00C66550">
        <w:t>was</w:t>
      </w:r>
      <w:r w:rsidR="00DD5B60" w:rsidRPr="00C66550">
        <w:t xml:space="preserve"> Australia’s highest)</w:t>
      </w:r>
      <w:r w:rsidR="003166FE" w:rsidRPr="00C66550">
        <w:t>.</w:t>
      </w:r>
      <w:r w:rsidR="00FF12A8" w:rsidRPr="00C66550">
        <w:t xml:space="preserve"> </w:t>
      </w:r>
    </w:p>
    <w:p w:rsidR="00E264ED" w:rsidRPr="00C66550" w:rsidRDefault="0089707A" w:rsidP="006D25F9">
      <w:pPr>
        <w:pStyle w:val="Heading3"/>
      </w:pPr>
      <w:r w:rsidRPr="00C66550">
        <w:t>Total waste generated</w:t>
      </w:r>
    </w:p>
    <w:p w:rsidR="003166FE" w:rsidRPr="00C66550" w:rsidRDefault="00D85477" w:rsidP="003166FE">
      <w:pPr>
        <w:pStyle w:val="BodyText"/>
      </w:pPr>
      <w:r>
        <w:t>Vic</w:t>
      </w:r>
      <w:r w:rsidR="007B2C3C" w:rsidRPr="00C66550">
        <w:t xml:space="preserve"> generated about 12 Mt of waste in 2010/11 excluding fly ash</w:t>
      </w:r>
      <w:r w:rsidR="00D534E5" w:rsidRPr="00C66550">
        <w:t xml:space="preserve"> and 14.5 Mt including fly ash (see</w:t>
      </w:r>
      <w:r w:rsidR="007B2C3C" w:rsidRPr="00C66550">
        <w:t xml:space="preserve"> </w:t>
      </w:r>
      <w:r w:rsidR="0062001A" w:rsidRPr="00C66550">
        <w:fldChar w:fldCharType="begin"/>
      </w:r>
      <w:r w:rsidR="00467A3A" w:rsidRPr="00C66550">
        <w:instrText xml:space="preserve"> REF _Ref349169501 \h </w:instrText>
      </w:r>
      <w:r w:rsidR="0062001A" w:rsidRPr="00C66550">
        <w:fldChar w:fldCharType="separate"/>
      </w:r>
      <w:r w:rsidR="00D96003" w:rsidRPr="00C66550">
        <w:t xml:space="preserve">Figure </w:t>
      </w:r>
      <w:r w:rsidR="00D96003">
        <w:rPr>
          <w:noProof/>
        </w:rPr>
        <w:t>35</w:t>
      </w:r>
      <w:r w:rsidR="0062001A" w:rsidRPr="00C66550">
        <w:fldChar w:fldCharType="end"/>
      </w:r>
      <w:r w:rsidR="00D534E5" w:rsidRPr="00C66550">
        <w:t xml:space="preserve">). This was </w:t>
      </w:r>
      <w:r w:rsidR="003166FE" w:rsidRPr="00C66550">
        <w:t xml:space="preserve">the </w:t>
      </w:r>
      <w:r w:rsidR="00467A3A" w:rsidRPr="00C66550">
        <w:t>second highest</w:t>
      </w:r>
      <w:r w:rsidR="00D534E5" w:rsidRPr="00C66550">
        <w:t xml:space="preserve"> of Australia’s</w:t>
      </w:r>
      <w:r w:rsidR="00467A3A" w:rsidRPr="00C66550">
        <w:t xml:space="preserve"> </w:t>
      </w:r>
      <w:r w:rsidR="00D534E5" w:rsidRPr="00C66550">
        <w:t>jurisdictions</w:t>
      </w:r>
      <w:r w:rsidR="00AC6D60" w:rsidRPr="00C66550">
        <w:t>,</w:t>
      </w:r>
      <w:r w:rsidR="003166FE" w:rsidRPr="00C66550">
        <w:t xml:space="preserve"> consistent with</w:t>
      </w:r>
      <w:r w:rsidR="00D534E5" w:rsidRPr="00C66550">
        <w:t xml:space="preserve"> its ranking in relation to</w:t>
      </w:r>
      <w:r w:rsidR="003166FE" w:rsidRPr="00C66550">
        <w:t xml:space="preserve"> population and GSP. </w:t>
      </w:r>
    </w:p>
    <w:p w:rsidR="003166FE" w:rsidRPr="00C66550" w:rsidRDefault="003166FE" w:rsidP="006D25F9">
      <w:pPr>
        <w:pStyle w:val="Heading3"/>
      </w:pPr>
      <w:r w:rsidRPr="00C66550">
        <w:t xml:space="preserve">Waste streams </w:t>
      </w:r>
    </w:p>
    <w:p w:rsidR="003166FE" w:rsidRPr="00C66550" w:rsidRDefault="00D85477" w:rsidP="00DD5B60">
      <w:pPr>
        <w:pStyle w:val="Bullet1"/>
      </w:pPr>
      <w:r>
        <w:t>Vic</w:t>
      </w:r>
      <w:r w:rsidR="00DD5B60" w:rsidRPr="00C66550">
        <w:t xml:space="preserve"> </w:t>
      </w:r>
      <w:r w:rsidR="003166FE" w:rsidRPr="00C66550">
        <w:t xml:space="preserve">MSW generation was around </w:t>
      </w:r>
      <w:r w:rsidR="00467A3A" w:rsidRPr="00C66550">
        <w:t>3</w:t>
      </w:r>
      <w:r w:rsidR="002622E3" w:rsidRPr="00C66550">
        <w:t>.</w:t>
      </w:r>
      <w:r w:rsidR="00467A3A" w:rsidRPr="00C66550">
        <w:t>4</w:t>
      </w:r>
      <w:r w:rsidR="003166FE" w:rsidRPr="00C66550">
        <w:t xml:space="preserve"> </w:t>
      </w:r>
      <w:r w:rsidR="002622E3" w:rsidRPr="00C66550">
        <w:t>M</w:t>
      </w:r>
      <w:r w:rsidR="0012047B" w:rsidRPr="00C66550">
        <w:t>t</w:t>
      </w:r>
      <w:r w:rsidR="003166FE" w:rsidRPr="00C66550">
        <w:t xml:space="preserve"> with a resource recovery rate of </w:t>
      </w:r>
      <w:r w:rsidR="00467A3A" w:rsidRPr="00C66550">
        <w:t>5</w:t>
      </w:r>
      <w:r w:rsidR="00CD06CB" w:rsidRPr="00C66550">
        <w:t>2</w:t>
      </w:r>
      <w:r w:rsidR="003166FE" w:rsidRPr="00C66550">
        <w:t>%</w:t>
      </w:r>
      <w:r w:rsidR="00B342B2" w:rsidRPr="00C66550">
        <w:t>,</w:t>
      </w:r>
      <w:r w:rsidR="003166FE" w:rsidRPr="00C66550">
        <w:t xml:space="preserve"> which is </w:t>
      </w:r>
      <w:r w:rsidR="00467A3A" w:rsidRPr="00C66550">
        <w:t>1</w:t>
      </w:r>
      <w:r w:rsidR="003166FE" w:rsidRPr="00C66550">
        <w:t xml:space="preserve">% </w:t>
      </w:r>
      <w:r w:rsidR="00467A3A" w:rsidRPr="00C66550">
        <w:t xml:space="preserve">above </w:t>
      </w:r>
      <w:r w:rsidR="003166FE" w:rsidRPr="00C66550">
        <w:t xml:space="preserve">the Australian average. </w:t>
      </w:r>
      <w:r w:rsidR="000A4CBE" w:rsidRPr="00C66550">
        <w:t>During the data period</w:t>
      </w:r>
      <w:r w:rsidR="00643D6D" w:rsidRPr="00C66550">
        <w:t>, Vic</w:t>
      </w:r>
      <w:r w:rsidR="00BC277F">
        <w:t>toria</w:t>
      </w:r>
      <w:r w:rsidR="00467A3A" w:rsidRPr="00C66550">
        <w:t xml:space="preserve"> was </w:t>
      </w:r>
      <w:r w:rsidR="003166FE" w:rsidRPr="00C66550">
        <w:t>targeting a MSW recovery rate of 65% by 201</w:t>
      </w:r>
      <w:r w:rsidR="00467A3A" w:rsidRPr="00C66550">
        <w:t>4</w:t>
      </w:r>
      <w:r w:rsidR="003166FE" w:rsidRPr="00C66550">
        <w:t>.</w:t>
      </w:r>
    </w:p>
    <w:p w:rsidR="003166FE" w:rsidRPr="00C66550" w:rsidRDefault="00D85477" w:rsidP="00DD5B60">
      <w:pPr>
        <w:pStyle w:val="Bullet1"/>
      </w:pPr>
      <w:r>
        <w:t>Vic</w:t>
      </w:r>
      <w:r w:rsidR="00BC277F" w:rsidRPr="00C66550">
        <w:t xml:space="preserve"> </w:t>
      </w:r>
      <w:r w:rsidR="003166FE" w:rsidRPr="00C66550">
        <w:t xml:space="preserve">C&amp;I generation was </w:t>
      </w:r>
      <w:r w:rsidR="00467A3A" w:rsidRPr="00C66550">
        <w:t>4</w:t>
      </w:r>
      <w:r w:rsidR="000A4CBE" w:rsidRPr="00C66550">
        <w:t>.1 Mt</w:t>
      </w:r>
      <w:r w:rsidR="003166FE" w:rsidRPr="00C66550">
        <w:t xml:space="preserve"> with a resource recovery rate of </w:t>
      </w:r>
      <w:r w:rsidR="00467A3A" w:rsidRPr="00C66550">
        <w:t>6</w:t>
      </w:r>
      <w:r w:rsidR="00CD06CB" w:rsidRPr="00C66550">
        <w:t>3</w:t>
      </w:r>
      <w:r w:rsidR="003166FE" w:rsidRPr="00C66550">
        <w:t>%</w:t>
      </w:r>
      <w:r w:rsidR="000A4CBE" w:rsidRPr="00C66550">
        <w:t>,</w:t>
      </w:r>
      <w:r w:rsidR="003166FE" w:rsidRPr="00C66550">
        <w:t xml:space="preserve"> </w:t>
      </w:r>
      <w:r w:rsidR="00BC277F">
        <w:t>some</w:t>
      </w:r>
      <w:r w:rsidR="003166FE" w:rsidRPr="00C66550">
        <w:t xml:space="preserve"> </w:t>
      </w:r>
      <w:r w:rsidR="00CD06CB" w:rsidRPr="00C66550">
        <w:t>4</w:t>
      </w:r>
      <w:r w:rsidR="003166FE" w:rsidRPr="00C66550">
        <w:t>% above the Australian average.</w:t>
      </w:r>
      <w:r w:rsidR="00FF12A8" w:rsidRPr="00C66550">
        <w:t xml:space="preserve"> </w:t>
      </w:r>
      <w:r w:rsidR="00BC277F">
        <w:t>At the time</w:t>
      </w:r>
      <w:r w:rsidR="00643D6D" w:rsidRPr="00C66550">
        <w:t xml:space="preserve">, </w:t>
      </w:r>
      <w:r w:rsidR="00BC277F" w:rsidRPr="00C66550">
        <w:t>Vic</w:t>
      </w:r>
      <w:r w:rsidR="00BC277F">
        <w:t>toria</w:t>
      </w:r>
      <w:r w:rsidR="00BC277F" w:rsidRPr="00C66550">
        <w:t xml:space="preserve"> </w:t>
      </w:r>
      <w:r w:rsidR="00237522" w:rsidRPr="00C66550">
        <w:t>was targeting a C&amp;I recovery rate of 80% by 2014.</w:t>
      </w:r>
    </w:p>
    <w:p w:rsidR="003166FE" w:rsidRPr="00C66550" w:rsidRDefault="00D85477" w:rsidP="00DD5B60">
      <w:pPr>
        <w:pStyle w:val="Bullet1"/>
      </w:pPr>
      <w:r>
        <w:t>Vic</w:t>
      </w:r>
      <w:r w:rsidR="00BC277F" w:rsidRPr="00C66550">
        <w:t xml:space="preserve"> </w:t>
      </w:r>
      <w:r w:rsidR="003166FE" w:rsidRPr="00C66550">
        <w:t xml:space="preserve">C&amp;D generation was </w:t>
      </w:r>
      <w:r w:rsidR="00237522" w:rsidRPr="00C66550">
        <w:t>4</w:t>
      </w:r>
      <w:r w:rsidR="000A4CBE" w:rsidRPr="00C66550">
        <w:t>.</w:t>
      </w:r>
      <w:r w:rsidR="00237522" w:rsidRPr="00C66550">
        <w:t>5</w:t>
      </w:r>
      <w:r w:rsidR="003166FE" w:rsidRPr="00C66550">
        <w:t xml:space="preserve"> </w:t>
      </w:r>
      <w:r w:rsidR="0012047B" w:rsidRPr="00C66550">
        <w:t>kt</w:t>
      </w:r>
      <w:r w:rsidR="003166FE" w:rsidRPr="00C66550">
        <w:t xml:space="preserve"> with a resource recovery rate of 6</w:t>
      </w:r>
      <w:r w:rsidR="00237522" w:rsidRPr="00C66550">
        <w:t>9</w:t>
      </w:r>
      <w:r w:rsidR="003166FE" w:rsidRPr="00C66550">
        <w:t>%</w:t>
      </w:r>
      <w:r w:rsidR="000A4CBE" w:rsidRPr="00C66550">
        <w:t>,</w:t>
      </w:r>
      <w:r w:rsidR="003166FE" w:rsidRPr="00C66550">
        <w:t xml:space="preserve"> which is </w:t>
      </w:r>
      <w:r w:rsidR="00CD06CB" w:rsidRPr="00C66550">
        <w:t>3</w:t>
      </w:r>
      <w:r w:rsidR="003166FE" w:rsidRPr="00C66550">
        <w:t>% above the Australian average.</w:t>
      </w:r>
      <w:r w:rsidR="00237522" w:rsidRPr="00C66550">
        <w:t xml:space="preserve"> </w:t>
      </w:r>
      <w:r w:rsidR="00BC277F">
        <w:t>At the time</w:t>
      </w:r>
      <w:r w:rsidR="00643D6D" w:rsidRPr="00C66550">
        <w:t xml:space="preserve">, </w:t>
      </w:r>
      <w:r w:rsidR="00DF4FB7">
        <w:t>Vic</w:t>
      </w:r>
      <w:r w:rsidR="00BC277F" w:rsidRPr="00C66550">
        <w:t xml:space="preserve"> </w:t>
      </w:r>
      <w:r w:rsidR="00237522" w:rsidRPr="00C66550">
        <w:t>was targeting a C&amp;D recovery rate of 80% by 2014.</w:t>
      </w:r>
    </w:p>
    <w:p w:rsidR="00237522" w:rsidRPr="00C66550" w:rsidRDefault="00237522" w:rsidP="003166FE">
      <w:pPr>
        <w:pStyle w:val="BodyText"/>
      </w:pPr>
    </w:p>
    <w:p w:rsidR="003166FE" w:rsidRPr="00C66550" w:rsidRDefault="00AC6D60" w:rsidP="003166FE">
      <w:pPr>
        <w:pStyle w:val="BodyText"/>
      </w:pPr>
      <w:r w:rsidRPr="00C66550">
        <w:t>These</w:t>
      </w:r>
      <w:r w:rsidR="003166FE" w:rsidRPr="00C66550">
        <w:t xml:space="preserve"> data reflect the relatively well established recovery industry for C&amp;D</w:t>
      </w:r>
      <w:r w:rsidR="00CD06CB" w:rsidRPr="00C66550">
        <w:t xml:space="preserve"> and C&amp;I</w:t>
      </w:r>
      <w:r w:rsidR="000A4CBE" w:rsidRPr="00C66550">
        <w:t xml:space="preserve"> wastes,</w:t>
      </w:r>
      <w:r w:rsidR="003166FE" w:rsidRPr="00C66550">
        <w:t xml:space="preserve"> </w:t>
      </w:r>
      <w:r w:rsidR="00A63DD9" w:rsidRPr="00C66550">
        <w:t xml:space="preserve">and a </w:t>
      </w:r>
      <w:r w:rsidR="006C5B84" w:rsidRPr="00C66550">
        <w:t>moderate</w:t>
      </w:r>
      <w:r w:rsidR="00A63DD9" w:rsidRPr="00C66550">
        <w:t xml:space="preserve"> level of resource recovery infrastructure for MSW recovery</w:t>
      </w:r>
      <w:r w:rsidR="003166FE" w:rsidRPr="00C66550">
        <w:t>.</w:t>
      </w:r>
    </w:p>
    <w:p w:rsidR="003166FE" w:rsidRPr="00C66550" w:rsidRDefault="003166FE" w:rsidP="006D25F9">
      <w:pPr>
        <w:pStyle w:val="Heading3"/>
      </w:pPr>
      <w:r w:rsidRPr="00C66550">
        <w:t>Material categories</w:t>
      </w:r>
    </w:p>
    <w:p w:rsidR="005879F5" w:rsidRPr="00C66550" w:rsidRDefault="003166FE" w:rsidP="000A4CBE">
      <w:pPr>
        <w:pStyle w:val="BodyText"/>
      </w:pPr>
      <w:r w:rsidRPr="00C66550">
        <w:t xml:space="preserve">In </w:t>
      </w:r>
      <w:r w:rsidR="00DF4FB7">
        <w:t>Vic,</w:t>
      </w:r>
      <w:r w:rsidR="003E1D77" w:rsidRPr="00C66550">
        <w:t xml:space="preserve"> the categories that make </w:t>
      </w:r>
      <w:r w:rsidRPr="00C66550">
        <w:t xml:space="preserve">up the bulk of waste are masonry, </w:t>
      </w:r>
      <w:r w:rsidR="00894D66" w:rsidRPr="00C66550">
        <w:t xml:space="preserve">organics, fly ash, paper and cardboard, </w:t>
      </w:r>
      <w:r w:rsidRPr="00C66550">
        <w:t xml:space="preserve">metals, </w:t>
      </w:r>
      <w:r w:rsidR="00EC6ED8" w:rsidRPr="00C66550">
        <w:t>and plastics.</w:t>
      </w:r>
      <w:r w:rsidRPr="00C66550">
        <w:t xml:space="preserve"> The resource recovery rates for most material categories are</w:t>
      </w:r>
      <w:r w:rsidR="00EC6ED8" w:rsidRPr="00C66550">
        <w:t xml:space="preserve"> at or </w:t>
      </w:r>
      <w:r w:rsidRPr="00C66550">
        <w:t xml:space="preserve">above </w:t>
      </w:r>
      <w:r w:rsidR="00EC6ED8" w:rsidRPr="00C66550">
        <w:t>the national average with the notable exceptions of organics and glass (</w:t>
      </w:r>
      <w:r w:rsidR="00777AA5" w:rsidRPr="00C66550">
        <w:t>at</w:t>
      </w:r>
      <w:r w:rsidR="00EC6ED8" w:rsidRPr="00C66550">
        <w:t xml:space="preserve"> </w:t>
      </w:r>
      <w:r w:rsidR="00CD06CB" w:rsidRPr="00C66550">
        <w:t>10</w:t>
      </w:r>
      <w:r w:rsidR="00EC6ED8" w:rsidRPr="00C66550">
        <w:t xml:space="preserve">% </w:t>
      </w:r>
      <w:r w:rsidR="00777AA5" w:rsidRPr="00C66550">
        <w:t xml:space="preserve">and 6% </w:t>
      </w:r>
      <w:r w:rsidR="00EC6ED8" w:rsidRPr="00C66550">
        <w:t xml:space="preserve">below </w:t>
      </w:r>
      <w:r w:rsidR="00777AA5" w:rsidRPr="00C66550">
        <w:t xml:space="preserve">the national </w:t>
      </w:r>
      <w:r w:rsidR="00EC6ED8" w:rsidRPr="00C66550">
        <w:t>average</w:t>
      </w:r>
      <w:r w:rsidR="00777AA5" w:rsidRPr="00C66550">
        <w:t xml:space="preserve"> respectively</w:t>
      </w:r>
      <w:r w:rsidR="00EC6ED8" w:rsidRPr="00C66550">
        <w:t>).</w:t>
      </w:r>
      <w:r w:rsidR="006F2CE3" w:rsidRPr="00C66550">
        <w:t xml:space="preserve"> </w:t>
      </w:r>
      <w:r w:rsidR="005879F5" w:rsidRPr="00C66550">
        <w:br w:type="page"/>
      </w:r>
    </w:p>
    <w:p w:rsidR="004A37E6" w:rsidRPr="00C66550" w:rsidRDefault="00627520" w:rsidP="00FB4820">
      <w:pPr>
        <w:pStyle w:val="Figures"/>
        <w:rPr>
          <w:noProof/>
          <w:lang w:eastAsia="en-AU"/>
        </w:rPr>
      </w:pPr>
      <w:bookmarkStart w:id="162" w:name="_Ref349169501"/>
      <w:bookmarkStart w:id="163" w:name="_Toc365385044"/>
      <w:r w:rsidRPr="00C66550">
        <w:lastRenderedPageBreak/>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35</w:t>
      </w:r>
      <w:r w:rsidR="0062001A" w:rsidRPr="00C66550">
        <w:rPr>
          <w:noProof/>
        </w:rPr>
        <w:fldChar w:fldCharType="end"/>
      </w:r>
      <w:bookmarkEnd w:id="162"/>
      <w:r w:rsidR="00E533BB" w:rsidRPr="00C66550">
        <w:t>:</w:t>
      </w:r>
      <w:r w:rsidR="00E533BB" w:rsidRPr="00C66550">
        <w:tab/>
      </w:r>
      <w:r w:rsidR="00BC277F">
        <w:t>Vic</w:t>
      </w:r>
      <w:r w:rsidRPr="00C66550">
        <w:t xml:space="preserve"> 2010/11</w:t>
      </w:r>
      <w:r w:rsidR="000D7C2B">
        <w:t>, total waste generation</w:t>
      </w:r>
      <w:r w:rsidR="003A7FCE" w:rsidRPr="00C66550">
        <w:t xml:space="preserve"> by</w:t>
      </w:r>
      <w:r w:rsidR="003A7FCE">
        <w:t>:</w:t>
      </w:r>
      <w:r w:rsidR="003A7FCE" w:rsidRPr="00C66550">
        <w:t xml:space="preserve"> (a) management (b) waste stream and management</w:t>
      </w:r>
      <w:r w:rsidR="000D7C2B">
        <w:t xml:space="preserve"> (c)</w:t>
      </w:r>
      <w:r w:rsidR="003A7FCE" w:rsidRPr="00C66550">
        <w:t xml:space="preserve"> material category and management</w:t>
      </w:r>
      <w:bookmarkEnd w:id="163"/>
    </w:p>
    <w:p w:rsidR="00627520" w:rsidRPr="00C66550" w:rsidRDefault="00777AA5" w:rsidP="00FB4820">
      <w:pPr>
        <w:pStyle w:val="Figures"/>
        <w:rPr>
          <w:noProof/>
          <w:lang w:eastAsia="en-AU"/>
        </w:rPr>
      </w:pPr>
      <w:r w:rsidRPr="00C66550">
        <w:rPr>
          <w:noProof/>
          <w:lang w:eastAsia="en-AU"/>
        </w:rPr>
        <w:drawing>
          <wp:anchor distT="0" distB="0" distL="114300" distR="114300" simplePos="0" relativeHeight="251846656" behindDoc="0" locked="0" layoutInCell="1" allowOverlap="1">
            <wp:simplePos x="0" y="0"/>
            <wp:positionH relativeFrom="column">
              <wp:posOffset>731520</wp:posOffset>
            </wp:positionH>
            <wp:positionV relativeFrom="paragraph">
              <wp:posOffset>65405</wp:posOffset>
            </wp:positionV>
            <wp:extent cx="4142740" cy="273304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2740" cy="2733040"/>
                    </a:xfrm>
                    <a:prstGeom prst="rect">
                      <a:avLst/>
                    </a:prstGeom>
                  </pic:spPr>
                </pic:pic>
              </a:graphicData>
            </a:graphic>
          </wp:anchor>
        </w:drawing>
      </w:r>
    </w:p>
    <w:p w:rsidR="003166FE" w:rsidRPr="00C66550" w:rsidRDefault="004A37E6" w:rsidP="004A37E6">
      <w:pPr>
        <w:pStyle w:val="Monkey"/>
        <w:rPr>
          <w:lang w:eastAsia="en-AU"/>
        </w:rPr>
      </w:pPr>
      <w:r w:rsidRPr="00C66550">
        <w:rPr>
          <w:lang w:eastAsia="en-AU"/>
        </w:rPr>
        <w:t>(a)</w:t>
      </w:r>
      <w:r w:rsidR="007C1556" w:rsidRPr="00C66550">
        <w:rPr>
          <w:lang w:eastAsia="en-AU"/>
        </w:rPr>
        <w:t xml:space="preserve"> </w:t>
      </w: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777AA5" w:rsidP="004A37E6">
      <w:pPr>
        <w:pStyle w:val="Monkey"/>
        <w:rPr>
          <w:lang w:eastAsia="en-AU"/>
        </w:rPr>
      </w:pPr>
      <w:r w:rsidRPr="00C66550">
        <w:rPr>
          <w:noProof/>
          <w:lang w:eastAsia="en-AU"/>
        </w:rPr>
        <w:drawing>
          <wp:anchor distT="0" distB="0" distL="114300" distR="114300" simplePos="0" relativeHeight="251847680" behindDoc="0" locked="0" layoutInCell="1" allowOverlap="1">
            <wp:simplePos x="0" y="0"/>
            <wp:positionH relativeFrom="column">
              <wp:posOffset>842010</wp:posOffset>
            </wp:positionH>
            <wp:positionV relativeFrom="paragraph">
              <wp:posOffset>54610</wp:posOffset>
            </wp:positionV>
            <wp:extent cx="4028440" cy="2742565"/>
            <wp:effectExtent l="0" t="0" r="0" b="63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8440" cy="2742565"/>
                    </a:xfrm>
                    <a:prstGeom prst="rect">
                      <a:avLst/>
                    </a:prstGeom>
                  </pic:spPr>
                </pic:pic>
              </a:graphicData>
            </a:graphic>
          </wp:anchor>
        </w:drawing>
      </w:r>
      <w:r w:rsidR="004A37E6" w:rsidRPr="00C66550">
        <w:rPr>
          <w:lang w:eastAsia="en-AU"/>
        </w:rPr>
        <w:t>(b)</w:t>
      </w:r>
      <w:r w:rsidR="007C1556" w:rsidRPr="00C66550">
        <w:rPr>
          <w:noProof/>
          <w:lang w:eastAsia="en-AU"/>
        </w:rPr>
        <w:t xml:space="preserve"> </w:t>
      </w: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166FE" w:rsidRPr="00C66550" w:rsidRDefault="003166FE" w:rsidP="003166FE">
      <w:pPr>
        <w:pStyle w:val="BodyText"/>
        <w:rPr>
          <w:lang w:eastAsia="en-AU"/>
        </w:rPr>
      </w:pPr>
    </w:p>
    <w:p w:rsidR="00391D82" w:rsidRPr="00C66550" w:rsidRDefault="00391D82"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3166FE" w:rsidRPr="00C66550" w:rsidRDefault="003166FE" w:rsidP="00391D82">
      <w:pPr>
        <w:pStyle w:val="BodyText"/>
        <w:rPr>
          <w:lang w:eastAsia="en-AU"/>
        </w:rPr>
      </w:pPr>
    </w:p>
    <w:p w:rsidR="004A37E6" w:rsidRPr="00C66550" w:rsidRDefault="004A37E6" w:rsidP="00391D82">
      <w:pPr>
        <w:pStyle w:val="BodyText"/>
        <w:rPr>
          <w:lang w:eastAsia="en-AU"/>
        </w:rPr>
      </w:pPr>
    </w:p>
    <w:p w:rsidR="004A37E6" w:rsidRPr="00C66550" w:rsidRDefault="004A37E6" w:rsidP="00391D82">
      <w:pPr>
        <w:pStyle w:val="Monkey"/>
        <w:keepNext w:val="0"/>
        <w:rPr>
          <w:lang w:eastAsia="en-AU"/>
        </w:rPr>
      </w:pPr>
      <w:r w:rsidRPr="00C66550">
        <w:rPr>
          <w:lang w:eastAsia="en-AU"/>
        </w:rPr>
        <w:t>(c)</w:t>
      </w:r>
      <w:r w:rsidR="00777AA5" w:rsidRPr="00C66550">
        <w:rPr>
          <w:noProof/>
          <w:lang w:eastAsia="en-AU"/>
        </w:rPr>
        <w:t xml:space="preserve"> </w:t>
      </w:r>
    </w:p>
    <w:p w:rsidR="004A37E6" w:rsidRPr="00C66550" w:rsidRDefault="00777AA5" w:rsidP="003166FE">
      <w:pPr>
        <w:pStyle w:val="BodyText"/>
        <w:rPr>
          <w:lang w:eastAsia="en-AU"/>
        </w:rPr>
      </w:pPr>
      <w:r w:rsidRPr="00C66550">
        <w:rPr>
          <w:noProof/>
          <w:lang w:eastAsia="en-AU"/>
        </w:rPr>
        <w:drawing>
          <wp:anchor distT="0" distB="0" distL="114300" distR="114300" simplePos="0" relativeHeight="251848704" behindDoc="0" locked="0" layoutInCell="1" allowOverlap="1">
            <wp:simplePos x="0" y="0"/>
            <wp:positionH relativeFrom="column">
              <wp:posOffset>80645</wp:posOffset>
            </wp:positionH>
            <wp:positionV relativeFrom="paragraph">
              <wp:posOffset>13335</wp:posOffset>
            </wp:positionV>
            <wp:extent cx="5493385" cy="225425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93385" cy="2254250"/>
                    </a:xfrm>
                    <a:prstGeom prst="rect">
                      <a:avLst/>
                    </a:prstGeom>
                  </pic:spPr>
                </pic:pic>
              </a:graphicData>
            </a:graphic>
          </wp:anchor>
        </w:drawing>
      </w: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4A37E6" w:rsidRPr="00C66550" w:rsidRDefault="004A37E6"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777AA5" w:rsidRPr="00C66550" w:rsidRDefault="00777AA5" w:rsidP="003166FE">
      <w:pPr>
        <w:pStyle w:val="BodyText"/>
        <w:rPr>
          <w:lang w:eastAsia="en-AU"/>
        </w:rPr>
      </w:pPr>
    </w:p>
    <w:p w:rsidR="00A645A3" w:rsidRPr="00C66550" w:rsidRDefault="00DF4FB7" w:rsidP="006D25F9">
      <w:pPr>
        <w:pStyle w:val="Heading2"/>
      </w:pPr>
      <w:bookmarkStart w:id="164" w:name="_Toc379466381"/>
      <w:r>
        <w:lastRenderedPageBreak/>
        <w:t>Vic</w:t>
      </w:r>
      <w:r w:rsidR="00A645A3" w:rsidRPr="00C66550">
        <w:t xml:space="preserve"> trends </w:t>
      </w:r>
      <w:r w:rsidR="00081CFB" w:rsidRPr="00C66550">
        <w:t>2006/07 to 2010/11</w:t>
      </w:r>
      <w:bookmarkEnd w:id="164"/>
      <w:r w:rsidR="00A645A3" w:rsidRPr="00C66550">
        <w:t xml:space="preserve"> </w:t>
      </w:r>
    </w:p>
    <w:p w:rsidR="001434D3" w:rsidRPr="00C66550" w:rsidRDefault="0062001A" w:rsidP="001434D3">
      <w:pPr>
        <w:spacing w:line="240" w:lineRule="auto"/>
        <w:rPr>
          <w:color w:val="080808"/>
          <w:sz w:val="22"/>
        </w:rPr>
      </w:pPr>
      <w:fldSimple w:instr=" REF _Ref349170885 \h  \* MERGEFORMAT ">
        <w:r w:rsidR="00D96003" w:rsidRPr="00D96003">
          <w:rPr>
            <w:sz w:val="22"/>
          </w:rPr>
          <w:t xml:space="preserve">Figure </w:t>
        </w:r>
        <w:r w:rsidR="00D96003" w:rsidRPr="00D96003">
          <w:rPr>
            <w:noProof/>
            <w:sz w:val="22"/>
          </w:rPr>
          <w:t>36</w:t>
        </w:r>
      </w:fldSimple>
      <w:r w:rsidR="00327D95" w:rsidRPr="00C66550">
        <w:rPr>
          <w:color w:val="080808"/>
          <w:sz w:val="24"/>
        </w:rPr>
        <w:t xml:space="preserve"> </w:t>
      </w:r>
      <w:r w:rsidR="003D0ED6" w:rsidRPr="00C66550">
        <w:rPr>
          <w:color w:val="080808"/>
          <w:sz w:val="22"/>
        </w:rPr>
        <w:t xml:space="preserve">shows </w:t>
      </w:r>
      <w:r w:rsidR="001434D3" w:rsidRPr="00C66550">
        <w:rPr>
          <w:color w:val="080808"/>
          <w:sz w:val="22"/>
        </w:rPr>
        <w:t>the</w:t>
      </w:r>
      <w:r w:rsidR="000A4CBE" w:rsidRPr="00C66550">
        <w:rPr>
          <w:color w:val="080808"/>
          <w:sz w:val="22"/>
        </w:rPr>
        <w:t xml:space="preserve"> trends in</w:t>
      </w:r>
      <w:r w:rsidR="001434D3" w:rsidRPr="00C66550">
        <w:rPr>
          <w:color w:val="080808"/>
          <w:sz w:val="22"/>
        </w:rPr>
        <w:t xml:space="preserve"> </w:t>
      </w:r>
      <w:r w:rsidR="001434D3" w:rsidRPr="00C66550">
        <w:rPr>
          <w:b/>
          <w:color w:val="080808"/>
          <w:sz w:val="22"/>
        </w:rPr>
        <w:t>per capita</w:t>
      </w:r>
      <w:r w:rsidR="001434D3" w:rsidRPr="00C66550">
        <w:rPr>
          <w:color w:val="080808"/>
          <w:sz w:val="22"/>
        </w:rPr>
        <w:t xml:space="preserve"> waste generation </w:t>
      </w:r>
      <w:r w:rsidR="000A4CBE" w:rsidRPr="00C66550">
        <w:rPr>
          <w:color w:val="080808"/>
          <w:sz w:val="22"/>
        </w:rPr>
        <w:t xml:space="preserve">and management </w:t>
      </w:r>
      <w:r w:rsidR="001434D3" w:rsidRPr="00C66550">
        <w:rPr>
          <w:color w:val="080808"/>
          <w:sz w:val="22"/>
        </w:rPr>
        <w:t>for the</w:t>
      </w:r>
      <w:r w:rsidR="000A4CBE" w:rsidRPr="00C66550">
        <w:rPr>
          <w:color w:val="080808"/>
          <w:sz w:val="22"/>
        </w:rPr>
        <w:t xml:space="preserve"> period</w:t>
      </w:r>
      <w:r w:rsidR="001434D3" w:rsidRPr="00C66550">
        <w:rPr>
          <w:color w:val="080808"/>
          <w:sz w:val="22"/>
        </w:rPr>
        <w:t xml:space="preserve"> 2006/07</w:t>
      </w:r>
      <w:r w:rsidR="00081CFB" w:rsidRPr="00C66550">
        <w:rPr>
          <w:color w:val="080808"/>
          <w:sz w:val="22"/>
        </w:rPr>
        <w:t xml:space="preserve"> to 2</w:t>
      </w:r>
      <w:r w:rsidR="001434D3" w:rsidRPr="00C66550">
        <w:rPr>
          <w:color w:val="080808"/>
          <w:sz w:val="22"/>
        </w:rPr>
        <w:t xml:space="preserve">010/11 </w:t>
      </w:r>
      <w:r w:rsidR="000A4CBE" w:rsidRPr="00C66550">
        <w:rPr>
          <w:color w:val="080808"/>
          <w:sz w:val="22"/>
        </w:rPr>
        <w:t>in</w:t>
      </w:r>
      <w:r w:rsidR="001434D3" w:rsidRPr="00C66550">
        <w:rPr>
          <w:color w:val="080808"/>
          <w:sz w:val="22"/>
        </w:rPr>
        <w:t xml:space="preserve"> </w:t>
      </w:r>
      <w:r w:rsidR="00DF4FB7">
        <w:rPr>
          <w:color w:val="080808"/>
          <w:sz w:val="22"/>
        </w:rPr>
        <w:t>Vic</w:t>
      </w:r>
      <w:r w:rsidR="001434D3" w:rsidRPr="00C66550">
        <w:rPr>
          <w:color w:val="080808"/>
          <w:sz w:val="22"/>
        </w:rPr>
        <w:t>.</w:t>
      </w:r>
    </w:p>
    <w:p w:rsidR="001434D3" w:rsidRPr="00C66550" w:rsidRDefault="001434D3" w:rsidP="001434D3">
      <w:pPr>
        <w:spacing w:line="240" w:lineRule="auto"/>
        <w:rPr>
          <w:color w:val="080808"/>
          <w:sz w:val="22"/>
        </w:rPr>
      </w:pPr>
    </w:p>
    <w:p w:rsidR="004A37E6" w:rsidRPr="00C66550" w:rsidRDefault="004A37E6" w:rsidP="00FB4820">
      <w:pPr>
        <w:pStyle w:val="Figures"/>
        <w:rPr>
          <w:noProof/>
          <w:lang w:eastAsia="en-AU"/>
        </w:rPr>
      </w:pPr>
      <w:bookmarkStart w:id="165" w:name="_Ref349170885"/>
      <w:bookmarkStart w:id="166" w:name="_Toc365385045"/>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36</w:t>
      </w:r>
      <w:r w:rsidR="0062001A" w:rsidRPr="00C66550">
        <w:rPr>
          <w:noProof/>
        </w:rPr>
        <w:fldChar w:fldCharType="end"/>
      </w:r>
      <w:bookmarkEnd w:id="165"/>
      <w:r w:rsidRPr="00C66550">
        <w:t>:</w:t>
      </w:r>
      <w:r w:rsidRPr="00C66550">
        <w:tab/>
      </w:r>
      <w:r w:rsidR="002E2ED8" w:rsidRPr="00C66550">
        <w:t xml:space="preserve">Trends in per capita waste generation and management, </w:t>
      </w:r>
      <w:r w:rsidR="00BC277F">
        <w:t>Vic</w:t>
      </w:r>
      <w:r w:rsidR="002E2ED8" w:rsidRPr="00C66550">
        <w:t xml:space="preserve"> 2006/07 to 2010/11</w:t>
      </w:r>
      <w:bookmarkEnd w:id="166"/>
    </w:p>
    <w:p w:rsidR="004A37E6" w:rsidRPr="00C66550" w:rsidRDefault="00A81C40" w:rsidP="006D25F9">
      <w:pPr>
        <w:pStyle w:val="Heading3"/>
        <w:numPr>
          <w:ilvl w:val="0"/>
          <w:numId w:val="0"/>
        </w:numPr>
      </w:pPr>
      <w:r w:rsidRPr="00C66550">
        <w:rPr>
          <w:noProof/>
          <w:lang w:eastAsia="en-AU"/>
        </w:rPr>
        <w:drawing>
          <wp:anchor distT="0" distB="0" distL="114300" distR="114300" simplePos="0" relativeHeight="251849728" behindDoc="1" locked="0" layoutInCell="1" allowOverlap="1">
            <wp:simplePos x="0" y="0"/>
            <wp:positionH relativeFrom="column">
              <wp:posOffset>1905</wp:posOffset>
            </wp:positionH>
            <wp:positionV relativeFrom="paragraph">
              <wp:posOffset>149860</wp:posOffset>
            </wp:positionV>
            <wp:extent cx="5040630" cy="2845435"/>
            <wp:effectExtent l="0" t="0" r="762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2845435"/>
                    </a:xfrm>
                    <a:prstGeom prst="rect">
                      <a:avLst/>
                    </a:prstGeom>
                  </pic:spPr>
                </pic:pic>
              </a:graphicData>
            </a:graphic>
          </wp:anchor>
        </w:drawing>
      </w:r>
    </w:p>
    <w:p w:rsidR="004A37E6" w:rsidRPr="00C66550" w:rsidRDefault="004A37E6" w:rsidP="004A37E6">
      <w:pPr>
        <w:pStyle w:val="BodyText"/>
      </w:pPr>
    </w:p>
    <w:p w:rsidR="004A37E6" w:rsidRPr="00C66550" w:rsidRDefault="004A37E6" w:rsidP="004A37E6">
      <w:pPr>
        <w:pStyle w:val="BodyText"/>
      </w:pPr>
    </w:p>
    <w:p w:rsidR="004A37E6" w:rsidRPr="00C66550" w:rsidRDefault="004A37E6" w:rsidP="004A37E6">
      <w:pPr>
        <w:pStyle w:val="BodyText"/>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391D82" w:rsidRPr="00C66550" w:rsidRDefault="00391D82" w:rsidP="001434D3">
      <w:pPr>
        <w:spacing w:line="240" w:lineRule="auto"/>
        <w:rPr>
          <w:color w:val="080808"/>
          <w:sz w:val="22"/>
        </w:rPr>
      </w:pPr>
    </w:p>
    <w:p w:rsidR="00391D82" w:rsidRPr="00C66550" w:rsidRDefault="00391D82" w:rsidP="001434D3">
      <w:pPr>
        <w:spacing w:line="240" w:lineRule="auto"/>
        <w:rPr>
          <w:color w:val="080808"/>
          <w:sz w:val="22"/>
        </w:rPr>
      </w:pPr>
    </w:p>
    <w:p w:rsidR="00391D82" w:rsidRPr="00C66550" w:rsidRDefault="00391D82"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1434D3" w:rsidRPr="00C66550" w:rsidRDefault="001434D3" w:rsidP="001434D3">
      <w:pPr>
        <w:spacing w:line="240" w:lineRule="auto"/>
        <w:rPr>
          <w:color w:val="080808"/>
          <w:sz w:val="22"/>
        </w:rPr>
      </w:pPr>
      <w:r w:rsidRPr="00C66550">
        <w:rPr>
          <w:color w:val="080808"/>
          <w:sz w:val="22"/>
        </w:rPr>
        <w:t>Over the</w:t>
      </w:r>
      <w:r w:rsidR="006F2CE3" w:rsidRPr="00C66550">
        <w:rPr>
          <w:color w:val="080808"/>
          <w:sz w:val="22"/>
        </w:rPr>
        <w:t xml:space="preserve"> </w:t>
      </w:r>
      <w:r w:rsidRPr="00C66550">
        <w:rPr>
          <w:color w:val="080808"/>
          <w:sz w:val="22"/>
        </w:rPr>
        <w:t xml:space="preserve">period the following </w:t>
      </w:r>
      <w:r w:rsidR="003D0ED6" w:rsidRPr="00C66550">
        <w:rPr>
          <w:b/>
          <w:color w:val="080808"/>
          <w:sz w:val="22"/>
        </w:rPr>
        <w:t>per capita</w:t>
      </w:r>
      <w:r w:rsidRPr="00C66550">
        <w:rPr>
          <w:color w:val="080808"/>
          <w:sz w:val="22"/>
        </w:rPr>
        <w:t xml:space="preserve"> trends are illustrated</w:t>
      </w:r>
      <w:r w:rsidR="003E1D77" w:rsidRPr="00C66550">
        <w:rPr>
          <w:color w:val="080808"/>
          <w:sz w:val="22"/>
        </w:rPr>
        <w:t xml:space="preserve"> for </w:t>
      </w:r>
      <w:r w:rsidR="00DF4FB7">
        <w:rPr>
          <w:color w:val="080808"/>
          <w:sz w:val="22"/>
        </w:rPr>
        <w:t>Vic</w:t>
      </w:r>
      <w:r w:rsidRPr="00C66550">
        <w:rPr>
          <w:color w:val="080808"/>
          <w:sz w:val="22"/>
        </w:rPr>
        <w:t>:</w:t>
      </w:r>
    </w:p>
    <w:p w:rsidR="00877B91" w:rsidRPr="00C66550" w:rsidRDefault="005D0F12" w:rsidP="004201C6">
      <w:pPr>
        <w:pStyle w:val="Bullet1"/>
      </w:pPr>
      <w:r w:rsidRPr="00C66550">
        <w:t xml:space="preserve">Waste </w:t>
      </w:r>
      <w:r w:rsidR="001434D3" w:rsidRPr="00C66550">
        <w:t xml:space="preserve">generation </w:t>
      </w:r>
      <w:r w:rsidR="00421CAB" w:rsidRPr="00C66550">
        <w:t xml:space="preserve">was decreasing until </w:t>
      </w:r>
      <w:r w:rsidR="003E1D77" w:rsidRPr="00C66550">
        <w:t>20</w:t>
      </w:r>
      <w:r w:rsidR="00421CAB" w:rsidRPr="00C66550">
        <w:t>08/09</w:t>
      </w:r>
      <w:r w:rsidR="007F1572" w:rsidRPr="00C66550">
        <w:t>. I</w:t>
      </w:r>
      <w:r w:rsidR="00421CAB" w:rsidRPr="00C66550">
        <w:t xml:space="preserve">t then increased to just above </w:t>
      </w:r>
      <w:r w:rsidR="003E1D77" w:rsidRPr="00C66550">
        <w:t>20</w:t>
      </w:r>
      <w:r w:rsidR="00421CAB" w:rsidRPr="00C66550">
        <w:t>06/07 levels</w:t>
      </w:r>
      <w:r w:rsidR="007F1572" w:rsidRPr="00C66550">
        <w:t>,</w:t>
      </w:r>
      <w:r w:rsidR="00421CAB" w:rsidRPr="00C66550">
        <w:t xml:space="preserve"> resulting in an overall increase of 2%</w:t>
      </w:r>
      <w:r w:rsidR="001434D3" w:rsidRPr="00C66550">
        <w:t xml:space="preserve">. </w:t>
      </w:r>
    </w:p>
    <w:p w:rsidR="009848A5" w:rsidRPr="00C66550" w:rsidRDefault="009848A5" w:rsidP="009848A5">
      <w:pPr>
        <w:pStyle w:val="Bullet1"/>
      </w:pPr>
      <w:r w:rsidRPr="00C66550">
        <w:t xml:space="preserve">The resource recovery rate increased from </w:t>
      </w:r>
      <w:r w:rsidR="00A81C40" w:rsidRPr="00C66550">
        <w:t>55% to 62</w:t>
      </w:r>
      <w:r w:rsidRPr="00C66550">
        <w:t xml:space="preserve">% between </w:t>
      </w:r>
      <w:r w:rsidR="000A4CBE" w:rsidRPr="00C66550">
        <w:t>20</w:t>
      </w:r>
      <w:r w:rsidRPr="00C66550">
        <w:t>06/07 and 10/11</w:t>
      </w:r>
      <w:r w:rsidR="0026727B" w:rsidRPr="00C66550">
        <w:t>.</w:t>
      </w:r>
    </w:p>
    <w:p w:rsidR="001434D3" w:rsidRPr="00C66550" w:rsidRDefault="005D0F12" w:rsidP="004201C6">
      <w:pPr>
        <w:pStyle w:val="Bullet1"/>
      </w:pPr>
      <w:r w:rsidRPr="00C66550">
        <w:t xml:space="preserve">Recycling </w:t>
      </w:r>
      <w:r w:rsidR="001434D3" w:rsidRPr="00C66550">
        <w:t xml:space="preserve">in </w:t>
      </w:r>
      <w:r w:rsidR="00DF4FB7">
        <w:t>Vic</w:t>
      </w:r>
      <w:r w:rsidR="001434D3" w:rsidRPr="00C66550">
        <w:t xml:space="preserve"> increased </w:t>
      </w:r>
      <w:r w:rsidR="00877B91" w:rsidRPr="00C66550">
        <w:t xml:space="preserve">significantly in </w:t>
      </w:r>
      <w:r w:rsidR="003E1D77" w:rsidRPr="00C66550">
        <w:t>20</w:t>
      </w:r>
      <w:r w:rsidR="002F2E3F" w:rsidRPr="00C66550">
        <w:t>09</w:t>
      </w:r>
      <w:r w:rsidR="00877B91" w:rsidRPr="00C66550">
        <w:t>/</w:t>
      </w:r>
      <w:r w:rsidR="002F2E3F" w:rsidRPr="00C66550">
        <w:t>10</w:t>
      </w:r>
      <w:r w:rsidR="007F1572" w:rsidRPr="00C66550">
        <w:t>,</w:t>
      </w:r>
      <w:r w:rsidR="00877B91" w:rsidRPr="00C66550">
        <w:t xml:space="preserve"> resulting in overall </w:t>
      </w:r>
      <w:r w:rsidR="000A4CBE" w:rsidRPr="00C66550">
        <w:t xml:space="preserve">growth </w:t>
      </w:r>
      <w:r w:rsidR="00877B91" w:rsidRPr="00C66550">
        <w:t>of 15</w:t>
      </w:r>
      <w:r w:rsidR="001434D3" w:rsidRPr="00C66550">
        <w:t>%</w:t>
      </w:r>
      <w:r w:rsidR="007F1572" w:rsidRPr="00C66550">
        <w:t>.</w:t>
      </w:r>
      <w:r w:rsidR="00877B91" w:rsidRPr="00C66550">
        <w:t xml:space="preserve"> </w:t>
      </w:r>
      <w:r w:rsidR="000A4CBE" w:rsidRPr="00C66550">
        <w:t>The increase was apparently</w:t>
      </w:r>
      <w:r w:rsidR="00877B91" w:rsidRPr="00C66550">
        <w:t xml:space="preserve"> </w:t>
      </w:r>
      <w:r w:rsidR="000A4CBE" w:rsidRPr="00C66550">
        <w:t xml:space="preserve">due to an expansion in concrete recycling , which jumped </w:t>
      </w:r>
      <w:r w:rsidR="00877B91" w:rsidRPr="00C66550">
        <w:t xml:space="preserve">from 1.7 Mt in </w:t>
      </w:r>
      <w:r w:rsidR="003E1D77" w:rsidRPr="00C66550">
        <w:t>20</w:t>
      </w:r>
      <w:r w:rsidR="00877B91" w:rsidRPr="00C66550">
        <w:t xml:space="preserve">08/09 to 2.4 Mt </w:t>
      </w:r>
      <w:r w:rsidR="000A4CBE" w:rsidRPr="00C66550">
        <w:t xml:space="preserve">in </w:t>
      </w:r>
      <w:r w:rsidR="003E1D77" w:rsidRPr="00C66550">
        <w:t>20</w:t>
      </w:r>
      <w:r w:rsidR="00877B91" w:rsidRPr="00C66550">
        <w:t>09/10</w:t>
      </w:r>
      <w:r w:rsidR="00120423" w:rsidRPr="00C66550">
        <w:t>.</w:t>
      </w:r>
      <w:r w:rsidR="00877B91" w:rsidRPr="00C66550">
        <w:t xml:space="preserve"> </w:t>
      </w:r>
    </w:p>
    <w:p w:rsidR="00877B91" w:rsidRPr="00C66550" w:rsidRDefault="001D641B" w:rsidP="004201C6">
      <w:pPr>
        <w:pStyle w:val="Bullet1"/>
      </w:pPr>
      <w:r w:rsidRPr="00C66550">
        <w:t xml:space="preserve">Waste used for energy </w:t>
      </w:r>
      <w:r w:rsidR="001434D3" w:rsidRPr="00C66550">
        <w:t xml:space="preserve"> in </w:t>
      </w:r>
      <w:r w:rsidR="00DF4FB7">
        <w:t>Vic</w:t>
      </w:r>
      <w:r w:rsidR="001434D3" w:rsidRPr="00C66550">
        <w:t xml:space="preserve"> </w:t>
      </w:r>
      <w:r w:rsidR="00877B91" w:rsidRPr="00C66550">
        <w:t>increased</w:t>
      </w:r>
      <w:r w:rsidR="001434D3" w:rsidRPr="00C66550">
        <w:t xml:space="preserve"> </w:t>
      </w:r>
      <w:r w:rsidRPr="00C66550">
        <w:t xml:space="preserve">by </w:t>
      </w:r>
      <w:r w:rsidR="001434D3" w:rsidRPr="00C66550">
        <w:t xml:space="preserve">around </w:t>
      </w:r>
      <w:r w:rsidR="00A81C40" w:rsidRPr="00C66550">
        <w:t>9</w:t>
      </w:r>
      <w:r w:rsidR="001434D3" w:rsidRPr="00C66550">
        <w:t>%</w:t>
      </w:r>
      <w:r w:rsidR="00120423" w:rsidRPr="00C66550">
        <w:t>.</w:t>
      </w:r>
      <w:r w:rsidR="001434D3" w:rsidRPr="00C66550">
        <w:t xml:space="preserve"> </w:t>
      </w:r>
    </w:p>
    <w:p w:rsidR="00C23792" w:rsidRPr="00C66550" w:rsidRDefault="005D0F12" w:rsidP="00C23792">
      <w:pPr>
        <w:pStyle w:val="Bullet1"/>
        <w:rPr>
          <w:color w:val="080808"/>
        </w:rPr>
      </w:pPr>
      <w:r w:rsidRPr="00C66550">
        <w:t xml:space="preserve">Waste </w:t>
      </w:r>
      <w:r w:rsidR="001434D3" w:rsidRPr="00C66550">
        <w:t xml:space="preserve">disposal in </w:t>
      </w:r>
      <w:r w:rsidR="00DF4FB7">
        <w:t>Vic</w:t>
      </w:r>
      <w:r w:rsidR="001434D3" w:rsidRPr="00C66550">
        <w:t xml:space="preserve"> </w:t>
      </w:r>
      <w:r w:rsidR="00877B91" w:rsidRPr="00C66550">
        <w:t>decreased</w:t>
      </w:r>
      <w:r w:rsidR="001434D3" w:rsidRPr="00C66550">
        <w:t xml:space="preserve"> by 1</w:t>
      </w:r>
      <w:r w:rsidR="00A81C40" w:rsidRPr="00C66550">
        <w:t>3</w:t>
      </w:r>
      <w:r w:rsidR="001434D3" w:rsidRPr="00C66550">
        <w:t>%</w:t>
      </w:r>
      <w:r w:rsidR="00877B91" w:rsidRPr="00C66550">
        <w:t>.</w:t>
      </w:r>
      <w:r w:rsidR="001434D3" w:rsidRPr="00C66550">
        <w:t xml:space="preserve"> </w:t>
      </w:r>
      <w:r w:rsidR="00C23792" w:rsidRPr="00C66550">
        <w:rPr>
          <w:color w:val="080808"/>
        </w:rPr>
        <w:br w:type="page"/>
      </w:r>
    </w:p>
    <w:p w:rsidR="007809F9" w:rsidRPr="00C66550" w:rsidRDefault="0062001A" w:rsidP="007809F9">
      <w:pPr>
        <w:pStyle w:val="BodyText"/>
      </w:pPr>
      <w:r w:rsidRPr="00C66550">
        <w:lastRenderedPageBreak/>
        <w:fldChar w:fldCharType="begin"/>
      </w:r>
      <w:r w:rsidR="007809F9" w:rsidRPr="00C66550">
        <w:instrText xml:space="preserve"> REF _Ref355038691 \h </w:instrText>
      </w:r>
      <w:r w:rsidRPr="00C66550">
        <w:fldChar w:fldCharType="separate"/>
      </w:r>
      <w:r w:rsidR="00D96003" w:rsidRPr="00C66550">
        <w:t xml:space="preserve">Figure </w:t>
      </w:r>
      <w:r w:rsidR="00D96003">
        <w:rPr>
          <w:noProof/>
        </w:rPr>
        <w:t>37</w:t>
      </w:r>
      <w:r w:rsidRPr="00C66550">
        <w:fldChar w:fldCharType="end"/>
      </w:r>
      <w:r w:rsidR="007809F9" w:rsidRPr="00C66550">
        <w:t xml:space="preserve"> shows the</w:t>
      </w:r>
      <w:r w:rsidR="001D641B" w:rsidRPr="00C66550">
        <w:t xml:space="preserve"> trends in</w:t>
      </w:r>
      <w:r w:rsidR="007809F9" w:rsidRPr="00C66550">
        <w:t xml:space="preserve"> </w:t>
      </w:r>
      <w:r w:rsidR="00591B74" w:rsidRPr="00591B74">
        <w:t xml:space="preserve">total </w:t>
      </w:r>
      <w:r w:rsidR="007809F9" w:rsidRPr="00C66550">
        <w:t xml:space="preserve"> waste generation</w:t>
      </w:r>
      <w:r w:rsidR="001D641B" w:rsidRPr="00C66550">
        <w:t xml:space="preserve"> and management</w:t>
      </w:r>
      <w:r w:rsidR="007809F9" w:rsidRPr="00C66550">
        <w:t xml:space="preserve"> for the</w:t>
      </w:r>
      <w:r w:rsidR="001D641B" w:rsidRPr="00C66550">
        <w:t xml:space="preserve"> period</w:t>
      </w:r>
      <w:r w:rsidR="007809F9" w:rsidRPr="00C66550">
        <w:t xml:space="preserve"> 2006/07</w:t>
      </w:r>
      <w:r w:rsidR="00081CFB" w:rsidRPr="00C66550">
        <w:t xml:space="preserve"> to 2</w:t>
      </w:r>
      <w:r w:rsidR="007809F9" w:rsidRPr="00C66550">
        <w:t xml:space="preserve">010/11 </w:t>
      </w:r>
      <w:r w:rsidR="001D641B" w:rsidRPr="00C66550">
        <w:t>in</w:t>
      </w:r>
      <w:r w:rsidR="007809F9" w:rsidRPr="00C66550">
        <w:t xml:space="preserve"> </w:t>
      </w:r>
      <w:r w:rsidR="00DF4FB7">
        <w:t>Vic</w:t>
      </w:r>
      <w:r w:rsidR="007809F9" w:rsidRPr="00C66550">
        <w:t>.</w:t>
      </w:r>
    </w:p>
    <w:p w:rsidR="007809F9" w:rsidRPr="00C66550" w:rsidRDefault="007809F9" w:rsidP="00FB4820">
      <w:pPr>
        <w:pStyle w:val="Figures"/>
      </w:pPr>
    </w:p>
    <w:p w:rsidR="00C23792" w:rsidRPr="00C66550" w:rsidRDefault="00C23792" w:rsidP="00FB4820">
      <w:pPr>
        <w:pStyle w:val="Figures"/>
        <w:rPr>
          <w:noProof/>
          <w:lang w:eastAsia="en-AU"/>
        </w:rPr>
      </w:pPr>
      <w:bookmarkStart w:id="167" w:name="_Ref355038691"/>
      <w:bookmarkStart w:id="168" w:name="_Toc365385046"/>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37</w:t>
      </w:r>
      <w:r w:rsidR="0062001A" w:rsidRPr="00C66550">
        <w:rPr>
          <w:noProof/>
        </w:rPr>
        <w:fldChar w:fldCharType="end"/>
      </w:r>
      <w:bookmarkEnd w:id="167"/>
      <w:r w:rsidRPr="00C66550">
        <w:t>:</w:t>
      </w:r>
      <w:r w:rsidRPr="00C66550">
        <w:tab/>
      </w:r>
      <w:r w:rsidR="002E2ED8" w:rsidRPr="00C66550">
        <w:t xml:space="preserve">Trends in total waste generation and management, </w:t>
      </w:r>
      <w:r w:rsidR="00132749">
        <w:t>Vic</w:t>
      </w:r>
      <w:r w:rsidR="002E2ED8" w:rsidRPr="00C66550">
        <w:t xml:space="preserve"> 2006/07 to 2010/11</w:t>
      </w:r>
      <w:bookmarkEnd w:id="168"/>
      <w:r w:rsidRPr="00C66550">
        <w:t xml:space="preserve"> </w:t>
      </w:r>
    </w:p>
    <w:p w:rsidR="004A37E6" w:rsidRPr="00C66550" w:rsidRDefault="004A37E6" w:rsidP="00877B91">
      <w:pPr>
        <w:pStyle w:val="Bullet1"/>
        <w:numPr>
          <w:ilvl w:val="0"/>
          <w:numId w:val="0"/>
        </w:numPr>
        <w:ind w:left="454"/>
        <w:rPr>
          <w:color w:val="080808"/>
        </w:rPr>
      </w:pPr>
      <w:r w:rsidRPr="00C66550">
        <w:rPr>
          <w:noProof/>
          <w:lang w:eastAsia="en-AU"/>
        </w:rPr>
        <w:drawing>
          <wp:anchor distT="0" distB="0" distL="114300" distR="114300" simplePos="0" relativeHeight="251662330" behindDoc="0" locked="0" layoutInCell="1" allowOverlap="1">
            <wp:simplePos x="0" y="0"/>
            <wp:positionH relativeFrom="column">
              <wp:posOffset>230505</wp:posOffset>
            </wp:positionH>
            <wp:positionV relativeFrom="paragraph">
              <wp:posOffset>103505</wp:posOffset>
            </wp:positionV>
            <wp:extent cx="4872355" cy="2900680"/>
            <wp:effectExtent l="0" t="0" r="444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72355" cy="2900680"/>
                    </a:xfrm>
                    <a:prstGeom prst="rect">
                      <a:avLst/>
                    </a:prstGeom>
                  </pic:spPr>
                </pic:pic>
              </a:graphicData>
            </a:graphic>
          </wp:anchor>
        </w:drawing>
      </w:r>
    </w:p>
    <w:p w:rsidR="004A37E6" w:rsidRPr="00C66550" w:rsidRDefault="004A37E6" w:rsidP="00877B91">
      <w:pPr>
        <w:pStyle w:val="Bullet1"/>
        <w:numPr>
          <w:ilvl w:val="0"/>
          <w:numId w:val="0"/>
        </w:numPr>
        <w:ind w:left="454"/>
        <w:rPr>
          <w:color w:val="080808"/>
        </w:rPr>
      </w:pPr>
    </w:p>
    <w:p w:rsidR="004A37E6" w:rsidRPr="00C66550" w:rsidRDefault="004A37E6" w:rsidP="00877B91">
      <w:pPr>
        <w:pStyle w:val="Bullet1"/>
        <w:numPr>
          <w:ilvl w:val="0"/>
          <w:numId w:val="0"/>
        </w:numPr>
        <w:ind w:left="454"/>
        <w:rPr>
          <w:color w:val="080808"/>
        </w:rPr>
      </w:pPr>
    </w:p>
    <w:p w:rsidR="004A37E6" w:rsidRPr="00C66550" w:rsidRDefault="004A37E6" w:rsidP="00877B91">
      <w:pPr>
        <w:pStyle w:val="Bullet1"/>
        <w:numPr>
          <w:ilvl w:val="0"/>
          <w:numId w:val="0"/>
        </w:numPr>
        <w:ind w:left="454"/>
        <w:rPr>
          <w:color w:val="080808"/>
        </w:rPr>
      </w:pPr>
    </w:p>
    <w:p w:rsidR="004A37E6" w:rsidRPr="00C66550" w:rsidRDefault="004A37E6" w:rsidP="00877B91">
      <w:pPr>
        <w:pStyle w:val="Bullet1"/>
        <w:numPr>
          <w:ilvl w:val="0"/>
          <w:numId w:val="0"/>
        </w:numPr>
        <w:ind w:left="454"/>
        <w:rPr>
          <w:color w:val="080808"/>
        </w:rPr>
      </w:pPr>
    </w:p>
    <w:p w:rsidR="004A37E6" w:rsidRPr="00C66550" w:rsidRDefault="004A37E6" w:rsidP="00877B91">
      <w:pPr>
        <w:pStyle w:val="Bullet1"/>
        <w:numPr>
          <w:ilvl w:val="0"/>
          <w:numId w:val="0"/>
        </w:numPr>
        <w:ind w:left="454"/>
        <w:rPr>
          <w:color w:val="080808"/>
        </w:rPr>
      </w:pPr>
    </w:p>
    <w:p w:rsidR="004A37E6" w:rsidRPr="00C66550" w:rsidRDefault="004A37E6" w:rsidP="00877B91">
      <w:pPr>
        <w:pStyle w:val="Bullet1"/>
        <w:numPr>
          <w:ilvl w:val="0"/>
          <w:numId w:val="0"/>
        </w:numPr>
        <w:ind w:left="454"/>
        <w:rPr>
          <w:color w:val="080808"/>
        </w:rPr>
      </w:pPr>
    </w:p>
    <w:p w:rsidR="004A37E6" w:rsidRPr="00C66550" w:rsidRDefault="004A37E6" w:rsidP="00877B91">
      <w:pPr>
        <w:pStyle w:val="Bullet1"/>
        <w:numPr>
          <w:ilvl w:val="0"/>
          <w:numId w:val="0"/>
        </w:numPr>
        <w:ind w:left="454"/>
        <w:rPr>
          <w:color w:val="080808"/>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4A37E6" w:rsidRPr="00C66550" w:rsidRDefault="004A37E6" w:rsidP="001434D3">
      <w:pPr>
        <w:spacing w:line="240" w:lineRule="auto"/>
        <w:rPr>
          <w:color w:val="080808"/>
          <w:sz w:val="22"/>
        </w:rPr>
      </w:pPr>
    </w:p>
    <w:p w:rsidR="00391D82" w:rsidRPr="00C66550" w:rsidRDefault="00391D82" w:rsidP="001434D3">
      <w:pPr>
        <w:spacing w:line="240" w:lineRule="auto"/>
        <w:rPr>
          <w:color w:val="080808"/>
          <w:sz w:val="22"/>
        </w:rPr>
      </w:pPr>
    </w:p>
    <w:p w:rsidR="00391D82" w:rsidRPr="00C66550" w:rsidRDefault="00391D82" w:rsidP="001434D3">
      <w:pPr>
        <w:spacing w:line="240" w:lineRule="auto"/>
        <w:rPr>
          <w:color w:val="080808"/>
          <w:sz w:val="22"/>
        </w:rPr>
      </w:pPr>
    </w:p>
    <w:p w:rsidR="004A37E6" w:rsidRPr="00C66550" w:rsidRDefault="004A37E6" w:rsidP="001434D3">
      <w:pPr>
        <w:spacing w:line="240" w:lineRule="auto"/>
        <w:rPr>
          <w:color w:val="080808"/>
          <w:sz w:val="22"/>
        </w:rPr>
      </w:pPr>
    </w:p>
    <w:p w:rsidR="001434D3" w:rsidRPr="00C66550" w:rsidRDefault="001434D3" w:rsidP="001434D3">
      <w:pPr>
        <w:spacing w:line="240" w:lineRule="auto"/>
        <w:rPr>
          <w:color w:val="080808"/>
          <w:sz w:val="22"/>
        </w:rPr>
      </w:pPr>
      <w:r w:rsidRPr="00C66550">
        <w:rPr>
          <w:color w:val="080808"/>
          <w:sz w:val="22"/>
        </w:rPr>
        <w:t>Over the</w:t>
      </w:r>
      <w:r w:rsidR="006F2CE3" w:rsidRPr="00C66550">
        <w:rPr>
          <w:color w:val="080808"/>
          <w:sz w:val="22"/>
        </w:rPr>
        <w:t xml:space="preserve"> </w:t>
      </w:r>
      <w:r w:rsidRPr="00C66550">
        <w:rPr>
          <w:color w:val="080808"/>
          <w:sz w:val="22"/>
        </w:rPr>
        <w:t xml:space="preserve">period the following </w:t>
      </w:r>
      <w:r w:rsidR="003D0ED6" w:rsidRPr="00C66550">
        <w:rPr>
          <w:sz w:val="22"/>
        </w:rPr>
        <w:t xml:space="preserve">trends </w:t>
      </w:r>
      <w:r w:rsidR="00AE63CE" w:rsidRPr="00C66550">
        <w:rPr>
          <w:color w:val="080808"/>
          <w:sz w:val="22"/>
        </w:rPr>
        <w:t>are illustrated in relation to</w:t>
      </w:r>
      <w:r w:rsidR="007F1572" w:rsidRPr="00C66550">
        <w:rPr>
          <w:color w:val="080808"/>
          <w:sz w:val="22"/>
        </w:rPr>
        <w:t xml:space="preserve"> </w:t>
      </w:r>
      <w:r w:rsidR="003D0ED6" w:rsidRPr="00C66550">
        <w:rPr>
          <w:color w:val="080808"/>
          <w:sz w:val="22"/>
        </w:rPr>
        <w:t>total</w:t>
      </w:r>
      <w:r w:rsidR="00AE63CE" w:rsidRPr="00C66550">
        <w:rPr>
          <w:color w:val="080808"/>
          <w:sz w:val="22"/>
        </w:rPr>
        <w:t xml:space="preserve"> waste tonnages</w:t>
      </w:r>
      <w:r w:rsidRPr="00C66550">
        <w:rPr>
          <w:color w:val="080808"/>
          <w:sz w:val="22"/>
        </w:rPr>
        <w:t>:</w:t>
      </w:r>
    </w:p>
    <w:p w:rsidR="001434D3" w:rsidRPr="00C66550" w:rsidRDefault="001434D3" w:rsidP="004201C6">
      <w:pPr>
        <w:pStyle w:val="Bullet1"/>
      </w:pPr>
      <w:r w:rsidRPr="00C66550">
        <w:t xml:space="preserve">waste generation increased by </w:t>
      </w:r>
      <w:r w:rsidR="0054192C" w:rsidRPr="00C66550">
        <w:t>9</w:t>
      </w:r>
      <w:r w:rsidRPr="00C66550">
        <w:t>%</w:t>
      </w:r>
    </w:p>
    <w:p w:rsidR="001434D3" w:rsidRPr="00C66550" w:rsidRDefault="001434D3" w:rsidP="004201C6">
      <w:pPr>
        <w:pStyle w:val="Bullet1"/>
      </w:pPr>
      <w:r w:rsidRPr="00C66550">
        <w:t xml:space="preserve">recycling increased by </w:t>
      </w:r>
      <w:r w:rsidR="0054192C" w:rsidRPr="00C66550">
        <w:t>22</w:t>
      </w:r>
      <w:r w:rsidRPr="00C66550">
        <w:t>%</w:t>
      </w:r>
    </w:p>
    <w:p w:rsidR="001434D3" w:rsidRPr="00C66550" w:rsidRDefault="001434D3" w:rsidP="004201C6">
      <w:pPr>
        <w:pStyle w:val="Bullet1"/>
      </w:pPr>
      <w:r w:rsidRPr="00C66550">
        <w:t xml:space="preserve">energy recovery </w:t>
      </w:r>
      <w:r w:rsidR="0054192C" w:rsidRPr="00C66550">
        <w:t xml:space="preserve">increased </w:t>
      </w:r>
      <w:r w:rsidRPr="00C66550">
        <w:t xml:space="preserve">by </w:t>
      </w:r>
      <w:r w:rsidR="007C1556" w:rsidRPr="00C66550">
        <w:t>15</w:t>
      </w:r>
      <w:r w:rsidRPr="00C66550">
        <w:t>%</w:t>
      </w:r>
      <w:r w:rsidR="00E5424C" w:rsidRPr="00C66550">
        <w:t xml:space="preserve"> </w:t>
      </w:r>
    </w:p>
    <w:p w:rsidR="001434D3" w:rsidRPr="00C66550" w:rsidRDefault="001434D3" w:rsidP="00E44B13">
      <w:pPr>
        <w:pStyle w:val="Bullet1"/>
        <w:spacing w:after="120"/>
      </w:pPr>
      <w:r w:rsidRPr="00C66550">
        <w:t xml:space="preserve">disposal </w:t>
      </w:r>
      <w:r w:rsidR="0054192C" w:rsidRPr="00C66550">
        <w:t xml:space="preserve">decreased </w:t>
      </w:r>
      <w:r w:rsidRPr="00C66550">
        <w:t xml:space="preserve">by </w:t>
      </w:r>
      <w:r w:rsidR="0054192C" w:rsidRPr="00C66550">
        <w:t>7</w:t>
      </w:r>
      <w:r w:rsidRPr="00C66550">
        <w:t xml:space="preserve">%. </w:t>
      </w:r>
    </w:p>
    <w:p w:rsidR="00A645A3" w:rsidRPr="00C66550" w:rsidRDefault="00A645A3">
      <w:pPr>
        <w:spacing w:line="240" w:lineRule="auto"/>
        <w:rPr>
          <w:color w:val="080808"/>
          <w:sz w:val="22"/>
        </w:rPr>
      </w:pPr>
      <w:r w:rsidRPr="00C66550">
        <w:br w:type="page"/>
      </w:r>
    </w:p>
    <w:p w:rsidR="00A645A3" w:rsidRPr="00C66550" w:rsidRDefault="00777C18" w:rsidP="006D25F9">
      <w:pPr>
        <w:pStyle w:val="Heading1"/>
      </w:pPr>
      <w:bookmarkStart w:id="169" w:name="_Ref360648972"/>
      <w:bookmarkStart w:id="170" w:name="_Toc379466382"/>
      <w:bookmarkStart w:id="171" w:name="_Ref354675207"/>
      <w:r w:rsidRPr="00C66550">
        <w:lastRenderedPageBreak/>
        <w:t>Western Australia</w:t>
      </w:r>
      <w:bookmarkEnd w:id="169"/>
      <w:bookmarkEnd w:id="170"/>
      <w:r w:rsidR="005B71F7" w:rsidRPr="00C66550">
        <w:t xml:space="preserve"> </w:t>
      </w:r>
      <w:bookmarkEnd w:id="171"/>
    </w:p>
    <w:p w:rsidR="00A645A3" w:rsidRPr="00C66550" w:rsidRDefault="00A645A3" w:rsidP="006D25F9">
      <w:pPr>
        <w:pStyle w:val="Heading2"/>
      </w:pPr>
      <w:bookmarkStart w:id="172" w:name="_Toc379466383"/>
      <w:r w:rsidRPr="00C66550">
        <w:t>WA 2010/11</w:t>
      </w:r>
      <w:bookmarkEnd w:id="172"/>
    </w:p>
    <w:p w:rsidR="0011222A" w:rsidRPr="00C66550" w:rsidRDefault="0011222A" w:rsidP="006D25F9">
      <w:pPr>
        <w:pStyle w:val="Heading3"/>
      </w:pPr>
      <w:r w:rsidRPr="00C66550">
        <w:t>Per capita waste generation and resource recovery rate</w:t>
      </w:r>
    </w:p>
    <w:p w:rsidR="00FC237C" w:rsidRPr="00C66550" w:rsidRDefault="00FC237C" w:rsidP="003E1D77">
      <w:pPr>
        <w:pStyle w:val="BodyText"/>
      </w:pPr>
      <w:r w:rsidRPr="00C66550">
        <w:t>In 2010/11,</w:t>
      </w:r>
      <w:r w:rsidR="00A03FD5" w:rsidRPr="00C66550">
        <w:t xml:space="preserve"> Western Australians generated about 2.6 tonnes of waste</w:t>
      </w:r>
      <w:r w:rsidRPr="00C66550">
        <w:t xml:space="preserve"> per capita (see </w:t>
      </w:r>
      <w:fldSimple w:instr=" REF _Ref348975336 \h  \* MERGEFORMAT ">
        <w:r w:rsidR="00D96003" w:rsidRPr="00C66550">
          <w:t xml:space="preserve">Figure </w:t>
        </w:r>
        <w:r w:rsidR="00D96003">
          <w:t>6</w:t>
        </w:r>
      </w:fldSimple>
      <w:r w:rsidRPr="00C66550">
        <w:t>)</w:t>
      </w:r>
      <w:r w:rsidR="00A03FD5" w:rsidRPr="00C66550">
        <w:t>,</w:t>
      </w:r>
      <w:r w:rsidRPr="00C66550">
        <w:t xml:space="preserve"> which was the equal highest</w:t>
      </w:r>
      <w:r w:rsidR="00A03FD5" w:rsidRPr="00C66550">
        <w:t xml:space="preserve"> rate</w:t>
      </w:r>
      <w:r w:rsidRPr="00C66550">
        <w:t xml:space="preserve"> (with </w:t>
      </w:r>
      <w:r w:rsidR="004D1BDA" w:rsidRPr="00C66550">
        <w:t>ACT</w:t>
      </w:r>
      <w:r w:rsidRPr="00C66550">
        <w:t xml:space="preserve">) </w:t>
      </w:r>
      <w:r w:rsidR="00A03FD5" w:rsidRPr="00C66550">
        <w:t>of</w:t>
      </w:r>
      <w:r w:rsidRPr="00C66550">
        <w:t xml:space="preserve"> Australia</w:t>
      </w:r>
      <w:r w:rsidR="00A03FD5" w:rsidRPr="00C66550">
        <w:t>n jurisdictions</w:t>
      </w:r>
      <w:r w:rsidRPr="00C66550">
        <w:t xml:space="preserve">. </w:t>
      </w:r>
      <w:r w:rsidR="00A03FD5" w:rsidRPr="00C66550">
        <w:t>This</w:t>
      </w:r>
      <w:r w:rsidR="00E67E3A" w:rsidRPr="00C66550">
        <w:t xml:space="preserve"> </w:t>
      </w:r>
      <w:r w:rsidR="0035333F" w:rsidRPr="00C66550">
        <w:t>unexpectedly</w:t>
      </w:r>
      <w:r w:rsidR="00E67E3A" w:rsidRPr="00C66550">
        <w:t xml:space="preserve"> high </w:t>
      </w:r>
      <w:r w:rsidR="00A03FD5" w:rsidRPr="00C66550">
        <w:t>rate</w:t>
      </w:r>
      <w:r w:rsidR="00F60C53" w:rsidRPr="00C66550">
        <w:t xml:space="preserve"> may </w:t>
      </w:r>
      <w:r w:rsidR="00A03FD5" w:rsidRPr="00C66550">
        <w:t>partly</w:t>
      </w:r>
      <w:r w:rsidR="00F60C53" w:rsidRPr="00C66550">
        <w:t xml:space="preserve"> result </w:t>
      </w:r>
      <w:r w:rsidR="00A03FD5" w:rsidRPr="00C66550">
        <w:t>from the apparent assumption in WA waste data that the rate of waste generation in regional and rural areas is equal to that in Perth</w:t>
      </w:r>
      <w:r w:rsidR="00A03FD5" w:rsidRPr="00C66550">
        <w:rPr>
          <w:rStyle w:val="FootnoteReference"/>
        </w:rPr>
        <w:footnoteReference w:id="12"/>
      </w:r>
      <w:r w:rsidR="00A03FD5" w:rsidRPr="00C66550">
        <w:t>.</w:t>
      </w:r>
      <w:r w:rsidR="006E0606" w:rsidRPr="00C66550">
        <w:t xml:space="preserve"> P</w:t>
      </w:r>
      <w:r w:rsidR="009D4866" w:rsidRPr="00C66550">
        <w:t xml:space="preserve">er capita disposal </w:t>
      </w:r>
      <w:r w:rsidR="006E0606" w:rsidRPr="00C66550">
        <w:t>is estimated to have been</w:t>
      </w:r>
      <w:r w:rsidR="009D4866" w:rsidRPr="00C66550">
        <w:t xml:space="preserve"> 1.</w:t>
      </w:r>
      <w:r w:rsidR="006E0606" w:rsidRPr="00C66550">
        <w:t>6</w:t>
      </w:r>
      <w:r w:rsidR="009D4866" w:rsidRPr="00C66550">
        <w:t xml:space="preserve"> tonnes</w:t>
      </w:r>
      <w:r w:rsidR="006E0606" w:rsidRPr="00C66550">
        <w:t xml:space="preserve"> (</w:t>
      </w:r>
      <w:r w:rsidR="00D406BF" w:rsidRPr="00C66550">
        <w:t>79</w:t>
      </w:r>
      <w:r w:rsidR="009D4866" w:rsidRPr="00C66550">
        <w:t>% above the national average of 0.8</w:t>
      </w:r>
      <w:r w:rsidR="002D072E" w:rsidRPr="00C66550">
        <w:t>8</w:t>
      </w:r>
      <w:r w:rsidR="009D4866" w:rsidRPr="00C66550">
        <w:t xml:space="preserve"> tonnes</w:t>
      </w:r>
      <w:r w:rsidR="006E0606" w:rsidRPr="00C66550">
        <w:t xml:space="preserve">) and </w:t>
      </w:r>
      <w:r w:rsidRPr="00C66550">
        <w:t xml:space="preserve">Australia’s </w:t>
      </w:r>
      <w:r w:rsidR="00E022CA" w:rsidRPr="00C66550">
        <w:t xml:space="preserve">third lowest </w:t>
      </w:r>
      <w:r w:rsidRPr="00C66550">
        <w:t xml:space="preserve">resource recovery rate </w:t>
      </w:r>
      <w:r w:rsidR="006E0606" w:rsidRPr="00C66550">
        <w:t>(</w:t>
      </w:r>
      <w:r w:rsidR="00E022CA" w:rsidRPr="00C66550">
        <w:t>3</w:t>
      </w:r>
      <w:r w:rsidR="00D406BF" w:rsidRPr="00C66550">
        <w:t>9</w:t>
      </w:r>
      <w:r w:rsidRPr="00C66550">
        <w:t>%</w:t>
      </w:r>
      <w:r w:rsidR="006E0606" w:rsidRPr="00C66550">
        <w:t xml:space="preserve">, </w:t>
      </w:r>
      <w:r w:rsidRPr="00C66550">
        <w:t>which is 2</w:t>
      </w:r>
      <w:r w:rsidR="00FB3F25" w:rsidRPr="00C66550">
        <w:t>1</w:t>
      </w:r>
      <w:r w:rsidR="00E022CA" w:rsidRPr="00C66550">
        <w:t xml:space="preserve">% below </w:t>
      </w:r>
      <w:r w:rsidRPr="00C66550">
        <w:t>the national average</w:t>
      </w:r>
      <w:r w:rsidR="006E0606" w:rsidRPr="00C66550">
        <w:t>)</w:t>
      </w:r>
      <w:r w:rsidR="00E022CA" w:rsidRPr="00C66550">
        <w:t>.</w:t>
      </w:r>
      <w:r w:rsidR="006E0606" w:rsidRPr="00C66550">
        <w:t xml:space="preserve"> The high landfill rate and low recovery rate are likely to be linked to the same data issue). Very </w:t>
      </w:r>
      <w:r w:rsidR="00FC6518" w:rsidRPr="00C66550">
        <w:t>large distance</w:t>
      </w:r>
      <w:r w:rsidR="006E0606" w:rsidRPr="00C66550">
        <w:t>s</w:t>
      </w:r>
      <w:r w:rsidR="00FC6518" w:rsidRPr="00C66550">
        <w:t xml:space="preserve"> </w:t>
      </w:r>
      <w:r w:rsidR="006E0606" w:rsidRPr="00C66550">
        <w:t>between collection points and recycling</w:t>
      </w:r>
      <w:r w:rsidR="00FC6518" w:rsidRPr="00C66550">
        <w:t xml:space="preserve"> markets </w:t>
      </w:r>
      <w:r w:rsidR="006E0606" w:rsidRPr="00C66550">
        <w:t>also constrain</w:t>
      </w:r>
      <w:r w:rsidR="00FC6518" w:rsidRPr="00C66550">
        <w:t xml:space="preserve"> recycling in WA.</w:t>
      </w:r>
    </w:p>
    <w:p w:rsidR="00E264ED" w:rsidRPr="00C66550" w:rsidRDefault="0089707A" w:rsidP="006D25F9">
      <w:pPr>
        <w:pStyle w:val="Heading3"/>
      </w:pPr>
      <w:r w:rsidRPr="00C66550">
        <w:t>Total waste generated</w:t>
      </w:r>
    </w:p>
    <w:p w:rsidR="006E0606" w:rsidRPr="00C66550" w:rsidRDefault="006E0606" w:rsidP="006E0606">
      <w:pPr>
        <w:spacing w:line="240" w:lineRule="auto"/>
        <w:rPr>
          <w:color w:val="080808"/>
          <w:sz w:val="22"/>
        </w:rPr>
      </w:pPr>
      <w:r w:rsidRPr="00C66550">
        <w:rPr>
          <w:color w:val="080808"/>
          <w:sz w:val="22"/>
        </w:rPr>
        <w:t xml:space="preserve">Total waste generation in WA during 2010/11 is estimated at about </w:t>
      </w:r>
      <w:r w:rsidR="00CA7E4B" w:rsidRPr="00C66550">
        <w:rPr>
          <w:color w:val="080808"/>
          <w:sz w:val="22"/>
        </w:rPr>
        <w:t>6.0 Mt</w:t>
      </w:r>
      <w:r w:rsidRPr="00C66550">
        <w:rPr>
          <w:color w:val="080808"/>
          <w:sz w:val="22"/>
        </w:rPr>
        <w:t xml:space="preserve"> excluding fly ash and 6</w:t>
      </w:r>
      <w:r w:rsidR="00CA7E4B" w:rsidRPr="00C66550">
        <w:rPr>
          <w:color w:val="080808"/>
          <w:sz w:val="22"/>
        </w:rPr>
        <w:t>.</w:t>
      </w:r>
      <w:r w:rsidRPr="00C66550">
        <w:rPr>
          <w:color w:val="080808"/>
          <w:sz w:val="22"/>
        </w:rPr>
        <w:t xml:space="preserve">6 </w:t>
      </w:r>
      <w:r w:rsidR="00CA7E4B" w:rsidRPr="00C66550">
        <w:rPr>
          <w:color w:val="080808"/>
          <w:sz w:val="22"/>
        </w:rPr>
        <w:t>M</w:t>
      </w:r>
      <w:r w:rsidRPr="00C66550">
        <w:rPr>
          <w:color w:val="080808"/>
          <w:sz w:val="22"/>
        </w:rPr>
        <w:t>t including fly ash</w:t>
      </w:r>
      <w:r w:rsidR="00CA7E4B" w:rsidRPr="00C66550">
        <w:rPr>
          <w:color w:val="080808"/>
          <w:sz w:val="22"/>
        </w:rPr>
        <w:t xml:space="preserve"> (see </w:t>
      </w:r>
      <w:fldSimple w:instr=" REF _Ref349169501 \h  \* MERGEFORMAT ">
        <w:r w:rsidR="00D96003" w:rsidRPr="00D96003">
          <w:rPr>
            <w:sz w:val="22"/>
          </w:rPr>
          <w:t xml:space="preserve">Figure </w:t>
        </w:r>
        <w:r w:rsidR="00D96003" w:rsidRPr="00D96003">
          <w:rPr>
            <w:noProof/>
            <w:sz w:val="22"/>
          </w:rPr>
          <w:t>35</w:t>
        </w:r>
      </w:fldSimple>
      <w:r w:rsidRPr="00C66550">
        <w:rPr>
          <w:color w:val="080808"/>
          <w:sz w:val="22"/>
        </w:rPr>
        <w:t>)</w:t>
      </w:r>
      <w:r w:rsidR="00CA7E4B" w:rsidRPr="00C66550">
        <w:rPr>
          <w:color w:val="080808"/>
          <w:sz w:val="22"/>
        </w:rPr>
        <w:t xml:space="preserve">. This is </w:t>
      </w:r>
      <w:r w:rsidRPr="00C66550">
        <w:rPr>
          <w:color w:val="080808"/>
          <w:sz w:val="22"/>
        </w:rPr>
        <w:t xml:space="preserve">the fourth highest </w:t>
      </w:r>
      <w:r w:rsidR="00CA7E4B" w:rsidRPr="00C66550">
        <w:rPr>
          <w:color w:val="080808"/>
          <w:sz w:val="22"/>
        </w:rPr>
        <w:t>of</w:t>
      </w:r>
      <w:r w:rsidRPr="00C66550">
        <w:rPr>
          <w:color w:val="080808"/>
          <w:sz w:val="22"/>
        </w:rPr>
        <w:t xml:space="preserve"> Australia</w:t>
      </w:r>
      <w:r w:rsidR="00CA7E4B" w:rsidRPr="00C66550">
        <w:rPr>
          <w:color w:val="080808"/>
          <w:sz w:val="22"/>
        </w:rPr>
        <w:t>’s jurisdictions</w:t>
      </w:r>
      <w:r w:rsidRPr="00C66550">
        <w:rPr>
          <w:color w:val="080808"/>
          <w:sz w:val="22"/>
        </w:rPr>
        <w:t>,</w:t>
      </w:r>
      <w:r w:rsidR="00CA7E4B" w:rsidRPr="00C66550">
        <w:rPr>
          <w:color w:val="080808"/>
          <w:sz w:val="22"/>
        </w:rPr>
        <w:t xml:space="preserve"> consistent with</w:t>
      </w:r>
      <w:r w:rsidRPr="00C66550">
        <w:rPr>
          <w:color w:val="080808"/>
          <w:sz w:val="22"/>
        </w:rPr>
        <w:t xml:space="preserve"> WA’s</w:t>
      </w:r>
      <w:r w:rsidR="00CA7E4B" w:rsidRPr="00C66550">
        <w:rPr>
          <w:color w:val="080808"/>
          <w:sz w:val="22"/>
        </w:rPr>
        <w:t xml:space="preserve"> ranking in relation to</w:t>
      </w:r>
      <w:r w:rsidRPr="00C66550">
        <w:rPr>
          <w:color w:val="080808"/>
          <w:sz w:val="22"/>
        </w:rPr>
        <w:t xml:space="preserve"> population and GSP. </w:t>
      </w:r>
    </w:p>
    <w:p w:rsidR="006E0606" w:rsidRPr="00C66550" w:rsidRDefault="006E0606" w:rsidP="003B0457">
      <w:pPr>
        <w:pStyle w:val="BodyText"/>
      </w:pPr>
    </w:p>
    <w:p w:rsidR="00985766" w:rsidRPr="00C66550" w:rsidRDefault="00CA7E4B" w:rsidP="003B0457">
      <w:pPr>
        <w:pStyle w:val="BodyText"/>
      </w:pPr>
      <w:r w:rsidRPr="00C66550">
        <w:t xml:space="preserve">The estimate above is less than the waste generation estimate of 6.5 Mt reported by the </w:t>
      </w:r>
      <w:r w:rsidR="003B0457" w:rsidRPr="00C66550">
        <w:t>Waste Authority (2012</w:t>
      </w:r>
      <w:r w:rsidR="006E0606" w:rsidRPr="00C66550">
        <w:t xml:space="preserve"> p.18</w:t>
      </w:r>
      <w:r w:rsidR="003B0457" w:rsidRPr="00C66550">
        <w:t>)</w:t>
      </w:r>
      <w:r w:rsidRPr="00C66550">
        <w:t xml:space="preserve">. The difference is mainly because the method for this report excludes soil, which was subtracted from the total based on the proportions identified by </w:t>
      </w:r>
      <w:r w:rsidR="00985766" w:rsidRPr="00C66550">
        <w:t>W</w:t>
      </w:r>
      <w:r w:rsidR="00CD5A81" w:rsidRPr="00C66550">
        <w:t xml:space="preserve">aste Audit &amp; Golder </w:t>
      </w:r>
      <w:r w:rsidRPr="00C66550">
        <w:t>(</w:t>
      </w:r>
      <w:r w:rsidR="00985766" w:rsidRPr="00C66550">
        <w:t>2007)</w:t>
      </w:r>
      <w:r w:rsidR="0067780B" w:rsidRPr="00C66550">
        <w:t>.</w:t>
      </w:r>
    </w:p>
    <w:p w:rsidR="00FC237C" w:rsidRPr="00C66550" w:rsidRDefault="00FC237C" w:rsidP="006D25F9">
      <w:pPr>
        <w:pStyle w:val="Heading3"/>
      </w:pPr>
      <w:r w:rsidRPr="00C66550">
        <w:t xml:space="preserve">Waste streams </w:t>
      </w:r>
    </w:p>
    <w:p w:rsidR="00FC237C" w:rsidRPr="00C66550" w:rsidRDefault="0072519B" w:rsidP="00FC237C">
      <w:pPr>
        <w:pStyle w:val="Bullet1"/>
      </w:pPr>
      <w:r w:rsidRPr="00C66550">
        <w:t>WA</w:t>
      </w:r>
      <w:r w:rsidR="00FC237C" w:rsidRPr="00C66550">
        <w:t xml:space="preserve"> MSW generation was around </w:t>
      </w:r>
      <w:r w:rsidRPr="00C66550">
        <w:t>1</w:t>
      </w:r>
      <w:r w:rsidR="00CA7E4B" w:rsidRPr="00C66550">
        <w:t>.</w:t>
      </w:r>
      <w:r w:rsidRPr="00C66550">
        <w:t>6</w:t>
      </w:r>
      <w:r w:rsidR="00FC237C" w:rsidRPr="00C66550">
        <w:t xml:space="preserve"> </w:t>
      </w:r>
      <w:r w:rsidR="00CA7E4B" w:rsidRPr="00C66550">
        <w:t>M</w:t>
      </w:r>
      <w:r w:rsidR="0012047B" w:rsidRPr="00C66550">
        <w:t>t</w:t>
      </w:r>
      <w:r w:rsidR="00FC237C" w:rsidRPr="00C66550">
        <w:t xml:space="preserve"> with a resource recovery rate of </w:t>
      </w:r>
      <w:r w:rsidRPr="00C66550">
        <w:t>4</w:t>
      </w:r>
      <w:r w:rsidR="00FC7BF2" w:rsidRPr="00C66550">
        <w:t>1</w:t>
      </w:r>
      <w:r w:rsidR="00FC237C" w:rsidRPr="00C66550">
        <w:t>%</w:t>
      </w:r>
      <w:r w:rsidR="00074032" w:rsidRPr="00C66550">
        <w:t>,</w:t>
      </w:r>
      <w:r w:rsidR="00FC237C" w:rsidRPr="00C66550">
        <w:t xml:space="preserve"> which is </w:t>
      </w:r>
      <w:r w:rsidR="0026727B" w:rsidRPr="00C66550">
        <w:t>10</w:t>
      </w:r>
      <w:r w:rsidR="00FC237C" w:rsidRPr="00C66550">
        <w:t xml:space="preserve">% </w:t>
      </w:r>
      <w:r w:rsidRPr="00C66550">
        <w:t>below</w:t>
      </w:r>
      <w:r w:rsidR="00FC237C" w:rsidRPr="00C66550">
        <w:t xml:space="preserve"> the Australian average. </w:t>
      </w:r>
      <w:r w:rsidRPr="00C66550">
        <w:t xml:space="preserve">WA is </w:t>
      </w:r>
      <w:r w:rsidR="00FC237C" w:rsidRPr="00C66550">
        <w:t xml:space="preserve">targeting a MSW recovery rate of </w:t>
      </w:r>
      <w:r w:rsidRPr="00C66550">
        <w:t>50</w:t>
      </w:r>
      <w:r w:rsidR="00FC237C" w:rsidRPr="00C66550">
        <w:t>%</w:t>
      </w:r>
      <w:r w:rsidRPr="00C66550">
        <w:t xml:space="preserve"> in metro</w:t>
      </w:r>
      <w:r w:rsidR="00074032" w:rsidRPr="00C66550">
        <w:t>politan</w:t>
      </w:r>
      <w:r w:rsidRPr="00C66550">
        <w:t xml:space="preserve"> areas by 2015</w:t>
      </w:r>
      <w:r w:rsidR="00FC237C" w:rsidRPr="00C66550">
        <w:t>.</w:t>
      </w:r>
    </w:p>
    <w:p w:rsidR="00FC237C" w:rsidRPr="00C66550" w:rsidRDefault="0072519B" w:rsidP="00FC237C">
      <w:pPr>
        <w:pStyle w:val="Bullet1"/>
      </w:pPr>
      <w:r w:rsidRPr="00C66550">
        <w:t>WA</w:t>
      </w:r>
      <w:r w:rsidR="00FC237C" w:rsidRPr="00C66550">
        <w:t xml:space="preserve"> C&amp;I </w:t>
      </w:r>
      <w:r w:rsidR="00CA7E4B" w:rsidRPr="00C66550">
        <w:t xml:space="preserve">waste </w:t>
      </w:r>
      <w:r w:rsidR="00FC237C" w:rsidRPr="00C66550">
        <w:t xml:space="preserve">generation was around </w:t>
      </w:r>
      <w:r w:rsidRPr="00C66550">
        <w:t>1</w:t>
      </w:r>
      <w:r w:rsidR="00CA7E4B" w:rsidRPr="00C66550">
        <w:t>.</w:t>
      </w:r>
      <w:r w:rsidRPr="00C66550">
        <w:t>5</w:t>
      </w:r>
      <w:r w:rsidR="00FC237C" w:rsidRPr="00C66550">
        <w:t xml:space="preserve"> </w:t>
      </w:r>
      <w:r w:rsidR="00CA7E4B" w:rsidRPr="00C66550">
        <w:t>M</w:t>
      </w:r>
      <w:r w:rsidR="0012047B" w:rsidRPr="00C66550">
        <w:t>t</w:t>
      </w:r>
      <w:r w:rsidR="00FC237C" w:rsidRPr="00C66550">
        <w:t xml:space="preserve"> with a resource recovery rate of </w:t>
      </w:r>
      <w:r w:rsidRPr="00C66550">
        <w:t>3</w:t>
      </w:r>
      <w:r w:rsidR="00FB3F25" w:rsidRPr="00C66550">
        <w:t>4</w:t>
      </w:r>
      <w:r w:rsidR="00FC237C" w:rsidRPr="00C66550">
        <w:t>%</w:t>
      </w:r>
      <w:r w:rsidR="00074032" w:rsidRPr="00C66550">
        <w:t>,</w:t>
      </w:r>
      <w:r w:rsidR="00FC237C" w:rsidRPr="00C66550">
        <w:t xml:space="preserve"> which is </w:t>
      </w:r>
      <w:r w:rsidRPr="00C66550">
        <w:t>2</w:t>
      </w:r>
      <w:r w:rsidR="00FC7BF2" w:rsidRPr="00C66550">
        <w:t>5</w:t>
      </w:r>
      <w:r w:rsidR="00FC237C" w:rsidRPr="00C66550">
        <w:t xml:space="preserve">% </w:t>
      </w:r>
      <w:r w:rsidRPr="00C66550">
        <w:t xml:space="preserve">below </w:t>
      </w:r>
      <w:r w:rsidR="00FC237C" w:rsidRPr="00C66550">
        <w:t>the Australian average.</w:t>
      </w:r>
      <w:r w:rsidR="00FF12A8" w:rsidRPr="00C66550">
        <w:t xml:space="preserve"> </w:t>
      </w:r>
      <w:r w:rsidRPr="00C66550">
        <w:t>WA is</w:t>
      </w:r>
      <w:r w:rsidR="00FC237C" w:rsidRPr="00C66550">
        <w:t xml:space="preserve"> targeting a C&amp;I recovery rate of </w:t>
      </w:r>
      <w:r w:rsidRPr="00C66550">
        <w:t>55</w:t>
      </w:r>
      <w:r w:rsidR="00FC237C" w:rsidRPr="00C66550">
        <w:t>% by 201</w:t>
      </w:r>
      <w:r w:rsidRPr="00C66550">
        <w:t>5</w:t>
      </w:r>
      <w:r w:rsidR="00FC237C" w:rsidRPr="00C66550">
        <w:t>.</w:t>
      </w:r>
    </w:p>
    <w:p w:rsidR="00FC237C" w:rsidRPr="00C66550" w:rsidRDefault="0072519B" w:rsidP="00FC237C">
      <w:pPr>
        <w:pStyle w:val="Bullet1"/>
      </w:pPr>
      <w:r w:rsidRPr="00C66550">
        <w:t>WA</w:t>
      </w:r>
      <w:r w:rsidR="00FC237C" w:rsidRPr="00C66550">
        <w:t xml:space="preserve"> C&amp;D </w:t>
      </w:r>
      <w:r w:rsidR="00CA7E4B" w:rsidRPr="00C66550">
        <w:t xml:space="preserve">waste </w:t>
      </w:r>
      <w:r w:rsidR="00FC237C" w:rsidRPr="00C66550">
        <w:t xml:space="preserve">generation was around </w:t>
      </w:r>
      <w:r w:rsidRPr="00C66550">
        <w:t>2</w:t>
      </w:r>
      <w:r w:rsidR="00CA7E4B" w:rsidRPr="00C66550">
        <w:t>.</w:t>
      </w:r>
      <w:r w:rsidRPr="00C66550">
        <w:t>8</w:t>
      </w:r>
      <w:r w:rsidR="00FC237C" w:rsidRPr="00C66550">
        <w:t xml:space="preserve"> </w:t>
      </w:r>
      <w:r w:rsidR="00CA7E4B" w:rsidRPr="00C66550">
        <w:t>M</w:t>
      </w:r>
      <w:r w:rsidR="0012047B" w:rsidRPr="00C66550">
        <w:t>t</w:t>
      </w:r>
      <w:r w:rsidR="00FC237C" w:rsidRPr="00C66550">
        <w:t xml:space="preserve"> with a resource recovery rate of </w:t>
      </w:r>
      <w:r w:rsidRPr="00C66550">
        <w:t>40</w:t>
      </w:r>
      <w:r w:rsidR="00FC237C" w:rsidRPr="00C66550">
        <w:t>%</w:t>
      </w:r>
      <w:r w:rsidR="00074032" w:rsidRPr="00C66550">
        <w:t>,</w:t>
      </w:r>
      <w:r w:rsidR="00FC237C" w:rsidRPr="00C66550">
        <w:t xml:space="preserve"> which is </w:t>
      </w:r>
      <w:r w:rsidR="00263999" w:rsidRPr="00C66550">
        <w:t>2</w:t>
      </w:r>
      <w:r w:rsidR="00FC7BF2" w:rsidRPr="00C66550">
        <w:t>6</w:t>
      </w:r>
      <w:r w:rsidR="00FC237C" w:rsidRPr="00C66550">
        <w:t xml:space="preserve">% </w:t>
      </w:r>
      <w:r w:rsidR="00263999" w:rsidRPr="00C66550">
        <w:t>below</w:t>
      </w:r>
      <w:r w:rsidR="00FC237C" w:rsidRPr="00C66550">
        <w:t xml:space="preserve"> the Australian average. </w:t>
      </w:r>
      <w:r w:rsidR="00263999" w:rsidRPr="00C66550">
        <w:t>WA</w:t>
      </w:r>
      <w:r w:rsidR="00FC237C" w:rsidRPr="00C66550">
        <w:t xml:space="preserve"> </w:t>
      </w:r>
      <w:r w:rsidR="00263999" w:rsidRPr="00C66550">
        <w:t>is</w:t>
      </w:r>
      <w:r w:rsidR="00FC237C" w:rsidRPr="00C66550">
        <w:t xml:space="preserve"> targeting a C&amp;D recovery rate of </w:t>
      </w:r>
      <w:r w:rsidR="00263999" w:rsidRPr="00C66550">
        <w:t>6</w:t>
      </w:r>
      <w:r w:rsidR="00FC237C" w:rsidRPr="00C66550">
        <w:t>0% by 201</w:t>
      </w:r>
      <w:r w:rsidR="00263999" w:rsidRPr="00C66550">
        <w:t>5</w:t>
      </w:r>
      <w:r w:rsidR="00FC237C" w:rsidRPr="00C66550">
        <w:t>.</w:t>
      </w:r>
    </w:p>
    <w:p w:rsidR="00CD5A81" w:rsidRPr="00C66550" w:rsidRDefault="00CD5A81" w:rsidP="00CD5A81">
      <w:pPr>
        <w:pStyle w:val="BodyText"/>
      </w:pPr>
    </w:p>
    <w:p w:rsidR="00CD5A81" w:rsidRPr="00C66550" w:rsidRDefault="00CD5A81" w:rsidP="00CD5A81">
      <w:pPr>
        <w:pStyle w:val="BodyText"/>
      </w:pPr>
      <w:r w:rsidRPr="00C66550">
        <w:t>These</w:t>
      </w:r>
      <w:r w:rsidR="00FC237C" w:rsidRPr="00C66550">
        <w:t xml:space="preserve"> data </w:t>
      </w:r>
      <w:r w:rsidR="00263999" w:rsidRPr="00C66550">
        <w:t xml:space="preserve">may indicate </w:t>
      </w:r>
      <w:r w:rsidR="00FC237C" w:rsidRPr="00C66550">
        <w:t xml:space="preserve">relatively </w:t>
      </w:r>
      <w:r w:rsidR="00263999" w:rsidRPr="00C66550">
        <w:t>(compar</w:t>
      </w:r>
      <w:r w:rsidRPr="00C66550">
        <w:t>ed to some jurisdictions) under</w:t>
      </w:r>
      <w:r w:rsidR="00263999" w:rsidRPr="00C66550">
        <w:t>developed resource recovery infrastructure in WA</w:t>
      </w:r>
      <w:r w:rsidRPr="00C66550">
        <w:t>. H</w:t>
      </w:r>
      <w:r w:rsidR="00263999" w:rsidRPr="00C66550">
        <w:t>owever</w:t>
      </w:r>
      <w:r w:rsidRPr="00C66550">
        <w:t>,</w:t>
      </w:r>
      <w:r w:rsidR="00263999" w:rsidRPr="00C66550">
        <w:t xml:space="preserve"> if the </w:t>
      </w:r>
      <w:r w:rsidR="00FC6518" w:rsidRPr="00C66550">
        <w:t xml:space="preserve">waste generation </w:t>
      </w:r>
      <w:r w:rsidR="00263999" w:rsidRPr="00C66550">
        <w:t xml:space="preserve">estimate is </w:t>
      </w:r>
      <w:r w:rsidR="00CA7E4B" w:rsidRPr="00C66550">
        <w:t xml:space="preserve">too </w:t>
      </w:r>
      <w:r w:rsidR="00263999" w:rsidRPr="00C66550">
        <w:t>high</w:t>
      </w:r>
      <w:r w:rsidR="00CA7E4B" w:rsidRPr="00C66550">
        <w:t xml:space="preserve"> (see above)</w:t>
      </w:r>
      <w:r w:rsidR="00D31175" w:rsidRPr="00C66550">
        <w:t>,</w:t>
      </w:r>
      <w:r w:rsidR="00FC6518" w:rsidRPr="00C66550">
        <w:t xml:space="preserve"> </w:t>
      </w:r>
      <w:r w:rsidR="00CA7E4B" w:rsidRPr="00C66550">
        <w:t xml:space="preserve">the true rates of resource recovery could be higher than those presented here. </w:t>
      </w:r>
    </w:p>
    <w:p w:rsidR="00FC237C" w:rsidRPr="00C66550" w:rsidRDefault="00FC237C" w:rsidP="006D25F9">
      <w:pPr>
        <w:pStyle w:val="Heading3"/>
      </w:pPr>
      <w:r w:rsidRPr="00C66550">
        <w:t>Material categories</w:t>
      </w:r>
    </w:p>
    <w:p w:rsidR="006A097E" w:rsidRPr="00C66550" w:rsidRDefault="00FC237C" w:rsidP="00CD5A81">
      <w:pPr>
        <w:pStyle w:val="BodyText"/>
      </w:pPr>
      <w:r w:rsidRPr="00C66550">
        <w:t xml:space="preserve">In </w:t>
      </w:r>
      <w:r w:rsidR="00263999" w:rsidRPr="00C66550">
        <w:t>WA</w:t>
      </w:r>
      <w:r w:rsidR="00CD5A81" w:rsidRPr="00C66550">
        <w:t>,</w:t>
      </w:r>
      <w:r w:rsidRPr="00C66550">
        <w:t xml:space="preserve"> the waste categories that </w:t>
      </w:r>
      <w:r w:rsidR="003E1D77" w:rsidRPr="00C66550">
        <w:t>make up</w:t>
      </w:r>
      <w:r w:rsidRPr="00C66550">
        <w:t xml:space="preserve"> the bulk of waste generation are masonry, organics, </w:t>
      </w:r>
      <w:r w:rsidR="00263999" w:rsidRPr="00C66550">
        <w:t xml:space="preserve">metals, </w:t>
      </w:r>
      <w:r w:rsidRPr="00C66550">
        <w:t xml:space="preserve">paper and cardboard, metals, </w:t>
      </w:r>
      <w:r w:rsidR="00263999" w:rsidRPr="00C66550">
        <w:t xml:space="preserve">fly ash </w:t>
      </w:r>
      <w:r w:rsidRPr="00C66550">
        <w:t xml:space="preserve">and plastics. </w:t>
      </w:r>
      <w:r w:rsidR="00CD5A81" w:rsidRPr="00C66550">
        <w:t>R</w:t>
      </w:r>
      <w:r w:rsidRPr="00C66550">
        <w:t>esource recovery rates for most material categories</w:t>
      </w:r>
      <w:r w:rsidR="00164DA4" w:rsidRPr="00C66550">
        <w:t xml:space="preserve"> are</w:t>
      </w:r>
      <w:r w:rsidRPr="00C66550">
        <w:t xml:space="preserve"> </w:t>
      </w:r>
      <w:r w:rsidR="00516A8D" w:rsidRPr="00C66550">
        <w:t xml:space="preserve">below </w:t>
      </w:r>
      <w:r w:rsidRPr="00C66550">
        <w:t>the national average</w:t>
      </w:r>
      <w:r w:rsidR="00516A8D" w:rsidRPr="00C66550">
        <w:t>.</w:t>
      </w:r>
      <w:r w:rsidR="006F2CE3" w:rsidRPr="00C66550">
        <w:t xml:space="preserve"> </w:t>
      </w:r>
    </w:p>
    <w:p w:rsidR="006A097E" w:rsidRPr="00C66550" w:rsidRDefault="006A097E" w:rsidP="006A097E">
      <w:pPr>
        <w:rPr>
          <w:color w:val="080808"/>
          <w:sz w:val="22"/>
        </w:rPr>
      </w:pPr>
      <w:r w:rsidRPr="00C66550">
        <w:br w:type="page"/>
      </w:r>
    </w:p>
    <w:p w:rsidR="00912151" w:rsidRPr="00C66550" w:rsidRDefault="00627520" w:rsidP="00FB4820">
      <w:pPr>
        <w:pStyle w:val="Figures"/>
        <w:rPr>
          <w:noProof/>
          <w:lang w:eastAsia="en-AU"/>
        </w:rPr>
      </w:pPr>
      <w:bookmarkStart w:id="173" w:name="_Toc365385047"/>
      <w:r w:rsidRPr="00C66550">
        <w:lastRenderedPageBreak/>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38</w:t>
      </w:r>
      <w:r w:rsidR="0062001A" w:rsidRPr="00C66550">
        <w:rPr>
          <w:noProof/>
        </w:rPr>
        <w:fldChar w:fldCharType="end"/>
      </w:r>
      <w:r w:rsidR="004572F4" w:rsidRPr="00C66550">
        <w:t>:</w:t>
      </w:r>
      <w:r w:rsidR="004572F4" w:rsidRPr="00C66550">
        <w:tab/>
      </w:r>
      <w:r w:rsidR="00EA7D45" w:rsidRPr="00C66550">
        <w:t>WA</w:t>
      </w:r>
      <w:r w:rsidRPr="00C66550">
        <w:t xml:space="preserve"> 2010/11</w:t>
      </w:r>
      <w:r w:rsidR="000D7C2B">
        <w:t>, total waste generation</w:t>
      </w:r>
      <w:r w:rsidR="00D86863" w:rsidRPr="00C66550">
        <w:t xml:space="preserve"> by</w:t>
      </w:r>
      <w:r w:rsidR="00D86863">
        <w:t>:</w:t>
      </w:r>
      <w:r w:rsidR="00D86863" w:rsidRPr="00C66550">
        <w:t xml:space="preserve"> (a) management (b) waste stream and management</w:t>
      </w:r>
      <w:r w:rsidR="000D7C2B">
        <w:t xml:space="preserve"> (c)</w:t>
      </w:r>
      <w:r w:rsidR="00D86863" w:rsidRPr="00C66550">
        <w:t xml:space="preserve"> material category and management</w:t>
      </w:r>
      <w:bookmarkEnd w:id="173"/>
    </w:p>
    <w:p w:rsidR="00627520" w:rsidRPr="00C66550" w:rsidRDefault="00D33551" w:rsidP="00FB4820">
      <w:pPr>
        <w:pStyle w:val="Figures"/>
      </w:pPr>
      <w:r w:rsidRPr="00C66550">
        <w:rPr>
          <w:noProof/>
          <w:lang w:eastAsia="en-AU"/>
        </w:rPr>
        <w:drawing>
          <wp:anchor distT="0" distB="0" distL="114300" distR="114300" simplePos="0" relativeHeight="251850752" behindDoc="0" locked="0" layoutInCell="1" allowOverlap="1">
            <wp:simplePos x="0" y="0"/>
            <wp:positionH relativeFrom="column">
              <wp:posOffset>565785</wp:posOffset>
            </wp:positionH>
            <wp:positionV relativeFrom="paragraph">
              <wp:posOffset>172720</wp:posOffset>
            </wp:positionV>
            <wp:extent cx="4142740" cy="273304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2740" cy="2733040"/>
                    </a:xfrm>
                    <a:prstGeom prst="rect">
                      <a:avLst/>
                    </a:prstGeom>
                  </pic:spPr>
                </pic:pic>
              </a:graphicData>
            </a:graphic>
          </wp:anchor>
        </w:drawing>
      </w:r>
    </w:p>
    <w:p w:rsidR="000F0AF6" w:rsidRPr="00C66550" w:rsidRDefault="00912151" w:rsidP="000F0AF6">
      <w:pPr>
        <w:pStyle w:val="BodyText"/>
        <w:rPr>
          <w:rFonts w:ascii="Arial Rounded MT Bold" w:hAnsi="Arial Rounded MT Bold" w:cs="Arial"/>
          <w:color w:val="0000FF"/>
        </w:rPr>
      </w:pPr>
      <w:r w:rsidRPr="00C66550">
        <w:rPr>
          <w:rFonts w:ascii="Arial Rounded MT Bold" w:hAnsi="Arial Rounded MT Bold" w:cs="Arial"/>
          <w:color w:val="0000FF"/>
        </w:rPr>
        <w:t>(a)</w:t>
      </w:r>
      <w:r w:rsidR="00D33551" w:rsidRPr="00C66550">
        <w:rPr>
          <w:noProof/>
          <w:lang w:eastAsia="en-AU"/>
        </w:rPr>
        <w:t xml:space="preserve"> </w:t>
      </w:r>
    </w:p>
    <w:p w:rsidR="00FB3F25" w:rsidRPr="00C66550" w:rsidRDefault="00FB3F25"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rsidP="000F0AF6">
      <w:pPr>
        <w:pStyle w:val="BodyText"/>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D33551">
      <w:pPr>
        <w:spacing w:line="240" w:lineRule="auto"/>
        <w:rPr>
          <w:rFonts w:ascii="Arial Rounded MT Bold" w:hAnsi="Arial Rounded MT Bold" w:cs="Arial"/>
          <w:color w:val="0000FF"/>
        </w:rPr>
      </w:pPr>
      <w:r w:rsidRPr="00C66550">
        <w:rPr>
          <w:noProof/>
          <w:lang w:eastAsia="en-AU"/>
        </w:rPr>
        <w:drawing>
          <wp:anchor distT="0" distB="0" distL="114300" distR="114300" simplePos="0" relativeHeight="251851776" behindDoc="0" locked="0" layoutInCell="1" allowOverlap="1">
            <wp:simplePos x="0" y="0"/>
            <wp:positionH relativeFrom="column">
              <wp:posOffset>694690</wp:posOffset>
            </wp:positionH>
            <wp:positionV relativeFrom="paragraph">
              <wp:posOffset>-1905</wp:posOffset>
            </wp:positionV>
            <wp:extent cx="4018915" cy="2704465"/>
            <wp:effectExtent l="0" t="0" r="635" b="63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8915" cy="2704465"/>
                    </a:xfrm>
                    <a:prstGeom prst="rect">
                      <a:avLst/>
                    </a:prstGeom>
                  </pic:spPr>
                </pic:pic>
              </a:graphicData>
            </a:graphic>
          </wp:anchor>
        </w:drawing>
      </w:r>
      <w:r w:rsidR="00912151" w:rsidRPr="00C66550">
        <w:rPr>
          <w:rFonts w:ascii="Arial Rounded MT Bold" w:hAnsi="Arial Rounded MT Bold" w:cs="Arial"/>
          <w:color w:val="0000FF"/>
        </w:rPr>
        <w:t>(b)</w:t>
      </w:r>
      <w:r w:rsidRPr="00C66550">
        <w:rPr>
          <w:noProof/>
          <w:lang w:eastAsia="en-AU"/>
        </w:rPr>
        <w:t xml:space="preserve"> </w:t>
      </w: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0F0AF6" w:rsidRPr="00C66550" w:rsidRDefault="000F0AF6">
      <w:pPr>
        <w:spacing w:line="240" w:lineRule="auto"/>
        <w:rPr>
          <w:rFonts w:ascii="Arial Rounded MT Bold" w:hAnsi="Arial Rounded MT Bold" w:cs="Arial"/>
          <w:color w:val="0000FF"/>
        </w:rPr>
      </w:pPr>
    </w:p>
    <w:p w:rsidR="00FB3F25" w:rsidRPr="00C66550" w:rsidRDefault="00FB3F25">
      <w:pPr>
        <w:spacing w:line="240" w:lineRule="auto"/>
        <w:rPr>
          <w:rFonts w:ascii="Arial Rounded MT Bold" w:hAnsi="Arial Rounded MT Bold" w:cs="Arial"/>
          <w:color w:val="0000FF"/>
        </w:rPr>
      </w:pPr>
    </w:p>
    <w:p w:rsidR="00FB3F25" w:rsidRPr="00C66550" w:rsidRDefault="00FB3F25">
      <w:pPr>
        <w:spacing w:line="240" w:lineRule="auto"/>
        <w:rPr>
          <w:rFonts w:ascii="Arial Rounded MT Bold" w:hAnsi="Arial Rounded MT Bold" w:cs="Arial"/>
          <w:color w:val="0000FF"/>
        </w:rPr>
      </w:pPr>
    </w:p>
    <w:p w:rsidR="00FB3F25" w:rsidRPr="00C66550" w:rsidRDefault="00FB3F25">
      <w:pPr>
        <w:spacing w:line="240" w:lineRule="auto"/>
        <w:rPr>
          <w:rFonts w:ascii="Arial Rounded MT Bold" w:hAnsi="Arial Rounded MT Bold" w:cs="Arial"/>
          <w:color w:val="0000FF"/>
        </w:rPr>
      </w:pPr>
    </w:p>
    <w:p w:rsidR="00D33551" w:rsidRPr="00C66550" w:rsidRDefault="00D33551">
      <w:pPr>
        <w:spacing w:line="240" w:lineRule="auto"/>
        <w:rPr>
          <w:rFonts w:ascii="Arial Rounded MT Bold" w:hAnsi="Arial Rounded MT Bold" w:cs="Arial"/>
          <w:color w:val="0000FF"/>
        </w:rPr>
      </w:pPr>
    </w:p>
    <w:p w:rsidR="00D33551" w:rsidRPr="00C66550" w:rsidRDefault="00D33551">
      <w:pPr>
        <w:spacing w:line="240" w:lineRule="auto"/>
        <w:rPr>
          <w:rFonts w:ascii="Arial Rounded MT Bold" w:hAnsi="Arial Rounded MT Bold" w:cs="Arial"/>
          <w:color w:val="0000FF"/>
        </w:rPr>
      </w:pPr>
    </w:p>
    <w:p w:rsidR="00D33551" w:rsidRPr="00C66550" w:rsidRDefault="00D33551">
      <w:pPr>
        <w:spacing w:line="240" w:lineRule="auto"/>
        <w:rPr>
          <w:rFonts w:ascii="Arial Rounded MT Bold" w:hAnsi="Arial Rounded MT Bold" w:cs="Arial"/>
          <w:color w:val="0000FF"/>
        </w:rPr>
      </w:pPr>
    </w:p>
    <w:p w:rsidR="00D33551" w:rsidRPr="00C66550" w:rsidRDefault="00D33551">
      <w:pPr>
        <w:spacing w:line="240" w:lineRule="auto"/>
        <w:rPr>
          <w:rFonts w:ascii="Arial Rounded MT Bold" w:hAnsi="Arial Rounded MT Bold" w:cs="Arial"/>
          <w:color w:val="0000FF"/>
        </w:rPr>
      </w:pPr>
    </w:p>
    <w:p w:rsidR="00D33551" w:rsidRPr="00C66550" w:rsidRDefault="00D33551">
      <w:pPr>
        <w:spacing w:line="240" w:lineRule="auto"/>
        <w:rPr>
          <w:rFonts w:ascii="Arial Rounded MT Bold" w:hAnsi="Arial Rounded MT Bold" w:cs="Arial"/>
          <w:color w:val="0000FF"/>
        </w:rPr>
      </w:pPr>
    </w:p>
    <w:p w:rsidR="00D33551" w:rsidRPr="00C66550" w:rsidRDefault="00D33551">
      <w:pPr>
        <w:spacing w:line="240" w:lineRule="auto"/>
        <w:rPr>
          <w:rFonts w:ascii="Arial Rounded MT Bold" w:hAnsi="Arial Rounded MT Bold" w:cs="Arial"/>
          <w:color w:val="0000FF"/>
        </w:rPr>
      </w:pPr>
    </w:p>
    <w:p w:rsidR="006A097E" w:rsidRPr="00C66550" w:rsidRDefault="00D33551">
      <w:pPr>
        <w:spacing w:line="240" w:lineRule="auto"/>
        <w:rPr>
          <w:rFonts w:ascii="Arial Rounded MT Bold" w:hAnsi="Arial Rounded MT Bold" w:cs="Arial"/>
          <w:color w:val="0000FF"/>
        </w:rPr>
      </w:pPr>
      <w:r w:rsidRPr="00C66550">
        <w:rPr>
          <w:noProof/>
          <w:lang w:eastAsia="en-AU"/>
        </w:rPr>
        <w:drawing>
          <wp:anchor distT="0" distB="0" distL="114300" distR="114300" simplePos="0" relativeHeight="251852800" behindDoc="0" locked="0" layoutInCell="1" allowOverlap="1">
            <wp:simplePos x="0" y="0"/>
            <wp:positionH relativeFrom="column">
              <wp:posOffset>224155</wp:posOffset>
            </wp:positionH>
            <wp:positionV relativeFrom="paragraph">
              <wp:posOffset>152400</wp:posOffset>
            </wp:positionV>
            <wp:extent cx="5726430" cy="2289810"/>
            <wp:effectExtent l="0" t="0" r="762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6430" cy="2289810"/>
                    </a:xfrm>
                    <a:prstGeom prst="rect">
                      <a:avLst/>
                    </a:prstGeom>
                  </pic:spPr>
                </pic:pic>
              </a:graphicData>
            </a:graphic>
          </wp:anchor>
        </w:drawing>
      </w:r>
      <w:r w:rsidR="00912151" w:rsidRPr="00C66550">
        <w:rPr>
          <w:rFonts w:ascii="Arial Rounded MT Bold" w:hAnsi="Arial Rounded MT Bold" w:cs="Arial"/>
          <w:color w:val="0000FF"/>
        </w:rPr>
        <w:t>(c)</w:t>
      </w:r>
      <w:bookmarkStart w:id="174" w:name="_Ref349912137"/>
    </w:p>
    <w:p w:rsidR="00FB3F25" w:rsidRPr="00C66550" w:rsidRDefault="00FB3F25">
      <w:pPr>
        <w:spacing w:line="240" w:lineRule="auto"/>
        <w:rPr>
          <w:rFonts w:ascii="Arial Rounded MT Bold" w:hAnsi="Arial Rounded MT Bold" w:cs="Arial"/>
          <w:color w:val="0000FF"/>
        </w:rPr>
      </w:pPr>
    </w:p>
    <w:p w:rsidR="00A645A3" w:rsidRPr="00C66550" w:rsidRDefault="00A645A3" w:rsidP="006D25F9">
      <w:pPr>
        <w:pStyle w:val="Heading2"/>
      </w:pPr>
      <w:bookmarkStart w:id="175" w:name="_Toc379466384"/>
      <w:r w:rsidRPr="00C66550">
        <w:t xml:space="preserve">WA trends </w:t>
      </w:r>
      <w:r w:rsidR="00081CFB" w:rsidRPr="00C66550">
        <w:t>2006/07 to 2010/11</w:t>
      </w:r>
      <w:bookmarkEnd w:id="174"/>
      <w:bookmarkEnd w:id="175"/>
      <w:r w:rsidRPr="00C66550">
        <w:t xml:space="preserve"> </w:t>
      </w:r>
    </w:p>
    <w:p w:rsidR="002B5457" w:rsidRPr="00C66550" w:rsidRDefault="0062001A" w:rsidP="00000DEF">
      <w:pPr>
        <w:spacing w:after="120" w:line="240" w:lineRule="auto"/>
        <w:rPr>
          <w:color w:val="080808"/>
          <w:sz w:val="22"/>
        </w:rPr>
      </w:pPr>
      <w:fldSimple w:instr=" REF _Ref355039964 \h  \* MERGEFORMAT ">
        <w:r w:rsidR="00D96003" w:rsidRPr="00D96003">
          <w:rPr>
            <w:sz w:val="22"/>
          </w:rPr>
          <w:t xml:space="preserve">Figure </w:t>
        </w:r>
        <w:r w:rsidR="00D96003" w:rsidRPr="00D96003">
          <w:rPr>
            <w:noProof/>
            <w:sz w:val="22"/>
          </w:rPr>
          <w:t>40</w:t>
        </w:r>
      </w:fldSimple>
      <w:r w:rsidR="00FB3F25" w:rsidRPr="00C66550">
        <w:rPr>
          <w:color w:val="080808"/>
          <w:sz w:val="24"/>
        </w:rPr>
        <w:t xml:space="preserve"> </w:t>
      </w:r>
      <w:r w:rsidR="007205CC" w:rsidRPr="00C66550">
        <w:rPr>
          <w:color w:val="080808"/>
          <w:sz w:val="22"/>
        </w:rPr>
        <w:t>shows</w:t>
      </w:r>
      <w:r w:rsidR="007205CC" w:rsidRPr="00C66550">
        <w:rPr>
          <w:color w:val="080808"/>
          <w:sz w:val="28"/>
        </w:rPr>
        <w:t xml:space="preserve"> </w:t>
      </w:r>
      <w:r w:rsidR="007205CC" w:rsidRPr="00C66550">
        <w:rPr>
          <w:color w:val="080808"/>
          <w:sz w:val="22"/>
        </w:rPr>
        <w:t xml:space="preserve">the </w:t>
      </w:r>
      <w:r w:rsidR="007205CC" w:rsidRPr="00C66550">
        <w:rPr>
          <w:b/>
          <w:color w:val="080808"/>
          <w:sz w:val="22"/>
        </w:rPr>
        <w:t>per capita</w:t>
      </w:r>
      <w:r w:rsidR="00CA7E4B" w:rsidRPr="00C66550">
        <w:rPr>
          <w:color w:val="080808"/>
          <w:sz w:val="22"/>
        </w:rPr>
        <w:t xml:space="preserve"> trends in</w:t>
      </w:r>
      <w:r w:rsidR="007205CC" w:rsidRPr="00C66550">
        <w:rPr>
          <w:color w:val="080808"/>
          <w:sz w:val="22"/>
        </w:rPr>
        <w:t xml:space="preserve"> </w:t>
      </w:r>
      <w:r w:rsidR="00912151" w:rsidRPr="00C66550">
        <w:rPr>
          <w:color w:val="080808"/>
          <w:sz w:val="22"/>
        </w:rPr>
        <w:t>wa</w:t>
      </w:r>
      <w:r w:rsidR="007205CC" w:rsidRPr="00C66550">
        <w:rPr>
          <w:color w:val="080808"/>
          <w:sz w:val="22"/>
        </w:rPr>
        <w:t xml:space="preserve">ste generation </w:t>
      </w:r>
      <w:r w:rsidR="00CA7E4B" w:rsidRPr="00C66550">
        <w:rPr>
          <w:color w:val="080808"/>
          <w:sz w:val="22"/>
        </w:rPr>
        <w:t xml:space="preserve">and management for </w:t>
      </w:r>
      <w:r w:rsidR="007205CC" w:rsidRPr="00C66550">
        <w:rPr>
          <w:color w:val="080808"/>
          <w:sz w:val="22"/>
        </w:rPr>
        <w:t>the</w:t>
      </w:r>
      <w:r w:rsidR="00164DA4" w:rsidRPr="00C66550">
        <w:rPr>
          <w:color w:val="080808"/>
          <w:sz w:val="22"/>
        </w:rPr>
        <w:t xml:space="preserve"> period</w:t>
      </w:r>
      <w:r w:rsidR="007205CC" w:rsidRPr="00C66550">
        <w:rPr>
          <w:color w:val="080808"/>
          <w:sz w:val="22"/>
        </w:rPr>
        <w:t xml:space="preserve"> 2</w:t>
      </w:r>
      <w:r w:rsidR="002B5457" w:rsidRPr="00C66550">
        <w:rPr>
          <w:color w:val="080808"/>
          <w:sz w:val="22"/>
        </w:rPr>
        <w:t>006/07</w:t>
      </w:r>
      <w:r w:rsidR="00164DA4" w:rsidRPr="00C66550">
        <w:rPr>
          <w:color w:val="080808"/>
          <w:sz w:val="22"/>
        </w:rPr>
        <w:t xml:space="preserve"> to </w:t>
      </w:r>
      <w:r w:rsidR="002B5457" w:rsidRPr="00C66550">
        <w:rPr>
          <w:color w:val="080808"/>
          <w:sz w:val="22"/>
        </w:rPr>
        <w:t xml:space="preserve">2010/11 </w:t>
      </w:r>
      <w:r w:rsidR="00CA7E4B" w:rsidRPr="00C66550">
        <w:rPr>
          <w:color w:val="080808"/>
          <w:sz w:val="22"/>
        </w:rPr>
        <w:t xml:space="preserve">in </w:t>
      </w:r>
      <w:r w:rsidR="002B5457" w:rsidRPr="00C66550">
        <w:rPr>
          <w:color w:val="080808"/>
          <w:sz w:val="22"/>
        </w:rPr>
        <w:t>WA</w:t>
      </w:r>
      <w:r w:rsidR="007205CC" w:rsidRPr="00C66550">
        <w:rPr>
          <w:color w:val="080808"/>
          <w:sz w:val="22"/>
        </w:rPr>
        <w:t>.</w:t>
      </w:r>
      <w:r w:rsidR="00FF12A8" w:rsidRPr="00C66550">
        <w:rPr>
          <w:color w:val="080808"/>
          <w:sz w:val="22"/>
        </w:rPr>
        <w:t xml:space="preserve"> </w:t>
      </w:r>
    </w:p>
    <w:p w:rsidR="00912151" w:rsidRPr="00C66550" w:rsidRDefault="00912151" w:rsidP="00FB4820">
      <w:pPr>
        <w:pStyle w:val="Figures"/>
        <w:rPr>
          <w:noProof/>
          <w:lang w:eastAsia="en-AU"/>
        </w:rPr>
      </w:pPr>
      <w:bookmarkStart w:id="176" w:name="_Toc365385048"/>
      <w:r w:rsidRPr="00C66550">
        <w:rPr>
          <w:noProof/>
          <w:lang w:eastAsia="en-AU"/>
        </w:rPr>
        <w:drawing>
          <wp:anchor distT="0" distB="0" distL="114300" distR="114300" simplePos="0" relativeHeight="251793408" behindDoc="0" locked="0" layoutInCell="1" allowOverlap="1">
            <wp:simplePos x="0" y="0"/>
            <wp:positionH relativeFrom="column">
              <wp:posOffset>9525</wp:posOffset>
            </wp:positionH>
            <wp:positionV relativeFrom="paragraph">
              <wp:posOffset>177800</wp:posOffset>
            </wp:positionV>
            <wp:extent cx="5133975" cy="288480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3975" cy="2884805"/>
                    </a:xfrm>
                    <a:prstGeom prst="rect">
                      <a:avLst/>
                    </a:prstGeom>
                  </pic:spPr>
                </pic:pic>
              </a:graphicData>
            </a:graphic>
          </wp:anchor>
        </w:drawing>
      </w:r>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39</w:t>
      </w:r>
      <w:r w:rsidR="0062001A" w:rsidRPr="00C66550">
        <w:rPr>
          <w:noProof/>
        </w:rPr>
        <w:fldChar w:fldCharType="end"/>
      </w:r>
      <w:r w:rsidRPr="00C66550">
        <w:t>:</w:t>
      </w:r>
      <w:r w:rsidRPr="00C66550">
        <w:tab/>
      </w:r>
      <w:r w:rsidR="002E2ED8" w:rsidRPr="00C66550">
        <w:t>Trends in per capita waste generation and management, WA 2006/07 to 2010/11</w:t>
      </w:r>
      <w:bookmarkEnd w:id="176"/>
    </w:p>
    <w:p w:rsidR="00912151" w:rsidRPr="00C66550" w:rsidRDefault="00912151" w:rsidP="006D25F9">
      <w:pPr>
        <w:pStyle w:val="Heading3"/>
        <w:numPr>
          <w:ilvl w:val="0"/>
          <w:numId w:val="0"/>
        </w:numPr>
        <w:ind w:left="709"/>
      </w:pPr>
    </w:p>
    <w:p w:rsidR="00912151" w:rsidRPr="00C66550" w:rsidRDefault="00912151" w:rsidP="00912151">
      <w:pPr>
        <w:pStyle w:val="BodyText"/>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000DEF">
      <w:pPr>
        <w:spacing w:after="120" w:line="240" w:lineRule="auto"/>
        <w:rPr>
          <w:color w:val="080808"/>
          <w:sz w:val="22"/>
        </w:rPr>
      </w:pPr>
    </w:p>
    <w:p w:rsidR="00912151" w:rsidRPr="00C66550" w:rsidRDefault="00912151" w:rsidP="00000DEF">
      <w:pPr>
        <w:spacing w:after="120" w:line="240" w:lineRule="auto"/>
        <w:rPr>
          <w:color w:val="080808"/>
          <w:sz w:val="22"/>
        </w:rPr>
      </w:pPr>
    </w:p>
    <w:p w:rsidR="00912151" w:rsidRPr="00C66550" w:rsidRDefault="00912151" w:rsidP="00000DEF">
      <w:pPr>
        <w:spacing w:after="120" w:line="240" w:lineRule="auto"/>
        <w:rPr>
          <w:color w:val="080808"/>
          <w:sz w:val="22"/>
        </w:rPr>
      </w:pPr>
    </w:p>
    <w:p w:rsidR="00E36007" w:rsidRPr="00C66550" w:rsidRDefault="00E36007" w:rsidP="00000DEF">
      <w:pPr>
        <w:spacing w:after="120" w:line="240" w:lineRule="auto"/>
        <w:rPr>
          <w:color w:val="080808"/>
          <w:sz w:val="22"/>
        </w:rPr>
      </w:pPr>
    </w:p>
    <w:p w:rsidR="00E36007" w:rsidRPr="00C66550" w:rsidRDefault="00E36007" w:rsidP="00000DEF">
      <w:pPr>
        <w:spacing w:after="120" w:line="240" w:lineRule="auto"/>
        <w:rPr>
          <w:color w:val="080808"/>
          <w:sz w:val="22"/>
        </w:rPr>
      </w:pPr>
    </w:p>
    <w:p w:rsidR="00912151" w:rsidRPr="00C66550" w:rsidRDefault="00912151" w:rsidP="00000DEF">
      <w:pPr>
        <w:spacing w:after="120" w:line="240" w:lineRule="auto"/>
        <w:rPr>
          <w:color w:val="080808"/>
          <w:sz w:val="22"/>
        </w:rPr>
      </w:pPr>
    </w:p>
    <w:p w:rsidR="00912151" w:rsidRPr="00C66550" w:rsidRDefault="00912151" w:rsidP="00000DEF">
      <w:pPr>
        <w:spacing w:after="120" w:line="240" w:lineRule="auto"/>
        <w:rPr>
          <w:color w:val="080808"/>
          <w:sz w:val="22"/>
        </w:rPr>
      </w:pPr>
    </w:p>
    <w:p w:rsidR="007205CC" w:rsidRPr="00C66550" w:rsidRDefault="007205CC" w:rsidP="007205CC">
      <w:pPr>
        <w:spacing w:line="240" w:lineRule="auto"/>
        <w:rPr>
          <w:color w:val="080808"/>
          <w:sz w:val="22"/>
        </w:rPr>
      </w:pPr>
      <w:r w:rsidRPr="00C66550">
        <w:rPr>
          <w:color w:val="080808"/>
          <w:sz w:val="22"/>
        </w:rPr>
        <w:t>Over the</w:t>
      </w:r>
      <w:r w:rsidR="006F2CE3" w:rsidRPr="00C66550">
        <w:rPr>
          <w:color w:val="080808"/>
          <w:sz w:val="22"/>
        </w:rPr>
        <w:t xml:space="preserve"> </w:t>
      </w:r>
      <w:r w:rsidRPr="00C66550">
        <w:rPr>
          <w:color w:val="080808"/>
          <w:sz w:val="22"/>
        </w:rPr>
        <w:t xml:space="preserve">period the following </w:t>
      </w:r>
      <w:r w:rsidR="003D0ED6" w:rsidRPr="00C66550">
        <w:rPr>
          <w:b/>
          <w:color w:val="080808"/>
          <w:sz w:val="22"/>
        </w:rPr>
        <w:t>per capita</w:t>
      </w:r>
      <w:r w:rsidRPr="00C66550">
        <w:rPr>
          <w:color w:val="080808"/>
          <w:sz w:val="22"/>
        </w:rPr>
        <w:t xml:space="preserve"> trends are illustrated:</w:t>
      </w:r>
    </w:p>
    <w:p w:rsidR="007205CC" w:rsidRPr="00C66550" w:rsidRDefault="00503004" w:rsidP="00CD5A81">
      <w:pPr>
        <w:pStyle w:val="Bullet1"/>
      </w:pPr>
      <w:r w:rsidRPr="00C66550">
        <w:t>W</w:t>
      </w:r>
      <w:r w:rsidR="00CD5A81" w:rsidRPr="00C66550">
        <w:t xml:space="preserve">aste </w:t>
      </w:r>
      <w:r w:rsidR="002B5457" w:rsidRPr="00C66550">
        <w:t>generation in WA</w:t>
      </w:r>
      <w:r w:rsidRPr="00C66550">
        <w:t xml:space="preserve"> is declined gently for most of the period but increased significantly in 2009/10. The</w:t>
      </w:r>
      <w:r w:rsidR="00FB52C4" w:rsidRPr="00C66550">
        <w:t xml:space="preserve"> increase </w:t>
      </w:r>
      <w:r w:rsidRPr="00C66550">
        <w:t xml:space="preserve">is likely to </w:t>
      </w:r>
      <w:r w:rsidR="00AD7DBF" w:rsidRPr="00C66550">
        <w:t xml:space="preserve">be </w:t>
      </w:r>
      <w:r w:rsidR="00FB52C4" w:rsidRPr="00C66550">
        <w:t xml:space="preserve">related to </w:t>
      </w:r>
      <w:r w:rsidRPr="00C66550">
        <w:t>higher</w:t>
      </w:r>
      <w:r w:rsidR="00FB52C4" w:rsidRPr="00C66550">
        <w:t xml:space="preserve"> disposal rates </w:t>
      </w:r>
      <w:r w:rsidRPr="00C66550">
        <w:t>due</w:t>
      </w:r>
      <w:r w:rsidR="00FB52C4" w:rsidRPr="00C66550">
        <w:t xml:space="preserve"> to </w:t>
      </w:r>
      <w:r w:rsidRPr="00C66550">
        <w:t>a large rise in</w:t>
      </w:r>
      <w:r w:rsidR="00FB52C4" w:rsidRPr="00C66550">
        <w:t xml:space="preserve"> </w:t>
      </w:r>
      <w:r w:rsidRPr="00C66550">
        <w:t xml:space="preserve">the </w:t>
      </w:r>
      <w:r w:rsidR="00FB52C4" w:rsidRPr="00C66550">
        <w:t xml:space="preserve">landfill levy from $6 to $28 for MSW in </w:t>
      </w:r>
      <w:r w:rsidR="00E13307" w:rsidRPr="00C66550">
        <w:t>20</w:t>
      </w:r>
      <w:r w:rsidR="00FB52C4" w:rsidRPr="00C66550">
        <w:t>09/10. Waste generators that had stockpile</w:t>
      </w:r>
      <w:r w:rsidRPr="00C66550">
        <w:t>d</w:t>
      </w:r>
      <w:r w:rsidR="00FB52C4" w:rsidRPr="00C66550">
        <w:t xml:space="preserve"> waste </w:t>
      </w:r>
      <w:r w:rsidRPr="00C66550">
        <w:t>requiring</w:t>
      </w:r>
      <w:r w:rsidR="00FB52C4" w:rsidRPr="00C66550">
        <w:t xml:space="preserve"> disposal may have </w:t>
      </w:r>
      <w:r w:rsidRPr="00C66550">
        <w:t>offloaded the material</w:t>
      </w:r>
      <w:r w:rsidR="00FB52C4" w:rsidRPr="00C66550">
        <w:t xml:space="preserve"> before the introduction of the higher prices.</w:t>
      </w:r>
      <w:r w:rsidR="007205CC" w:rsidRPr="00C66550">
        <w:t xml:space="preserve"> </w:t>
      </w:r>
      <w:r w:rsidR="00FB52C4" w:rsidRPr="00C66550">
        <w:t xml:space="preserve">The overall </w:t>
      </w:r>
      <w:r w:rsidR="00ED1F2A">
        <w:t>decrease</w:t>
      </w:r>
      <w:r w:rsidR="00ED1F2A" w:rsidRPr="00C66550">
        <w:t xml:space="preserve"> </w:t>
      </w:r>
      <w:r w:rsidR="00FB52C4" w:rsidRPr="00C66550">
        <w:t>was a 1%.</w:t>
      </w:r>
    </w:p>
    <w:p w:rsidR="004866CD" w:rsidRPr="00C66550" w:rsidRDefault="004866CD" w:rsidP="004866CD">
      <w:pPr>
        <w:pStyle w:val="Bullet1"/>
      </w:pPr>
      <w:r w:rsidRPr="00C66550">
        <w:t>The resource recovery rate increased from 31% to 3</w:t>
      </w:r>
      <w:r w:rsidR="00751A43" w:rsidRPr="00C66550">
        <w:t>9</w:t>
      </w:r>
      <w:r w:rsidRPr="00C66550">
        <w:t xml:space="preserve">% between </w:t>
      </w:r>
      <w:r w:rsidR="00503004" w:rsidRPr="00C66550">
        <w:t>20</w:t>
      </w:r>
      <w:r w:rsidRPr="00C66550">
        <w:t xml:space="preserve">06/07 and </w:t>
      </w:r>
      <w:r w:rsidR="00503004" w:rsidRPr="00C66550">
        <w:t>20</w:t>
      </w:r>
      <w:r w:rsidRPr="00C66550">
        <w:t>10/11.</w:t>
      </w:r>
    </w:p>
    <w:p w:rsidR="007205CC" w:rsidRPr="00C66550" w:rsidRDefault="00CD5A81" w:rsidP="00CD5A81">
      <w:pPr>
        <w:pStyle w:val="Bullet1"/>
      </w:pPr>
      <w:r w:rsidRPr="00C66550">
        <w:t xml:space="preserve">Recycling </w:t>
      </w:r>
      <w:r w:rsidR="007205CC" w:rsidRPr="00C66550">
        <w:t xml:space="preserve">in </w:t>
      </w:r>
      <w:r w:rsidR="00FB52C4" w:rsidRPr="00C66550">
        <w:t>WA</w:t>
      </w:r>
      <w:r w:rsidR="007205CC" w:rsidRPr="00C66550">
        <w:t xml:space="preserve"> increased significantly </w:t>
      </w:r>
      <w:r w:rsidR="00FB52C4" w:rsidRPr="00C66550">
        <w:t>by 29%</w:t>
      </w:r>
      <w:r w:rsidR="003F2BE9" w:rsidRPr="00C66550">
        <w:t xml:space="preserve">. Analysis of the data suggests that </w:t>
      </w:r>
      <w:r w:rsidR="00503004" w:rsidRPr="00C66550">
        <w:t>the</w:t>
      </w:r>
      <w:r w:rsidR="003F2BE9" w:rsidRPr="00C66550">
        <w:t xml:space="preserve"> increase </w:t>
      </w:r>
      <w:r w:rsidR="00503004" w:rsidRPr="00C66550">
        <w:t>was mainly in</w:t>
      </w:r>
      <w:r w:rsidR="003F2BE9" w:rsidRPr="00C66550">
        <w:t xml:space="preserve"> recovery</w:t>
      </w:r>
      <w:r w:rsidR="00503004" w:rsidRPr="00C66550">
        <w:t xml:space="preserve"> of waste concrete</w:t>
      </w:r>
      <w:r w:rsidR="00794990" w:rsidRPr="00C66550">
        <w:t>.</w:t>
      </w:r>
      <w:r w:rsidR="007205CC" w:rsidRPr="00C66550">
        <w:t xml:space="preserve"> </w:t>
      </w:r>
    </w:p>
    <w:p w:rsidR="007205CC" w:rsidRPr="00C66550" w:rsidRDefault="00503004" w:rsidP="00CD5A81">
      <w:pPr>
        <w:pStyle w:val="Bullet1"/>
      </w:pPr>
      <w:r w:rsidRPr="00C66550">
        <w:t xml:space="preserve">Waste tonnes allocated to energy recovery </w:t>
      </w:r>
      <w:r w:rsidR="00CD5DBE" w:rsidRPr="00C66550">
        <w:t>d</w:t>
      </w:r>
      <w:r w:rsidRPr="00C66550">
        <w:t>iminished by</w:t>
      </w:r>
      <w:r w:rsidR="00CD5DBE" w:rsidRPr="00C66550">
        <w:t xml:space="preserve"> </w:t>
      </w:r>
      <w:r w:rsidR="007205CC" w:rsidRPr="00C66550">
        <w:t>2</w:t>
      </w:r>
      <w:r w:rsidR="00CD5DBE" w:rsidRPr="00C66550">
        <w:t>8</w:t>
      </w:r>
      <w:r w:rsidR="007205CC" w:rsidRPr="00C66550">
        <w:t>%</w:t>
      </w:r>
      <w:r w:rsidR="00794990" w:rsidRPr="00C66550">
        <w:t>.</w:t>
      </w:r>
    </w:p>
    <w:p w:rsidR="007205CC" w:rsidRPr="00C66550" w:rsidRDefault="00CD5A81" w:rsidP="00CD5A81">
      <w:pPr>
        <w:pStyle w:val="Bullet1"/>
        <w:rPr>
          <w:color w:val="080808"/>
        </w:rPr>
      </w:pPr>
      <w:r w:rsidRPr="00C66550">
        <w:t xml:space="preserve">Waste </w:t>
      </w:r>
      <w:r w:rsidR="007205CC" w:rsidRPr="00C66550">
        <w:t xml:space="preserve">disposal in </w:t>
      </w:r>
      <w:r w:rsidR="004E16AF" w:rsidRPr="00C66550">
        <w:t xml:space="preserve">WA </w:t>
      </w:r>
      <w:r w:rsidR="007205CC" w:rsidRPr="00C66550">
        <w:t>decreased by 1</w:t>
      </w:r>
      <w:r w:rsidR="004866CD" w:rsidRPr="00C66550">
        <w:t>2</w:t>
      </w:r>
      <w:r w:rsidR="007205CC" w:rsidRPr="00C66550">
        <w:t>%</w:t>
      </w:r>
      <w:r w:rsidR="00794990" w:rsidRPr="00C66550">
        <w:t>.</w:t>
      </w:r>
      <w:r w:rsidR="007205CC" w:rsidRPr="00C66550">
        <w:t xml:space="preserve"> </w:t>
      </w:r>
    </w:p>
    <w:p w:rsidR="00912151" w:rsidRPr="00C66550" w:rsidRDefault="00912151">
      <w:pPr>
        <w:spacing w:line="240" w:lineRule="auto"/>
        <w:rPr>
          <w:color w:val="080808"/>
          <w:sz w:val="22"/>
        </w:rPr>
      </w:pPr>
      <w:r w:rsidRPr="00C66550">
        <w:br w:type="page"/>
      </w:r>
    </w:p>
    <w:bookmarkStart w:id="177" w:name="_Ref349757430"/>
    <w:p w:rsidR="000F05AA" w:rsidRPr="00C66550" w:rsidRDefault="0062001A" w:rsidP="000F05AA">
      <w:pPr>
        <w:spacing w:after="120" w:line="240" w:lineRule="auto"/>
        <w:rPr>
          <w:color w:val="080808"/>
          <w:sz w:val="22"/>
        </w:rPr>
      </w:pPr>
      <w:r w:rsidRPr="00C66550">
        <w:rPr>
          <w:color w:val="080808"/>
          <w:sz w:val="22"/>
        </w:rPr>
        <w:lastRenderedPageBreak/>
        <w:fldChar w:fldCharType="begin"/>
      </w:r>
      <w:r w:rsidR="000F05AA" w:rsidRPr="00C66550">
        <w:rPr>
          <w:color w:val="080808"/>
          <w:sz w:val="22"/>
        </w:rPr>
        <w:instrText xml:space="preserve"> REF _Ref355039964 \h </w:instrText>
      </w:r>
      <w:r w:rsidRPr="00C66550">
        <w:rPr>
          <w:color w:val="080808"/>
          <w:sz w:val="22"/>
        </w:rPr>
      </w:r>
      <w:r w:rsidRPr="00C66550">
        <w:rPr>
          <w:color w:val="080808"/>
          <w:sz w:val="22"/>
        </w:rPr>
        <w:fldChar w:fldCharType="separate"/>
      </w:r>
      <w:r w:rsidR="00D96003" w:rsidRPr="00C66550">
        <w:t xml:space="preserve">Figure </w:t>
      </w:r>
      <w:r w:rsidR="00D96003">
        <w:rPr>
          <w:noProof/>
        </w:rPr>
        <w:t>40</w:t>
      </w:r>
      <w:r w:rsidRPr="00C66550">
        <w:rPr>
          <w:color w:val="080808"/>
          <w:sz w:val="22"/>
        </w:rPr>
        <w:fldChar w:fldCharType="end"/>
      </w:r>
      <w:r w:rsidR="000F05AA" w:rsidRPr="00C66550">
        <w:rPr>
          <w:color w:val="080808"/>
          <w:sz w:val="22"/>
        </w:rPr>
        <w:t xml:space="preserve"> shows</w:t>
      </w:r>
      <w:r w:rsidR="000F05AA" w:rsidRPr="00C66550">
        <w:rPr>
          <w:color w:val="080808"/>
          <w:sz w:val="28"/>
        </w:rPr>
        <w:t xml:space="preserve"> </w:t>
      </w:r>
      <w:r w:rsidR="000F05AA" w:rsidRPr="00C66550">
        <w:rPr>
          <w:color w:val="080808"/>
          <w:sz w:val="22"/>
        </w:rPr>
        <w:t>the</w:t>
      </w:r>
      <w:r w:rsidR="00503004" w:rsidRPr="00C66550">
        <w:rPr>
          <w:color w:val="080808"/>
          <w:sz w:val="22"/>
        </w:rPr>
        <w:t xml:space="preserve"> trends in</w:t>
      </w:r>
      <w:r w:rsidR="000F05AA" w:rsidRPr="00C66550">
        <w:rPr>
          <w:color w:val="080808"/>
          <w:sz w:val="22"/>
        </w:rPr>
        <w:t xml:space="preserve"> </w:t>
      </w:r>
      <w:r w:rsidR="00503004" w:rsidRPr="00C66550">
        <w:rPr>
          <w:color w:val="080808"/>
          <w:sz w:val="22"/>
        </w:rPr>
        <w:t>total</w:t>
      </w:r>
      <w:r w:rsidR="000F05AA" w:rsidRPr="00C66550">
        <w:rPr>
          <w:color w:val="080808"/>
          <w:sz w:val="22"/>
        </w:rPr>
        <w:t xml:space="preserve"> waste generation </w:t>
      </w:r>
      <w:r w:rsidR="00503004" w:rsidRPr="00C66550">
        <w:rPr>
          <w:color w:val="080808"/>
          <w:sz w:val="22"/>
        </w:rPr>
        <w:t xml:space="preserve">and management </w:t>
      </w:r>
      <w:r w:rsidR="000F05AA" w:rsidRPr="00C66550">
        <w:rPr>
          <w:color w:val="080808"/>
          <w:sz w:val="22"/>
        </w:rPr>
        <w:t xml:space="preserve">for the period 2006/07 to 2010/11 for WA. </w:t>
      </w:r>
    </w:p>
    <w:p w:rsidR="00912151" w:rsidRPr="00C66550" w:rsidRDefault="00912151" w:rsidP="00FB4820">
      <w:pPr>
        <w:pStyle w:val="Figures"/>
        <w:rPr>
          <w:noProof/>
          <w:lang w:eastAsia="en-AU"/>
        </w:rPr>
      </w:pPr>
      <w:bookmarkStart w:id="178" w:name="_Ref355039964"/>
      <w:bookmarkStart w:id="179" w:name="_Toc365385049"/>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40</w:t>
      </w:r>
      <w:r w:rsidR="0062001A" w:rsidRPr="00C66550">
        <w:rPr>
          <w:noProof/>
        </w:rPr>
        <w:fldChar w:fldCharType="end"/>
      </w:r>
      <w:bookmarkEnd w:id="177"/>
      <w:bookmarkEnd w:id="178"/>
      <w:r w:rsidRPr="00C66550">
        <w:t>:</w:t>
      </w:r>
      <w:r w:rsidRPr="00C66550">
        <w:tab/>
      </w:r>
      <w:r w:rsidR="002E2ED8" w:rsidRPr="00C66550">
        <w:t>Trends in total waste generation and management, WA 2006/07 to 2010/11</w:t>
      </w:r>
      <w:bookmarkEnd w:id="179"/>
    </w:p>
    <w:p w:rsidR="00912151" w:rsidRPr="00C66550" w:rsidRDefault="00912151" w:rsidP="00912151">
      <w:pPr>
        <w:spacing w:line="240" w:lineRule="auto"/>
      </w:pPr>
    </w:p>
    <w:p w:rsidR="00912151" w:rsidRPr="00C66550" w:rsidRDefault="00912151" w:rsidP="00912151">
      <w:pPr>
        <w:spacing w:line="240" w:lineRule="auto"/>
      </w:pPr>
      <w:r w:rsidRPr="00C66550">
        <w:rPr>
          <w:noProof/>
          <w:lang w:eastAsia="en-AU"/>
        </w:rPr>
        <w:drawing>
          <wp:anchor distT="0" distB="0" distL="114300" distR="114300" simplePos="0" relativeHeight="251795456" behindDoc="0" locked="0" layoutInCell="1" allowOverlap="1">
            <wp:simplePos x="0" y="0"/>
            <wp:positionH relativeFrom="column">
              <wp:posOffset>151765</wp:posOffset>
            </wp:positionH>
            <wp:positionV relativeFrom="paragraph">
              <wp:posOffset>36830</wp:posOffset>
            </wp:positionV>
            <wp:extent cx="5269865" cy="2963545"/>
            <wp:effectExtent l="0" t="0" r="6985"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9865" cy="2963545"/>
                    </a:xfrm>
                    <a:prstGeom prst="rect">
                      <a:avLst/>
                    </a:prstGeom>
                  </pic:spPr>
                </pic:pic>
              </a:graphicData>
            </a:graphic>
          </wp:anchor>
        </w:drawing>
      </w: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912151">
      <w:pPr>
        <w:spacing w:line="240" w:lineRule="auto"/>
      </w:pPr>
    </w:p>
    <w:p w:rsidR="00912151" w:rsidRPr="00C66550" w:rsidRDefault="00912151" w:rsidP="00CD5A81">
      <w:pPr>
        <w:pStyle w:val="BodyText"/>
      </w:pPr>
    </w:p>
    <w:p w:rsidR="00912151" w:rsidRPr="00C66550" w:rsidRDefault="00912151" w:rsidP="00CD5A81">
      <w:pPr>
        <w:pStyle w:val="BodyText"/>
      </w:pPr>
    </w:p>
    <w:p w:rsidR="00912151" w:rsidRPr="00C66550" w:rsidRDefault="00912151" w:rsidP="00CD5A81">
      <w:pPr>
        <w:pStyle w:val="BodyText"/>
      </w:pPr>
    </w:p>
    <w:p w:rsidR="00912151" w:rsidRPr="00C66550" w:rsidRDefault="00912151" w:rsidP="00CD5A81">
      <w:pPr>
        <w:pStyle w:val="BodyText"/>
      </w:pPr>
    </w:p>
    <w:p w:rsidR="00912151" w:rsidRPr="00C66550" w:rsidRDefault="00912151" w:rsidP="00CD5A81">
      <w:pPr>
        <w:pStyle w:val="BodyText"/>
      </w:pPr>
    </w:p>
    <w:p w:rsidR="00E36007" w:rsidRPr="00C66550" w:rsidRDefault="00E36007" w:rsidP="00CD5A81">
      <w:pPr>
        <w:pStyle w:val="BodyText"/>
      </w:pPr>
    </w:p>
    <w:p w:rsidR="00E36007" w:rsidRPr="00C66550" w:rsidRDefault="00E36007" w:rsidP="00CD5A81">
      <w:pPr>
        <w:pStyle w:val="BodyText"/>
      </w:pPr>
    </w:p>
    <w:p w:rsidR="007205CC" w:rsidRPr="00C66550" w:rsidRDefault="007205CC" w:rsidP="00CD5A81">
      <w:pPr>
        <w:pStyle w:val="BodyText"/>
      </w:pPr>
      <w:r w:rsidRPr="00C66550">
        <w:t>Over the</w:t>
      </w:r>
      <w:r w:rsidR="006F2CE3" w:rsidRPr="00C66550">
        <w:t xml:space="preserve"> </w:t>
      </w:r>
      <w:r w:rsidRPr="00C66550">
        <w:t xml:space="preserve">period the following </w:t>
      </w:r>
      <w:r w:rsidR="00AE63CE" w:rsidRPr="00C66550">
        <w:t xml:space="preserve">trends are illustrated in relation to </w:t>
      </w:r>
      <w:r w:rsidR="003D0ED6" w:rsidRPr="00C66550">
        <w:t xml:space="preserve">total </w:t>
      </w:r>
      <w:r w:rsidR="00AE63CE" w:rsidRPr="00C66550">
        <w:t>waste tonnages</w:t>
      </w:r>
      <w:r w:rsidRPr="00C66550">
        <w:t>:</w:t>
      </w:r>
    </w:p>
    <w:p w:rsidR="007205CC" w:rsidRPr="00C66550" w:rsidRDefault="007205CC" w:rsidP="004572F4">
      <w:pPr>
        <w:pStyle w:val="Bullet1"/>
      </w:pPr>
      <w:r w:rsidRPr="00C66550">
        <w:t xml:space="preserve">waste generation increased by </w:t>
      </w:r>
      <w:r w:rsidR="004E16AF" w:rsidRPr="00C66550">
        <w:t>10</w:t>
      </w:r>
      <w:r w:rsidRPr="00C66550">
        <w:t>%</w:t>
      </w:r>
    </w:p>
    <w:p w:rsidR="007205CC" w:rsidRPr="00C66550" w:rsidRDefault="007205CC" w:rsidP="004572F4">
      <w:pPr>
        <w:pStyle w:val="Bullet1"/>
      </w:pPr>
      <w:r w:rsidRPr="00C66550">
        <w:t xml:space="preserve">recycling increased by </w:t>
      </w:r>
      <w:r w:rsidR="004E16AF" w:rsidRPr="00C66550">
        <w:t>43</w:t>
      </w:r>
      <w:r w:rsidRPr="00C66550">
        <w:t>%</w:t>
      </w:r>
    </w:p>
    <w:p w:rsidR="007205CC" w:rsidRPr="00C66550" w:rsidRDefault="00503004" w:rsidP="004572F4">
      <w:pPr>
        <w:pStyle w:val="Bullet1"/>
      </w:pPr>
      <w:r w:rsidRPr="00C66550">
        <w:t>waste used for energy recovery</w:t>
      </w:r>
      <w:r w:rsidR="00751A43" w:rsidRPr="00C66550">
        <w:t xml:space="preserve"> </w:t>
      </w:r>
      <w:r w:rsidR="004E16AF" w:rsidRPr="00C66550">
        <w:t xml:space="preserve">decreased </w:t>
      </w:r>
      <w:r w:rsidR="007205CC" w:rsidRPr="00C66550">
        <w:t xml:space="preserve">by </w:t>
      </w:r>
      <w:r w:rsidR="004E16AF" w:rsidRPr="00C66550">
        <w:t>20</w:t>
      </w:r>
      <w:r w:rsidR="007205CC" w:rsidRPr="00C66550">
        <w:t xml:space="preserve">% </w:t>
      </w:r>
    </w:p>
    <w:p w:rsidR="007205CC" w:rsidRPr="00C66550" w:rsidRDefault="007205CC" w:rsidP="004572F4">
      <w:pPr>
        <w:pStyle w:val="Bullet1"/>
      </w:pPr>
      <w:r w:rsidRPr="00C66550">
        <w:t xml:space="preserve">disposal </w:t>
      </w:r>
      <w:r w:rsidR="00503004" w:rsidRPr="00C66550">
        <w:t>declined</w:t>
      </w:r>
      <w:r w:rsidRPr="00C66550">
        <w:t xml:space="preserve"> by </w:t>
      </w:r>
      <w:r w:rsidR="004866CD" w:rsidRPr="00C66550">
        <w:t>2</w:t>
      </w:r>
      <w:r w:rsidRPr="00C66550">
        <w:t xml:space="preserve">%. </w:t>
      </w:r>
    </w:p>
    <w:p w:rsidR="004572F4" w:rsidRPr="00C66550" w:rsidRDefault="004572F4" w:rsidP="004572F4">
      <w:pPr>
        <w:pStyle w:val="BodyText"/>
      </w:pPr>
    </w:p>
    <w:p w:rsidR="00D54B33" w:rsidRPr="00C66550" w:rsidRDefault="00D54B33">
      <w:pPr>
        <w:spacing w:line="240" w:lineRule="auto"/>
      </w:pPr>
    </w:p>
    <w:p w:rsidR="00D54B33" w:rsidRPr="00C66550" w:rsidRDefault="00D54B33">
      <w:pPr>
        <w:spacing w:line="240" w:lineRule="auto"/>
      </w:pPr>
    </w:p>
    <w:p w:rsidR="00D54B33" w:rsidRPr="00C66550" w:rsidRDefault="00D54B33">
      <w:pPr>
        <w:spacing w:line="240" w:lineRule="auto"/>
        <w:sectPr w:rsidR="00D54B33" w:rsidRPr="00C66550" w:rsidSect="00384FBD">
          <w:headerReference w:type="even" r:id="rId97"/>
          <w:headerReference w:type="default" r:id="rId98"/>
          <w:footerReference w:type="even" r:id="rId99"/>
          <w:footerReference w:type="default" r:id="rId100"/>
          <w:headerReference w:type="first" r:id="rId101"/>
          <w:footerReference w:type="first" r:id="rId102"/>
          <w:pgSz w:w="11907" w:h="16840" w:code="9"/>
          <w:pgMar w:top="1701" w:right="1077" w:bottom="851" w:left="1474" w:header="709" w:footer="709" w:gutter="0"/>
          <w:cols w:space="708"/>
          <w:docGrid w:linePitch="360"/>
        </w:sectPr>
      </w:pPr>
    </w:p>
    <w:p w:rsidR="007C142A" w:rsidRPr="00C66550" w:rsidRDefault="005E5CEF" w:rsidP="006D25F9">
      <w:pPr>
        <w:pStyle w:val="Heading1"/>
      </w:pPr>
      <w:bookmarkStart w:id="180" w:name="_Ref355040091"/>
      <w:bookmarkStart w:id="181" w:name="_Toc379466385"/>
      <w:r>
        <w:lastRenderedPageBreak/>
        <w:t>Data</w:t>
      </w:r>
      <w:r w:rsidR="007C142A" w:rsidRPr="00C66550">
        <w:t xml:space="preserve"> summary tables</w:t>
      </w:r>
      <w:r w:rsidR="0038726D" w:rsidRPr="00C66550">
        <w:t xml:space="preserve"> (2010/11)</w:t>
      </w:r>
      <w:bookmarkEnd w:id="180"/>
      <w:bookmarkEnd w:id="181"/>
    </w:p>
    <w:p w:rsidR="00256032" w:rsidRPr="00C66550" w:rsidRDefault="00114E17" w:rsidP="00256032">
      <w:pPr>
        <w:pStyle w:val="BodyText"/>
      </w:pPr>
      <w:r w:rsidRPr="00114E17">
        <w:rPr>
          <w:noProof/>
          <w:lang w:eastAsia="en-AU"/>
        </w:rPr>
        <w:drawing>
          <wp:inline distT="0" distB="0" distL="0" distR="0">
            <wp:extent cx="7752522" cy="5584964"/>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7759777" cy="5590190"/>
                    </a:xfrm>
                    <a:prstGeom prst="rect">
                      <a:avLst/>
                    </a:prstGeom>
                  </pic:spPr>
                </pic:pic>
              </a:graphicData>
            </a:graphic>
          </wp:inline>
        </w:drawing>
      </w:r>
    </w:p>
    <w:p w:rsidR="00256032" w:rsidRPr="00C66550" w:rsidRDefault="004C0AC4" w:rsidP="00256032">
      <w:pPr>
        <w:pStyle w:val="BodyText"/>
      </w:pPr>
      <w:r w:rsidRPr="00C66550">
        <w:rPr>
          <w:noProof/>
          <w:lang w:eastAsia="en-AU"/>
        </w:rPr>
        <w:lastRenderedPageBreak/>
        <w:drawing>
          <wp:inline distT="0" distB="0" distL="0" distR="0">
            <wp:extent cx="9021170" cy="6126878"/>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9014375" cy="6122263"/>
                    </a:xfrm>
                    <a:prstGeom prst="rect">
                      <a:avLst/>
                    </a:prstGeom>
                  </pic:spPr>
                </pic:pic>
              </a:graphicData>
            </a:graphic>
          </wp:inline>
        </w:drawing>
      </w:r>
    </w:p>
    <w:p w:rsidR="00256032" w:rsidRPr="00C66550" w:rsidRDefault="004C0AC4" w:rsidP="00256032">
      <w:pPr>
        <w:pStyle w:val="BodyText"/>
      </w:pPr>
      <w:r w:rsidRPr="00C66550">
        <w:rPr>
          <w:noProof/>
          <w:lang w:eastAsia="en-AU"/>
        </w:rPr>
        <w:lastRenderedPageBreak/>
        <w:drawing>
          <wp:inline distT="0" distB="0" distL="0" distR="0">
            <wp:extent cx="9149193" cy="61414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9159657" cy="6148517"/>
                    </a:xfrm>
                    <a:prstGeom prst="rect">
                      <a:avLst/>
                    </a:prstGeom>
                  </pic:spPr>
                </pic:pic>
              </a:graphicData>
            </a:graphic>
          </wp:inline>
        </w:drawing>
      </w:r>
    </w:p>
    <w:p w:rsidR="00256032" w:rsidRPr="00C66550" w:rsidRDefault="004C0AC4" w:rsidP="00256032">
      <w:pPr>
        <w:pStyle w:val="BodyText"/>
      </w:pPr>
      <w:r w:rsidRPr="00C66550">
        <w:rPr>
          <w:noProof/>
          <w:lang w:eastAsia="en-AU"/>
        </w:rPr>
        <w:lastRenderedPageBreak/>
        <w:drawing>
          <wp:inline distT="0" distB="0" distL="0" distR="0">
            <wp:extent cx="9132018" cy="592312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9147242" cy="5933004"/>
                    </a:xfrm>
                    <a:prstGeom prst="rect">
                      <a:avLst/>
                    </a:prstGeom>
                  </pic:spPr>
                </pic:pic>
              </a:graphicData>
            </a:graphic>
          </wp:inline>
        </w:drawing>
      </w:r>
    </w:p>
    <w:p w:rsidR="00D05D93" w:rsidRPr="00C66550" w:rsidRDefault="00D05D93" w:rsidP="007C142A">
      <w:pPr>
        <w:pStyle w:val="BodyText"/>
      </w:pPr>
    </w:p>
    <w:p w:rsidR="00D05D93" w:rsidRPr="00C66550" w:rsidRDefault="004C0AC4" w:rsidP="007C142A">
      <w:pPr>
        <w:pStyle w:val="BodyText"/>
      </w:pPr>
      <w:r w:rsidRPr="00C66550">
        <w:rPr>
          <w:noProof/>
          <w:lang w:eastAsia="en-AU"/>
        </w:rPr>
        <w:lastRenderedPageBreak/>
        <w:drawing>
          <wp:inline distT="0" distB="0" distL="0" distR="0">
            <wp:extent cx="9100262" cy="585489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9089826" cy="5848176"/>
                    </a:xfrm>
                    <a:prstGeom prst="rect">
                      <a:avLst/>
                    </a:prstGeom>
                  </pic:spPr>
                </pic:pic>
              </a:graphicData>
            </a:graphic>
          </wp:inline>
        </w:drawing>
      </w:r>
    </w:p>
    <w:p w:rsidR="00D05D93" w:rsidRPr="00C66550" w:rsidRDefault="00D05D93" w:rsidP="007C142A">
      <w:pPr>
        <w:pStyle w:val="BodyText"/>
      </w:pPr>
    </w:p>
    <w:p w:rsidR="00D05D93" w:rsidRPr="00C66550" w:rsidRDefault="00D05D93" w:rsidP="007C142A">
      <w:pPr>
        <w:pStyle w:val="BodyText"/>
      </w:pPr>
    </w:p>
    <w:p w:rsidR="00D05D93" w:rsidRPr="00C66550" w:rsidRDefault="00114E17" w:rsidP="007C142A">
      <w:pPr>
        <w:pStyle w:val="BodyText"/>
      </w:pPr>
      <w:r w:rsidRPr="00114E17">
        <w:rPr>
          <w:noProof/>
          <w:lang w:eastAsia="en-AU"/>
        </w:rPr>
        <w:lastRenderedPageBreak/>
        <w:drawing>
          <wp:inline distT="0" distB="0" distL="0" distR="0">
            <wp:extent cx="8918368" cy="6095171"/>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8929247" cy="6102606"/>
                    </a:xfrm>
                    <a:prstGeom prst="rect">
                      <a:avLst/>
                    </a:prstGeom>
                  </pic:spPr>
                </pic:pic>
              </a:graphicData>
            </a:graphic>
          </wp:inline>
        </w:drawing>
      </w:r>
    </w:p>
    <w:p w:rsidR="00D05D93" w:rsidRPr="00C66550" w:rsidRDefault="004C0AC4" w:rsidP="007C142A">
      <w:pPr>
        <w:pStyle w:val="BodyText"/>
      </w:pPr>
      <w:r w:rsidRPr="00C66550">
        <w:rPr>
          <w:noProof/>
          <w:lang w:eastAsia="en-AU"/>
        </w:rPr>
        <w:lastRenderedPageBreak/>
        <w:drawing>
          <wp:inline distT="0" distB="0" distL="0" distR="0">
            <wp:extent cx="8980227" cy="6190216"/>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8986129" cy="6194285"/>
                    </a:xfrm>
                    <a:prstGeom prst="rect">
                      <a:avLst/>
                    </a:prstGeom>
                  </pic:spPr>
                </pic:pic>
              </a:graphicData>
            </a:graphic>
          </wp:inline>
        </w:drawing>
      </w:r>
    </w:p>
    <w:p w:rsidR="00D05D93" w:rsidRPr="00C66550" w:rsidRDefault="004C0AC4" w:rsidP="007C142A">
      <w:pPr>
        <w:pStyle w:val="BodyText"/>
      </w:pPr>
      <w:r w:rsidRPr="00C66550">
        <w:rPr>
          <w:noProof/>
          <w:lang w:eastAsia="en-AU"/>
        </w:rPr>
        <w:lastRenderedPageBreak/>
        <w:drawing>
          <wp:inline distT="0" distB="0" distL="0" distR="0">
            <wp:extent cx="8215952" cy="61602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8206530" cy="6153144"/>
                    </a:xfrm>
                    <a:prstGeom prst="rect">
                      <a:avLst/>
                    </a:prstGeom>
                  </pic:spPr>
                </pic:pic>
              </a:graphicData>
            </a:graphic>
          </wp:inline>
        </w:drawing>
      </w:r>
    </w:p>
    <w:p w:rsidR="00256032" w:rsidRPr="00C66550" w:rsidRDefault="004C0AC4" w:rsidP="007C142A">
      <w:pPr>
        <w:pStyle w:val="BodyText"/>
      </w:pPr>
      <w:r w:rsidRPr="00C66550">
        <w:rPr>
          <w:noProof/>
          <w:lang w:eastAsia="en-AU"/>
        </w:rPr>
        <w:lastRenderedPageBreak/>
        <w:drawing>
          <wp:inline distT="0" distB="0" distL="0" distR="0">
            <wp:extent cx="8734567" cy="6162722"/>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8746058" cy="6170829"/>
                    </a:xfrm>
                    <a:prstGeom prst="rect">
                      <a:avLst/>
                    </a:prstGeom>
                  </pic:spPr>
                </pic:pic>
              </a:graphicData>
            </a:graphic>
          </wp:inline>
        </w:drawing>
      </w:r>
    </w:p>
    <w:p w:rsidR="00256032" w:rsidRPr="00C66550" w:rsidRDefault="00256032" w:rsidP="007C142A">
      <w:pPr>
        <w:pStyle w:val="BodyText"/>
        <w:sectPr w:rsidR="00256032" w:rsidRPr="00C66550" w:rsidSect="0048663E">
          <w:headerReference w:type="default" r:id="rId112"/>
          <w:footerReference w:type="default" r:id="rId113"/>
          <w:pgSz w:w="16839" w:h="11907" w:orient="landscape" w:code="9"/>
          <w:pgMar w:top="709" w:right="851" w:bottom="1135" w:left="1701" w:header="709" w:footer="709" w:gutter="0"/>
          <w:cols w:space="708"/>
          <w:docGrid w:linePitch="360"/>
        </w:sectPr>
      </w:pPr>
    </w:p>
    <w:tbl>
      <w:tblPr>
        <w:tblW w:w="9370" w:type="dxa"/>
        <w:tblInd w:w="94" w:type="dxa"/>
        <w:tblLook w:val="04A0"/>
      </w:tblPr>
      <w:tblGrid>
        <w:gridCol w:w="1712"/>
        <w:gridCol w:w="7658"/>
      </w:tblGrid>
      <w:tr w:rsidR="004E354D" w:rsidRPr="00C66550" w:rsidTr="0035240B">
        <w:tc>
          <w:tcPr>
            <w:tcW w:w="9370" w:type="dxa"/>
            <w:gridSpan w:val="2"/>
            <w:tcBorders>
              <w:top w:val="nil"/>
              <w:left w:val="nil"/>
              <w:bottom w:val="nil"/>
              <w:right w:val="nil"/>
            </w:tcBorders>
            <w:shd w:val="clear" w:color="auto" w:fill="auto"/>
            <w:noWrap/>
            <w:hideMark/>
          </w:tcPr>
          <w:p w:rsidR="004E354D" w:rsidRPr="00C66550" w:rsidRDefault="00C1581C" w:rsidP="006D25F9">
            <w:pPr>
              <w:pStyle w:val="Heading2"/>
              <w:rPr>
                <w:lang w:eastAsia="en-AU"/>
              </w:rPr>
            </w:pPr>
            <w:bookmarkStart w:id="182" w:name="_Toc379466386"/>
            <w:bookmarkStart w:id="183" w:name="_Ref348715169"/>
            <w:bookmarkStart w:id="184" w:name="_Ref348774905"/>
            <w:r w:rsidRPr="00C66550">
              <w:rPr>
                <w:lang w:eastAsia="en-AU"/>
              </w:rPr>
              <w:lastRenderedPageBreak/>
              <w:t xml:space="preserve">Data sources </w:t>
            </w:r>
            <w:r w:rsidR="004E354D" w:rsidRPr="00C66550">
              <w:rPr>
                <w:lang w:eastAsia="en-AU"/>
              </w:rPr>
              <w:t>for jurisdictions</w:t>
            </w:r>
            <w:r w:rsidR="008011D7" w:rsidRPr="00C66550">
              <w:rPr>
                <w:lang w:eastAsia="en-AU"/>
              </w:rPr>
              <w:t>’</w:t>
            </w:r>
            <w:r w:rsidR="004E354D" w:rsidRPr="00C66550">
              <w:rPr>
                <w:lang w:eastAsia="en-AU"/>
              </w:rPr>
              <w:t xml:space="preserve"> data </w:t>
            </w:r>
            <w:r w:rsidR="00912151" w:rsidRPr="00C66550">
              <w:rPr>
                <w:lang w:eastAsia="en-AU"/>
              </w:rPr>
              <w:t>section</w:t>
            </w:r>
            <w:r w:rsidR="004E354D" w:rsidRPr="00C66550">
              <w:rPr>
                <w:lang w:eastAsia="en-AU"/>
              </w:rPr>
              <w:t xml:space="preserve">s </w:t>
            </w:r>
            <w:r w:rsidR="0062001A" w:rsidRPr="00C66550">
              <w:rPr>
                <w:lang w:eastAsia="en-AU"/>
              </w:rPr>
              <w:fldChar w:fldCharType="begin"/>
            </w:r>
            <w:r w:rsidR="009D108A" w:rsidRPr="00C66550">
              <w:rPr>
                <w:lang w:eastAsia="en-AU"/>
              </w:rPr>
              <w:instrText xml:space="preserve"> REF _Ref349916989 \r \h </w:instrText>
            </w:r>
            <w:r w:rsidR="0062001A" w:rsidRPr="00C66550">
              <w:rPr>
                <w:lang w:eastAsia="en-AU"/>
              </w:rPr>
            </w:r>
            <w:r w:rsidR="0062001A" w:rsidRPr="00C66550">
              <w:rPr>
                <w:lang w:eastAsia="en-AU"/>
              </w:rPr>
              <w:fldChar w:fldCharType="separate"/>
            </w:r>
            <w:r w:rsidR="00D96003">
              <w:rPr>
                <w:lang w:eastAsia="en-AU"/>
              </w:rPr>
              <w:t>6</w:t>
            </w:r>
            <w:r w:rsidR="0062001A" w:rsidRPr="00C66550">
              <w:rPr>
                <w:lang w:eastAsia="en-AU"/>
              </w:rPr>
              <w:fldChar w:fldCharType="end"/>
            </w:r>
            <w:r w:rsidR="009D108A" w:rsidRPr="00C66550">
              <w:rPr>
                <w:lang w:eastAsia="en-AU"/>
              </w:rPr>
              <w:t xml:space="preserve"> </w:t>
            </w:r>
            <w:r w:rsidR="004E354D" w:rsidRPr="00C66550">
              <w:rPr>
                <w:lang w:eastAsia="en-AU"/>
              </w:rPr>
              <w:t>–</w:t>
            </w:r>
            <w:r w:rsidR="000F05AA" w:rsidRPr="00C66550">
              <w:rPr>
                <w:lang w:eastAsia="en-AU"/>
              </w:rPr>
              <w:t xml:space="preserve"> </w:t>
            </w:r>
            <w:r w:rsidR="0062001A" w:rsidRPr="00C66550">
              <w:rPr>
                <w:lang w:eastAsia="en-AU"/>
              </w:rPr>
              <w:fldChar w:fldCharType="begin"/>
            </w:r>
            <w:r w:rsidR="000F05AA" w:rsidRPr="00C66550">
              <w:rPr>
                <w:lang w:eastAsia="en-AU"/>
              </w:rPr>
              <w:instrText xml:space="preserve"> REF _Ref355040091 \r \h </w:instrText>
            </w:r>
            <w:r w:rsidR="0062001A" w:rsidRPr="00C66550">
              <w:rPr>
                <w:lang w:eastAsia="en-AU"/>
              </w:rPr>
            </w:r>
            <w:r w:rsidR="0062001A" w:rsidRPr="00C66550">
              <w:rPr>
                <w:lang w:eastAsia="en-AU"/>
              </w:rPr>
              <w:fldChar w:fldCharType="separate"/>
            </w:r>
            <w:r w:rsidR="00D96003">
              <w:rPr>
                <w:lang w:eastAsia="en-AU"/>
              </w:rPr>
              <w:t>14</w:t>
            </w:r>
            <w:bookmarkEnd w:id="182"/>
            <w:r w:rsidR="0062001A" w:rsidRPr="00C66550">
              <w:rPr>
                <w:lang w:eastAsia="en-AU"/>
              </w:rPr>
              <w:fldChar w:fldCharType="end"/>
            </w:r>
          </w:p>
        </w:tc>
      </w:tr>
      <w:tr w:rsidR="00F66D47" w:rsidRPr="00C66550" w:rsidTr="0035240B">
        <w:tc>
          <w:tcPr>
            <w:tcW w:w="1712" w:type="dxa"/>
            <w:tcBorders>
              <w:top w:val="nil"/>
              <w:left w:val="nil"/>
              <w:bottom w:val="nil"/>
              <w:right w:val="nil"/>
            </w:tcBorders>
            <w:shd w:val="clear" w:color="auto" w:fill="auto"/>
            <w:noWrap/>
            <w:hideMark/>
          </w:tcPr>
          <w:p w:rsidR="00F66D47" w:rsidRPr="00C66550" w:rsidRDefault="00F66D47" w:rsidP="004E354D">
            <w:pPr>
              <w:spacing w:line="240" w:lineRule="auto"/>
              <w:rPr>
                <w:rFonts w:cs="Times New Roman"/>
                <w:b/>
                <w:bCs/>
                <w:color w:val="000000"/>
                <w:sz w:val="22"/>
                <w:lang w:eastAsia="en-AU"/>
              </w:rPr>
            </w:pPr>
            <w:r w:rsidRPr="00C66550">
              <w:rPr>
                <w:rFonts w:cs="Times New Roman"/>
                <w:b/>
                <w:bCs/>
                <w:color w:val="000000"/>
                <w:sz w:val="22"/>
                <w:lang w:eastAsia="en-AU"/>
              </w:rPr>
              <w:t>ACT</w:t>
            </w:r>
          </w:p>
        </w:tc>
        <w:tc>
          <w:tcPr>
            <w:tcW w:w="7658" w:type="dxa"/>
            <w:tcBorders>
              <w:top w:val="nil"/>
              <w:left w:val="nil"/>
              <w:bottom w:val="nil"/>
              <w:right w:val="nil"/>
            </w:tcBorders>
            <w:shd w:val="clear" w:color="auto" w:fill="auto"/>
            <w:hideMark/>
          </w:tcPr>
          <w:p w:rsidR="00F66D47" w:rsidRPr="00C66550" w:rsidRDefault="00F66D47" w:rsidP="001C1F43">
            <w:r w:rsidRPr="00C66550">
              <w:t xml:space="preserve">Communications with jurisdictional representatives, jurisdiction website, ABS (2012a, </w:t>
            </w:r>
            <w:r w:rsidR="001C1F43" w:rsidRPr="00C66550">
              <w:t>2012d</w:t>
            </w:r>
            <w:r w:rsidRPr="00C66550">
              <w:t>), ACT Government (2012a, b), Australian Packaging Covenant (APC) (2007, 2009, 2010</w:t>
            </w:r>
            <w:r w:rsidR="00EB677E" w:rsidRPr="00C66550">
              <w:t>),</w:t>
            </w:r>
            <w:r w:rsidRPr="00C66550">
              <w:t xml:space="preserve"> Australian Government (2012), DSEWPaC (2011), Plastics and Chemicals Industry Association (PACIA) (2008, 2010, 2011) and Recycled Organics Unit (ROU) (2007, 2009, 2010).</w:t>
            </w:r>
          </w:p>
        </w:tc>
      </w:tr>
      <w:tr w:rsidR="00F66D47" w:rsidRPr="00C66550" w:rsidTr="0035240B">
        <w:tc>
          <w:tcPr>
            <w:tcW w:w="1712" w:type="dxa"/>
            <w:tcBorders>
              <w:top w:val="nil"/>
              <w:left w:val="nil"/>
              <w:bottom w:val="nil"/>
              <w:right w:val="nil"/>
            </w:tcBorders>
            <w:shd w:val="clear" w:color="auto" w:fill="auto"/>
            <w:noWrap/>
            <w:hideMark/>
          </w:tcPr>
          <w:p w:rsidR="00F66D47" w:rsidRPr="00C66550" w:rsidRDefault="00F66D47" w:rsidP="004E354D">
            <w:pPr>
              <w:spacing w:line="240" w:lineRule="auto"/>
              <w:rPr>
                <w:rFonts w:cs="Times New Roman"/>
                <w:b/>
                <w:bCs/>
                <w:color w:val="000000"/>
                <w:sz w:val="22"/>
                <w:lang w:eastAsia="en-AU"/>
              </w:rPr>
            </w:pPr>
            <w:r w:rsidRPr="00C66550">
              <w:rPr>
                <w:rFonts w:cs="Times New Roman"/>
                <w:b/>
                <w:bCs/>
                <w:color w:val="000000"/>
                <w:sz w:val="22"/>
                <w:lang w:eastAsia="en-AU"/>
              </w:rPr>
              <w:t>NSW</w:t>
            </w:r>
          </w:p>
        </w:tc>
        <w:tc>
          <w:tcPr>
            <w:tcW w:w="7658" w:type="dxa"/>
            <w:tcBorders>
              <w:top w:val="nil"/>
              <w:left w:val="nil"/>
              <w:bottom w:val="nil"/>
              <w:right w:val="nil"/>
            </w:tcBorders>
            <w:shd w:val="clear" w:color="auto" w:fill="auto"/>
            <w:hideMark/>
          </w:tcPr>
          <w:p w:rsidR="00F66D47" w:rsidRPr="00C66550" w:rsidRDefault="00F66D47" w:rsidP="001C1F43">
            <w:r w:rsidRPr="00C66550">
              <w:t xml:space="preserve">Communications with jurisdictional representatives, ABS (2012a, </w:t>
            </w:r>
            <w:r w:rsidR="001C1F43" w:rsidRPr="00C66550">
              <w:t>2012d</w:t>
            </w:r>
            <w:r w:rsidRPr="00C66550">
              <w:t>), Ash Development Association of Australia (ADAA) (2008, 2009, 2010, 2011), Australian Government (2012), Department of Environment and Climate Change (DECC) (2004), Department of Environment, Climate Change and Water (DECCW) (2011), Office of Environment and Heritage (OEH) (2011, 2012), O'Farrell (pers. comm.), PACIA (2008, 2010, 2011), ROU (2007, 2009, 2010), Waste Management Association of Australia (WMAA) (2008) and the websites of AWT operators.</w:t>
            </w:r>
          </w:p>
        </w:tc>
      </w:tr>
      <w:tr w:rsidR="00F66D47" w:rsidRPr="00C66550" w:rsidTr="0035240B">
        <w:tc>
          <w:tcPr>
            <w:tcW w:w="1712" w:type="dxa"/>
            <w:tcBorders>
              <w:top w:val="nil"/>
              <w:left w:val="nil"/>
              <w:bottom w:val="nil"/>
              <w:right w:val="nil"/>
            </w:tcBorders>
            <w:shd w:val="clear" w:color="auto" w:fill="auto"/>
            <w:noWrap/>
            <w:hideMark/>
          </w:tcPr>
          <w:p w:rsidR="00F66D47" w:rsidRPr="00C66550" w:rsidRDefault="00F66D47" w:rsidP="004E354D">
            <w:pPr>
              <w:spacing w:line="240" w:lineRule="auto"/>
              <w:rPr>
                <w:rFonts w:cs="Times New Roman"/>
                <w:b/>
                <w:bCs/>
                <w:color w:val="000000"/>
                <w:sz w:val="22"/>
                <w:lang w:eastAsia="en-AU"/>
              </w:rPr>
            </w:pPr>
            <w:r w:rsidRPr="00C66550">
              <w:rPr>
                <w:rFonts w:cs="Times New Roman"/>
                <w:b/>
                <w:bCs/>
                <w:color w:val="000000"/>
                <w:sz w:val="22"/>
                <w:lang w:eastAsia="en-AU"/>
              </w:rPr>
              <w:t>NT</w:t>
            </w:r>
          </w:p>
        </w:tc>
        <w:tc>
          <w:tcPr>
            <w:tcW w:w="7658" w:type="dxa"/>
            <w:tcBorders>
              <w:top w:val="nil"/>
              <w:left w:val="nil"/>
              <w:bottom w:val="nil"/>
              <w:right w:val="nil"/>
            </w:tcBorders>
            <w:shd w:val="clear" w:color="auto" w:fill="auto"/>
            <w:hideMark/>
          </w:tcPr>
          <w:p w:rsidR="00F66D47" w:rsidRPr="00C66550" w:rsidRDefault="00F66D47" w:rsidP="00F35640">
            <w:r w:rsidRPr="00C66550">
              <w:t xml:space="preserve">Communications with jurisdictional representatives, ABS (2012a, </w:t>
            </w:r>
            <w:r w:rsidR="001C1F43" w:rsidRPr="00C66550">
              <w:t>2012d</w:t>
            </w:r>
            <w:r w:rsidRPr="00C66550">
              <w:t>), ADAA (2008, 2009, 2010, 2011), Australian Government (2012), DSEWPaC (2011), National Environment Protection Council (NEPC) (2011), O'Farrell (pers. comm.) and ROU (2007, 2009, 2010).</w:t>
            </w:r>
          </w:p>
        </w:tc>
      </w:tr>
      <w:tr w:rsidR="00F66D47" w:rsidRPr="00C66550" w:rsidTr="0035240B">
        <w:tc>
          <w:tcPr>
            <w:tcW w:w="1712" w:type="dxa"/>
            <w:tcBorders>
              <w:top w:val="nil"/>
              <w:left w:val="nil"/>
              <w:bottom w:val="nil"/>
              <w:right w:val="nil"/>
            </w:tcBorders>
            <w:shd w:val="clear" w:color="auto" w:fill="auto"/>
            <w:noWrap/>
            <w:hideMark/>
          </w:tcPr>
          <w:p w:rsidR="00F66D47" w:rsidRPr="00C66550" w:rsidRDefault="00F66D47" w:rsidP="004E354D">
            <w:pPr>
              <w:spacing w:line="240" w:lineRule="auto"/>
              <w:rPr>
                <w:rFonts w:cs="Times New Roman"/>
                <w:b/>
                <w:bCs/>
                <w:color w:val="000000"/>
                <w:sz w:val="22"/>
                <w:lang w:eastAsia="en-AU"/>
              </w:rPr>
            </w:pPr>
            <w:r w:rsidRPr="00C66550">
              <w:rPr>
                <w:rFonts w:cs="Times New Roman"/>
                <w:b/>
                <w:bCs/>
                <w:color w:val="000000"/>
                <w:sz w:val="22"/>
                <w:lang w:eastAsia="en-AU"/>
              </w:rPr>
              <w:t>Qld</w:t>
            </w:r>
          </w:p>
        </w:tc>
        <w:tc>
          <w:tcPr>
            <w:tcW w:w="7658" w:type="dxa"/>
            <w:tcBorders>
              <w:top w:val="nil"/>
              <w:left w:val="nil"/>
              <w:bottom w:val="nil"/>
              <w:right w:val="nil"/>
            </w:tcBorders>
            <w:shd w:val="clear" w:color="auto" w:fill="auto"/>
            <w:hideMark/>
          </w:tcPr>
          <w:p w:rsidR="00F66D47" w:rsidRPr="00C66550" w:rsidRDefault="00F66D47" w:rsidP="00F35640">
            <w:r w:rsidRPr="00C66550">
              <w:t xml:space="preserve">Communications with jurisdictional representatives, ABS (2012a, </w:t>
            </w:r>
            <w:r w:rsidR="001C1F43" w:rsidRPr="00C66550">
              <w:t>2012d</w:t>
            </w:r>
            <w:r w:rsidRPr="00C66550">
              <w:t>), ADAA (2008, 2009, 2010, 2011), Australian Government (2012), Campbell (pers. comm.), DSEWPaC (2011), PACIA (2008, 2010, 2011), ROU (2007, 2009, 2010) and the websites of AWT operators.</w:t>
            </w:r>
          </w:p>
        </w:tc>
      </w:tr>
      <w:tr w:rsidR="00F66D47" w:rsidRPr="00C66550" w:rsidTr="0035240B">
        <w:tc>
          <w:tcPr>
            <w:tcW w:w="1712" w:type="dxa"/>
            <w:tcBorders>
              <w:top w:val="nil"/>
              <w:left w:val="nil"/>
              <w:bottom w:val="nil"/>
              <w:right w:val="nil"/>
            </w:tcBorders>
            <w:shd w:val="clear" w:color="auto" w:fill="auto"/>
            <w:noWrap/>
            <w:hideMark/>
          </w:tcPr>
          <w:p w:rsidR="00F66D47" w:rsidRPr="00C66550" w:rsidRDefault="00F66D47" w:rsidP="004E354D">
            <w:pPr>
              <w:spacing w:line="240" w:lineRule="auto"/>
              <w:rPr>
                <w:rFonts w:cs="Times New Roman"/>
                <w:b/>
                <w:bCs/>
                <w:color w:val="000000"/>
                <w:sz w:val="22"/>
                <w:lang w:eastAsia="en-AU"/>
              </w:rPr>
            </w:pPr>
            <w:r w:rsidRPr="00C66550">
              <w:rPr>
                <w:rFonts w:cs="Times New Roman"/>
                <w:b/>
                <w:bCs/>
                <w:color w:val="000000"/>
                <w:sz w:val="22"/>
                <w:lang w:eastAsia="en-AU"/>
              </w:rPr>
              <w:t>SA</w:t>
            </w:r>
          </w:p>
        </w:tc>
        <w:tc>
          <w:tcPr>
            <w:tcW w:w="7658" w:type="dxa"/>
            <w:tcBorders>
              <w:top w:val="nil"/>
              <w:left w:val="nil"/>
              <w:bottom w:val="nil"/>
              <w:right w:val="nil"/>
            </w:tcBorders>
            <w:shd w:val="clear" w:color="auto" w:fill="auto"/>
            <w:hideMark/>
          </w:tcPr>
          <w:p w:rsidR="00F66D47" w:rsidRPr="00C66550" w:rsidRDefault="00F66D47" w:rsidP="00F35640">
            <w:r w:rsidRPr="00C66550">
              <w:t xml:space="preserve">Communications with jurisdictional representatives, ABS (2012a, </w:t>
            </w:r>
            <w:r w:rsidR="001C1F43" w:rsidRPr="00C66550">
              <w:t>2012d</w:t>
            </w:r>
            <w:r w:rsidRPr="00C66550">
              <w:t>), ADAA (2008, 2009, 2010, 2011), Australian Government (2012), Campbell (pers. comm.), DSEWPaC (2011), ResourceCo (2012), ROU (2007, 2009, 2010), Zero Waste South Australia (ZWSA) (2007a, 2009, 2010, 2011), the websites of AWT operators, and the websites of ResourceCo., SITA and Adelaide Brighton Cement.</w:t>
            </w:r>
          </w:p>
        </w:tc>
      </w:tr>
      <w:tr w:rsidR="00F66D47" w:rsidRPr="00C66550" w:rsidTr="0035240B">
        <w:tc>
          <w:tcPr>
            <w:tcW w:w="1712" w:type="dxa"/>
            <w:tcBorders>
              <w:top w:val="nil"/>
              <w:left w:val="nil"/>
              <w:bottom w:val="nil"/>
              <w:right w:val="nil"/>
            </w:tcBorders>
            <w:shd w:val="clear" w:color="auto" w:fill="auto"/>
            <w:noWrap/>
            <w:hideMark/>
          </w:tcPr>
          <w:p w:rsidR="00F66D47" w:rsidRPr="00C66550" w:rsidRDefault="00F66D47" w:rsidP="004E354D">
            <w:pPr>
              <w:spacing w:line="240" w:lineRule="auto"/>
              <w:rPr>
                <w:rFonts w:cs="Times New Roman"/>
                <w:b/>
                <w:bCs/>
                <w:color w:val="000000"/>
                <w:sz w:val="22"/>
                <w:lang w:eastAsia="en-AU"/>
              </w:rPr>
            </w:pPr>
            <w:r w:rsidRPr="00C66550">
              <w:rPr>
                <w:rFonts w:cs="Times New Roman"/>
                <w:b/>
                <w:bCs/>
                <w:color w:val="000000"/>
                <w:sz w:val="22"/>
                <w:lang w:eastAsia="en-AU"/>
              </w:rPr>
              <w:t>Tas</w:t>
            </w:r>
          </w:p>
        </w:tc>
        <w:tc>
          <w:tcPr>
            <w:tcW w:w="7658" w:type="dxa"/>
            <w:tcBorders>
              <w:top w:val="nil"/>
              <w:left w:val="nil"/>
              <w:bottom w:val="nil"/>
              <w:right w:val="nil"/>
            </w:tcBorders>
            <w:shd w:val="clear" w:color="auto" w:fill="auto"/>
            <w:hideMark/>
          </w:tcPr>
          <w:p w:rsidR="00F66D47" w:rsidRPr="00C66550" w:rsidRDefault="00F66D47" w:rsidP="00F35640">
            <w:r w:rsidRPr="00C66550">
              <w:t xml:space="preserve">Communications with jurisdictional representatives, ABS (2012a, </w:t>
            </w:r>
            <w:r w:rsidR="001C1F43" w:rsidRPr="00C66550">
              <w:t>2012d</w:t>
            </w:r>
            <w:r w:rsidRPr="00C66550">
              <w:t>), ADAA (2008, 2009, 2010, 2011), Australian Government (2012), DSEWPaC (2011), O'Farrell (pers. comm.), PACIA (2008, 2010, 2011) and ROU (2007, 2009, 2010).</w:t>
            </w:r>
          </w:p>
        </w:tc>
      </w:tr>
      <w:tr w:rsidR="00F66D47" w:rsidRPr="00C66550" w:rsidTr="0035240B">
        <w:tc>
          <w:tcPr>
            <w:tcW w:w="1712" w:type="dxa"/>
            <w:tcBorders>
              <w:top w:val="nil"/>
              <w:left w:val="nil"/>
              <w:bottom w:val="nil"/>
              <w:right w:val="nil"/>
            </w:tcBorders>
            <w:shd w:val="clear" w:color="auto" w:fill="auto"/>
            <w:noWrap/>
            <w:hideMark/>
          </w:tcPr>
          <w:p w:rsidR="00F66D47" w:rsidRPr="00C66550" w:rsidRDefault="00DF4FB7" w:rsidP="004E354D">
            <w:pPr>
              <w:spacing w:line="240" w:lineRule="auto"/>
              <w:rPr>
                <w:rFonts w:cs="Times New Roman"/>
                <w:b/>
                <w:bCs/>
                <w:color w:val="000000"/>
                <w:sz w:val="22"/>
                <w:lang w:eastAsia="en-AU"/>
              </w:rPr>
            </w:pPr>
            <w:r>
              <w:rPr>
                <w:rFonts w:cs="Times New Roman"/>
                <w:b/>
                <w:bCs/>
                <w:color w:val="000000"/>
                <w:sz w:val="22"/>
                <w:lang w:eastAsia="en-AU"/>
              </w:rPr>
              <w:t>Vic</w:t>
            </w:r>
          </w:p>
        </w:tc>
        <w:tc>
          <w:tcPr>
            <w:tcW w:w="7658" w:type="dxa"/>
            <w:tcBorders>
              <w:top w:val="nil"/>
              <w:left w:val="nil"/>
              <w:bottom w:val="nil"/>
              <w:right w:val="nil"/>
            </w:tcBorders>
            <w:shd w:val="clear" w:color="auto" w:fill="auto"/>
            <w:hideMark/>
          </w:tcPr>
          <w:p w:rsidR="00F66D47" w:rsidRPr="00C66550" w:rsidRDefault="00F66D47" w:rsidP="00F35640">
            <w:r w:rsidRPr="00C66550">
              <w:t xml:space="preserve">Communications with jurisdictional representatives, communications with Boral and GeoCycle, ABS (2012a, </w:t>
            </w:r>
            <w:r w:rsidR="001C1F43" w:rsidRPr="00C66550">
              <w:t>2012d</w:t>
            </w:r>
            <w:r w:rsidRPr="00C66550">
              <w:t>), ADAA (2008, 2009, 2010, 2011), Australian Government (2012), PACIA (2008, 2010, 2011), ROU (2007, 2009, 2010) and the websites of AWT operators.</w:t>
            </w:r>
          </w:p>
        </w:tc>
      </w:tr>
      <w:tr w:rsidR="00F66D47" w:rsidRPr="00C66550" w:rsidTr="0035240B">
        <w:tc>
          <w:tcPr>
            <w:tcW w:w="1712" w:type="dxa"/>
            <w:tcBorders>
              <w:top w:val="nil"/>
              <w:left w:val="nil"/>
              <w:bottom w:val="nil"/>
              <w:right w:val="nil"/>
            </w:tcBorders>
            <w:shd w:val="clear" w:color="auto" w:fill="auto"/>
            <w:noWrap/>
            <w:hideMark/>
          </w:tcPr>
          <w:p w:rsidR="00F66D47" w:rsidRPr="00C66550" w:rsidRDefault="00F66D47" w:rsidP="004E354D">
            <w:pPr>
              <w:spacing w:line="240" w:lineRule="auto"/>
              <w:rPr>
                <w:rFonts w:cs="Times New Roman"/>
                <w:b/>
                <w:bCs/>
                <w:color w:val="000000"/>
                <w:sz w:val="22"/>
                <w:lang w:eastAsia="en-AU"/>
              </w:rPr>
            </w:pPr>
            <w:r w:rsidRPr="00C66550">
              <w:rPr>
                <w:rFonts w:cs="Times New Roman"/>
                <w:b/>
                <w:bCs/>
                <w:color w:val="000000"/>
                <w:sz w:val="22"/>
                <w:lang w:eastAsia="en-AU"/>
              </w:rPr>
              <w:t>WA</w:t>
            </w:r>
          </w:p>
        </w:tc>
        <w:tc>
          <w:tcPr>
            <w:tcW w:w="7658" w:type="dxa"/>
            <w:tcBorders>
              <w:top w:val="nil"/>
              <w:left w:val="nil"/>
              <w:bottom w:val="nil"/>
              <w:right w:val="nil"/>
            </w:tcBorders>
            <w:shd w:val="clear" w:color="auto" w:fill="auto"/>
            <w:hideMark/>
          </w:tcPr>
          <w:p w:rsidR="00F66D47" w:rsidRPr="00C66550" w:rsidRDefault="00F66D47" w:rsidP="00F35640">
            <w:r w:rsidRPr="00C66550">
              <w:t xml:space="preserve">Communications with jurisdictional representatives, ABS (2012a, </w:t>
            </w:r>
            <w:r w:rsidR="001C1F43" w:rsidRPr="00C66550">
              <w:t>2012d</w:t>
            </w:r>
            <w:r w:rsidRPr="00C66550">
              <w:t>), ADAA (2008, 2009, 2010, 2011), Australian Government (2012), DEC (2007), DSEWPaC (2011), ROU (2007, 2009, 2010), Waste Audit &amp; Golder (2007), Waste Authority (2008, 2009, 2010, 2012) and the websites of AWT operators.</w:t>
            </w:r>
          </w:p>
        </w:tc>
      </w:tr>
    </w:tbl>
    <w:p w:rsidR="00D54B33" w:rsidRPr="00C66550" w:rsidRDefault="00D54B33" w:rsidP="00D54B33">
      <w:pPr>
        <w:spacing w:line="240" w:lineRule="auto"/>
        <w:rPr>
          <w:color w:val="080808"/>
          <w:sz w:val="22"/>
        </w:rPr>
      </w:pPr>
      <w:r w:rsidRPr="00C66550">
        <w:rPr>
          <w:color w:val="080808"/>
          <w:sz w:val="22"/>
        </w:rPr>
        <w:br w:type="page"/>
      </w:r>
    </w:p>
    <w:p w:rsidR="00CC57E2" w:rsidRPr="00C66550" w:rsidRDefault="00CC57E2" w:rsidP="006D25F9">
      <w:pPr>
        <w:pStyle w:val="Heading1"/>
      </w:pPr>
      <w:bookmarkStart w:id="185" w:name="_Ref349634940"/>
      <w:bookmarkStart w:id="186" w:name="_Ref349637083"/>
      <w:bookmarkStart w:id="187" w:name="_Toc379466387"/>
      <w:r w:rsidRPr="00C66550">
        <w:lastRenderedPageBreak/>
        <w:t>Organic waste data analysis</w:t>
      </w:r>
      <w:bookmarkEnd w:id="183"/>
      <w:bookmarkEnd w:id="184"/>
      <w:bookmarkEnd w:id="185"/>
      <w:bookmarkEnd w:id="186"/>
      <w:bookmarkEnd w:id="187"/>
    </w:p>
    <w:p w:rsidR="002A73E4" w:rsidRPr="00C66550" w:rsidRDefault="002A73E4" w:rsidP="002A73E4">
      <w:pPr>
        <w:pStyle w:val="BodyText"/>
      </w:pPr>
      <w:r w:rsidRPr="00C66550">
        <w:t xml:space="preserve">Organic wastes </w:t>
      </w:r>
      <w:r w:rsidR="00C824DA" w:rsidRPr="00C66550">
        <w:t>form</w:t>
      </w:r>
      <w:r w:rsidRPr="00C66550">
        <w:t xml:space="preserve"> a significant portion of </w:t>
      </w:r>
      <w:r w:rsidR="00C824DA" w:rsidRPr="00C66550">
        <w:t xml:space="preserve">waste generated and an even more significant portion of waste sent to </w:t>
      </w:r>
      <w:r w:rsidRPr="00C66550">
        <w:t>landfill. Degradation of organics in landfills generates the potent greenhouse gas methane, and also produces potentially polluting leachate.</w:t>
      </w:r>
    </w:p>
    <w:p w:rsidR="002A73E4" w:rsidRPr="00C66550" w:rsidRDefault="002A73E4" w:rsidP="002A73E4">
      <w:pPr>
        <w:pStyle w:val="BodyText"/>
      </w:pPr>
    </w:p>
    <w:p w:rsidR="003D1477" w:rsidRDefault="002A73E4" w:rsidP="002A73E4">
      <w:pPr>
        <w:pStyle w:val="BodyText"/>
      </w:pPr>
      <w:r w:rsidRPr="00C66550">
        <w:t xml:space="preserve">This </w:t>
      </w:r>
      <w:r w:rsidR="00912151" w:rsidRPr="00C66550">
        <w:t>section</w:t>
      </w:r>
      <w:r w:rsidR="008D77D4" w:rsidRPr="00C66550">
        <w:t xml:space="preserve"> </w:t>
      </w:r>
      <w:r w:rsidRPr="00C66550">
        <w:t>considers the composition, sources and management pathways of solid organic waste</w:t>
      </w:r>
      <w:r w:rsidR="003D1477">
        <w:t xml:space="preserve">. </w:t>
      </w:r>
    </w:p>
    <w:p w:rsidR="003D1477" w:rsidRDefault="003D1477" w:rsidP="002A73E4">
      <w:pPr>
        <w:pStyle w:val="BodyText"/>
      </w:pPr>
    </w:p>
    <w:p w:rsidR="002A73E4" w:rsidRPr="00C66550" w:rsidRDefault="003D1477" w:rsidP="002A73E4">
      <w:pPr>
        <w:pStyle w:val="BodyText"/>
      </w:pPr>
      <w:r>
        <w:t xml:space="preserve">A broader definition of ‘organic waste’ is applied here than in the main data collation. Firstly, this section </w:t>
      </w:r>
      <w:r w:rsidR="00437BFC">
        <w:t xml:space="preserve">considers </w:t>
      </w:r>
      <w:r>
        <w:t xml:space="preserve">paper and cardboard </w:t>
      </w:r>
      <w:r w:rsidR="00437BFC">
        <w:t>to be</w:t>
      </w:r>
      <w:r>
        <w:t xml:space="preserve"> organic wastes, whereas in the main data collation </w:t>
      </w:r>
      <w:r w:rsidR="00437BFC">
        <w:t>they</w:t>
      </w:r>
      <w:r>
        <w:t xml:space="preserve"> are reported separately. Secondly, in addition to considering organic waste</w:t>
      </w:r>
      <w:r w:rsidR="002A73E4" w:rsidRPr="00C66550">
        <w:t xml:space="preserve"> </w:t>
      </w:r>
      <w:r w:rsidR="00C824DA" w:rsidRPr="00C66550">
        <w:t xml:space="preserve">from </w:t>
      </w:r>
      <w:r w:rsidR="002A73E4" w:rsidRPr="00C66550">
        <w:t>MSW, C&amp;I and C&amp;D sources</w:t>
      </w:r>
      <w:r>
        <w:t xml:space="preserve">, this section </w:t>
      </w:r>
      <w:r w:rsidR="002A73E4" w:rsidRPr="00C66550">
        <w:t>provides information about</w:t>
      </w:r>
      <w:r w:rsidR="00C824DA" w:rsidRPr="00C66550">
        <w:t xml:space="preserve"> the</w:t>
      </w:r>
      <w:r w:rsidR="002A73E4" w:rsidRPr="00C66550">
        <w:t xml:space="preserve"> recovery of primary industry organics</w:t>
      </w:r>
      <w:r w:rsidR="00C824DA" w:rsidRPr="00C66550">
        <w:t xml:space="preserve"> for which </w:t>
      </w:r>
      <w:r w:rsidR="00863166" w:rsidRPr="00C66550">
        <w:t>data is readily available and publically reported</w:t>
      </w:r>
      <w:r w:rsidR="00C824DA" w:rsidRPr="00C66550">
        <w:t>.</w:t>
      </w:r>
      <w:r>
        <w:t xml:space="preserve"> The expanded scope in this section provides a fuller picture of the capacity and outputs of organic</w:t>
      </w:r>
      <w:r w:rsidR="00F421BA">
        <w:t xml:space="preserve"> waste</w:t>
      </w:r>
      <w:r>
        <w:t xml:space="preserve"> recovery operations.</w:t>
      </w:r>
      <w:r w:rsidR="006B773D">
        <w:t xml:space="preserve">, </w:t>
      </w:r>
    </w:p>
    <w:p w:rsidR="002A73E4" w:rsidRPr="00C66550" w:rsidRDefault="002A73E4" w:rsidP="002A73E4">
      <w:pPr>
        <w:pStyle w:val="BodyText"/>
      </w:pPr>
    </w:p>
    <w:p w:rsidR="002A73E4" w:rsidRPr="00C66550" w:rsidRDefault="002A73E4" w:rsidP="002A73E4">
      <w:pPr>
        <w:pStyle w:val="BodyText"/>
      </w:pPr>
      <w:r w:rsidRPr="00C66550">
        <w:t xml:space="preserve">Organic wastes considered in </w:t>
      </w:r>
      <w:r w:rsidR="00C824DA" w:rsidRPr="00C66550">
        <w:t>this section</w:t>
      </w:r>
      <w:r w:rsidR="001C4210" w:rsidRPr="00C66550">
        <w:t xml:space="preserve"> </w:t>
      </w:r>
      <w:r w:rsidRPr="00C66550">
        <w:t>include:</w:t>
      </w:r>
    </w:p>
    <w:p w:rsidR="002A73E4" w:rsidRPr="00C66550" w:rsidRDefault="00F33D31" w:rsidP="00BF5F0E">
      <w:pPr>
        <w:pStyle w:val="Bullet1"/>
      </w:pPr>
      <w:r w:rsidRPr="00C66550">
        <w:t>f</w:t>
      </w:r>
      <w:r w:rsidR="002A73E4" w:rsidRPr="00C66550">
        <w:t>ood organics</w:t>
      </w:r>
    </w:p>
    <w:p w:rsidR="002A73E4" w:rsidRPr="00C66550" w:rsidRDefault="00F33D31" w:rsidP="00BF5F0E">
      <w:pPr>
        <w:pStyle w:val="Bullet1"/>
      </w:pPr>
      <w:r w:rsidRPr="00C66550">
        <w:t>g</w:t>
      </w:r>
      <w:r w:rsidR="002A73E4" w:rsidRPr="00C66550">
        <w:t>arden organics</w:t>
      </w:r>
    </w:p>
    <w:p w:rsidR="002A73E4" w:rsidRPr="00C66550" w:rsidRDefault="00F33D31" w:rsidP="00BF5F0E">
      <w:pPr>
        <w:pStyle w:val="Bullet1"/>
      </w:pPr>
      <w:r w:rsidRPr="00C66550">
        <w:t>w</w:t>
      </w:r>
      <w:r w:rsidR="002A73E4" w:rsidRPr="00C66550">
        <w:t>oody/timber from secondary and tertiary (not primary) industry and urban use</w:t>
      </w:r>
    </w:p>
    <w:p w:rsidR="002A73E4" w:rsidRPr="00C66550" w:rsidRDefault="00F33D31" w:rsidP="00BF5F0E">
      <w:pPr>
        <w:pStyle w:val="Bullet1"/>
      </w:pPr>
      <w:r w:rsidRPr="00C66550">
        <w:t>c</w:t>
      </w:r>
      <w:r w:rsidR="002A73E4" w:rsidRPr="00C66550">
        <w:t xml:space="preserve">ardboard and </w:t>
      </w:r>
      <w:r w:rsidR="003F5D14" w:rsidRPr="00C66550">
        <w:t>p</w:t>
      </w:r>
      <w:r w:rsidR="002A73E4" w:rsidRPr="00C66550">
        <w:t>aper</w:t>
      </w:r>
    </w:p>
    <w:p w:rsidR="002A73E4" w:rsidRPr="00C66550" w:rsidRDefault="00F33D31" w:rsidP="00BF5F0E">
      <w:pPr>
        <w:pStyle w:val="Bullet1"/>
      </w:pPr>
      <w:r w:rsidRPr="00C66550">
        <w:t>b</w:t>
      </w:r>
      <w:r w:rsidR="002A73E4" w:rsidRPr="00C66550">
        <w:t>iowaste (materials containing a mixture of garden and food organics)</w:t>
      </w:r>
    </w:p>
    <w:p w:rsidR="002A73E4" w:rsidRPr="00C66550" w:rsidRDefault="00F33D31" w:rsidP="00BF5F0E">
      <w:pPr>
        <w:pStyle w:val="Bullet1"/>
      </w:pPr>
      <w:r w:rsidRPr="00C66550">
        <w:t>t</w:t>
      </w:r>
      <w:r w:rsidR="002A73E4" w:rsidRPr="00C66550">
        <w:t>he organic component recovered from MSW through AWT</w:t>
      </w:r>
      <w:r w:rsidR="003F5D14" w:rsidRPr="00C66550">
        <w:t xml:space="preserve"> facilities</w:t>
      </w:r>
    </w:p>
    <w:p w:rsidR="002A73E4" w:rsidRPr="00C66550" w:rsidRDefault="00F33D31" w:rsidP="002A73E4">
      <w:pPr>
        <w:pStyle w:val="Bullet1"/>
      </w:pPr>
      <w:r w:rsidRPr="00C66550">
        <w:t>t</w:t>
      </w:r>
      <w:r w:rsidR="002A73E4" w:rsidRPr="00C66550">
        <w:t>he organic component of waste in landfill effectively recovered through the recovery of biogas to energy</w:t>
      </w:r>
      <w:r w:rsidRPr="00C66550">
        <w:t>.</w:t>
      </w:r>
    </w:p>
    <w:p w:rsidR="00C824DA" w:rsidRPr="00C66550" w:rsidRDefault="00C824DA" w:rsidP="002A73E4">
      <w:pPr>
        <w:pStyle w:val="BodyText"/>
      </w:pPr>
    </w:p>
    <w:p w:rsidR="002A73E4" w:rsidRPr="00C66550" w:rsidRDefault="002A73E4" w:rsidP="002A73E4">
      <w:pPr>
        <w:pStyle w:val="BodyText"/>
      </w:pPr>
      <w:r w:rsidRPr="00C66550">
        <w:t>Recovery pathways include:</w:t>
      </w:r>
    </w:p>
    <w:p w:rsidR="002A73E4" w:rsidRPr="00C66550" w:rsidRDefault="00F33D31" w:rsidP="00BF5F0E">
      <w:pPr>
        <w:pStyle w:val="Bullet1"/>
      </w:pPr>
      <w:r w:rsidRPr="00C66550">
        <w:t>r</w:t>
      </w:r>
      <w:r w:rsidR="002A73E4" w:rsidRPr="00C66550">
        <w:t>ecycling to new products (paper/cardboard, timber)</w:t>
      </w:r>
    </w:p>
    <w:p w:rsidR="002A73E4" w:rsidRPr="00C66550" w:rsidRDefault="00F33D31" w:rsidP="00BF5F0E">
      <w:pPr>
        <w:pStyle w:val="Bullet1"/>
      </w:pPr>
      <w:r w:rsidRPr="00C66550">
        <w:t>c</w:t>
      </w:r>
      <w:r w:rsidR="002A73E4" w:rsidRPr="00C66550">
        <w:t>omposting (which is considered a form of recycling in this report)</w:t>
      </w:r>
    </w:p>
    <w:p w:rsidR="002A73E4" w:rsidRPr="00C66550" w:rsidRDefault="00F33D31" w:rsidP="00BF5F0E">
      <w:pPr>
        <w:pStyle w:val="Bullet1"/>
      </w:pPr>
      <w:r w:rsidRPr="00C66550">
        <w:t>e</w:t>
      </w:r>
      <w:r w:rsidR="002A73E4" w:rsidRPr="00C66550">
        <w:t>nergy recovery</w:t>
      </w:r>
    </w:p>
    <w:p w:rsidR="002A73E4" w:rsidRPr="00C66550" w:rsidRDefault="00F33D31" w:rsidP="00BF5F0E">
      <w:pPr>
        <w:pStyle w:val="Bullet2"/>
      </w:pPr>
      <w:r w:rsidRPr="00C66550">
        <w:t>t</w:t>
      </w:r>
      <w:r w:rsidR="002A73E4" w:rsidRPr="00C66550">
        <w:t>hermal</w:t>
      </w:r>
    </w:p>
    <w:p w:rsidR="002A73E4" w:rsidRPr="00C66550" w:rsidRDefault="00F33D31" w:rsidP="00BF5F0E">
      <w:pPr>
        <w:pStyle w:val="Bullet2"/>
      </w:pPr>
      <w:r w:rsidRPr="00C66550">
        <w:t>b</w:t>
      </w:r>
      <w:r w:rsidR="002A73E4" w:rsidRPr="00C66550">
        <w:t>iodigestion</w:t>
      </w:r>
    </w:p>
    <w:p w:rsidR="002A73E4" w:rsidRPr="00C66550" w:rsidRDefault="00F33D31" w:rsidP="00BF5F0E">
      <w:pPr>
        <w:pStyle w:val="Bullet2"/>
      </w:pPr>
      <w:r w:rsidRPr="00C66550">
        <w:t>b</w:t>
      </w:r>
      <w:r w:rsidR="002A73E4" w:rsidRPr="00C66550">
        <w:t>iogas energy recovery from landfill</w:t>
      </w:r>
    </w:p>
    <w:p w:rsidR="002A73E4" w:rsidRPr="00C66550" w:rsidRDefault="00F33D31" w:rsidP="00BF5F0E">
      <w:pPr>
        <w:pStyle w:val="Bullet1"/>
      </w:pPr>
      <w:r w:rsidRPr="00C66550">
        <w:t>l</w:t>
      </w:r>
      <w:r w:rsidR="002A73E4" w:rsidRPr="00C66550">
        <w:t>and-farming</w:t>
      </w:r>
      <w:r w:rsidRPr="00C66550">
        <w:t>.</w:t>
      </w:r>
    </w:p>
    <w:p w:rsidR="002A73E4" w:rsidRPr="00C66550" w:rsidRDefault="002A73E4" w:rsidP="002A73E4">
      <w:pPr>
        <w:pStyle w:val="BodyText"/>
      </w:pPr>
    </w:p>
    <w:p w:rsidR="002A73E4" w:rsidRPr="00C66550" w:rsidRDefault="002A73E4" w:rsidP="002A73E4">
      <w:pPr>
        <w:pStyle w:val="BodyText"/>
      </w:pPr>
      <w:r w:rsidRPr="00C66550">
        <w:t>The main sources of data used in this analysis are:</w:t>
      </w:r>
    </w:p>
    <w:p w:rsidR="002A73E4" w:rsidRPr="00C66550" w:rsidRDefault="002A73E4" w:rsidP="002A73E4">
      <w:pPr>
        <w:pStyle w:val="Bullet1"/>
      </w:pPr>
      <w:r w:rsidRPr="00C66550">
        <w:t xml:space="preserve">State and territory jurisdictional data and estimates derived from such data. These are derived from a range of data gathering methods, and chiefly capture organics recovery from municipal and some industrial sources. </w:t>
      </w:r>
      <w:r w:rsidR="00C824DA" w:rsidRPr="00C66550">
        <w:t>The m</w:t>
      </w:r>
      <w:r w:rsidRPr="00C66550">
        <w:t>ethod</w:t>
      </w:r>
      <w:r w:rsidR="00C824DA" w:rsidRPr="00C66550">
        <w:t>s</w:t>
      </w:r>
      <w:r w:rsidRPr="00C66550">
        <w:t xml:space="preserve"> for classifying materials and gathering data vary from jurisdiction to jurisdiction.</w:t>
      </w:r>
    </w:p>
    <w:p w:rsidR="002A73E4" w:rsidRPr="00C66550" w:rsidRDefault="002A73E4" w:rsidP="002A73E4">
      <w:pPr>
        <w:pStyle w:val="Bullet1"/>
      </w:pPr>
      <w:r w:rsidRPr="00C66550">
        <w:t>Annual surveys of the recycled organics industry conducted by</w:t>
      </w:r>
      <w:r w:rsidR="00C824DA" w:rsidRPr="00C66550">
        <w:t xml:space="preserve"> the Recycled Organics Unit</w:t>
      </w:r>
      <w:r w:rsidRPr="00C66550">
        <w:t xml:space="preserve"> </w:t>
      </w:r>
      <w:r w:rsidR="00C824DA" w:rsidRPr="00C66550">
        <w:t>(</w:t>
      </w:r>
      <w:r w:rsidRPr="00C66550">
        <w:t>R</w:t>
      </w:r>
      <w:r w:rsidR="00F66D47" w:rsidRPr="00C66550">
        <w:t>O</w:t>
      </w:r>
      <w:r w:rsidRPr="00C66550">
        <w:t>U</w:t>
      </w:r>
      <w:r w:rsidR="00C824DA" w:rsidRPr="00C66550">
        <w:t>), a private institute formerly attached to the University of NSW</w:t>
      </w:r>
      <w:r w:rsidRPr="00C66550">
        <w:t xml:space="preserve">. </w:t>
      </w:r>
      <w:r w:rsidR="00C824DA" w:rsidRPr="00C66550">
        <w:t>These</w:t>
      </w:r>
      <w:r w:rsidRPr="00C66550">
        <w:t xml:space="preserve"> survey</w:t>
      </w:r>
      <w:r w:rsidR="00C824DA" w:rsidRPr="00C66550">
        <w:t>s</w:t>
      </w:r>
      <w:r w:rsidRPr="00C66550">
        <w:t xml:space="preserve"> mainly capture recovery from identified organics recovery businesses. </w:t>
      </w:r>
      <w:r w:rsidR="00664AF7" w:rsidRPr="00C66550">
        <w:t xml:space="preserve">ROU </w:t>
      </w:r>
      <w:r w:rsidRPr="00C66550">
        <w:t xml:space="preserve">surveys include data </w:t>
      </w:r>
      <w:r w:rsidR="00C824DA" w:rsidRPr="00C66550">
        <w:t>on</w:t>
      </w:r>
      <w:r w:rsidRPr="00C66550">
        <w:t xml:space="preserve"> recovery of </w:t>
      </w:r>
      <w:r w:rsidR="00C824DA" w:rsidRPr="00C66550">
        <w:t xml:space="preserve">organic wastes from </w:t>
      </w:r>
      <w:r w:rsidRPr="00C66550">
        <w:t>primary industry</w:t>
      </w:r>
      <w:r w:rsidR="00C824DA" w:rsidRPr="00C66550">
        <w:t xml:space="preserve"> sources</w:t>
      </w:r>
      <w:r w:rsidRPr="00C66550">
        <w:t xml:space="preserve"> and information about the products manufactured from recovered organics. The mainland states and the ACT are surveyed. Data from </w:t>
      </w:r>
      <w:r w:rsidR="00DF4FB7">
        <w:t>Tas</w:t>
      </w:r>
      <w:r w:rsidRPr="00C66550">
        <w:t xml:space="preserve"> and the </w:t>
      </w:r>
      <w:r w:rsidR="00664AF7" w:rsidRPr="00C66550">
        <w:t>N</w:t>
      </w:r>
      <w:r w:rsidR="00C824DA" w:rsidRPr="00C66550">
        <w:t xml:space="preserve">orthern </w:t>
      </w:r>
      <w:r w:rsidR="00664AF7" w:rsidRPr="00C66550">
        <w:t>T</w:t>
      </w:r>
      <w:r w:rsidR="00C824DA" w:rsidRPr="00C66550">
        <w:t>erritory</w:t>
      </w:r>
      <w:r w:rsidRPr="00C66550">
        <w:t xml:space="preserve"> are not collected. </w:t>
      </w:r>
      <w:r w:rsidR="00C824DA" w:rsidRPr="00C66550">
        <w:t>Some jurisdictions do not collect data on organic waste recycling, but rather rely on the ROU survey.</w:t>
      </w:r>
    </w:p>
    <w:p w:rsidR="002A73E4" w:rsidRPr="00C66550" w:rsidRDefault="002A73E4" w:rsidP="00E00F29">
      <w:pPr>
        <w:pStyle w:val="Bullet1"/>
        <w:spacing w:before="120"/>
      </w:pPr>
      <w:r w:rsidRPr="00C66550">
        <w:lastRenderedPageBreak/>
        <w:t>Estimates of biogas energy recovery attributable to particular materials types. Biogas energy recovered from landfill</w:t>
      </w:r>
      <w:r w:rsidR="00C824DA" w:rsidRPr="00C66550">
        <w:t xml:space="preserve"> is considered in this report to represent</w:t>
      </w:r>
      <w:r w:rsidRPr="00C66550">
        <w:t xml:space="preserve"> recovery of landfilled organics. There are challenges associated with estimating biogas energy recovery on an annual basis. Because organics in landfill degrade over decades, the amount of biogas energy recovered in a year can represent many years of landfilled organics. Seasonal conditions and management of landfills will influence the quantities of biogas generated and captured in a particular year. </w:t>
      </w:r>
      <w:r w:rsidR="00C824DA" w:rsidRPr="00C66550">
        <w:t>The</w:t>
      </w:r>
      <w:r w:rsidRPr="00C66550">
        <w:t xml:space="preserve"> </w:t>
      </w:r>
      <w:r w:rsidR="00C824DA" w:rsidRPr="00C66550">
        <w:t>establishment</w:t>
      </w:r>
      <w:r w:rsidRPr="00C66550">
        <w:t xml:space="preserve"> of AWT</w:t>
      </w:r>
      <w:r w:rsidR="00C824DA" w:rsidRPr="00C66550">
        <w:t xml:space="preserve"> facilities</w:t>
      </w:r>
      <w:r w:rsidRPr="00C66550">
        <w:t xml:space="preserve"> in </w:t>
      </w:r>
      <w:r w:rsidR="00C824DA" w:rsidRPr="00C66550">
        <w:t xml:space="preserve">some </w:t>
      </w:r>
      <w:r w:rsidRPr="00C66550">
        <w:t xml:space="preserve">capital cities and regional centres has presumably reduced the methane generation potential of landfilled residuals, which may result in a decline in biogas recovery in these </w:t>
      </w:r>
      <w:r w:rsidR="00C824DA" w:rsidRPr="00C66550">
        <w:t>locations</w:t>
      </w:r>
      <w:r w:rsidRPr="00C66550">
        <w:t>. For the purposes of analysis it has been assumed that nationally, the annual rate of biogas energy recovery is directly related to the annual quantity of organics landfilled, and can therefore be treated as an annual quantity of organics recovered.</w:t>
      </w:r>
    </w:p>
    <w:p w:rsidR="002A73E4" w:rsidRPr="00C66550" w:rsidRDefault="002A73E4" w:rsidP="002A73E4">
      <w:pPr>
        <w:pStyle w:val="BodyText"/>
      </w:pPr>
    </w:p>
    <w:p w:rsidR="002A73E4" w:rsidRPr="00C66550" w:rsidRDefault="00C824DA" w:rsidP="002A73E4">
      <w:pPr>
        <w:pStyle w:val="BodyText"/>
      </w:pPr>
      <w:r w:rsidRPr="00C66550">
        <w:t>Different data</w:t>
      </w:r>
      <w:r w:rsidR="002A73E4" w:rsidRPr="00C66550">
        <w:t xml:space="preserve"> sources do not always </w:t>
      </w:r>
      <w:r w:rsidRPr="00C66550">
        <w:t xml:space="preserve">contain identical </w:t>
      </w:r>
      <w:r w:rsidR="002A73E4" w:rsidRPr="00C66550">
        <w:t xml:space="preserve">figures. Where there are discrepancies, jurisdictional data </w:t>
      </w:r>
      <w:r w:rsidRPr="00C66550">
        <w:t>are generally relied upon throughout this section and the rest of the report.</w:t>
      </w:r>
      <w:r w:rsidR="002A73E4" w:rsidRPr="00C66550">
        <w:t xml:space="preserve"> </w:t>
      </w:r>
    </w:p>
    <w:p w:rsidR="002A73E4" w:rsidRPr="00C66550" w:rsidRDefault="002A73E4" w:rsidP="002A73E4">
      <w:pPr>
        <w:pStyle w:val="BodyText"/>
      </w:pPr>
    </w:p>
    <w:p w:rsidR="002A73E4" w:rsidRPr="00C66550" w:rsidRDefault="00816856" w:rsidP="006D25F9">
      <w:pPr>
        <w:pStyle w:val="Heading2"/>
      </w:pPr>
      <w:bookmarkStart w:id="188" w:name="_Toc379466388"/>
      <w:r w:rsidRPr="00C66550">
        <w:t xml:space="preserve">National </w:t>
      </w:r>
      <w:r w:rsidR="002A73E4" w:rsidRPr="00C66550">
        <w:t>and jurisdiction</w:t>
      </w:r>
      <w:r w:rsidR="00C824DA" w:rsidRPr="00C66550">
        <w:t>al</w:t>
      </w:r>
      <w:r w:rsidR="002A73E4" w:rsidRPr="00C66550">
        <w:t xml:space="preserve"> recovery</w:t>
      </w:r>
      <w:bookmarkEnd w:id="188"/>
    </w:p>
    <w:p w:rsidR="002A73E4" w:rsidRPr="00C66550" w:rsidRDefault="0062001A" w:rsidP="00C824DA">
      <w:pPr>
        <w:pStyle w:val="BodyText"/>
      </w:pPr>
      <w:r w:rsidRPr="00C66550">
        <w:fldChar w:fldCharType="begin"/>
      </w:r>
      <w:r w:rsidR="00F33D31" w:rsidRPr="00C66550">
        <w:instrText xml:space="preserve"> REF _Ref349659151 \h </w:instrText>
      </w:r>
      <w:r w:rsidRPr="00C66550">
        <w:fldChar w:fldCharType="separate"/>
      </w:r>
      <w:r w:rsidR="00D96003" w:rsidRPr="00C66550">
        <w:t xml:space="preserve">Table </w:t>
      </w:r>
      <w:r w:rsidR="00D96003">
        <w:rPr>
          <w:noProof/>
        </w:rPr>
        <w:t>9</w:t>
      </w:r>
      <w:r w:rsidRPr="00C66550">
        <w:fldChar w:fldCharType="end"/>
      </w:r>
      <w:r w:rsidR="00F33D31" w:rsidRPr="00C66550">
        <w:t xml:space="preserve"> </w:t>
      </w:r>
      <w:r w:rsidR="002A73E4" w:rsidRPr="00C66550">
        <w:t>shows the estimated recovery of organics in 2010/11</w:t>
      </w:r>
      <w:r w:rsidR="00C824DA" w:rsidRPr="00C66550">
        <w:t>, distinguishing between primary industry and other organic wastes</w:t>
      </w:r>
      <w:r w:rsidR="002A73E4" w:rsidRPr="00C66550">
        <w:t xml:space="preserve">. </w:t>
      </w:r>
      <w:r w:rsidR="00FE2EDB" w:rsidRPr="00C66550">
        <w:t xml:space="preserve">The </w:t>
      </w:r>
      <w:r w:rsidR="00C824DA" w:rsidRPr="00C66550">
        <w:t>un</w:t>
      </w:r>
      <w:r w:rsidR="002A73E4" w:rsidRPr="00C66550">
        <w:t>shaded data</w:t>
      </w:r>
      <w:r w:rsidR="00C824DA" w:rsidRPr="00C66550">
        <w:t xml:space="preserve"> are</w:t>
      </w:r>
      <w:r w:rsidR="002A73E4" w:rsidRPr="00C66550">
        <w:t xml:space="preserve"> derived from </w:t>
      </w:r>
      <w:r w:rsidR="00C824DA" w:rsidRPr="00C66550">
        <w:t>the</w:t>
      </w:r>
      <w:r w:rsidR="002A73E4" w:rsidRPr="00C66550">
        <w:t xml:space="preserve"> jurisdictions; cells shaded </w:t>
      </w:r>
      <w:r w:rsidR="00FE2EDB" w:rsidRPr="00C66550">
        <w:t>grey contains</w:t>
      </w:r>
      <w:r w:rsidR="002A73E4" w:rsidRPr="00C66550">
        <w:t xml:space="preserve"> data sourced </w:t>
      </w:r>
      <w:r w:rsidR="00A555C7" w:rsidRPr="00C66550">
        <w:t xml:space="preserve">from </w:t>
      </w:r>
      <w:r w:rsidR="002A73E4" w:rsidRPr="00C66550">
        <w:t>the R</w:t>
      </w:r>
      <w:r w:rsidR="00A555C7" w:rsidRPr="00C66550">
        <w:t>O</w:t>
      </w:r>
      <w:r w:rsidR="002A73E4" w:rsidRPr="00C66550">
        <w:t xml:space="preserve">U annual survey of organics reprocessing facility operators. </w:t>
      </w:r>
      <w:r w:rsidR="00C824DA" w:rsidRPr="00C66550">
        <w:t>Note that many organic wastes from primary industries are recovered</w:t>
      </w:r>
      <w:r w:rsidR="008D568B" w:rsidRPr="00C66550">
        <w:t xml:space="preserve"> off-site</w:t>
      </w:r>
      <w:r w:rsidR="00C824DA" w:rsidRPr="00C66550">
        <w:t xml:space="preserve"> but </w:t>
      </w:r>
      <w:r w:rsidR="008D568B" w:rsidRPr="00C66550">
        <w:t>may</w:t>
      </w:r>
      <w:r w:rsidR="00C824DA" w:rsidRPr="00C66550">
        <w:t xml:space="preserve"> not </w:t>
      </w:r>
      <w:r w:rsidR="008D568B" w:rsidRPr="00C66550">
        <w:t>be captured</w:t>
      </w:r>
      <w:r w:rsidR="00C824DA" w:rsidRPr="00C66550">
        <w:t xml:space="preserve"> in the ROU survey</w:t>
      </w:r>
      <w:r w:rsidR="008D568B" w:rsidRPr="00C66550">
        <w:t>. These include</w:t>
      </w:r>
      <w:r w:rsidR="00C824DA" w:rsidRPr="00C66550">
        <w:t xml:space="preserve">: </w:t>
      </w:r>
      <w:r w:rsidR="002A73E4" w:rsidRPr="00C66550">
        <w:t>primary</w:t>
      </w:r>
      <w:r w:rsidR="00C824DA" w:rsidRPr="00C66550">
        <w:t xml:space="preserve"> industry</w:t>
      </w:r>
      <w:r w:rsidR="002A73E4" w:rsidRPr="00C66550">
        <w:t xml:space="preserve"> wastes sent to feedlots</w:t>
      </w:r>
      <w:r w:rsidR="00C824DA" w:rsidRPr="00C66550">
        <w:t>;</w:t>
      </w:r>
      <w:r w:rsidR="002A73E4" w:rsidRPr="00C66550">
        <w:t xml:space="preserve"> timber and sawdust used at sawmills to fire kilns</w:t>
      </w:r>
      <w:r w:rsidR="00C824DA" w:rsidRPr="00C66550">
        <w:t>;</w:t>
      </w:r>
      <w:r w:rsidR="002A73E4" w:rsidRPr="00C66550">
        <w:t xml:space="preserve"> and poultry shed, feedlot and stable waste</w:t>
      </w:r>
      <w:r w:rsidR="001A79D0" w:rsidRPr="00C66550">
        <w:t>s</w:t>
      </w:r>
      <w:r w:rsidR="008D568B" w:rsidRPr="00C66550">
        <w:t xml:space="preserve"> </w:t>
      </w:r>
      <w:r w:rsidR="002A73E4" w:rsidRPr="00C66550">
        <w:t>supplied to landholders as a fertility enhancer</w:t>
      </w:r>
      <w:r w:rsidR="008D568B" w:rsidRPr="00C66550">
        <w:t>.</w:t>
      </w:r>
      <w:r w:rsidR="002A73E4" w:rsidRPr="00C66550">
        <w:t xml:space="preserve"> </w:t>
      </w:r>
    </w:p>
    <w:p w:rsidR="002A73E4" w:rsidRPr="00C66550" w:rsidRDefault="002A73E4" w:rsidP="002A73E4">
      <w:pPr>
        <w:pStyle w:val="BodyText"/>
      </w:pPr>
    </w:p>
    <w:p w:rsidR="008D568B" w:rsidRPr="00C66550" w:rsidRDefault="008D568B" w:rsidP="008D568B">
      <w:pPr>
        <w:pStyle w:val="BodyText"/>
      </w:pPr>
      <w:r w:rsidRPr="00C66550">
        <w:t>The data show:</w:t>
      </w:r>
    </w:p>
    <w:p w:rsidR="008D568B" w:rsidRPr="00C66550" w:rsidRDefault="008D568B" w:rsidP="008D568B">
      <w:pPr>
        <w:pStyle w:val="Bullet1"/>
      </w:pPr>
      <w:r w:rsidRPr="00C66550">
        <w:t>Total recovery of an estimated 1</w:t>
      </w:r>
      <w:r w:rsidR="00FB3544" w:rsidRPr="00C66550">
        <w:t>2</w:t>
      </w:r>
      <w:r w:rsidRPr="00C66550">
        <w:t xml:space="preserve"> Mt of </w:t>
      </w:r>
      <w:r w:rsidR="00FB3544" w:rsidRPr="00C66550">
        <w:t>organic wastes</w:t>
      </w:r>
      <w:r w:rsidR="006B773D">
        <w:t>. This includes</w:t>
      </w:r>
      <w:r w:rsidR="00F421BA">
        <w:t>:</w:t>
      </w:r>
      <w:r w:rsidR="006B773D">
        <w:t xml:space="preserve"> s</w:t>
      </w:r>
      <w:r w:rsidR="006B773D" w:rsidRPr="00C66550">
        <w:t>ome 7.4 Mt of MSW, C&amp;I and C&amp;D organic wastes</w:t>
      </w:r>
      <w:r w:rsidR="00F421BA">
        <w:t>;</w:t>
      </w:r>
      <w:r w:rsidR="006B773D" w:rsidRPr="00C66550">
        <w:t xml:space="preserve"> 1.0 Mt of biosolids</w:t>
      </w:r>
      <w:r w:rsidR="00F421BA">
        <w:t>;</w:t>
      </w:r>
      <w:r w:rsidR="006B773D" w:rsidRPr="00C66550">
        <w:t xml:space="preserve"> the equivalent of 1.2 Mt of organics recovered via biogas energy recovery</w:t>
      </w:r>
      <w:r w:rsidR="00F421BA">
        <w:t>;</w:t>
      </w:r>
      <w:r w:rsidR="006B773D">
        <w:t xml:space="preserve"> and 2.1 Mt of </w:t>
      </w:r>
      <w:r w:rsidR="006B773D" w:rsidRPr="00C66550">
        <w:t>wastes from primary production activities that entered waste management facilities</w:t>
      </w:r>
      <w:r w:rsidRPr="00C66550">
        <w:t xml:space="preserve">. </w:t>
      </w:r>
    </w:p>
    <w:p w:rsidR="00FD3562" w:rsidRPr="00C66550" w:rsidRDefault="00FD3562" w:rsidP="00FD3562">
      <w:pPr>
        <w:pStyle w:val="Bullet1"/>
      </w:pPr>
      <w:r w:rsidRPr="00C66550">
        <w:t xml:space="preserve">Landfill biogas energy represents around 17% of all estimated organics recovery. </w:t>
      </w:r>
    </w:p>
    <w:p w:rsidR="008D568B" w:rsidRPr="00C66550" w:rsidRDefault="00FD3562" w:rsidP="008D568B">
      <w:pPr>
        <w:pStyle w:val="Bullet1"/>
      </w:pPr>
      <w:r w:rsidRPr="00C66550">
        <w:t>P</w:t>
      </w:r>
      <w:r w:rsidR="008D568B" w:rsidRPr="00C66550">
        <w:t>aper products (3.</w:t>
      </w:r>
      <w:r w:rsidR="00FB3544" w:rsidRPr="00C66550">
        <w:t>1 Mt) and garden organics (2.9</w:t>
      </w:r>
      <w:r w:rsidR="008D568B" w:rsidRPr="00C66550">
        <w:t xml:space="preserve"> Mt) </w:t>
      </w:r>
      <w:r w:rsidRPr="00C66550">
        <w:t>contribute most</w:t>
      </w:r>
      <w:r w:rsidR="008D568B" w:rsidRPr="00C66550">
        <w:t xml:space="preserve"> to the organics recovery figures, followed by timber (0.73 Mt) and </w:t>
      </w:r>
      <w:r w:rsidRPr="00C66550">
        <w:t>mixed organics sent to</w:t>
      </w:r>
      <w:r w:rsidR="008D568B" w:rsidRPr="00C66550">
        <w:t xml:space="preserve"> AWT facilities. </w:t>
      </w:r>
    </w:p>
    <w:p w:rsidR="008D568B" w:rsidRPr="00C66550" w:rsidRDefault="001D6A8E" w:rsidP="008D568B">
      <w:pPr>
        <w:pStyle w:val="Bullet1"/>
      </w:pPr>
      <w:r w:rsidRPr="00C66550">
        <w:t xml:space="preserve">When paper and cardboard products are excluded, </w:t>
      </w:r>
      <w:r w:rsidR="008D568B" w:rsidRPr="00C66550">
        <w:t xml:space="preserve">Australians recover in the order of </w:t>
      </w:r>
      <w:r w:rsidR="00FB3544" w:rsidRPr="00C66550">
        <w:t>200</w:t>
      </w:r>
      <w:r w:rsidR="008D568B" w:rsidRPr="00C66550">
        <w:t xml:space="preserve">kg per capita of </w:t>
      </w:r>
      <w:r w:rsidRPr="00C66550">
        <w:t>MSW, C&amp;I and C&amp;D</w:t>
      </w:r>
      <w:r w:rsidR="008D568B" w:rsidRPr="00C66550">
        <w:t xml:space="preserve"> organics.</w:t>
      </w:r>
    </w:p>
    <w:p w:rsidR="008D568B" w:rsidRPr="00C66550" w:rsidRDefault="008D568B" w:rsidP="008D568B">
      <w:pPr>
        <w:pStyle w:val="Bullet1"/>
      </w:pPr>
      <w:r w:rsidRPr="00C66550">
        <w:t>The ACT has very high per capita recovery of organic</w:t>
      </w:r>
      <w:r w:rsidR="00FB3544" w:rsidRPr="00C66550">
        <w:t xml:space="preserve"> waste</w:t>
      </w:r>
      <w:r w:rsidRPr="00C66550">
        <w:t>s, reflecting highly effective diversion of garden and timber organics at resource recovery facilities within the territory</w:t>
      </w:r>
      <w:r w:rsidR="001D6A8E" w:rsidRPr="00C66550">
        <w:t>,</w:t>
      </w:r>
      <w:r w:rsidRPr="00C66550">
        <w:t xml:space="preserve"> as well as widespread use of ‘wool bale’ garden organics recovery services provided by private operators.</w:t>
      </w:r>
    </w:p>
    <w:p w:rsidR="003018F1" w:rsidRPr="00C66550" w:rsidRDefault="003018F1" w:rsidP="003018F1">
      <w:pPr>
        <w:pStyle w:val="Bullet1"/>
      </w:pPr>
      <w:r w:rsidRPr="00C66550">
        <w:t xml:space="preserve">NSW and </w:t>
      </w:r>
      <w:r w:rsidR="00DF4FB7">
        <w:t>Qld</w:t>
      </w:r>
      <w:r w:rsidRPr="00C66550">
        <w:t xml:space="preserve"> recover relatively high levels of biosolids.</w:t>
      </w:r>
    </w:p>
    <w:p w:rsidR="003018F1" w:rsidRPr="00C66550" w:rsidRDefault="003018F1" w:rsidP="003018F1">
      <w:pPr>
        <w:pStyle w:val="Bullet1"/>
      </w:pPr>
      <w:r w:rsidRPr="00C66550">
        <w:t xml:space="preserve">NSW and </w:t>
      </w:r>
      <w:r w:rsidR="00DF4FB7">
        <w:t>Vic</w:t>
      </w:r>
      <w:r w:rsidRPr="00C66550">
        <w:t xml:space="preserve"> recover relatively high levels of biogas for energy, reflecting landfill practices in those states.</w:t>
      </w:r>
    </w:p>
    <w:p w:rsidR="00072E5E" w:rsidRPr="00C66550" w:rsidRDefault="00072E5E">
      <w:pPr>
        <w:spacing w:line="240" w:lineRule="auto"/>
        <w:rPr>
          <w:color w:val="080808"/>
          <w:sz w:val="22"/>
        </w:rPr>
      </w:pPr>
      <w:r w:rsidRPr="00C66550">
        <w:br w:type="page"/>
      </w:r>
    </w:p>
    <w:p w:rsidR="002A73E4" w:rsidRPr="00C66550" w:rsidRDefault="002A73E4" w:rsidP="002A73E4">
      <w:pPr>
        <w:pStyle w:val="BodyText"/>
        <w:sectPr w:rsidR="002A73E4" w:rsidRPr="00C66550" w:rsidSect="009B1421">
          <w:headerReference w:type="default" r:id="rId114"/>
          <w:footerReference w:type="default" r:id="rId115"/>
          <w:headerReference w:type="first" r:id="rId116"/>
          <w:footerReference w:type="first" r:id="rId117"/>
          <w:pgSz w:w="11907" w:h="16840" w:code="9"/>
          <w:pgMar w:top="1440" w:right="1134" w:bottom="1440" w:left="1440" w:header="709" w:footer="709" w:gutter="0"/>
          <w:cols w:space="708"/>
          <w:docGrid w:linePitch="360"/>
        </w:sectPr>
      </w:pPr>
    </w:p>
    <w:p w:rsidR="009A57FC" w:rsidRPr="00C66550" w:rsidRDefault="002A73E4" w:rsidP="00FB4820">
      <w:pPr>
        <w:pStyle w:val="Figures"/>
      </w:pPr>
      <w:bookmarkStart w:id="189" w:name="_Ref349659151"/>
      <w:bookmarkStart w:id="190" w:name="_Ref349659134"/>
      <w:bookmarkStart w:id="191" w:name="_Toc365038853"/>
      <w:r w:rsidRPr="00C66550">
        <w:lastRenderedPageBreak/>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9</w:t>
      </w:r>
      <w:r w:rsidR="0062001A" w:rsidRPr="00C66550">
        <w:fldChar w:fldCharType="end"/>
      </w:r>
      <w:bookmarkEnd w:id="189"/>
      <w:r w:rsidR="00BF5F0E" w:rsidRPr="00C66550">
        <w:t>:</w:t>
      </w:r>
      <w:r w:rsidR="00BF5F0E" w:rsidRPr="00C66550">
        <w:tab/>
      </w:r>
      <w:r w:rsidRPr="00C66550">
        <w:t>Summary of collated data regarding recovery of organics</w:t>
      </w:r>
      <w:r w:rsidR="005E17AE">
        <w:t>,</w:t>
      </w:r>
      <w:r w:rsidRPr="00C66550">
        <w:t xml:space="preserve"> 2010/1</w:t>
      </w:r>
      <w:bookmarkEnd w:id="190"/>
      <w:r w:rsidR="00EF0E4A" w:rsidRPr="00C66550">
        <w:t>1</w:t>
      </w:r>
      <w:bookmarkEnd w:id="191"/>
    </w:p>
    <w:tbl>
      <w:tblPr>
        <w:tblW w:w="8632" w:type="dxa"/>
        <w:tblInd w:w="548" w:type="dxa"/>
        <w:tblLayout w:type="fixed"/>
        <w:tblCellMar>
          <w:top w:w="28" w:type="dxa"/>
          <w:bottom w:w="28" w:type="dxa"/>
        </w:tblCellMar>
        <w:tblLook w:val="04A0"/>
      </w:tblPr>
      <w:tblGrid>
        <w:gridCol w:w="2821"/>
        <w:gridCol w:w="850"/>
        <w:gridCol w:w="567"/>
        <w:gridCol w:w="709"/>
        <w:gridCol w:w="567"/>
        <w:gridCol w:w="709"/>
        <w:gridCol w:w="567"/>
        <w:gridCol w:w="567"/>
        <w:gridCol w:w="708"/>
        <w:gridCol w:w="567"/>
      </w:tblGrid>
      <w:tr w:rsidR="00D8370F" w:rsidRPr="00C66550" w:rsidTr="00B5065A">
        <w:trPr>
          <w:trHeight w:val="67"/>
          <w:tblHeader/>
        </w:trPr>
        <w:tc>
          <w:tcPr>
            <w:tcW w:w="2821" w:type="dxa"/>
            <w:tcBorders>
              <w:top w:val="single" w:sz="8" w:space="0" w:color="7F7F7F"/>
              <w:left w:val="nil"/>
              <w:bottom w:val="single" w:sz="8" w:space="0" w:color="808080"/>
            </w:tcBorders>
            <w:hideMark/>
          </w:tcPr>
          <w:p w:rsidR="009A57FC" w:rsidRPr="00C66550" w:rsidRDefault="009A57FC" w:rsidP="009B1421">
            <w:pPr>
              <w:spacing w:line="240" w:lineRule="auto"/>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Material</w:t>
            </w:r>
          </w:p>
        </w:tc>
        <w:tc>
          <w:tcPr>
            <w:tcW w:w="850" w:type="dxa"/>
            <w:tcBorders>
              <w:top w:val="single" w:sz="8" w:space="0" w:color="7F7F7F"/>
              <w:bottom w:val="single" w:sz="8" w:space="0" w:color="808080"/>
            </w:tcBorders>
            <w:vAlign w:val="center"/>
            <w:hideMark/>
          </w:tcPr>
          <w:p w:rsidR="009A57FC" w:rsidRPr="00C66550" w:rsidRDefault="009A57FC" w:rsidP="009B1421">
            <w:pPr>
              <w:spacing w:line="240" w:lineRule="auto"/>
              <w:ind w:left="-154"/>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National</w:t>
            </w:r>
          </w:p>
        </w:tc>
        <w:tc>
          <w:tcPr>
            <w:tcW w:w="567" w:type="dxa"/>
            <w:tcBorders>
              <w:top w:val="single" w:sz="8" w:space="0" w:color="7F7F7F"/>
              <w:bottom w:val="single" w:sz="8" w:space="0" w:color="808080"/>
            </w:tcBorders>
            <w:vAlign w:val="center"/>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ACT</w:t>
            </w:r>
          </w:p>
        </w:tc>
        <w:tc>
          <w:tcPr>
            <w:tcW w:w="709" w:type="dxa"/>
            <w:tcBorders>
              <w:top w:val="single" w:sz="8" w:space="0" w:color="7F7F7F"/>
              <w:bottom w:val="single" w:sz="8" w:space="0" w:color="808080"/>
            </w:tcBorders>
            <w:vAlign w:val="center"/>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NSW</w:t>
            </w:r>
          </w:p>
        </w:tc>
        <w:tc>
          <w:tcPr>
            <w:tcW w:w="567" w:type="dxa"/>
            <w:tcBorders>
              <w:top w:val="single" w:sz="8" w:space="0" w:color="7F7F7F"/>
              <w:bottom w:val="single" w:sz="8" w:space="0" w:color="808080"/>
            </w:tcBorders>
            <w:vAlign w:val="center"/>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NT</w:t>
            </w:r>
          </w:p>
        </w:tc>
        <w:tc>
          <w:tcPr>
            <w:tcW w:w="709" w:type="dxa"/>
            <w:tcBorders>
              <w:top w:val="single" w:sz="8" w:space="0" w:color="7F7F7F"/>
              <w:bottom w:val="single" w:sz="8" w:space="0" w:color="808080"/>
            </w:tcBorders>
            <w:vAlign w:val="center"/>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Qld</w:t>
            </w:r>
          </w:p>
        </w:tc>
        <w:tc>
          <w:tcPr>
            <w:tcW w:w="567" w:type="dxa"/>
            <w:tcBorders>
              <w:top w:val="single" w:sz="8" w:space="0" w:color="7F7F7F"/>
              <w:bottom w:val="single" w:sz="8" w:space="0" w:color="808080"/>
            </w:tcBorders>
            <w:vAlign w:val="center"/>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SA</w:t>
            </w:r>
          </w:p>
        </w:tc>
        <w:tc>
          <w:tcPr>
            <w:tcW w:w="567" w:type="dxa"/>
            <w:tcBorders>
              <w:top w:val="single" w:sz="8" w:space="0" w:color="7F7F7F"/>
              <w:bottom w:val="single" w:sz="8" w:space="0" w:color="808080"/>
            </w:tcBorders>
            <w:vAlign w:val="center"/>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Tas</w:t>
            </w:r>
          </w:p>
        </w:tc>
        <w:tc>
          <w:tcPr>
            <w:tcW w:w="708" w:type="dxa"/>
            <w:tcBorders>
              <w:top w:val="single" w:sz="8" w:space="0" w:color="7F7F7F"/>
              <w:bottom w:val="single" w:sz="8" w:space="0" w:color="808080"/>
            </w:tcBorders>
            <w:vAlign w:val="center"/>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VIC</w:t>
            </w:r>
          </w:p>
        </w:tc>
        <w:tc>
          <w:tcPr>
            <w:tcW w:w="567" w:type="dxa"/>
            <w:tcBorders>
              <w:top w:val="single" w:sz="8" w:space="0" w:color="7F7F7F"/>
              <w:bottom w:val="single" w:sz="8" w:space="0" w:color="808080"/>
              <w:right w:val="nil"/>
            </w:tcBorders>
            <w:vAlign w:val="center"/>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WA</w:t>
            </w:r>
          </w:p>
        </w:tc>
      </w:tr>
      <w:tr w:rsidR="009A57FC" w:rsidRPr="00C66550" w:rsidTr="00D8370F">
        <w:trPr>
          <w:trHeight w:val="158"/>
        </w:trPr>
        <w:tc>
          <w:tcPr>
            <w:tcW w:w="8632" w:type="dxa"/>
            <w:gridSpan w:val="10"/>
            <w:tcBorders>
              <w:top w:val="single" w:sz="8" w:space="0" w:color="808080"/>
              <w:left w:val="nil"/>
              <w:bottom w:val="single" w:sz="8" w:space="0" w:color="7F7F7F"/>
              <w:right w:val="nil"/>
            </w:tcBorders>
            <w:shd w:val="clear" w:color="auto" w:fill="auto"/>
            <w:hideMark/>
          </w:tcPr>
          <w:p w:rsidR="009A57FC" w:rsidRPr="00C66550" w:rsidRDefault="00D8370F" w:rsidP="00D8370F">
            <w:pPr>
              <w:spacing w:line="240" w:lineRule="auto"/>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 xml:space="preserve">Recovery of </w:t>
            </w:r>
            <w:r w:rsidR="009A57FC" w:rsidRPr="00C66550">
              <w:rPr>
                <w:rFonts w:asciiTheme="minorHAnsi" w:hAnsiTheme="minorHAnsi" w:cs="Times New Roman"/>
                <w:b/>
                <w:bCs/>
                <w:color w:val="181818"/>
                <w:sz w:val="16"/>
                <w:szCs w:val="16"/>
                <w:lang w:eastAsia="en-GB"/>
              </w:rPr>
              <w:t>organic</w:t>
            </w:r>
            <w:r w:rsidRPr="00C66550">
              <w:rPr>
                <w:rFonts w:asciiTheme="minorHAnsi" w:hAnsiTheme="minorHAnsi" w:cs="Times New Roman"/>
                <w:b/>
                <w:bCs/>
                <w:color w:val="181818"/>
                <w:sz w:val="16"/>
                <w:szCs w:val="16"/>
                <w:lang w:eastAsia="en-GB"/>
              </w:rPr>
              <w:t xml:space="preserve"> wastes from MSW, C&amp;I and C&amp;D sources</w:t>
            </w:r>
            <w:r w:rsidR="009A57FC" w:rsidRPr="00C66550">
              <w:rPr>
                <w:rFonts w:asciiTheme="minorHAnsi" w:hAnsiTheme="minorHAnsi" w:cs="Times New Roman"/>
                <w:b/>
                <w:bCs/>
                <w:color w:val="181818"/>
                <w:sz w:val="16"/>
                <w:szCs w:val="16"/>
                <w:lang w:eastAsia="en-GB"/>
              </w:rPr>
              <w:t xml:space="preserve"> </w:t>
            </w:r>
            <w:r w:rsidR="009A57FC" w:rsidRPr="00C66550">
              <w:rPr>
                <w:rFonts w:asciiTheme="minorHAnsi" w:hAnsiTheme="minorHAnsi" w:cs="Times New Roman"/>
                <w:bCs/>
                <w:i/>
                <w:color w:val="181818"/>
                <w:sz w:val="16"/>
                <w:szCs w:val="16"/>
                <w:lang w:eastAsia="en-GB"/>
              </w:rPr>
              <w:t>(data in thousands of tonnes except where shown otherwise)</w:t>
            </w:r>
          </w:p>
        </w:tc>
      </w:tr>
      <w:tr w:rsidR="00D8370F" w:rsidRPr="00C66550" w:rsidTr="00B5065A">
        <w:tc>
          <w:tcPr>
            <w:tcW w:w="2821" w:type="dxa"/>
            <w:tcBorders>
              <w:top w:val="single" w:sz="8" w:space="0" w:color="7F7F7F"/>
              <w:left w:val="nil"/>
            </w:tcBorders>
            <w:shd w:val="clear" w:color="auto" w:fill="auto"/>
            <w:hideMark/>
          </w:tcPr>
          <w:p w:rsidR="00EC57D9" w:rsidRPr="00C66550" w:rsidRDefault="00EC57D9" w:rsidP="009B1421">
            <w:pPr>
              <w:pStyle w:val="ListParagraph"/>
              <w:numPr>
                <w:ilvl w:val="0"/>
                <w:numId w:val="10"/>
              </w:numPr>
              <w:spacing w:line="240" w:lineRule="auto"/>
              <w:rPr>
                <w:rFonts w:asciiTheme="minorHAnsi" w:hAnsiTheme="minorHAnsi" w:cs="Times New Roman"/>
                <w:color w:val="181818"/>
                <w:sz w:val="16"/>
                <w:szCs w:val="16"/>
                <w:lang w:eastAsia="en-GB"/>
              </w:rPr>
            </w:pPr>
            <w:r w:rsidRPr="00C66550">
              <w:rPr>
                <w:rFonts w:asciiTheme="minorHAnsi" w:hAnsiTheme="minorHAnsi"/>
                <w:color w:val="181818"/>
                <w:sz w:val="16"/>
                <w:szCs w:val="16"/>
                <w:lang w:eastAsia="en-GB"/>
              </w:rPr>
              <w:t>Food</w:t>
            </w:r>
          </w:p>
        </w:tc>
        <w:tc>
          <w:tcPr>
            <w:tcW w:w="850" w:type="dxa"/>
            <w:tcBorders>
              <w:top w:val="single" w:sz="8" w:space="0" w:color="7F7F7F"/>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268</w:t>
            </w:r>
          </w:p>
        </w:tc>
        <w:tc>
          <w:tcPr>
            <w:tcW w:w="567" w:type="dxa"/>
            <w:tcBorders>
              <w:top w:val="single" w:sz="8" w:space="0" w:color="7F7F7F"/>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0.6</w:t>
            </w:r>
          </w:p>
        </w:tc>
        <w:tc>
          <w:tcPr>
            <w:tcW w:w="709" w:type="dxa"/>
            <w:tcBorders>
              <w:top w:val="single" w:sz="8" w:space="0" w:color="7F7F7F"/>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183</w:t>
            </w:r>
          </w:p>
        </w:tc>
        <w:tc>
          <w:tcPr>
            <w:tcW w:w="567" w:type="dxa"/>
            <w:tcBorders>
              <w:top w:val="single" w:sz="8" w:space="0" w:color="7F7F7F"/>
            </w:tcBorders>
            <w:shd w:val="clear" w:color="auto" w:fill="auto"/>
          </w:tcPr>
          <w:p w:rsidR="00EC57D9" w:rsidRPr="00C66550" w:rsidRDefault="00EC57D9" w:rsidP="009B1421">
            <w:pPr>
              <w:spacing w:line="240" w:lineRule="auto"/>
              <w:jc w:val="right"/>
              <w:rPr>
                <w:sz w:val="16"/>
                <w:szCs w:val="16"/>
              </w:rPr>
            </w:pPr>
          </w:p>
        </w:tc>
        <w:tc>
          <w:tcPr>
            <w:tcW w:w="709" w:type="dxa"/>
            <w:tcBorders>
              <w:top w:val="single" w:sz="8" w:space="0" w:color="7F7F7F"/>
            </w:tcBorders>
            <w:shd w:val="clear" w:color="auto" w:fill="auto"/>
          </w:tcPr>
          <w:p w:rsidR="00EC57D9" w:rsidRPr="00C66550" w:rsidRDefault="00EC57D9" w:rsidP="009B1421">
            <w:pPr>
              <w:spacing w:line="240" w:lineRule="auto"/>
              <w:jc w:val="right"/>
              <w:rPr>
                <w:sz w:val="16"/>
                <w:szCs w:val="16"/>
              </w:rPr>
            </w:pPr>
          </w:p>
        </w:tc>
        <w:tc>
          <w:tcPr>
            <w:tcW w:w="567" w:type="dxa"/>
            <w:tcBorders>
              <w:top w:val="single" w:sz="8" w:space="0" w:color="7F7F7F"/>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4.4</w:t>
            </w:r>
          </w:p>
        </w:tc>
        <w:tc>
          <w:tcPr>
            <w:tcW w:w="567" w:type="dxa"/>
            <w:tcBorders>
              <w:top w:val="single" w:sz="8" w:space="0" w:color="7F7F7F"/>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4</w:t>
            </w:r>
            <w:r w:rsidR="00207F49">
              <w:rPr>
                <w:sz w:val="16"/>
                <w:szCs w:val="16"/>
              </w:rPr>
              <w:t>4</w:t>
            </w:r>
          </w:p>
        </w:tc>
        <w:tc>
          <w:tcPr>
            <w:tcW w:w="708" w:type="dxa"/>
            <w:tcBorders>
              <w:top w:val="single" w:sz="8" w:space="0" w:color="7F7F7F"/>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22</w:t>
            </w:r>
          </w:p>
        </w:tc>
        <w:tc>
          <w:tcPr>
            <w:tcW w:w="567" w:type="dxa"/>
            <w:tcBorders>
              <w:top w:val="single" w:sz="8" w:space="0" w:color="7F7F7F"/>
              <w:right w:val="nil"/>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14</w:t>
            </w:r>
          </w:p>
        </w:tc>
      </w:tr>
      <w:tr w:rsidR="00D8370F" w:rsidRPr="00C66550" w:rsidTr="00B5065A">
        <w:tc>
          <w:tcPr>
            <w:tcW w:w="2821" w:type="dxa"/>
            <w:tcBorders>
              <w:top w:val="nil"/>
              <w:left w:val="nil"/>
            </w:tcBorders>
            <w:shd w:val="clear" w:color="auto" w:fill="auto"/>
            <w:hideMark/>
          </w:tcPr>
          <w:p w:rsidR="00EC57D9" w:rsidRPr="00C66550" w:rsidRDefault="00EC57D9" w:rsidP="009B1421">
            <w:pPr>
              <w:pStyle w:val="ListParagraph"/>
              <w:numPr>
                <w:ilvl w:val="0"/>
                <w:numId w:val="10"/>
              </w:numPr>
              <w:spacing w:line="240" w:lineRule="auto"/>
              <w:rPr>
                <w:rFonts w:asciiTheme="minorHAnsi" w:hAnsiTheme="minorHAnsi" w:cs="Times New Roman"/>
                <w:color w:val="181818"/>
                <w:sz w:val="16"/>
                <w:szCs w:val="16"/>
                <w:lang w:eastAsia="en-GB"/>
              </w:rPr>
            </w:pPr>
            <w:r w:rsidRPr="00C66550">
              <w:rPr>
                <w:rFonts w:asciiTheme="minorHAnsi" w:hAnsiTheme="minorHAnsi"/>
                <w:color w:val="181818"/>
                <w:sz w:val="16"/>
                <w:szCs w:val="16"/>
                <w:lang w:eastAsia="en-GB"/>
              </w:rPr>
              <w:t>Garden</w:t>
            </w:r>
          </w:p>
        </w:tc>
        <w:tc>
          <w:tcPr>
            <w:tcW w:w="850"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w:t>
            </w:r>
            <w:r w:rsidR="000D611D" w:rsidRPr="00C66550">
              <w:rPr>
                <w:sz w:val="16"/>
                <w:szCs w:val="16"/>
              </w:rPr>
              <w:t>,</w:t>
            </w:r>
            <w:r w:rsidRPr="00C66550">
              <w:rPr>
                <w:sz w:val="16"/>
                <w:szCs w:val="16"/>
              </w:rPr>
              <w:t>942</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272</w:t>
            </w: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844</w:t>
            </w:r>
          </w:p>
        </w:tc>
        <w:tc>
          <w:tcPr>
            <w:tcW w:w="567" w:type="dxa"/>
            <w:tcBorders>
              <w:top w:val="nil"/>
            </w:tcBorders>
            <w:shd w:val="clear" w:color="auto" w:fill="auto"/>
          </w:tcPr>
          <w:p w:rsidR="00EC57D9" w:rsidRPr="00C66550" w:rsidRDefault="00EC57D9" w:rsidP="009B1421">
            <w:pPr>
              <w:spacing w:line="240" w:lineRule="auto"/>
              <w:jc w:val="right"/>
              <w:rPr>
                <w:sz w:val="16"/>
                <w:szCs w:val="16"/>
              </w:rPr>
            </w:pP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819</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230</w:t>
            </w:r>
          </w:p>
        </w:tc>
        <w:tc>
          <w:tcPr>
            <w:tcW w:w="567" w:type="dxa"/>
            <w:tcBorders>
              <w:top w:val="nil"/>
            </w:tcBorders>
            <w:shd w:val="clear" w:color="auto" w:fill="auto"/>
          </w:tcPr>
          <w:p w:rsidR="00EC57D9" w:rsidRPr="00C66550" w:rsidRDefault="00EC57D9" w:rsidP="009B1421">
            <w:pPr>
              <w:spacing w:line="240" w:lineRule="auto"/>
              <w:jc w:val="right"/>
              <w:rPr>
                <w:sz w:val="16"/>
                <w:szCs w:val="16"/>
              </w:rPr>
            </w:pPr>
          </w:p>
        </w:tc>
        <w:tc>
          <w:tcPr>
            <w:tcW w:w="708"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570</w:t>
            </w:r>
          </w:p>
        </w:tc>
        <w:tc>
          <w:tcPr>
            <w:tcW w:w="567" w:type="dxa"/>
            <w:tcBorders>
              <w:top w:val="nil"/>
              <w:right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207</w:t>
            </w:r>
          </w:p>
        </w:tc>
      </w:tr>
      <w:tr w:rsidR="00D8370F" w:rsidRPr="00C66550" w:rsidTr="00B5065A">
        <w:tc>
          <w:tcPr>
            <w:tcW w:w="2821" w:type="dxa"/>
            <w:tcBorders>
              <w:top w:val="nil"/>
              <w:left w:val="nil"/>
            </w:tcBorders>
            <w:shd w:val="clear" w:color="auto" w:fill="auto"/>
            <w:hideMark/>
          </w:tcPr>
          <w:p w:rsidR="00EC57D9" w:rsidRPr="00C66550" w:rsidRDefault="00EC57D9" w:rsidP="009B1421">
            <w:pPr>
              <w:pStyle w:val="ListParagraph"/>
              <w:numPr>
                <w:ilvl w:val="0"/>
                <w:numId w:val="10"/>
              </w:numPr>
              <w:spacing w:line="240" w:lineRule="auto"/>
              <w:rPr>
                <w:rFonts w:asciiTheme="minorHAnsi" w:hAnsiTheme="minorHAnsi" w:cs="Times New Roman"/>
                <w:color w:val="181818"/>
                <w:sz w:val="16"/>
                <w:szCs w:val="16"/>
                <w:lang w:eastAsia="en-GB"/>
              </w:rPr>
            </w:pPr>
            <w:r w:rsidRPr="00C66550">
              <w:rPr>
                <w:rFonts w:asciiTheme="minorHAnsi" w:hAnsiTheme="minorHAnsi"/>
                <w:color w:val="181818"/>
                <w:sz w:val="16"/>
                <w:szCs w:val="16"/>
                <w:lang w:eastAsia="en-GB"/>
              </w:rPr>
              <w:t>Timber</w:t>
            </w:r>
          </w:p>
        </w:tc>
        <w:tc>
          <w:tcPr>
            <w:tcW w:w="850"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729</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13.1</w:t>
            </w: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153</w:t>
            </w:r>
          </w:p>
        </w:tc>
        <w:tc>
          <w:tcPr>
            <w:tcW w:w="567" w:type="dxa"/>
            <w:tcBorders>
              <w:top w:val="nil"/>
            </w:tcBorders>
            <w:shd w:val="clear" w:color="auto" w:fill="auto"/>
          </w:tcPr>
          <w:p w:rsidR="00EC57D9" w:rsidRPr="00C66550" w:rsidRDefault="00EC57D9" w:rsidP="009B1421">
            <w:pPr>
              <w:spacing w:line="240" w:lineRule="auto"/>
              <w:jc w:val="right"/>
              <w:rPr>
                <w:sz w:val="16"/>
                <w:szCs w:val="16"/>
              </w:rPr>
            </w:pPr>
          </w:p>
        </w:tc>
        <w:tc>
          <w:tcPr>
            <w:tcW w:w="709" w:type="dxa"/>
            <w:tcBorders>
              <w:top w:val="nil"/>
            </w:tcBorders>
            <w:shd w:val="clear" w:color="auto" w:fill="auto"/>
          </w:tcPr>
          <w:p w:rsidR="00EC57D9" w:rsidRPr="00C66550" w:rsidRDefault="00EC57D9" w:rsidP="009B1421">
            <w:pPr>
              <w:spacing w:line="240" w:lineRule="auto"/>
              <w:jc w:val="right"/>
              <w:rPr>
                <w:sz w:val="16"/>
                <w:szCs w:val="16"/>
              </w:rPr>
            </w:pP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280</w:t>
            </w:r>
          </w:p>
        </w:tc>
        <w:tc>
          <w:tcPr>
            <w:tcW w:w="567" w:type="dxa"/>
            <w:tcBorders>
              <w:top w:val="nil"/>
            </w:tcBorders>
            <w:shd w:val="clear" w:color="auto" w:fill="auto"/>
          </w:tcPr>
          <w:p w:rsidR="00EC57D9" w:rsidRPr="00C66550" w:rsidRDefault="00EC57D9" w:rsidP="009B1421">
            <w:pPr>
              <w:spacing w:line="240" w:lineRule="auto"/>
              <w:jc w:val="right"/>
              <w:rPr>
                <w:sz w:val="16"/>
                <w:szCs w:val="16"/>
              </w:rPr>
            </w:pPr>
          </w:p>
        </w:tc>
        <w:tc>
          <w:tcPr>
            <w:tcW w:w="708"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234</w:t>
            </w:r>
          </w:p>
        </w:tc>
        <w:tc>
          <w:tcPr>
            <w:tcW w:w="567" w:type="dxa"/>
            <w:tcBorders>
              <w:top w:val="nil"/>
              <w:right w:val="nil"/>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50</w:t>
            </w:r>
          </w:p>
        </w:tc>
      </w:tr>
      <w:tr w:rsidR="00D8370F" w:rsidRPr="00C66550" w:rsidTr="00B5065A">
        <w:tc>
          <w:tcPr>
            <w:tcW w:w="2821" w:type="dxa"/>
            <w:tcBorders>
              <w:top w:val="nil"/>
              <w:left w:val="nil"/>
            </w:tcBorders>
            <w:shd w:val="clear" w:color="auto" w:fill="BFBFBF" w:themeFill="background1" w:themeFillShade="BF"/>
            <w:hideMark/>
          </w:tcPr>
          <w:p w:rsidR="00EC57D9" w:rsidRPr="00C66550" w:rsidRDefault="00207F49" w:rsidP="009B1421">
            <w:pPr>
              <w:pStyle w:val="ListParagraph"/>
              <w:numPr>
                <w:ilvl w:val="0"/>
                <w:numId w:val="10"/>
              </w:numPr>
              <w:spacing w:line="240" w:lineRule="auto"/>
              <w:rPr>
                <w:rFonts w:asciiTheme="minorHAnsi" w:hAnsiTheme="minorHAnsi" w:cs="Times New Roman"/>
                <w:color w:val="181818"/>
                <w:sz w:val="16"/>
                <w:szCs w:val="16"/>
                <w:lang w:eastAsia="en-GB"/>
              </w:rPr>
            </w:pPr>
            <w:r>
              <w:rPr>
                <w:rFonts w:asciiTheme="minorHAnsi" w:hAnsiTheme="minorHAnsi"/>
                <w:color w:val="181818"/>
                <w:sz w:val="16"/>
                <w:szCs w:val="16"/>
                <w:lang w:eastAsia="en-GB"/>
              </w:rPr>
              <w:t>Bio</w:t>
            </w:r>
            <w:r w:rsidR="00EC57D9" w:rsidRPr="00C66550">
              <w:rPr>
                <w:rFonts w:asciiTheme="minorHAnsi" w:hAnsiTheme="minorHAnsi"/>
                <w:color w:val="181818"/>
                <w:sz w:val="16"/>
                <w:szCs w:val="16"/>
                <w:lang w:eastAsia="en-GB"/>
              </w:rPr>
              <w:t>waste (mixed garden &amp; food)</w:t>
            </w:r>
          </w:p>
        </w:tc>
        <w:tc>
          <w:tcPr>
            <w:tcW w:w="850" w:type="dxa"/>
            <w:tcBorders>
              <w:top w:val="nil"/>
            </w:tcBorders>
            <w:shd w:val="clear" w:color="auto" w:fill="BFBFBF" w:themeFill="background1" w:themeFillShade="BF"/>
            <w:hideMark/>
          </w:tcPr>
          <w:p w:rsidR="00EC57D9" w:rsidRPr="00C66550" w:rsidRDefault="00EC57D9" w:rsidP="00207F49">
            <w:pPr>
              <w:spacing w:line="240" w:lineRule="auto"/>
              <w:jc w:val="right"/>
              <w:rPr>
                <w:sz w:val="16"/>
                <w:szCs w:val="16"/>
              </w:rPr>
            </w:pPr>
            <w:r w:rsidRPr="00C66550">
              <w:rPr>
                <w:sz w:val="16"/>
                <w:szCs w:val="16"/>
              </w:rPr>
              <w:t>5</w:t>
            </w:r>
            <w:r w:rsidR="00207F49">
              <w:rPr>
                <w:sz w:val="16"/>
                <w:szCs w:val="16"/>
              </w:rPr>
              <w:t>5</w:t>
            </w:r>
          </w:p>
        </w:tc>
        <w:tc>
          <w:tcPr>
            <w:tcW w:w="567" w:type="dxa"/>
            <w:tcBorders>
              <w:top w:val="nil"/>
            </w:tcBorders>
            <w:shd w:val="clear" w:color="auto" w:fill="BFBFBF" w:themeFill="background1" w:themeFillShade="BF"/>
          </w:tcPr>
          <w:p w:rsidR="00EC57D9" w:rsidRPr="00C66550" w:rsidRDefault="00EC57D9" w:rsidP="009B1421">
            <w:pPr>
              <w:spacing w:line="240" w:lineRule="auto"/>
              <w:jc w:val="right"/>
              <w:rPr>
                <w:sz w:val="16"/>
                <w:szCs w:val="16"/>
              </w:rPr>
            </w:pPr>
          </w:p>
        </w:tc>
        <w:tc>
          <w:tcPr>
            <w:tcW w:w="709" w:type="dxa"/>
            <w:tcBorders>
              <w:top w:val="nil"/>
            </w:tcBorders>
            <w:shd w:val="clear" w:color="auto" w:fill="BFBFBF" w:themeFill="background1" w:themeFillShade="BF"/>
            <w:hideMark/>
          </w:tcPr>
          <w:p w:rsidR="00EC57D9" w:rsidRPr="00C66550" w:rsidRDefault="00EC57D9" w:rsidP="00207F49">
            <w:pPr>
              <w:spacing w:line="240" w:lineRule="auto"/>
              <w:jc w:val="right"/>
              <w:rPr>
                <w:sz w:val="16"/>
                <w:szCs w:val="16"/>
              </w:rPr>
            </w:pPr>
            <w:r w:rsidRPr="00C66550">
              <w:rPr>
                <w:sz w:val="16"/>
                <w:szCs w:val="16"/>
              </w:rPr>
              <w:t>5</w:t>
            </w:r>
            <w:r w:rsidR="00207F49">
              <w:rPr>
                <w:sz w:val="16"/>
                <w:szCs w:val="16"/>
              </w:rPr>
              <w:t>5</w:t>
            </w:r>
          </w:p>
        </w:tc>
        <w:tc>
          <w:tcPr>
            <w:tcW w:w="567" w:type="dxa"/>
            <w:tcBorders>
              <w:top w:val="nil"/>
            </w:tcBorders>
            <w:shd w:val="clear" w:color="auto" w:fill="BFBFBF" w:themeFill="background1" w:themeFillShade="BF"/>
          </w:tcPr>
          <w:p w:rsidR="00EC57D9" w:rsidRPr="00C66550" w:rsidRDefault="00C66550" w:rsidP="009B1421">
            <w:pPr>
              <w:spacing w:line="240" w:lineRule="auto"/>
              <w:jc w:val="right"/>
              <w:rPr>
                <w:sz w:val="16"/>
                <w:szCs w:val="16"/>
              </w:rPr>
            </w:pPr>
            <w:r w:rsidRPr="00C66550">
              <w:rPr>
                <w:rFonts w:asciiTheme="minorHAnsi" w:hAnsiTheme="minorHAnsi" w:cs="Times New Roman"/>
                <w:color w:val="181818"/>
                <w:sz w:val="16"/>
                <w:szCs w:val="16"/>
                <w:lang w:eastAsia="en-GB"/>
              </w:rPr>
              <w:t>n/a</w:t>
            </w:r>
          </w:p>
        </w:tc>
        <w:tc>
          <w:tcPr>
            <w:tcW w:w="709" w:type="dxa"/>
            <w:tcBorders>
              <w:top w:val="nil"/>
            </w:tcBorders>
            <w:shd w:val="clear" w:color="auto" w:fill="BFBFBF" w:themeFill="background1" w:themeFillShade="BF"/>
          </w:tcPr>
          <w:p w:rsidR="00EC57D9" w:rsidRPr="00C66550" w:rsidRDefault="00EC57D9" w:rsidP="009B1421">
            <w:pPr>
              <w:spacing w:line="240" w:lineRule="auto"/>
              <w:jc w:val="right"/>
              <w:rPr>
                <w:sz w:val="16"/>
                <w:szCs w:val="16"/>
              </w:rPr>
            </w:pPr>
          </w:p>
        </w:tc>
        <w:tc>
          <w:tcPr>
            <w:tcW w:w="567" w:type="dxa"/>
            <w:tcBorders>
              <w:top w:val="nil"/>
            </w:tcBorders>
            <w:shd w:val="clear" w:color="auto" w:fill="BFBFBF" w:themeFill="background1" w:themeFillShade="BF"/>
          </w:tcPr>
          <w:p w:rsidR="00EC57D9" w:rsidRPr="00C66550" w:rsidRDefault="00EC57D9" w:rsidP="009B1421">
            <w:pPr>
              <w:spacing w:line="240" w:lineRule="auto"/>
              <w:jc w:val="right"/>
              <w:rPr>
                <w:sz w:val="16"/>
                <w:szCs w:val="16"/>
              </w:rPr>
            </w:pPr>
          </w:p>
        </w:tc>
        <w:tc>
          <w:tcPr>
            <w:tcW w:w="567" w:type="dxa"/>
            <w:tcBorders>
              <w:top w:val="nil"/>
            </w:tcBorders>
            <w:shd w:val="clear" w:color="auto" w:fill="BFBFBF" w:themeFill="background1" w:themeFillShade="BF"/>
          </w:tcPr>
          <w:p w:rsidR="00EC57D9" w:rsidRPr="00C66550" w:rsidRDefault="00C66550" w:rsidP="009B1421">
            <w:pPr>
              <w:spacing w:line="240" w:lineRule="auto"/>
              <w:jc w:val="right"/>
              <w:rPr>
                <w:sz w:val="16"/>
                <w:szCs w:val="16"/>
              </w:rPr>
            </w:pPr>
            <w:r w:rsidRPr="00C66550">
              <w:rPr>
                <w:rFonts w:asciiTheme="minorHAnsi" w:hAnsiTheme="minorHAnsi" w:cs="Times New Roman"/>
                <w:color w:val="181818"/>
                <w:sz w:val="16"/>
                <w:szCs w:val="16"/>
                <w:lang w:eastAsia="en-GB"/>
              </w:rPr>
              <w:t>n/a</w:t>
            </w:r>
          </w:p>
        </w:tc>
        <w:tc>
          <w:tcPr>
            <w:tcW w:w="708" w:type="dxa"/>
            <w:tcBorders>
              <w:top w:val="nil"/>
            </w:tcBorders>
            <w:shd w:val="clear" w:color="auto" w:fill="BFBFBF" w:themeFill="background1" w:themeFillShade="BF"/>
          </w:tcPr>
          <w:p w:rsidR="00EC57D9" w:rsidRPr="00C66550" w:rsidRDefault="00EC57D9" w:rsidP="009B1421">
            <w:pPr>
              <w:spacing w:line="240" w:lineRule="auto"/>
              <w:jc w:val="right"/>
              <w:rPr>
                <w:sz w:val="16"/>
                <w:szCs w:val="16"/>
              </w:rPr>
            </w:pPr>
          </w:p>
        </w:tc>
        <w:tc>
          <w:tcPr>
            <w:tcW w:w="567" w:type="dxa"/>
            <w:tcBorders>
              <w:top w:val="nil"/>
              <w:right w:val="nil"/>
            </w:tcBorders>
            <w:shd w:val="clear" w:color="auto" w:fill="BFBFBF" w:themeFill="background1" w:themeFillShade="BF"/>
            <w:hideMark/>
          </w:tcPr>
          <w:p w:rsidR="00EC57D9" w:rsidRPr="00C66550" w:rsidRDefault="00EC57D9" w:rsidP="009B1421">
            <w:pPr>
              <w:spacing w:line="240" w:lineRule="auto"/>
              <w:jc w:val="right"/>
              <w:rPr>
                <w:sz w:val="16"/>
                <w:szCs w:val="16"/>
              </w:rPr>
            </w:pPr>
          </w:p>
        </w:tc>
      </w:tr>
      <w:tr w:rsidR="00D8370F" w:rsidRPr="00C66550" w:rsidTr="00B5065A">
        <w:tc>
          <w:tcPr>
            <w:tcW w:w="2821" w:type="dxa"/>
            <w:tcBorders>
              <w:top w:val="nil"/>
              <w:left w:val="nil"/>
            </w:tcBorders>
            <w:shd w:val="clear" w:color="auto" w:fill="BFBFBF" w:themeFill="background1" w:themeFillShade="BF"/>
            <w:hideMark/>
          </w:tcPr>
          <w:p w:rsidR="00EC57D9" w:rsidRPr="00C66550" w:rsidRDefault="00EC57D9" w:rsidP="009B1421">
            <w:pPr>
              <w:pStyle w:val="ListParagraph"/>
              <w:numPr>
                <w:ilvl w:val="0"/>
                <w:numId w:val="10"/>
              </w:numPr>
              <w:spacing w:line="240" w:lineRule="auto"/>
              <w:rPr>
                <w:rFonts w:asciiTheme="minorHAnsi" w:hAnsiTheme="minorHAnsi" w:cs="Times New Roman"/>
                <w:color w:val="181818"/>
                <w:sz w:val="16"/>
                <w:szCs w:val="16"/>
                <w:lang w:eastAsia="en-GB"/>
              </w:rPr>
            </w:pPr>
            <w:r w:rsidRPr="00C66550">
              <w:rPr>
                <w:rFonts w:asciiTheme="minorHAnsi" w:hAnsiTheme="minorHAnsi"/>
                <w:color w:val="181818"/>
                <w:sz w:val="16"/>
                <w:szCs w:val="16"/>
                <w:lang w:eastAsia="en-GB"/>
              </w:rPr>
              <w:t>MSW organics fraction recovery</w:t>
            </w:r>
          </w:p>
        </w:tc>
        <w:tc>
          <w:tcPr>
            <w:tcW w:w="850" w:type="dxa"/>
            <w:tcBorders>
              <w:top w:val="nil"/>
            </w:tcBorders>
            <w:shd w:val="clear" w:color="auto" w:fill="BFBFBF" w:themeFill="background1" w:themeFillShade="BF"/>
            <w:hideMark/>
          </w:tcPr>
          <w:p w:rsidR="00EC57D9" w:rsidRPr="00C66550" w:rsidRDefault="00EC57D9" w:rsidP="009B1421">
            <w:pPr>
              <w:spacing w:line="240" w:lineRule="auto"/>
              <w:jc w:val="right"/>
              <w:rPr>
                <w:sz w:val="16"/>
                <w:szCs w:val="16"/>
              </w:rPr>
            </w:pPr>
            <w:r w:rsidRPr="00C66550">
              <w:rPr>
                <w:sz w:val="16"/>
                <w:szCs w:val="16"/>
              </w:rPr>
              <w:t>381</w:t>
            </w:r>
          </w:p>
        </w:tc>
        <w:tc>
          <w:tcPr>
            <w:tcW w:w="567" w:type="dxa"/>
            <w:tcBorders>
              <w:top w:val="nil"/>
            </w:tcBorders>
            <w:shd w:val="clear" w:color="auto" w:fill="BFBFBF" w:themeFill="background1" w:themeFillShade="BF"/>
          </w:tcPr>
          <w:p w:rsidR="00EC57D9" w:rsidRPr="00C66550" w:rsidRDefault="00EC57D9" w:rsidP="009B1421">
            <w:pPr>
              <w:spacing w:line="240" w:lineRule="auto"/>
              <w:jc w:val="right"/>
              <w:rPr>
                <w:sz w:val="16"/>
                <w:szCs w:val="16"/>
              </w:rPr>
            </w:pPr>
          </w:p>
        </w:tc>
        <w:tc>
          <w:tcPr>
            <w:tcW w:w="709" w:type="dxa"/>
            <w:tcBorders>
              <w:top w:val="nil"/>
            </w:tcBorders>
            <w:shd w:val="clear" w:color="auto" w:fill="BFBFBF" w:themeFill="background1" w:themeFillShade="BF"/>
            <w:hideMark/>
          </w:tcPr>
          <w:p w:rsidR="00EC57D9" w:rsidRPr="00C66550" w:rsidRDefault="00EC57D9" w:rsidP="009B1421">
            <w:pPr>
              <w:spacing w:line="240" w:lineRule="auto"/>
              <w:jc w:val="right"/>
              <w:rPr>
                <w:sz w:val="16"/>
                <w:szCs w:val="16"/>
              </w:rPr>
            </w:pPr>
            <w:r w:rsidRPr="00C66550">
              <w:rPr>
                <w:sz w:val="16"/>
                <w:szCs w:val="16"/>
              </w:rPr>
              <w:t>192</w:t>
            </w:r>
          </w:p>
        </w:tc>
        <w:tc>
          <w:tcPr>
            <w:tcW w:w="567" w:type="dxa"/>
            <w:tcBorders>
              <w:top w:val="nil"/>
            </w:tcBorders>
            <w:shd w:val="clear" w:color="auto" w:fill="BFBFBF" w:themeFill="background1" w:themeFillShade="BF"/>
          </w:tcPr>
          <w:p w:rsidR="00EC57D9" w:rsidRPr="00C66550" w:rsidRDefault="00C66550" w:rsidP="009B1421">
            <w:pPr>
              <w:spacing w:line="240" w:lineRule="auto"/>
              <w:jc w:val="right"/>
              <w:rPr>
                <w:sz w:val="16"/>
                <w:szCs w:val="16"/>
              </w:rPr>
            </w:pPr>
            <w:r w:rsidRPr="00C66550">
              <w:rPr>
                <w:rFonts w:asciiTheme="minorHAnsi" w:hAnsiTheme="minorHAnsi" w:cs="Times New Roman"/>
                <w:color w:val="181818"/>
                <w:sz w:val="16"/>
                <w:szCs w:val="16"/>
                <w:lang w:eastAsia="en-GB"/>
              </w:rPr>
              <w:t>n/a</w:t>
            </w:r>
          </w:p>
        </w:tc>
        <w:tc>
          <w:tcPr>
            <w:tcW w:w="709" w:type="dxa"/>
            <w:tcBorders>
              <w:top w:val="nil"/>
            </w:tcBorders>
            <w:shd w:val="clear" w:color="auto" w:fill="BFBFBF" w:themeFill="background1" w:themeFillShade="BF"/>
            <w:hideMark/>
          </w:tcPr>
          <w:p w:rsidR="00EC57D9" w:rsidRPr="00C66550" w:rsidRDefault="00EC57D9" w:rsidP="00207F49">
            <w:pPr>
              <w:spacing w:line="240" w:lineRule="auto"/>
              <w:jc w:val="right"/>
              <w:rPr>
                <w:sz w:val="16"/>
                <w:szCs w:val="16"/>
              </w:rPr>
            </w:pPr>
            <w:r w:rsidRPr="00C66550">
              <w:rPr>
                <w:sz w:val="16"/>
                <w:szCs w:val="16"/>
              </w:rPr>
              <w:t>26</w:t>
            </w:r>
          </w:p>
        </w:tc>
        <w:tc>
          <w:tcPr>
            <w:tcW w:w="567" w:type="dxa"/>
            <w:tcBorders>
              <w:top w:val="nil"/>
            </w:tcBorders>
            <w:shd w:val="clear" w:color="auto" w:fill="BFBFBF" w:themeFill="background1" w:themeFillShade="BF"/>
          </w:tcPr>
          <w:p w:rsidR="00EC57D9" w:rsidRPr="00C66550" w:rsidRDefault="00EC57D9" w:rsidP="009B1421">
            <w:pPr>
              <w:spacing w:line="240" w:lineRule="auto"/>
              <w:jc w:val="right"/>
              <w:rPr>
                <w:sz w:val="16"/>
                <w:szCs w:val="16"/>
              </w:rPr>
            </w:pPr>
          </w:p>
        </w:tc>
        <w:tc>
          <w:tcPr>
            <w:tcW w:w="567" w:type="dxa"/>
            <w:tcBorders>
              <w:top w:val="nil"/>
            </w:tcBorders>
            <w:shd w:val="clear" w:color="auto" w:fill="BFBFBF" w:themeFill="background1" w:themeFillShade="BF"/>
          </w:tcPr>
          <w:p w:rsidR="00EC57D9" w:rsidRPr="00C66550" w:rsidRDefault="00C66550" w:rsidP="009B1421">
            <w:pPr>
              <w:spacing w:line="240" w:lineRule="auto"/>
              <w:jc w:val="right"/>
              <w:rPr>
                <w:sz w:val="16"/>
                <w:szCs w:val="16"/>
              </w:rPr>
            </w:pPr>
            <w:r w:rsidRPr="00C66550">
              <w:rPr>
                <w:rFonts w:asciiTheme="minorHAnsi" w:hAnsiTheme="minorHAnsi" w:cs="Times New Roman"/>
                <w:color w:val="181818"/>
                <w:sz w:val="16"/>
                <w:szCs w:val="16"/>
                <w:lang w:eastAsia="en-GB"/>
              </w:rPr>
              <w:t>n/a</w:t>
            </w:r>
          </w:p>
        </w:tc>
        <w:tc>
          <w:tcPr>
            <w:tcW w:w="708" w:type="dxa"/>
            <w:tcBorders>
              <w:top w:val="nil"/>
            </w:tcBorders>
            <w:shd w:val="clear" w:color="auto" w:fill="BFBFBF" w:themeFill="background1" w:themeFillShade="BF"/>
          </w:tcPr>
          <w:p w:rsidR="00EC57D9" w:rsidRPr="00C66550" w:rsidRDefault="00EC57D9" w:rsidP="009B1421">
            <w:pPr>
              <w:spacing w:line="240" w:lineRule="auto"/>
              <w:jc w:val="right"/>
              <w:rPr>
                <w:sz w:val="16"/>
                <w:szCs w:val="16"/>
              </w:rPr>
            </w:pPr>
          </w:p>
        </w:tc>
        <w:tc>
          <w:tcPr>
            <w:tcW w:w="567" w:type="dxa"/>
            <w:tcBorders>
              <w:top w:val="nil"/>
              <w:right w:val="nil"/>
            </w:tcBorders>
            <w:shd w:val="clear" w:color="auto" w:fill="BFBFBF" w:themeFill="background1" w:themeFillShade="BF"/>
            <w:hideMark/>
          </w:tcPr>
          <w:p w:rsidR="00EC57D9" w:rsidRPr="00C66550" w:rsidRDefault="00EC57D9" w:rsidP="00207F49">
            <w:pPr>
              <w:spacing w:line="240" w:lineRule="auto"/>
              <w:jc w:val="right"/>
              <w:rPr>
                <w:sz w:val="16"/>
                <w:szCs w:val="16"/>
              </w:rPr>
            </w:pPr>
            <w:r w:rsidRPr="00C66550">
              <w:rPr>
                <w:sz w:val="16"/>
                <w:szCs w:val="16"/>
              </w:rPr>
              <w:t>16</w:t>
            </w:r>
            <w:r w:rsidR="00207F49">
              <w:rPr>
                <w:sz w:val="16"/>
                <w:szCs w:val="16"/>
              </w:rPr>
              <w:t>3</w:t>
            </w:r>
          </w:p>
        </w:tc>
      </w:tr>
      <w:tr w:rsidR="00D8370F" w:rsidRPr="00C66550" w:rsidTr="00B5065A">
        <w:tc>
          <w:tcPr>
            <w:tcW w:w="2821" w:type="dxa"/>
            <w:tcBorders>
              <w:top w:val="nil"/>
              <w:left w:val="nil"/>
            </w:tcBorders>
            <w:shd w:val="clear" w:color="auto" w:fill="auto"/>
            <w:hideMark/>
          </w:tcPr>
          <w:p w:rsidR="00EC57D9" w:rsidRPr="00C66550" w:rsidRDefault="00EC57D9" w:rsidP="009B1421">
            <w:pPr>
              <w:spacing w:line="240" w:lineRule="auto"/>
              <w:rPr>
                <w:rFonts w:asciiTheme="minorHAnsi" w:hAnsiTheme="minorHAnsi" w:cs="Times New Roman"/>
                <w:b/>
                <w:color w:val="181818"/>
                <w:sz w:val="16"/>
                <w:szCs w:val="16"/>
                <w:lang w:eastAsia="en-GB"/>
              </w:rPr>
            </w:pPr>
            <w:r w:rsidRPr="00C66550">
              <w:rPr>
                <w:rFonts w:asciiTheme="minorHAnsi" w:hAnsiTheme="minorHAnsi" w:cs="Times New Roman"/>
                <w:b/>
                <w:color w:val="181818"/>
                <w:sz w:val="16"/>
                <w:szCs w:val="16"/>
                <w:lang w:eastAsia="en-GB"/>
              </w:rPr>
              <w:t>Sub-total</w:t>
            </w:r>
          </w:p>
        </w:tc>
        <w:tc>
          <w:tcPr>
            <w:tcW w:w="850"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4</w:t>
            </w:r>
            <w:r w:rsidR="000D611D" w:rsidRPr="00C66550">
              <w:rPr>
                <w:b/>
                <w:sz w:val="16"/>
                <w:szCs w:val="16"/>
              </w:rPr>
              <w:t>,</w:t>
            </w:r>
            <w:r w:rsidRPr="00C66550">
              <w:rPr>
                <w:b/>
                <w:sz w:val="16"/>
                <w:szCs w:val="16"/>
              </w:rPr>
              <w:t>375</w:t>
            </w:r>
          </w:p>
        </w:tc>
        <w:tc>
          <w:tcPr>
            <w:tcW w:w="567"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286</w:t>
            </w:r>
          </w:p>
        </w:tc>
        <w:tc>
          <w:tcPr>
            <w:tcW w:w="709"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1</w:t>
            </w:r>
            <w:r w:rsidR="00207F49">
              <w:rPr>
                <w:b/>
                <w:sz w:val="16"/>
                <w:szCs w:val="16"/>
              </w:rPr>
              <w:t>,</w:t>
            </w:r>
            <w:r w:rsidRPr="00C66550">
              <w:rPr>
                <w:b/>
                <w:sz w:val="16"/>
                <w:szCs w:val="16"/>
              </w:rPr>
              <w:t>426</w:t>
            </w:r>
          </w:p>
        </w:tc>
        <w:tc>
          <w:tcPr>
            <w:tcW w:w="567" w:type="dxa"/>
            <w:tcBorders>
              <w:top w:val="nil"/>
            </w:tcBorders>
            <w:shd w:val="clear" w:color="auto" w:fill="auto"/>
          </w:tcPr>
          <w:p w:rsidR="00EC57D9" w:rsidRPr="00C66550" w:rsidRDefault="00EC57D9" w:rsidP="009B1421">
            <w:pPr>
              <w:spacing w:line="240" w:lineRule="auto"/>
              <w:jc w:val="right"/>
              <w:rPr>
                <w:b/>
                <w:sz w:val="16"/>
                <w:szCs w:val="16"/>
              </w:rPr>
            </w:pPr>
          </w:p>
        </w:tc>
        <w:tc>
          <w:tcPr>
            <w:tcW w:w="709"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846</w:t>
            </w:r>
          </w:p>
        </w:tc>
        <w:tc>
          <w:tcPr>
            <w:tcW w:w="567"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514</w:t>
            </w:r>
          </w:p>
        </w:tc>
        <w:tc>
          <w:tcPr>
            <w:tcW w:w="567" w:type="dxa"/>
            <w:tcBorders>
              <w:top w:val="nil"/>
            </w:tcBorders>
            <w:shd w:val="clear" w:color="auto" w:fill="auto"/>
            <w:hideMark/>
          </w:tcPr>
          <w:p w:rsidR="00EC57D9" w:rsidRPr="00C66550" w:rsidRDefault="00EC57D9" w:rsidP="00207F49">
            <w:pPr>
              <w:spacing w:line="240" w:lineRule="auto"/>
              <w:jc w:val="right"/>
              <w:rPr>
                <w:b/>
                <w:sz w:val="16"/>
                <w:szCs w:val="16"/>
              </w:rPr>
            </w:pPr>
            <w:r w:rsidRPr="00C66550">
              <w:rPr>
                <w:b/>
                <w:sz w:val="16"/>
                <w:szCs w:val="16"/>
              </w:rPr>
              <w:t>4</w:t>
            </w:r>
            <w:r w:rsidR="00207F49">
              <w:rPr>
                <w:b/>
                <w:sz w:val="16"/>
                <w:szCs w:val="16"/>
              </w:rPr>
              <w:t>4</w:t>
            </w:r>
          </w:p>
        </w:tc>
        <w:tc>
          <w:tcPr>
            <w:tcW w:w="708"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826</w:t>
            </w:r>
          </w:p>
        </w:tc>
        <w:tc>
          <w:tcPr>
            <w:tcW w:w="567" w:type="dxa"/>
            <w:tcBorders>
              <w:top w:val="nil"/>
              <w:right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434</w:t>
            </w:r>
          </w:p>
        </w:tc>
      </w:tr>
      <w:tr w:rsidR="00D8370F" w:rsidRPr="00C66550" w:rsidTr="00B5065A">
        <w:tc>
          <w:tcPr>
            <w:tcW w:w="2821" w:type="dxa"/>
            <w:tcBorders>
              <w:top w:val="nil"/>
              <w:left w:val="nil"/>
            </w:tcBorders>
            <w:shd w:val="clear" w:color="auto" w:fill="auto"/>
            <w:hideMark/>
          </w:tcPr>
          <w:p w:rsidR="00EC57D9" w:rsidRPr="00C66550" w:rsidRDefault="00EC57D9" w:rsidP="009B1421">
            <w:pPr>
              <w:spacing w:line="240" w:lineRule="auto"/>
              <w:ind w:firstLineChars="24" w:firstLine="38"/>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Recovery per capita (kg/yr)</w:t>
            </w:r>
          </w:p>
        </w:tc>
        <w:tc>
          <w:tcPr>
            <w:tcW w:w="850" w:type="dxa"/>
            <w:tcBorders>
              <w:top w:val="nil"/>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0.</w:t>
            </w:r>
            <w:r w:rsidR="00207F49">
              <w:rPr>
                <w:sz w:val="16"/>
                <w:szCs w:val="16"/>
              </w:rPr>
              <w:t>20</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0.78</w:t>
            </w: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0.20</w:t>
            </w:r>
          </w:p>
        </w:tc>
        <w:tc>
          <w:tcPr>
            <w:tcW w:w="567" w:type="dxa"/>
            <w:tcBorders>
              <w:top w:val="nil"/>
            </w:tcBorders>
            <w:shd w:val="clear" w:color="auto" w:fill="auto"/>
          </w:tcPr>
          <w:p w:rsidR="00EC57D9" w:rsidRPr="00C66550" w:rsidRDefault="00EC57D9" w:rsidP="009B1421">
            <w:pPr>
              <w:spacing w:line="240" w:lineRule="auto"/>
              <w:jc w:val="right"/>
              <w:rPr>
                <w:sz w:val="16"/>
                <w:szCs w:val="16"/>
              </w:rPr>
            </w:pP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0.19</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0.31</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0.09</w:t>
            </w:r>
          </w:p>
        </w:tc>
        <w:tc>
          <w:tcPr>
            <w:tcW w:w="708"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0.15</w:t>
            </w:r>
          </w:p>
        </w:tc>
        <w:tc>
          <w:tcPr>
            <w:tcW w:w="567" w:type="dxa"/>
            <w:tcBorders>
              <w:top w:val="nil"/>
              <w:right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0.19</w:t>
            </w:r>
          </w:p>
        </w:tc>
      </w:tr>
      <w:tr w:rsidR="00D8370F" w:rsidRPr="00C66550" w:rsidTr="00B5065A">
        <w:tc>
          <w:tcPr>
            <w:tcW w:w="2821" w:type="dxa"/>
            <w:tcBorders>
              <w:top w:val="nil"/>
              <w:left w:val="nil"/>
            </w:tcBorders>
            <w:shd w:val="clear" w:color="auto" w:fill="auto"/>
            <w:hideMark/>
          </w:tcPr>
          <w:p w:rsidR="00EC57D9" w:rsidRPr="00C66550" w:rsidRDefault="00EC57D9" w:rsidP="009B1421">
            <w:pPr>
              <w:pStyle w:val="ListParagraph"/>
              <w:numPr>
                <w:ilvl w:val="0"/>
                <w:numId w:val="10"/>
              </w:numPr>
              <w:spacing w:line="240" w:lineRule="auto"/>
              <w:rPr>
                <w:rFonts w:asciiTheme="minorHAnsi" w:hAnsiTheme="minorHAnsi" w:cs="Times New Roman"/>
                <w:color w:val="181818"/>
                <w:sz w:val="16"/>
                <w:szCs w:val="16"/>
                <w:lang w:eastAsia="en-GB"/>
              </w:rPr>
            </w:pPr>
            <w:r w:rsidRPr="00C66550">
              <w:rPr>
                <w:rFonts w:asciiTheme="minorHAnsi" w:hAnsiTheme="minorHAnsi"/>
                <w:color w:val="181818"/>
                <w:sz w:val="16"/>
                <w:szCs w:val="16"/>
                <w:lang w:eastAsia="en-GB"/>
              </w:rPr>
              <w:t>Paper and cardboard</w:t>
            </w:r>
          </w:p>
        </w:tc>
        <w:tc>
          <w:tcPr>
            <w:tcW w:w="850" w:type="dxa"/>
            <w:tcBorders>
              <w:top w:val="nil"/>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3</w:t>
            </w:r>
            <w:r w:rsidR="000D611D" w:rsidRPr="00C66550">
              <w:rPr>
                <w:sz w:val="16"/>
                <w:szCs w:val="16"/>
              </w:rPr>
              <w:t>,</w:t>
            </w:r>
            <w:r w:rsidRPr="00C66550">
              <w:rPr>
                <w:sz w:val="16"/>
                <w:szCs w:val="16"/>
              </w:rPr>
              <w:t>06</w:t>
            </w:r>
            <w:r w:rsidR="00207F49">
              <w:rPr>
                <w:sz w:val="16"/>
                <w:szCs w:val="16"/>
              </w:rPr>
              <w:t>0</w:t>
            </w:r>
          </w:p>
        </w:tc>
        <w:tc>
          <w:tcPr>
            <w:tcW w:w="567" w:type="dxa"/>
            <w:tcBorders>
              <w:top w:val="nil"/>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51</w:t>
            </w: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892</w:t>
            </w:r>
          </w:p>
        </w:tc>
        <w:tc>
          <w:tcPr>
            <w:tcW w:w="567" w:type="dxa"/>
            <w:tcBorders>
              <w:top w:val="nil"/>
            </w:tcBorders>
            <w:shd w:val="clear" w:color="auto" w:fill="auto"/>
            <w:hideMark/>
          </w:tcPr>
          <w:p w:rsidR="00EC57D9" w:rsidRPr="00C66550" w:rsidRDefault="00207F49" w:rsidP="009B1421">
            <w:pPr>
              <w:spacing w:line="240" w:lineRule="auto"/>
              <w:jc w:val="right"/>
              <w:rPr>
                <w:sz w:val="16"/>
                <w:szCs w:val="16"/>
              </w:rPr>
            </w:pPr>
            <w:r>
              <w:rPr>
                <w:sz w:val="16"/>
                <w:szCs w:val="16"/>
              </w:rPr>
              <w:t>6</w:t>
            </w: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571</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211</w:t>
            </w:r>
          </w:p>
        </w:tc>
        <w:tc>
          <w:tcPr>
            <w:tcW w:w="567" w:type="dxa"/>
            <w:tcBorders>
              <w:top w:val="nil"/>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7</w:t>
            </w:r>
            <w:r w:rsidR="00207F49">
              <w:rPr>
                <w:sz w:val="16"/>
                <w:szCs w:val="16"/>
              </w:rPr>
              <w:t>7</w:t>
            </w:r>
          </w:p>
        </w:tc>
        <w:tc>
          <w:tcPr>
            <w:tcW w:w="708"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1011</w:t>
            </w:r>
          </w:p>
        </w:tc>
        <w:tc>
          <w:tcPr>
            <w:tcW w:w="567" w:type="dxa"/>
            <w:tcBorders>
              <w:top w:val="nil"/>
              <w:right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245</w:t>
            </w:r>
          </w:p>
        </w:tc>
      </w:tr>
      <w:tr w:rsidR="00D8370F" w:rsidRPr="00C66550" w:rsidTr="00B5065A">
        <w:tc>
          <w:tcPr>
            <w:tcW w:w="2821" w:type="dxa"/>
            <w:tcBorders>
              <w:top w:val="nil"/>
              <w:left w:val="nil"/>
            </w:tcBorders>
            <w:shd w:val="clear" w:color="auto" w:fill="auto"/>
            <w:hideMark/>
          </w:tcPr>
          <w:p w:rsidR="00EC57D9" w:rsidRPr="00C66550" w:rsidRDefault="00EC57D9" w:rsidP="009B1421">
            <w:pPr>
              <w:spacing w:line="240" w:lineRule="auto"/>
              <w:rPr>
                <w:rFonts w:asciiTheme="minorHAnsi" w:hAnsiTheme="minorHAnsi" w:cs="Times New Roman"/>
                <w:b/>
                <w:color w:val="181818"/>
                <w:sz w:val="16"/>
                <w:szCs w:val="16"/>
                <w:lang w:eastAsia="en-GB"/>
              </w:rPr>
            </w:pPr>
            <w:r w:rsidRPr="00C66550">
              <w:rPr>
                <w:rFonts w:asciiTheme="minorHAnsi" w:hAnsiTheme="minorHAnsi" w:cs="Times New Roman"/>
                <w:b/>
                <w:color w:val="181818"/>
                <w:sz w:val="16"/>
                <w:szCs w:val="16"/>
                <w:lang w:eastAsia="en-GB"/>
              </w:rPr>
              <w:t>Sub-total</w:t>
            </w:r>
          </w:p>
        </w:tc>
        <w:tc>
          <w:tcPr>
            <w:tcW w:w="850"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7</w:t>
            </w:r>
            <w:r w:rsidR="000D611D" w:rsidRPr="00C66550">
              <w:rPr>
                <w:b/>
                <w:sz w:val="16"/>
                <w:szCs w:val="16"/>
              </w:rPr>
              <w:t>,</w:t>
            </w:r>
            <w:r w:rsidRPr="00C66550">
              <w:rPr>
                <w:b/>
                <w:sz w:val="16"/>
                <w:szCs w:val="16"/>
              </w:rPr>
              <w:t>438</w:t>
            </w:r>
          </w:p>
        </w:tc>
        <w:tc>
          <w:tcPr>
            <w:tcW w:w="567"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337</w:t>
            </w:r>
          </w:p>
        </w:tc>
        <w:tc>
          <w:tcPr>
            <w:tcW w:w="709"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2</w:t>
            </w:r>
            <w:r w:rsidR="000D611D" w:rsidRPr="00C66550">
              <w:rPr>
                <w:b/>
                <w:sz w:val="16"/>
                <w:szCs w:val="16"/>
              </w:rPr>
              <w:t>,</w:t>
            </w:r>
            <w:r w:rsidRPr="00C66550">
              <w:rPr>
                <w:b/>
                <w:sz w:val="16"/>
                <w:szCs w:val="16"/>
              </w:rPr>
              <w:t>318</w:t>
            </w:r>
          </w:p>
        </w:tc>
        <w:tc>
          <w:tcPr>
            <w:tcW w:w="567" w:type="dxa"/>
            <w:tcBorders>
              <w:top w:val="nil"/>
            </w:tcBorders>
            <w:shd w:val="clear" w:color="auto" w:fill="auto"/>
            <w:hideMark/>
          </w:tcPr>
          <w:p w:rsidR="00EC57D9" w:rsidRPr="00C66550" w:rsidRDefault="00207F49" w:rsidP="009B1421">
            <w:pPr>
              <w:spacing w:line="240" w:lineRule="auto"/>
              <w:jc w:val="right"/>
              <w:rPr>
                <w:b/>
                <w:sz w:val="16"/>
                <w:szCs w:val="16"/>
              </w:rPr>
            </w:pPr>
            <w:r>
              <w:rPr>
                <w:b/>
                <w:sz w:val="16"/>
                <w:szCs w:val="16"/>
              </w:rPr>
              <w:t>6</w:t>
            </w:r>
          </w:p>
        </w:tc>
        <w:tc>
          <w:tcPr>
            <w:tcW w:w="709"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1</w:t>
            </w:r>
            <w:r w:rsidR="000D611D" w:rsidRPr="00C66550">
              <w:rPr>
                <w:b/>
                <w:sz w:val="16"/>
                <w:szCs w:val="16"/>
              </w:rPr>
              <w:t>,</w:t>
            </w:r>
            <w:r w:rsidRPr="00C66550">
              <w:rPr>
                <w:b/>
                <w:sz w:val="16"/>
                <w:szCs w:val="16"/>
              </w:rPr>
              <w:t>416</w:t>
            </w:r>
          </w:p>
        </w:tc>
        <w:tc>
          <w:tcPr>
            <w:tcW w:w="567"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726</w:t>
            </w:r>
          </w:p>
        </w:tc>
        <w:tc>
          <w:tcPr>
            <w:tcW w:w="567"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121</w:t>
            </w:r>
          </w:p>
        </w:tc>
        <w:tc>
          <w:tcPr>
            <w:tcW w:w="708" w:type="dxa"/>
            <w:tcBorders>
              <w:top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1</w:t>
            </w:r>
            <w:r w:rsidR="000D611D" w:rsidRPr="00C66550">
              <w:rPr>
                <w:b/>
                <w:sz w:val="16"/>
                <w:szCs w:val="16"/>
              </w:rPr>
              <w:t>,</w:t>
            </w:r>
            <w:r w:rsidRPr="00C66550">
              <w:rPr>
                <w:b/>
                <w:sz w:val="16"/>
                <w:szCs w:val="16"/>
              </w:rPr>
              <w:t>837</w:t>
            </w:r>
          </w:p>
        </w:tc>
        <w:tc>
          <w:tcPr>
            <w:tcW w:w="567" w:type="dxa"/>
            <w:tcBorders>
              <w:top w:val="nil"/>
              <w:right w:val="nil"/>
            </w:tcBorders>
            <w:shd w:val="clear" w:color="auto" w:fill="auto"/>
            <w:hideMark/>
          </w:tcPr>
          <w:p w:rsidR="00EC57D9" w:rsidRPr="00C66550" w:rsidRDefault="00EC57D9" w:rsidP="009B1421">
            <w:pPr>
              <w:spacing w:line="240" w:lineRule="auto"/>
              <w:jc w:val="right"/>
              <w:rPr>
                <w:b/>
                <w:sz w:val="16"/>
                <w:szCs w:val="16"/>
              </w:rPr>
            </w:pPr>
            <w:r w:rsidRPr="00C66550">
              <w:rPr>
                <w:b/>
                <w:sz w:val="16"/>
                <w:szCs w:val="16"/>
              </w:rPr>
              <w:t>678</w:t>
            </w:r>
          </w:p>
        </w:tc>
      </w:tr>
      <w:tr w:rsidR="00D8370F" w:rsidRPr="00C66550" w:rsidTr="00B5065A">
        <w:tc>
          <w:tcPr>
            <w:tcW w:w="2821" w:type="dxa"/>
            <w:tcBorders>
              <w:top w:val="nil"/>
              <w:left w:val="nil"/>
            </w:tcBorders>
            <w:shd w:val="clear" w:color="auto" w:fill="auto"/>
            <w:hideMark/>
          </w:tcPr>
          <w:p w:rsidR="00EC57D9" w:rsidRPr="00C66550" w:rsidRDefault="00EC57D9" w:rsidP="009B1421">
            <w:pPr>
              <w:spacing w:line="240" w:lineRule="auto"/>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Recovery per capita (kg/yr)</w:t>
            </w:r>
          </w:p>
        </w:tc>
        <w:tc>
          <w:tcPr>
            <w:tcW w:w="850"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0.33</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0.92</w:t>
            </w: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0.32</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0.03</w:t>
            </w:r>
          </w:p>
        </w:tc>
        <w:tc>
          <w:tcPr>
            <w:tcW w:w="709"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0.32</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0.44</w:t>
            </w:r>
          </w:p>
        </w:tc>
        <w:tc>
          <w:tcPr>
            <w:tcW w:w="567"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0.24</w:t>
            </w:r>
          </w:p>
        </w:tc>
        <w:tc>
          <w:tcPr>
            <w:tcW w:w="708" w:type="dxa"/>
            <w:tcBorders>
              <w:top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0.33</w:t>
            </w:r>
          </w:p>
        </w:tc>
        <w:tc>
          <w:tcPr>
            <w:tcW w:w="567" w:type="dxa"/>
            <w:tcBorders>
              <w:top w:val="nil"/>
              <w:right w:val="nil"/>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0.29</w:t>
            </w:r>
          </w:p>
        </w:tc>
      </w:tr>
      <w:tr w:rsidR="00D8370F" w:rsidRPr="00C66550" w:rsidTr="00B5065A">
        <w:tc>
          <w:tcPr>
            <w:tcW w:w="2821" w:type="dxa"/>
            <w:tcBorders>
              <w:top w:val="nil"/>
              <w:left w:val="nil"/>
              <w:bottom w:val="single" w:sz="8" w:space="0" w:color="7F7F7F"/>
            </w:tcBorders>
            <w:shd w:val="clear" w:color="auto" w:fill="auto"/>
            <w:hideMark/>
          </w:tcPr>
          <w:p w:rsidR="00EC57D9" w:rsidRPr="00C66550" w:rsidRDefault="00EC57D9" w:rsidP="009B1421">
            <w:pPr>
              <w:pStyle w:val="ListParagraph"/>
              <w:numPr>
                <w:ilvl w:val="0"/>
                <w:numId w:val="10"/>
              </w:numPr>
              <w:spacing w:line="240" w:lineRule="auto"/>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Biosolids</w:t>
            </w:r>
          </w:p>
        </w:tc>
        <w:tc>
          <w:tcPr>
            <w:tcW w:w="850" w:type="dxa"/>
            <w:tcBorders>
              <w:top w:val="nil"/>
              <w:bottom w:val="single" w:sz="8" w:space="0" w:color="7F7F7F"/>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1</w:t>
            </w:r>
            <w:r w:rsidR="000D611D" w:rsidRPr="00C66550">
              <w:rPr>
                <w:sz w:val="16"/>
                <w:szCs w:val="16"/>
              </w:rPr>
              <w:t>,</w:t>
            </w:r>
            <w:r w:rsidRPr="00C66550">
              <w:rPr>
                <w:sz w:val="16"/>
                <w:szCs w:val="16"/>
              </w:rPr>
              <w:t>026</w:t>
            </w:r>
          </w:p>
        </w:tc>
        <w:tc>
          <w:tcPr>
            <w:tcW w:w="567" w:type="dxa"/>
            <w:tcBorders>
              <w:top w:val="nil"/>
              <w:bottom w:val="single" w:sz="8" w:space="0" w:color="7F7F7F"/>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41</w:t>
            </w:r>
          </w:p>
        </w:tc>
        <w:tc>
          <w:tcPr>
            <w:tcW w:w="709" w:type="dxa"/>
            <w:tcBorders>
              <w:top w:val="nil"/>
              <w:bottom w:val="single" w:sz="8" w:space="0" w:color="7F7F7F"/>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437</w:t>
            </w:r>
          </w:p>
        </w:tc>
        <w:tc>
          <w:tcPr>
            <w:tcW w:w="567" w:type="dxa"/>
            <w:tcBorders>
              <w:top w:val="nil"/>
              <w:bottom w:val="single" w:sz="8" w:space="0" w:color="7F7F7F"/>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4</w:t>
            </w:r>
          </w:p>
        </w:tc>
        <w:tc>
          <w:tcPr>
            <w:tcW w:w="709" w:type="dxa"/>
            <w:tcBorders>
              <w:top w:val="nil"/>
              <w:bottom w:val="single" w:sz="8" w:space="0" w:color="7F7F7F"/>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271</w:t>
            </w:r>
          </w:p>
        </w:tc>
        <w:tc>
          <w:tcPr>
            <w:tcW w:w="567" w:type="dxa"/>
            <w:tcBorders>
              <w:top w:val="nil"/>
              <w:bottom w:val="single" w:sz="8" w:space="0" w:color="7F7F7F"/>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70</w:t>
            </w:r>
          </w:p>
        </w:tc>
        <w:tc>
          <w:tcPr>
            <w:tcW w:w="567" w:type="dxa"/>
            <w:tcBorders>
              <w:top w:val="nil"/>
              <w:bottom w:val="single" w:sz="8" w:space="0" w:color="7F7F7F"/>
            </w:tcBorders>
            <w:shd w:val="clear" w:color="auto" w:fill="auto"/>
            <w:hideMark/>
          </w:tcPr>
          <w:p w:rsidR="00EC57D9" w:rsidRPr="00C66550" w:rsidRDefault="00EC57D9" w:rsidP="009B1421">
            <w:pPr>
              <w:spacing w:line="240" w:lineRule="auto"/>
              <w:jc w:val="right"/>
              <w:rPr>
                <w:sz w:val="16"/>
                <w:szCs w:val="16"/>
              </w:rPr>
            </w:pPr>
          </w:p>
        </w:tc>
        <w:tc>
          <w:tcPr>
            <w:tcW w:w="708" w:type="dxa"/>
            <w:tcBorders>
              <w:top w:val="nil"/>
              <w:bottom w:val="single" w:sz="8" w:space="0" w:color="7F7F7F"/>
            </w:tcBorders>
            <w:shd w:val="clear" w:color="auto" w:fill="auto"/>
            <w:hideMark/>
          </w:tcPr>
          <w:p w:rsidR="00EC57D9" w:rsidRPr="00C66550" w:rsidRDefault="00EC57D9" w:rsidP="009B1421">
            <w:pPr>
              <w:spacing w:line="240" w:lineRule="auto"/>
              <w:jc w:val="right"/>
              <w:rPr>
                <w:sz w:val="16"/>
                <w:szCs w:val="16"/>
              </w:rPr>
            </w:pPr>
            <w:r w:rsidRPr="00C66550">
              <w:rPr>
                <w:sz w:val="16"/>
                <w:szCs w:val="16"/>
              </w:rPr>
              <w:t>109</w:t>
            </w:r>
          </w:p>
        </w:tc>
        <w:tc>
          <w:tcPr>
            <w:tcW w:w="567" w:type="dxa"/>
            <w:tcBorders>
              <w:top w:val="nil"/>
              <w:bottom w:val="single" w:sz="8" w:space="0" w:color="7F7F7F"/>
              <w:right w:val="nil"/>
            </w:tcBorders>
            <w:shd w:val="clear" w:color="auto" w:fill="auto"/>
            <w:hideMark/>
          </w:tcPr>
          <w:p w:rsidR="00EC57D9" w:rsidRPr="00C66550" w:rsidRDefault="00EC57D9" w:rsidP="00207F49">
            <w:pPr>
              <w:spacing w:line="240" w:lineRule="auto"/>
              <w:jc w:val="right"/>
              <w:rPr>
                <w:sz w:val="16"/>
                <w:szCs w:val="16"/>
              </w:rPr>
            </w:pPr>
            <w:r w:rsidRPr="00C66550">
              <w:rPr>
                <w:sz w:val="16"/>
                <w:szCs w:val="16"/>
              </w:rPr>
              <w:t>9</w:t>
            </w:r>
            <w:r w:rsidR="00207F49">
              <w:rPr>
                <w:sz w:val="16"/>
                <w:szCs w:val="16"/>
              </w:rPr>
              <w:t>4</w:t>
            </w:r>
          </w:p>
        </w:tc>
      </w:tr>
      <w:tr w:rsidR="009A57FC" w:rsidRPr="00C66550" w:rsidTr="00D8370F">
        <w:tc>
          <w:tcPr>
            <w:tcW w:w="8632" w:type="dxa"/>
            <w:gridSpan w:val="10"/>
            <w:tcBorders>
              <w:top w:val="single" w:sz="8" w:space="0" w:color="7F7F7F"/>
              <w:left w:val="nil"/>
              <w:right w:val="nil"/>
            </w:tcBorders>
            <w:shd w:val="clear" w:color="auto" w:fill="auto"/>
            <w:hideMark/>
          </w:tcPr>
          <w:p w:rsidR="009A57FC" w:rsidRPr="00C66550" w:rsidRDefault="009A57FC" w:rsidP="009B1421">
            <w:pPr>
              <w:spacing w:line="240" w:lineRule="auto"/>
              <w:jc w:val="center"/>
              <w:rPr>
                <w:rFonts w:asciiTheme="minorHAnsi" w:hAnsiTheme="minorHAnsi" w:cs="Times New Roman"/>
                <w:b/>
                <w:bCs/>
                <w:color w:val="181818"/>
                <w:sz w:val="16"/>
                <w:szCs w:val="16"/>
                <w:lang w:eastAsia="en-GB"/>
              </w:rPr>
            </w:pPr>
            <w:r w:rsidRPr="00C66550">
              <w:rPr>
                <w:rFonts w:asciiTheme="minorHAnsi" w:hAnsiTheme="minorHAnsi" w:cs="Times New Roman"/>
                <w:b/>
                <w:bCs/>
                <w:color w:val="181818"/>
                <w:sz w:val="16"/>
                <w:szCs w:val="16"/>
                <w:lang w:eastAsia="en-GB"/>
              </w:rPr>
              <w:t xml:space="preserve">Biogas energy recovery from landfill </w:t>
            </w:r>
            <w:r w:rsidRPr="00C66550">
              <w:rPr>
                <w:rFonts w:asciiTheme="minorHAnsi" w:hAnsiTheme="minorHAnsi" w:cs="Times New Roman"/>
                <w:bCs/>
                <w:i/>
                <w:color w:val="181818"/>
                <w:sz w:val="16"/>
                <w:szCs w:val="16"/>
                <w:lang w:eastAsia="en-GB"/>
              </w:rPr>
              <w:t>(expressed as thousands of tonnes of organic material degraded in landfill)</w:t>
            </w:r>
          </w:p>
        </w:tc>
      </w:tr>
      <w:tr w:rsidR="00D8370F" w:rsidRPr="00C66550" w:rsidTr="00B5065A">
        <w:tc>
          <w:tcPr>
            <w:tcW w:w="2821" w:type="dxa"/>
            <w:tcBorders>
              <w:top w:val="nil"/>
              <w:left w:val="nil"/>
            </w:tcBorders>
            <w:shd w:val="clear" w:color="auto" w:fill="auto"/>
            <w:hideMark/>
          </w:tcPr>
          <w:p w:rsidR="000D611D" w:rsidRPr="00C66550" w:rsidRDefault="000D611D" w:rsidP="009B1421">
            <w:pPr>
              <w:pStyle w:val="ListParagraph"/>
              <w:numPr>
                <w:ilvl w:val="0"/>
                <w:numId w:val="10"/>
              </w:numPr>
              <w:spacing w:line="240" w:lineRule="auto"/>
              <w:rPr>
                <w:rFonts w:asciiTheme="minorHAnsi" w:hAnsiTheme="minorHAnsi" w:cs="Times New Roman"/>
                <w:color w:val="0C0C0C" w:themeColor="text1"/>
                <w:sz w:val="16"/>
                <w:szCs w:val="16"/>
                <w:lang w:eastAsia="en-GB"/>
              </w:rPr>
            </w:pPr>
            <w:r w:rsidRPr="00C66550">
              <w:rPr>
                <w:rFonts w:asciiTheme="minorHAnsi" w:hAnsiTheme="minorHAnsi"/>
                <w:color w:val="0C0C0C" w:themeColor="text1"/>
                <w:sz w:val="16"/>
                <w:szCs w:val="16"/>
                <w:lang w:eastAsia="en-GB"/>
              </w:rPr>
              <w:t>Food</w:t>
            </w:r>
          </w:p>
        </w:tc>
        <w:tc>
          <w:tcPr>
            <w:tcW w:w="850"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766</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1</w:t>
            </w:r>
            <w:r w:rsidR="00207F49">
              <w:rPr>
                <w:sz w:val="16"/>
                <w:szCs w:val="16"/>
              </w:rPr>
              <w:t>5</w:t>
            </w:r>
          </w:p>
        </w:tc>
        <w:tc>
          <w:tcPr>
            <w:tcW w:w="709"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288</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8</w:t>
            </w:r>
          </w:p>
        </w:tc>
        <w:tc>
          <w:tcPr>
            <w:tcW w:w="709"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8</w:t>
            </w:r>
            <w:r w:rsidR="00207F49">
              <w:rPr>
                <w:sz w:val="16"/>
                <w:szCs w:val="16"/>
              </w:rPr>
              <w:t>7</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47</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22</w:t>
            </w:r>
          </w:p>
        </w:tc>
        <w:tc>
          <w:tcPr>
            <w:tcW w:w="708"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212</w:t>
            </w:r>
          </w:p>
        </w:tc>
        <w:tc>
          <w:tcPr>
            <w:tcW w:w="567" w:type="dxa"/>
            <w:tcBorders>
              <w:top w:val="nil"/>
              <w:right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87</w:t>
            </w:r>
          </w:p>
        </w:tc>
      </w:tr>
      <w:tr w:rsidR="00D8370F" w:rsidRPr="00C66550" w:rsidTr="00B5065A">
        <w:tc>
          <w:tcPr>
            <w:tcW w:w="2821" w:type="dxa"/>
            <w:tcBorders>
              <w:top w:val="nil"/>
              <w:left w:val="nil"/>
            </w:tcBorders>
            <w:shd w:val="clear" w:color="auto" w:fill="auto"/>
            <w:hideMark/>
          </w:tcPr>
          <w:p w:rsidR="000D611D" w:rsidRPr="00C66550" w:rsidRDefault="000D611D" w:rsidP="009B1421">
            <w:pPr>
              <w:pStyle w:val="ListParagraph"/>
              <w:numPr>
                <w:ilvl w:val="0"/>
                <w:numId w:val="10"/>
              </w:numPr>
              <w:spacing w:line="240" w:lineRule="auto"/>
              <w:rPr>
                <w:rFonts w:asciiTheme="minorHAnsi" w:hAnsiTheme="minorHAnsi" w:cs="Times New Roman"/>
                <w:color w:val="0C0C0C" w:themeColor="text1"/>
                <w:sz w:val="16"/>
                <w:szCs w:val="16"/>
                <w:lang w:eastAsia="en-GB"/>
              </w:rPr>
            </w:pPr>
            <w:r w:rsidRPr="00C66550">
              <w:rPr>
                <w:rFonts w:asciiTheme="minorHAnsi" w:hAnsiTheme="minorHAnsi"/>
                <w:color w:val="0C0C0C" w:themeColor="text1"/>
                <w:sz w:val="16"/>
                <w:szCs w:val="16"/>
                <w:lang w:eastAsia="en-GB"/>
              </w:rPr>
              <w:t>Garden</w:t>
            </w:r>
          </w:p>
        </w:tc>
        <w:tc>
          <w:tcPr>
            <w:tcW w:w="850"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184</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3</w:t>
            </w:r>
          </w:p>
        </w:tc>
        <w:tc>
          <w:tcPr>
            <w:tcW w:w="709"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8</w:t>
            </w:r>
            <w:r w:rsidR="00207F49">
              <w:rPr>
                <w:sz w:val="16"/>
                <w:szCs w:val="16"/>
              </w:rPr>
              <w:t>3</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2</w:t>
            </w:r>
          </w:p>
        </w:tc>
        <w:tc>
          <w:tcPr>
            <w:tcW w:w="709"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2</w:t>
            </w:r>
            <w:r w:rsidR="00207F49">
              <w:rPr>
                <w:sz w:val="16"/>
                <w:szCs w:val="16"/>
              </w:rPr>
              <w:t>3</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12</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5</w:t>
            </w:r>
          </w:p>
        </w:tc>
        <w:tc>
          <w:tcPr>
            <w:tcW w:w="708"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3</w:t>
            </w:r>
            <w:r w:rsidR="00207F49">
              <w:rPr>
                <w:sz w:val="16"/>
                <w:szCs w:val="16"/>
              </w:rPr>
              <w:t>3</w:t>
            </w:r>
          </w:p>
        </w:tc>
        <w:tc>
          <w:tcPr>
            <w:tcW w:w="567" w:type="dxa"/>
            <w:tcBorders>
              <w:top w:val="nil"/>
              <w:right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23</w:t>
            </w:r>
          </w:p>
        </w:tc>
      </w:tr>
      <w:tr w:rsidR="00D8370F" w:rsidRPr="00C66550" w:rsidTr="00B5065A">
        <w:tc>
          <w:tcPr>
            <w:tcW w:w="2821" w:type="dxa"/>
            <w:tcBorders>
              <w:top w:val="nil"/>
              <w:left w:val="nil"/>
            </w:tcBorders>
            <w:shd w:val="clear" w:color="auto" w:fill="auto"/>
            <w:hideMark/>
          </w:tcPr>
          <w:p w:rsidR="000D611D" w:rsidRPr="00C66550" w:rsidRDefault="000D611D" w:rsidP="009B1421">
            <w:pPr>
              <w:pStyle w:val="ListParagraph"/>
              <w:numPr>
                <w:ilvl w:val="0"/>
                <w:numId w:val="10"/>
              </w:numPr>
              <w:spacing w:line="240" w:lineRule="auto"/>
              <w:rPr>
                <w:rFonts w:asciiTheme="minorHAnsi" w:hAnsiTheme="minorHAnsi" w:cs="Times New Roman"/>
                <w:color w:val="0C0C0C" w:themeColor="text1"/>
                <w:sz w:val="16"/>
                <w:szCs w:val="16"/>
                <w:lang w:eastAsia="en-GB"/>
              </w:rPr>
            </w:pPr>
            <w:r w:rsidRPr="00C66550">
              <w:rPr>
                <w:rFonts w:asciiTheme="minorHAnsi" w:hAnsiTheme="minorHAnsi"/>
                <w:color w:val="0C0C0C" w:themeColor="text1"/>
                <w:sz w:val="16"/>
                <w:szCs w:val="16"/>
                <w:lang w:eastAsia="en-GB"/>
              </w:rPr>
              <w:t>Timber</w:t>
            </w:r>
          </w:p>
        </w:tc>
        <w:tc>
          <w:tcPr>
            <w:tcW w:w="850"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78</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1</w:t>
            </w:r>
          </w:p>
        </w:tc>
        <w:tc>
          <w:tcPr>
            <w:tcW w:w="709"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38</w:t>
            </w:r>
          </w:p>
        </w:tc>
        <w:tc>
          <w:tcPr>
            <w:tcW w:w="567"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0.6</w:t>
            </w:r>
          </w:p>
        </w:tc>
        <w:tc>
          <w:tcPr>
            <w:tcW w:w="709"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6</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4</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1</w:t>
            </w:r>
          </w:p>
        </w:tc>
        <w:tc>
          <w:tcPr>
            <w:tcW w:w="708"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16</w:t>
            </w:r>
          </w:p>
        </w:tc>
        <w:tc>
          <w:tcPr>
            <w:tcW w:w="567" w:type="dxa"/>
            <w:tcBorders>
              <w:top w:val="nil"/>
              <w:right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1</w:t>
            </w:r>
            <w:r w:rsidR="00207F49">
              <w:rPr>
                <w:sz w:val="16"/>
                <w:szCs w:val="16"/>
              </w:rPr>
              <w:t>1</w:t>
            </w:r>
          </w:p>
        </w:tc>
      </w:tr>
      <w:tr w:rsidR="00D8370F" w:rsidRPr="00C66550" w:rsidTr="00B5065A">
        <w:tc>
          <w:tcPr>
            <w:tcW w:w="2821" w:type="dxa"/>
            <w:tcBorders>
              <w:top w:val="nil"/>
              <w:left w:val="nil"/>
            </w:tcBorders>
            <w:shd w:val="clear" w:color="auto" w:fill="auto"/>
            <w:hideMark/>
          </w:tcPr>
          <w:p w:rsidR="000D611D" w:rsidRPr="00C66550" w:rsidRDefault="000D611D" w:rsidP="009B1421">
            <w:pPr>
              <w:pStyle w:val="ListParagraph"/>
              <w:numPr>
                <w:ilvl w:val="0"/>
                <w:numId w:val="10"/>
              </w:numPr>
              <w:spacing w:line="240" w:lineRule="auto"/>
              <w:rPr>
                <w:rFonts w:asciiTheme="minorHAnsi" w:hAnsiTheme="minorHAnsi" w:cs="Times New Roman"/>
                <w:color w:val="0C0C0C" w:themeColor="text1"/>
                <w:sz w:val="16"/>
                <w:szCs w:val="16"/>
                <w:lang w:eastAsia="en-GB"/>
              </w:rPr>
            </w:pPr>
            <w:r w:rsidRPr="00C66550">
              <w:rPr>
                <w:rFonts w:asciiTheme="minorHAnsi" w:hAnsiTheme="minorHAnsi"/>
                <w:color w:val="0C0C0C" w:themeColor="text1"/>
                <w:sz w:val="16"/>
                <w:szCs w:val="16"/>
                <w:lang w:eastAsia="en-GB"/>
              </w:rPr>
              <w:t>Other organics</w:t>
            </w:r>
          </w:p>
        </w:tc>
        <w:tc>
          <w:tcPr>
            <w:tcW w:w="850"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21</w:t>
            </w:r>
          </w:p>
        </w:tc>
        <w:tc>
          <w:tcPr>
            <w:tcW w:w="567"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0.6</w:t>
            </w:r>
          </w:p>
        </w:tc>
        <w:tc>
          <w:tcPr>
            <w:tcW w:w="709" w:type="dxa"/>
            <w:tcBorders>
              <w:top w:val="nil"/>
            </w:tcBorders>
            <w:shd w:val="clear" w:color="auto" w:fill="auto"/>
            <w:hideMark/>
          </w:tcPr>
          <w:p w:rsidR="000D611D" w:rsidRPr="00C66550" w:rsidRDefault="00207F49" w:rsidP="00207F49">
            <w:pPr>
              <w:spacing w:line="240" w:lineRule="auto"/>
              <w:jc w:val="right"/>
              <w:rPr>
                <w:sz w:val="16"/>
                <w:szCs w:val="16"/>
              </w:rPr>
            </w:pPr>
            <w:r>
              <w:rPr>
                <w:sz w:val="16"/>
                <w:szCs w:val="16"/>
              </w:rPr>
              <w:t>7</w:t>
            </w:r>
          </w:p>
        </w:tc>
        <w:tc>
          <w:tcPr>
            <w:tcW w:w="567"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0.5</w:t>
            </w:r>
          </w:p>
        </w:tc>
        <w:tc>
          <w:tcPr>
            <w:tcW w:w="709" w:type="dxa"/>
            <w:tcBorders>
              <w:top w:val="nil"/>
            </w:tcBorders>
            <w:shd w:val="clear" w:color="auto" w:fill="auto"/>
            <w:hideMark/>
          </w:tcPr>
          <w:p w:rsidR="000D611D" w:rsidRPr="00C66550" w:rsidRDefault="00207F49" w:rsidP="009B1421">
            <w:pPr>
              <w:spacing w:line="240" w:lineRule="auto"/>
              <w:jc w:val="right"/>
              <w:rPr>
                <w:sz w:val="16"/>
                <w:szCs w:val="16"/>
              </w:rPr>
            </w:pPr>
            <w:r>
              <w:rPr>
                <w:sz w:val="16"/>
                <w:szCs w:val="16"/>
              </w:rPr>
              <w:t>5</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2</w:t>
            </w:r>
          </w:p>
        </w:tc>
        <w:tc>
          <w:tcPr>
            <w:tcW w:w="567"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1</w:t>
            </w:r>
          </w:p>
        </w:tc>
        <w:tc>
          <w:tcPr>
            <w:tcW w:w="708"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0.7</w:t>
            </w:r>
          </w:p>
        </w:tc>
        <w:tc>
          <w:tcPr>
            <w:tcW w:w="567" w:type="dxa"/>
            <w:tcBorders>
              <w:top w:val="nil"/>
              <w:right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4</w:t>
            </w:r>
          </w:p>
        </w:tc>
      </w:tr>
      <w:tr w:rsidR="00D8370F" w:rsidRPr="00C66550" w:rsidTr="00B5065A">
        <w:tc>
          <w:tcPr>
            <w:tcW w:w="2821" w:type="dxa"/>
            <w:tcBorders>
              <w:top w:val="nil"/>
              <w:left w:val="nil"/>
            </w:tcBorders>
            <w:shd w:val="clear" w:color="auto" w:fill="auto"/>
            <w:hideMark/>
          </w:tcPr>
          <w:p w:rsidR="000D611D" w:rsidRPr="00C66550" w:rsidRDefault="000D611D" w:rsidP="009B1421">
            <w:pPr>
              <w:pStyle w:val="ListParagraph"/>
              <w:numPr>
                <w:ilvl w:val="0"/>
                <w:numId w:val="10"/>
              </w:numPr>
              <w:spacing w:line="240" w:lineRule="auto"/>
              <w:rPr>
                <w:rFonts w:asciiTheme="minorHAnsi" w:hAnsiTheme="minorHAnsi" w:cs="Times New Roman"/>
                <w:color w:val="0C0C0C" w:themeColor="text1"/>
                <w:sz w:val="16"/>
                <w:szCs w:val="16"/>
                <w:lang w:eastAsia="en-GB"/>
              </w:rPr>
            </w:pPr>
            <w:r w:rsidRPr="00C66550">
              <w:rPr>
                <w:rFonts w:asciiTheme="minorHAnsi" w:hAnsiTheme="minorHAnsi"/>
                <w:color w:val="0C0C0C" w:themeColor="text1"/>
                <w:sz w:val="16"/>
                <w:szCs w:val="16"/>
                <w:lang w:eastAsia="en-GB"/>
              </w:rPr>
              <w:t>Biosolids</w:t>
            </w:r>
          </w:p>
        </w:tc>
        <w:tc>
          <w:tcPr>
            <w:tcW w:w="850" w:type="dxa"/>
            <w:tcBorders>
              <w:top w:val="nil"/>
            </w:tcBorders>
            <w:shd w:val="clear" w:color="auto" w:fill="auto"/>
            <w:hideMark/>
          </w:tcPr>
          <w:p w:rsidR="000D611D" w:rsidRPr="00C66550" w:rsidRDefault="000D611D" w:rsidP="00207F49">
            <w:pPr>
              <w:spacing w:line="240" w:lineRule="auto"/>
              <w:jc w:val="right"/>
              <w:rPr>
                <w:sz w:val="16"/>
                <w:szCs w:val="16"/>
              </w:rPr>
            </w:pPr>
            <w:r w:rsidRPr="00C66550">
              <w:rPr>
                <w:sz w:val="16"/>
                <w:szCs w:val="16"/>
              </w:rPr>
              <w:t>7</w:t>
            </w:r>
          </w:p>
        </w:tc>
        <w:tc>
          <w:tcPr>
            <w:tcW w:w="567"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0.2</w:t>
            </w:r>
          </w:p>
        </w:tc>
        <w:tc>
          <w:tcPr>
            <w:tcW w:w="709" w:type="dxa"/>
            <w:tcBorders>
              <w:top w:val="nil"/>
            </w:tcBorders>
            <w:shd w:val="clear" w:color="auto" w:fill="auto"/>
            <w:hideMark/>
          </w:tcPr>
          <w:p w:rsidR="000D611D" w:rsidRPr="00C66550" w:rsidRDefault="009D0A51" w:rsidP="009B1421">
            <w:pPr>
              <w:spacing w:line="240" w:lineRule="auto"/>
              <w:jc w:val="right"/>
              <w:rPr>
                <w:sz w:val="16"/>
                <w:szCs w:val="16"/>
              </w:rPr>
            </w:pPr>
            <w:r>
              <w:rPr>
                <w:sz w:val="16"/>
                <w:szCs w:val="16"/>
              </w:rPr>
              <w:t>5</w:t>
            </w:r>
          </w:p>
        </w:tc>
        <w:tc>
          <w:tcPr>
            <w:tcW w:w="567"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0.1</w:t>
            </w:r>
          </w:p>
        </w:tc>
        <w:tc>
          <w:tcPr>
            <w:tcW w:w="709"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0.6</w:t>
            </w:r>
          </w:p>
        </w:tc>
        <w:tc>
          <w:tcPr>
            <w:tcW w:w="567"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0.5</w:t>
            </w:r>
          </w:p>
        </w:tc>
        <w:tc>
          <w:tcPr>
            <w:tcW w:w="567"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0.2</w:t>
            </w:r>
          </w:p>
        </w:tc>
        <w:tc>
          <w:tcPr>
            <w:tcW w:w="708"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0.0</w:t>
            </w:r>
          </w:p>
        </w:tc>
        <w:tc>
          <w:tcPr>
            <w:tcW w:w="567" w:type="dxa"/>
            <w:tcBorders>
              <w:top w:val="nil"/>
              <w:right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1.0</w:t>
            </w:r>
          </w:p>
        </w:tc>
      </w:tr>
      <w:tr w:rsidR="00D8370F" w:rsidRPr="00C66550" w:rsidTr="00B5065A">
        <w:tc>
          <w:tcPr>
            <w:tcW w:w="2821" w:type="dxa"/>
            <w:tcBorders>
              <w:top w:val="nil"/>
              <w:left w:val="nil"/>
            </w:tcBorders>
            <w:shd w:val="clear" w:color="auto" w:fill="auto"/>
            <w:hideMark/>
          </w:tcPr>
          <w:p w:rsidR="000D611D" w:rsidRPr="00C66550" w:rsidRDefault="000D611D" w:rsidP="009B1421">
            <w:pPr>
              <w:pStyle w:val="ListParagraph"/>
              <w:numPr>
                <w:ilvl w:val="0"/>
                <w:numId w:val="10"/>
              </w:numPr>
              <w:spacing w:line="240" w:lineRule="auto"/>
              <w:rPr>
                <w:rFonts w:asciiTheme="minorHAnsi" w:hAnsiTheme="minorHAnsi" w:cs="Times New Roman"/>
                <w:color w:val="0C0C0C" w:themeColor="text1"/>
                <w:sz w:val="16"/>
                <w:szCs w:val="16"/>
                <w:lang w:eastAsia="en-GB"/>
              </w:rPr>
            </w:pPr>
            <w:r w:rsidRPr="00C66550">
              <w:rPr>
                <w:rFonts w:asciiTheme="minorHAnsi" w:hAnsiTheme="minorHAnsi" w:cs="Times New Roman"/>
                <w:color w:val="0C0C0C" w:themeColor="text1"/>
                <w:sz w:val="16"/>
                <w:szCs w:val="16"/>
                <w:lang w:eastAsia="en-GB"/>
              </w:rPr>
              <w:t>Paper products</w:t>
            </w:r>
          </w:p>
        </w:tc>
        <w:tc>
          <w:tcPr>
            <w:tcW w:w="850" w:type="dxa"/>
            <w:tcBorders>
              <w:top w:val="nil"/>
            </w:tcBorders>
            <w:shd w:val="clear" w:color="auto" w:fill="auto"/>
            <w:hideMark/>
          </w:tcPr>
          <w:p w:rsidR="000D611D" w:rsidRPr="00C66550" w:rsidRDefault="000D611D" w:rsidP="009B1421">
            <w:pPr>
              <w:spacing w:line="240" w:lineRule="auto"/>
              <w:jc w:val="right"/>
              <w:rPr>
                <w:sz w:val="16"/>
                <w:szCs w:val="16"/>
              </w:rPr>
            </w:pPr>
            <w:r w:rsidRPr="00C66550">
              <w:rPr>
                <w:sz w:val="16"/>
                <w:szCs w:val="16"/>
              </w:rPr>
              <w:t>181</w:t>
            </w:r>
          </w:p>
        </w:tc>
        <w:tc>
          <w:tcPr>
            <w:tcW w:w="567" w:type="dxa"/>
            <w:tcBorders>
              <w:top w:val="nil"/>
            </w:tcBorders>
            <w:shd w:val="clear" w:color="auto" w:fill="auto"/>
            <w:hideMark/>
          </w:tcPr>
          <w:p w:rsidR="000D611D" w:rsidRPr="00C66550" w:rsidRDefault="000D611D" w:rsidP="009D0A51">
            <w:pPr>
              <w:spacing w:line="240" w:lineRule="auto"/>
              <w:jc w:val="right"/>
              <w:rPr>
                <w:sz w:val="16"/>
                <w:szCs w:val="16"/>
              </w:rPr>
            </w:pPr>
            <w:r w:rsidRPr="00C66550">
              <w:rPr>
                <w:sz w:val="16"/>
                <w:szCs w:val="16"/>
              </w:rPr>
              <w:t>6</w:t>
            </w:r>
          </w:p>
        </w:tc>
        <w:tc>
          <w:tcPr>
            <w:tcW w:w="709" w:type="dxa"/>
            <w:tcBorders>
              <w:top w:val="nil"/>
            </w:tcBorders>
            <w:shd w:val="clear" w:color="auto" w:fill="auto"/>
            <w:hideMark/>
          </w:tcPr>
          <w:p w:rsidR="000D611D" w:rsidRPr="00C66550" w:rsidRDefault="000D611D" w:rsidP="009D0A51">
            <w:pPr>
              <w:spacing w:line="240" w:lineRule="auto"/>
              <w:jc w:val="right"/>
              <w:rPr>
                <w:sz w:val="16"/>
                <w:szCs w:val="16"/>
              </w:rPr>
            </w:pPr>
            <w:r w:rsidRPr="00C66550">
              <w:rPr>
                <w:sz w:val="16"/>
                <w:szCs w:val="16"/>
              </w:rPr>
              <w:t>3</w:t>
            </w:r>
            <w:r w:rsidR="009D0A51">
              <w:rPr>
                <w:sz w:val="16"/>
                <w:szCs w:val="16"/>
              </w:rPr>
              <w:t>4</w:t>
            </w:r>
          </w:p>
        </w:tc>
        <w:tc>
          <w:tcPr>
            <w:tcW w:w="567" w:type="dxa"/>
            <w:tcBorders>
              <w:top w:val="nil"/>
            </w:tcBorders>
            <w:shd w:val="clear" w:color="auto" w:fill="auto"/>
            <w:hideMark/>
          </w:tcPr>
          <w:p w:rsidR="000D611D" w:rsidRPr="00C66550" w:rsidRDefault="009D0A51" w:rsidP="009B1421">
            <w:pPr>
              <w:spacing w:line="240" w:lineRule="auto"/>
              <w:jc w:val="right"/>
              <w:rPr>
                <w:sz w:val="16"/>
                <w:szCs w:val="16"/>
              </w:rPr>
            </w:pPr>
            <w:r>
              <w:rPr>
                <w:sz w:val="16"/>
                <w:szCs w:val="16"/>
              </w:rPr>
              <w:t>3</w:t>
            </w:r>
          </w:p>
        </w:tc>
        <w:tc>
          <w:tcPr>
            <w:tcW w:w="709" w:type="dxa"/>
            <w:tcBorders>
              <w:top w:val="nil"/>
            </w:tcBorders>
            <w:shd w:val="clear" w:color="auto" w:fill="auto"/>
            <w:hideMark/>
          </w:tcPr>
          <w:p w:rsidR="000D611D" w:rsidRPr="00C66550" w:rsidRDefault="000D611D" w:rsidP="009D0A51">
            <w:pPr>
              <w:spacing w:line="240" w:lineRule="auto"/>
              <w:jc w:val="right"/>
              <w:rPr>
                <w:sz w:val="16"/>
                <w:szCs w:val="16"/>
              </w:rPr>
            </w:pPr>
            <w:r w:rsidRPr="00C66550">
              <w:rPr>
                <w:sz w:val="16"/>
                <w:szCs w:val="16"/>
              </w:rPr>
              <w:t>3</w:t>
            </w:r>
            <w:r w:rsidR="009D0A51">
              <w:rPr>
                <w:sz w:val="16"/>
                <w:szCs w:val="16"/>
              </w:rPr>
              <w:t>2</w:t>
            </w:r>
          </w:p>
        </w:tc>
        <w:tc>
          <w:tcPr>
            <w:tcW w:w="567" w:type="dxa"/>
            <w:tcBorders>
              <w:top w:val="nil"/>
            </w:tcBorders>
            <w:shd w:val="clear" w:color="auto" w:fill="auto"/>
            <w:hideMark/>
          </w:tcPr>
          <w:p w:rsidR="000D611D" w:rsidRPr="00C66550" w:rsidRDefault="000D611D" w:rsidP="009D0A51">
            <w:pPr>
              <w:spacing w:line="240" w:lineRule="auto"/>
              <w:jc w:val="right"/>
              <w:rPr>
                <w:sz w:val="16"/>
                <w:szCs w:val="16"/>
              </w:rPr>
            </w:pPr>
            <w:r w:rsidRPr="00C66550">
              <w:rPr>
                <w:sz w:val="16"/>
                <w:szCs w:val="16"/>
              </w:rPr>
              <w:t>10</w:t>
            </w:r>
          </w:p>
        </w:tc>
        <w:tc>
          <w:tcPr>
            <w:tcW w:w="567" w:type="dxa"/>
            <w:tcBorders>
              <w:top w:val="nil"/>
            </w:tcBorders>
            <w:shd w:val="clear" w:color="auto" w:fill="auto"/>
            <w:hideMark/>
          </w:tcPr>
          <w:p w:rsidR="000D611D" w:rsidRPr="00C66550" w:rsidRDefault="000D611D" w:rsidP="009D0A51">
            <w:pPr>
              <w:spacing w:line="240" w:lineRule="auto"/>
              <w:jc w:val="right"/>
              <w:rPr>
                <w:sz w:val="16"/>
                <w:szCs w:val="16"/>
              </w:rPr>
            </w:pPr>
            <w:r w:rsidRPr="00C66550">
              <w:rPr>
                <w:sz w:val="16"/>
                <w:szCs w:val="16"/>
              </w:rPr>
              <w:t>9</w:t>
            </w:r>
          </w:p>
        </w:tc>
        <w:tc>
          <w:tcPr>
            <w:tcW w:w="708" w:type="dxa"/>
            <w:tcBorders>
              <w:top w:val="nil"/>
            </w:tcBorders>
            <w:shd w:val="clear" w:color="auto" w:fill="auto"/>
            <w:hideMark/>
          </w:tcPr>
          <w:p w:rsidR="000D611D" w:rsidRPr="00C66550" w:rsidRDefault="000D611D" w:rsidP="009D0A51">
            <w:pPr>
              <w:spacing w:line="240" w:lineRule="auto"/>
              <w:jc w:val="right"/>
              <w:rPr>
                <w:sz w:val="16"/>
                <w:szCs w:val="16"/>
              </w:rPr>
            </w:pPr>
            <w:r w:rsidRPr="00C66550">
              <w:rPr>
                <w:sz w:val="16"/>
                <w:szCs w:val="16"/>
              </w:rPr>
              <w:t>6</w:t>
            </w:r>
            <w:r w:rsidR="009D0A51">
              <w:rPr>
                <w:sz w:val="16"/>
                <w:szCs w:val="16"/>
              </w:rPr>
              <w:t>1</w:t>
            </w:r>
          </w:p>
        </w:tc>
        <w:tc>
          <w:tcPr>
            <w:tcW w:w="567" w:type="dxa"/>
            <w:tcBorders>
              <w:top w:val="nil"/>
              <w:right w:val="nil"/>
            </w:tcBorders>
            <w:shd w:val="clear" w:color="auto" w:fill="auto"/>
            <w:hideMark/>
          </w:tcPr>
          <w:p w:rsidR="000D611D" w:rsidRPr="00C66550" w:rsidRDefault="000D611D" w:rsidP="009D0A51">
            <w:pPr>
              <w:spacing w:line="240" w:lineRule="auto"/>
              <w:jc w:val="right"/>
              <w:rPr>
                <w:sz w:val="16"/>
                <w:szCs w:val="16"/>
              </w:rPr>
            </w:pPr>
            <w:r w:rsidRPr="00C66550">
              <w:rPr>
                <w:sz w:val="16"/>
                <w:szCs w:val="16"/>
              </w:rPr>
              <w:t>27</w:t>
            </w:r>
          </w:p>
        </w:tc>
      </w:tr>
      <w:tr w:rsidR="00D8370F" w:rsidRPr="00C66550" w:rsidTr="00B5065A">
        <w:tc>
          <w:tcPr>
            <w:tcW w:w="2821" w:type="dxa"/>
            <w:tcBorders>
              <w:left w:val="nil"/>
              <w:bottom w:val="single" w:sz="8" w:space="0" w:color="7F7F7F"/>
            </w:tcBorders>
            <w:shd w:val="clear" w:color="auto" w:fill="auto"/>
            <w:hideMark/>
          </w:tcPr>
          <w:p w:rsidR="000D611D" w:rsidRPr="00C66550" w:rsidRDefault="000D611D" w:rsidP="009B1421">
            <w:pPr>
              <w:pStyle w:val="ListParagraph"/>
              <w:numPr>
                <w:ilvl w:val="0"/>
                <w:numId w:val="10"/>
              </w:numPr>
              <w:spacing w:line="240" w:lineRule="auto"/>
              <w:rPr>
                <w:rFonts w:asciiTheme="minorHAnsi" w:hAnsiTheme="minorHAnsi" w:cs="Times New Roman"/>
                <w:b/>
                <w:color w:val="0C0C0C" w:themeColor="text1"/>
                <w:sz w:val="16"/>
                <w:szCs w:val="16"/>
                <w:lang w:eastAsia="en-GB"/>
              </w:rPr>
            </w:pPr>
            <w:r w:rsidRPr="00C66550">
              <w:rPr>
                <w:rFonts w:asciiTheme="minorHAnsi" w:hAnsiTheme="minorHAnsi" w:cs="Times New Roman"/>
                <w:b/>
                <w:color w:val="0C0C0C" w:themeColor="text1"/>
                <w:sz w:val="16"/>
                <w:szCs w:val="16"/>
                <w:lang w:eastAsia="en-GB"/>
              </w:rPr>
              <w:t>Sub-total</w:t>
            </w:r>
          </w:p>
        </w:tc>
        <w:tc>
          <w:tcPr>
            <w:tcW w:w="850" w:type="dxa"/>
            <w:tcBorders>
              <w:bottom w:val="single" w:sz="8" w:space="0" w:color="7F7F7F"/>
            </w:tcBorders>
            <w:shd w:val="clear" w:color="auto" w:fill="auto"/>
            <w:hideMark/>
          </w:tcPr>
          <w:p w:rsidR="000D611D" w:rsidRPr="00C66550" w:rsidRDefault="000D611D" w:rsidP="009B1421">
            <w:pPr>
              <w:spacing w:line="240" w:lineRule="auto"/>
              <w:jc w:val="right"/>
              <w:rPr>
                <w:b/>
                <w:sz w:val="16"/>
                <w:szCs w:val="16"/>
              </w:rPr>
            </w:pPr>
            <w:r w:rsidRPr="00C66550">
              <w:rPr>
                <w:b/>
                <w:sz w:val="16"/>
                <w:szCs w:val="16"/>
              </w:rPr>
              <w:t>1,239</w:t>
            </w:r>
          </w:p>
        </w:tc>
        <w:tc>
          <w:tcPr>
            <w:tcW w:w="567" w:type="dxa"/>
            <w:tcBorders>
              <w:bottom w:val="single" w:sz="8" w:space="0" w:color="7F7F7F"/>
            </w:tcBorders>
            <w:shd w:val="clear" w:color="auto" w:fill="auto"/>
            <w:hideMark/>
          </w:tcPr>
          <w:p w:rsidR="000D611D" w:rsidRPr="00C66550" w:rsidRDefault="000D611D" w:rsidP="009B1421">
            <w:pPr>
              <w:spacing w:line="240" w:lineRule="auto"/>
              <w:jc w:val="right"/>
              <w:rPr>
                <w:b/>
                <w:sz w:val="16"/>
                <w:szCs w:val="16"/>
              </w:rPr>
            </w:pPr>
            <w:r w:rsidRPr="00C66550">
              <w:rPr>
                <w:b/>
                <w:sz w:val="16"/>
                <w:szCs w:val="16"/>
              </w:rPr>
              <w:t>26.4</w:t>
            </w:r>
          </w:p>
        </w:tc>
        <w:tc>
          <w:tcPr>
            <w:tcW w:w="709" w:type="dxa"/>
            <w:tcBorders>
              <w:bottom w:val="single" w:sz="8" w:space="0" w:color="7F7F7F"/>
            </w:tcBorders>
            <w:shd w:val="clear" w:color="auto" w:fill="auto"/>
            <w:hideMark/>
          </w:tcPr>
          <w:p w:rsidR="000D611D" w:rsidRPr="00C66550" w:rsidRDefault="000D611D" w:rsidP="009B1421">
            <w:pPr>
              <w:spacing w:line="240" w:lineRule="auto"/>
              <w:jc w:val="right"/>
              <w:rPr>
                <w:b/>
                <w:sz w:val="16"/>
                <w:szCs w:val="16"/>
              </w:rPr>
            </w:pPr>
            <w:r w:rsidRPr="00C66550">
              <w:rPr>
                <w:b/>
                <w:sz w:val="16"/>
                <w:szCs w:val="16"/>
              </w:rPr>
              <w:t>454</w:t>
            </w:r>
          </w:p>
        </w:tc>
        <w:tc>
          <w:tcPr>
            <w:tcW w:w="567" w:type="dxa"/>
            <w:tcBorders>
              <w:bottom w:val="single" w:sz="8" w:space="0" w:color="7F7F7F"/>
            </w:tcBorders>
            <w:shd w:val="clear" w:color="auto" w:fill="auto"/>
            <w:hideMark/>
          </w:tcPr>
          <w:p w:rsidR="000D611D" w:rsidRPr="00C66550" w:rsidRDefault="000D611D" w:rsidP="009D0A51">
            <w:pPr>
              <w:spacing w:line="240" w:lineRule="auto"/>
              <w:jc w:val="right"/>
              <w:rPr>
                <w:b/>
                <w:sz w:val="16"/>
                <w:szCs w:val="16"/>
              </w:rPr>
            </w:pPr>
            <w:r w:rsidRPr="00C66550">
              <w:rPr>
                <w:b/>
                <w:sz w:val="16"/>
                <w:szCs w:val="16"/>
              </w:rPr>
              <w:t>1</w:t>
            </w:r>
            <w:r w:rsidR="009D0A51">
              <w:rPr>
                <w:b/>
                <w:sz w:val="16"/>
                <w:szCs w:val="16"/>
              </w:rPr>
              <w:t>4</w:t>
            </w:r>
          </w:p>
        </w:tc>
        <w:tc>
          <w:tcPr>
            <w:tcW w:w="709" w:type="dxa"/>
            <w:tcBorders>
              <w:bottom w:val="single" w:sz="8" w:space="0" w:color="7F7F7F"/>
            </w:tcBorders>
            <w:shd w:val="clear" w:color="auto" w:fill="auto"/>
            <w:hideMark/>
          </w:tcPr>
          <w:p w:rsidR="000D611D" w:rsidRPr="00C66550" w:rsidRDefault="000D611D" w:rsidP="009B1421">
            <w:pPr>
              <w:spacing w:line="240" w:lineRule="auto"/>
              <w:jc w:val="right"/>
              <w:rPr>
                <w:b/>
                <w:sz w:val="16"/>
                <w:szCs w:val="16"/>
              </w:rPr>
            </w:pPr>
            <w:r w:rsidRPr="00C66550">
              <w:rPr>
                <w:b/>
                <w:sz w:val="16"/>
                <w:szCs w:val="16"/>
              </w:rPr>
              <w:t>153</w:t>
            </w:r>
          </w:p>
        </w:tc>
        <w:tc>
          <w:tcPr>
            <w:tcW w:w="567" w:type="dxa"/>
            <w:tcBorders>
              <w:bottom w:val="single" w:sz="8" w:space="0" w:color="7F7F7F"/>
            </w:tcBorders>
            <w:shd w:val="clear" w:color="auto" w:fill="auto"/>
            <w:hideMark/>
          </w:tcPr>
          <w:p w:rsidR="000D611D" w:rsidRPr="00C66550" w:rsidRDefault="000D611D" w:rsidP="009D0A51">
            <w:pPr>
              <w:spacing w:line="240" w:lineRule="auto"/>
              <w:jc w:val="right"/>
              <w:rPr>
                <w:b/>
                <w:sz w:val="16"/>
                <w:szCs w:val="16"/>
              </w:rPr>
            </w:pPr>
            <w:r w:rsidRPr="00C66550">
              <w:rPr>
                <w:b/>
                <w:sz w:val="16"/>
                <w:szCs w:val="16"/>
              </w:rPr>
              <w:t>77</w:t>
            </w:r>
          </w:p>
        </w:tc>
        <w:tc>
          <w:tcPr>
            <w:tcW w:w="567" w:type="dxa"/>
            <w:tcBorders>
              <w:bottom w:val="single" w:sz="8" w:space="0" w:color="7F7F7F"/>
            </w:tcBorders>
            <w:shd w:val="clear" w:color="auto" w:fill="auto"/>
            <w:hideMark/>
          </w:tcPr>
          <w:p w:rsidR="000D611D" w:rsidRPr="00C66550" w:rsidRDefault="000D611D" w:rsidP="009D0A51">
            <w:pPr>
              <w:spacing w:line="240" w:lineRule="auto"/>
              <w:jc w:val="right"/>
              <w:rPr>
                <w:b/>
                <w:sz w:val="16"/>
                <w:szCs w:val="16"/>
              </w:rPr>
            </w:pPr>
            <w:r w:rsidRPr="00C66550">
              <w:rPr>
                <w:b/>
                <w:sz w:val="16"/>
                <w:szCs w:val="16"/>
              </w:rPr>
              <w:t>3</w:t>
            </w:r>
            <w:r w:rsidR="009D0A51">
              <w:rPr>
                <w:b/>
                <w:sz w:val="16"/>
                <w:szCs w:val="16"/>
              </w:rPr>
              <w:t>9</w:t>
            </w:r>
          </w:p>
        </w:tc>
        <w:tc>
          <w:tcPr>
            <w:tcW w:w="708" w:type="dxa"/>
            <w:tcBorders>
              <w:bottom w:val="single" w:sz="8" w:space="0" w:color="7F7F7F"/>
            </w:tcBorders>
            <w:shd w:val="clear" w:color="auto" w:fill="auto"/>
            <w:hideMark/>
          </w:tcPr>
          <w:p w:rsidR="000D611D" w:rsidRPr="00C66550" w:rsidRDefault="000D611D" w:rsidP="009B1421">
            <w:pPr>
              <w:spacing w:line="240" w:lineRule="auto"/>
              <w:jc w:val="right"/>
              <w:rPr>
                <w:b/>
                <w:sz w:val="16"/>
                <w:szCs w:val="16"/>
              </w:rPr>
            </w:pPr>
            <w:r w:rsidRPr="00C66550">
              <w:rPr>
                <w:b/>
                <w:sz w:val="16"/>
                <w:szCs w:val="16"/>
              </w:rPr>
              <w:t>322</w:t>
            </w:r>
          </w:p>
        </w:tc>
        <w:tc>
          <w:tcPr>
            <w:tcW w:w="567" w:type="dxa"/>
            <w:tcBorders>
              <w:bottom w:val="single" w:sz="8" w:space="0" w:color="7F7F7F"/>
              <w:right w:val="nil"/>
            </w:tcBorders>
            <w:shd w:val="clear" w:color="auto" w:fill="auto"/>
            <w:hideMark/>
          </w:tcPr>
          <w:p w:rsidR="000D611D" w:rsidRPr="00C66550" w:rsidRDefault="000D611D" w:rsidP="009B1421">
            <w:pPr>
              <w:spacing w:line="240" w:lineRule="auto"/>
              <w:jc w:val="right"/>
              <w:rPr>
                <w:b/>
                <w:sz w:val="16"/>
                <w:szCs w:val="16"/>
              </w:rPr>
            </w:pPr>
            <w:r w:rsidRPr="00C66550">
              <w:rPr>
                <w:b/>
                <w:sz w:val="16"/>
                <w:szCs w:val="16"/>
              </w:rPr>
              <w:t>154</w:t>
            </w:r>
          </w:p>
        </w:tc>
      </w:tr>
      <w:tr w:rsidR="009A57FC" w:rsidRPr="00C66550" w:rsidTr="00D8370F">
        <w:tc>
          <w:tcPr>
            <w:tcW w:w="8632" w:type="dxa"/>
            <w:gridSpan w:val="10"/>
            <w:tcBorders>
              <w:top w:val="single" w:sz="8" w:space="0" w:color="7F7F7F"/>
              <w:left w:val="nil"/>
              <w:right w:val="nil"/>
            </w:tcBorders>
            <w:shd w:val="clear" w:color="auto" w:fill="auto"/>
            <w:hideMark/>
          </w:tcPr>
          <w:p w:rsidR="009A57FC" w:rsidRPr="00C66550" w:rsidRDefault="009A57FC" w:rsidP="009B1421">
            <w:pPr>
              <w:spacing w:line="240" w:lineRule="auto"/>
              <w:jc w:val="center"/>
              <w:rPr>
                <w:rFonts w:asciiTheme="minorHAnsi" w:hAnsiTheme="minorHAnsi" w:cs="Times New Roman"/>
                <w:i/>
                <w:color w:val="181818"/>
                <w:sz w:val="16"/>
                <w:szCs w:val="16"/>
                <w:lang w:eastAsia="en-GB"/>
              </w:rPr>
            </w:pPr>
            <w:r w:rsidRPr="00C66550">
              <w:rPr>
                <w:rFonts w:asciiTheme="minorHAnsi" w:hAnsiTheme="minorHAnsi" w:cs="Times New Roman"/>
                <w:b/>
                <w:bCs/>
                <w:color w:val="181818"/>
                <w:sz w:val="16"/>
                <w:szCs w:val="16"/>
                <w:lang w:eastAsia="en-GB"/>
              </w:rPr>
              <w:t>Other energy recovery</w:t>
            </w:r>
            <w:r w:rsidRPr="00C66550">
              <w:rPr>
                <w:rFonts w:asciiTheme="minorHAnsi" w:hAnsiTheme="minorHAnsi" w:cs="Times New Roman"/>
                <w:color w:val="181818"/>
                <w:sz w:val="16"/>
                <w:szCs w:val="16"/>
                <w:lang w:eastAsia="en-GB"/>
              </w:rPr>
              <w:t> </w:t>
            </w:r>
            <w:r w:rsidRPr="00C66550">
              <w:rPr>
                <w:rFonts w:asciiTheme="minorHAnsi" w:hAnsiTheme="minorHAnsi" w:cs="Times New Roman"/>
                <w:i/>
                <w:color w:val="181818"/>
                <w:sz w:val="16"/>
                <w:szCs w:val="16"/>
                <w:lang w:eastAsia="en-GB"/>
              </w:rPr>
              <w:t>(thousands of tonnes)</w:t>
            </w:r>
          </w:p>
        </w:tc>
      </w:tr>
      <w:tr w:rsidR="00D8370F" w:rsidRPr="00C66550" w:rsidTr="00B5065A">
        <w:tc>
          <w:tcPr>
            <w:tcW w:w="2821" w:type="dxa"/>
            <w:tcBorders>
              <w:top w:val="nil"/>
              <w:left w:val="nil"/>
            </w:tcBorders>
            <w:shd w:val="clear" w:color="auto" w:fill="auto"/>
            <w:hideMark/>
          </w:tcPr>
          <w:p w:rsidR="009A57FC" w:rsidRPr="00C66550" w:rsidRDefault="009A57FC" w:rsidP="009B1421">
            <w:pPr>
              <w:pStyle w:val="ListParagraph"/>
              <w:numPr>
                <w:ilvl w:val="0"/>
                <w:numId w:val="10"/>
              </w:numPr>
              <w:spacing w:line="240" w:lineRule="auto"/>
              <w:rPr>
                <w:rFonts w:asciiTheme="minorHAnsi" w:hAnsiTheme="minorHAnsi" w:cs="Times New Roman"/>
                <w:color w:val="181818"/>
                <w:sz w:val="16"/>
                <w:szCs w:val="16"/>
                <w:lang w:eastAsia="en-GB"/>
              </w:rPr>
            </w:pPr>
            <w:r w:rsidRPr="00C66550">
              <w:rPr>
                <w:rFonts w:asciiTheme="minorHAnsi" w:hAnsiTheme="minorHAnsi"/>
                <w:color w:val="181818"/>
                <w:sz w:val="16"/>
                <w:szCs w:val="16"/>
                <w:lang w:eastAsia="en-GB"/>
              </w:rPr>
              <w:t>Timber</w:t>
            </w:r>
          </w:p>
        </w:tc>
        <w:tc>
          <w:tcPr>
            <w:tcW w:w="850" w:type="dxa"/>
            <w:tcBorders>
              <w:top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567" w:type="dxa"/>
            <w:tcBorders>
              <w:top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709" w:type="dxa"/>
            <w:tcBorders>
              <w:top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567" w:type="dxa"/>
            <w:tcBorders>
              <w:top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709" w:type="dxa"/>
            <w:tcBorders>
              <w:top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567" w:type="dxa"/>
            <w:tcBorders>
              <w:top w:val="nil"/>
            </w:tcBorders>
            <w:shd w:val="clear" w:color="auto" w:fill="auto"/>
            <w:hideMark/>
          </w:tcPr>
          <w:p w:rsidR="009A57FC" w:rsidRPr="00C66550" w:rsidRDefault="000D611D" w:rsidP="009B1421">
            <w:pPr>
              <w:spacing w:line="240" w:lineRule="auto"/>
              <w:jc w:val="right"/>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33</w:t>
            </w:r>
          </w:p>
        </w:tc>
        <w:tc>
          <w:tcPr>
            <w:tcW w:w="567" w:type="dxa"/>
            <w:tcBorders>
              <w:top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708" w:type="dxa"/>
            <w:tcBorders>
              <w:top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567" w:type="dxa"/>
            <w:tcBorders>
              <w:top w:val="nil"/>
              <w:right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r>
      <w:tr w:rsidR="00D8370F" w:rsidRPr="00C66550" w:rsidTr="00B5065A">
        <w:tc>
          <w:tcPr>
            <w:tcW w:w="2821" w:type="dxa"/>
            <w:tcBorders>
              <w:top w:val="nil"/>
              <w:left w:val="nil"/>
              <w:bottom w:val="single" w:sz="8" w:space="0" w:color="7F7F7F"/>
            </w:tcBorders>
            <w:shd w:val="clear" w:color="auto" w:fill="auto"/>
            <w:hideMark/>
          </w:tcPr>
          <w:p w:rsidR="009A57FC" w:rsidRPr="00C66550" w:rsidRDefault="009A57FC" w:rsidP="009B1421">
            <w:pPr>
              <w:spacing w:line="240" w:lineRule="auto"/>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Sub-total</w:t>
            </w:r>
          </w:p>
        </w:tc>
        <w:tc>
          <w:tcPr>
            <w:tcW w:w="850" w:type="dxa"/>
            <w:tcBorders>
              <w:top w:val="nil"/>
              <w:bottom w:val="single" w:sz="8" w:space="0" w:color="7F7F7F"/>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567" w:type="dxa"/>
            <w:tcBorders>
              <w:top w:val="nil"/>
              <w:bottom w:val="single" w:sz="8" w:space="0" w:color="7F7F7F"/>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709" w:type="dxa"/>
            <w:tcBorders>
              <w:top w:val="nil"/>
              <w:bottom w:val="single" w:sz="8" w:space="0" w:color="7F7F7F"/>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567" w:type="dxa"/>
            <w:tcBorders>
              <w:top w:val="nil"/>
              <w:bottom w:val="single" w:sz="8" w:space="0" w:color="7F7F7F"/>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709" w:type="dxa"/>
            <w:tcBorders>
              <w:top w:val="nil"/>
              <w:bottom w:val="single" w:sz="8" w:space="0" w:color="7F7F7F"/>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567" w:type="dxa"/>
            <w:tcBorders>
              <w:top w:val="nil"/>
              <w:bottom w:val="single" w:sz="8" w:space="0" w:color="7F7F7F"/>
            </w:tcBorders>
            <w:shd w:val="clear" w:color="auto" w:fill="auto"/>
            <w:hideMark/>
          </w:tcPr>
          <w:p w:rsidR="009A57FC" w:rsidRPr="00C66550" w:rsidRDefault="000D611D" w:rsidP="009B1421">
            <w:pPr>
              <w:spacing w:line="240" w:lineRule="auto"/>
              <w:jc w:val="right"/>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33</w:t>
            </w:r>
          </w:p>
        </w:tc>
        <w:tc>
          <w:tcPr>
            <w:tcW w:w="567" w:type="dxa"/>
            <w:tcBorders>
              <w:top w:val="nil"/>
              <w:bottom w:val="single" w:sz="8" w:space="0" w:color="7F7F7F"/>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708" w:type="dxa"/>
            <w:tcBorders>
              <w:top w:val="nil"/>
              <w:bottom w:val="single" w:sz="8" w:space="0" w:color="7F7F7F"/>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c>
          <w:tcPr>
            <w:tcW w:w="567" w:type="dxa"/>
            <w:tcBorders>
              <w:top w:val="nil"/>
              <w:bottom w:val="single" w:sz="8" w:space="0" w:color="7F7F7F"/>
              <w:right w:val="nil"/>
            </w:tcBorders>
            <w:shd w:val="clear" w:color="auto" w:fill="auto"/>
            <w:hideMark/>
          </w:tcPr>
          <w:p w:rsidR="009A57FC" w:rsidRPr="00C66550" w:rsidRDefault="009A57FC" w:rsidP="009B1421">
            <w:pPr>
              <w:spacing w:line="240" w:lineRule="auto"/>
              <w:jc w:val="right"/>
              <w:rPr>
                <w:rFonts w:asciiTheme="minorHAnsi" w:hAnsiTheme="minorHAnsi" w:cs="Times New Roman"/>
                <w:color w:val="181818"/>
                <w:sz w:val="16"/>
                <w:szCs w:val="16"/>
                <w:lang w:eastAsia="en-GB"/>
              </w:rPr>
            </w:pPr>
          </w:p>
        </w:tc>
      </w:tr>
      <w:tr w:rsidR="009A57FC" w:rsidRPr="00C66550" w:rsidTr="00D8370F">
        <w:tc>
          <w:tcPr>
            <w:tcW w:w="8632" w:type="dxa"/>
            <w:gridSpan w:val="10"/>
            <w:tcBorders>
              <w:top w:val="single" w:sz="8" w:space="0" w:color="7F7F7F"/>
              <w:left w:val="nil"/>
              <w:right w:val="nil"/>
            </w:tcBorders>
            <w:shd w:val="clear" w:color="auto" w:fill="BFBFBF" w:themeFill="background1" w:themeFillShade="BF"/>
            <w:hideMark/>
          </w:tcPr>
          <w:p w:rsidR="009A57FC" w:rsidRPr="00C66550" w:rsidRDefault="009A57FC" w:rsidP="009B1421">
            <w:pPr>
              <w:spacing w:line="240" w:lineRule="auto"/>
              <w:rPr>
                <w:rFonts w:asciiTheme="minorHAnsi" w:hAnsiTheme="minorHAnsi" w:cs="Times New Roman"/>
                <w:bCs/>
                <w:i/>
                <w:color w:val="181818"/>
                <w:sz w:val="16"/>
                <w:szCs w:val="16"/>
                <w:lang w:eastAsia="en-GB"/>
              </w:rPr>
            </w:pPr>
            <w:r w:rsidRPr="00C66550">
              <w:rPr>
                <w:rFonts w:asciiTheme="minorHAnsi" w:hAnsiTheme="minorHAnsi" w:cs="Times New Roman"/>
                <w:b/>
                <w:bCs/>
                <w:color w:val="181818"/>
                <w:sz w:val="16"/>
                <w:szCs w:val="16"/>
                <w:lang w:eastAsia="en-GB"/>
              </w:rPr>
              <w:t xml:space="preserve">Other (including primary industry) organics recovery by ROU-surveyed organic recycling facilities </w:t>
            </w:r>
            <w:r w:rsidRPr="00C66550">
              <w:rPr>
                <w:rFonts w:asciiTheme="minorHAnsi" w:hAnsiTheme="minorHAnsi" w:cs="Times New Roman"/>
                <w:bCs/>
                <w:i/>
                <w:color w:val="181818"/>
                <w:sz w:val="16"/>
                <w:szCs w:val="16"/>
                <w:lang w:eastAsia="en-GB"/>
              </w:rPr>
              <w:t>(thousands of tonnes)</w:t>
            </w:r>
          </w:p>
        </w:tc>
      </w:tr>
      <w:tr w:rsidR="00D8370F" w:rsidRPr="00C66550" w:rsidTr="00B5065A">
        <w:tc>
          <w:tcPr>
            <w:tcW w:w="2821" w:type="dxa"/>
            <w:tcBorders>
              <w:left w:val="nil"/>
            </w:tcBorders>
            <w:shd w:val="clear" w:color="auto" w:fill="BFBFBF" w:themeFill="background1" w:themeFillShade="BF"/>
            <w:hideMark/>
          </w:tcPr>
          <w:p w:rsidR="00377BB4" w:rsidRPr="00C66550" w:rsidRDefault="00377BB4" w:rsidP="009B1421">
            <w:pPr>
              <w:pStyle w:val="ListParagraph"/>
              <w:numPr>
                <w:ilvl w:val="0"/>
                <w:numId w:val="9"/>
              </w:numPr>
              <w:spacing w:line="240" w:lineRule="auto"/>
              <w:ind w:left="190" w:hanging="190"/>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Oils, grease trap and sludges</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263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24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103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37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73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27 </w:t>
            </w:r>
          </w:p>
        </w:tc>
      </w:tr>
      <w:tr w:rsidR="00D8370F" w:rsidRPr="00C66550" w:rsidTr="00B5065A">
        <w:tc>
          <w:tcPr>
            <w:tcW w:w="2821" w:type="dxa"/>
            <w:tcBorders>
              <w:left w:val="nil"/>
            </w:tcBorders>
            <w:shd w:val="clear" w:color="auto" w:fill="BFBFBF" w:themeFill="background1" w:themeFillShade="BF"/>
            <w:hideMark/>
          </w:tcPr>
          <w:p w:rsidR="00377BB4" w:rsidRPr="00C66550" w:rsidRDefault="00377BB4" w:rsidP="009B1421">
            <w:pPr>
              <w:pStyle w:val="ListParagraph"/>
              <w:numPr>
                <w:ilvl w:val="0"/>
                <w:numId w:val="9"/>
              </w:numPr>
              <w:spacing w:line="240" w:lineRule="auto"/>
              <w:ind w:left="190" w:hanging="190"/>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Paunch</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55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39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9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3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4 </w:t>
            </w:r>
          </w:p>
        </w:tc>
      </w:tr>
      <w:tr w:rsidR="00D8370F" w:rsidRPr="00C66550" w:rsidTr="00B5065A">
        <w:tc>
          <w:tcPr>
            <w:tcW w:w="2821" w:type="dxa"/>
            <w:tcBorders>
              <w:left w:val="nil"/>
            </w:tcBorders>
            <w:shd w:val="clear" w:color="auto" w:fill="BFBFBF" w:themeFill="background1" w:themeFillShade="BF"/>
            <w:hideMark/>
          </w:tcPr>
          <w:p w:rsidR="00377BB4" w:rsidRPr="00C66550" w:rsidRDefault="00377BB4" w:rsidP="009B1421">
            <w:pPr>
              <w:pStyle w:val="ListParagraph"/>
              <w:numPr>
                <w:ilvl w:val="0"/>
                <w:numId w:val="9"/>
              </w:numPr>
              <w:spacing w:line="240" w:lineRule="auto"/>
              <w:ind w:left="190" w:hanging="190"/>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Paper pulp</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24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7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E5424C" w:rsidP="009B1421">
            <w:pPr>
              <w:spacing w:line="240" w:lineRule="auto"/>
              <w:jc w:val="right"/>
              <w:rPr>
                <w:sz w:val="16"/>
                <w:szCs w:val="16"/>
              </w:rPr>
            </w:pPr>
            <w:r w:rsidRPr="00C66550">
              <w:rPr>
                <w:sz w:val="16"/>
                <w:szCs w:val="16"/>
              </w:rPr>
              <w:t xml:space="preserve">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17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567" w:type="dxa"/>
            <w:tcBorders>
              <w:right w:val="nil"/>
            </w:tcBorders>
            <w:shd w:val="clear" w:color="auto" w:fill="BFBFBF" w:themeFill="background1" w:themeFillShade="BF"/>
          </w:tcPr>
          <w:p w:rsidR="00377BB4" w:rsidRPr="00C66550" w:rsidRDefault="00377BB4" w:rsidP="009B1421">
            <w:pPr>
              <w:spacing w:line="240" w:lineRule="auto"/>
              <w:jc w:val="right"/>
              <w:rPr>
                <w:sz w:val="16"/>
                <w:szCs w:val="16"/>
              </w:rPr>
            </w:pPr>
          </w:p>
        </w:tc>
      </w:tr>
      <w:tr w:rsidR="00D8370F" w:rsidRPr="00C66550" w:rsidTr="00B5065A">
        <w:tc>
          <w:tcPr>
            <w:tcW w:w="2821" w:type="dxa"/>
            <w:tcBorders>
              <w:left w:val="nil"/>
            </w:tcBorders>
            <w:shd w:val="clear" w:color="auto" w:fill="BFBFBF" w:themeFill="background1" w:themeFillShade="BF"/>
            <w:vAlign w:val="bottom"/>
            <w:hideMark/>
          </w:tcPr>
          <w:p w:rsidR="00377BB4" w:rsidRPr="00C66550" w:rsidRDefault="00377BB4" w:rsidP="009B1421">
            <w:pPr>
              <w:pStyle w:val="ListParagraph"/>
              <w:numPr>
                <w:ilvl w:val="0"/>
                <w:numId w:val="9"/>
              </w:numPr>
              <w:spacing w:line="240" w:lineRule="auto"/>
              <w:ind w:left="190" w:hanging="190"/>
              <w:rPr>
                <w:rFonts w:asciiTheme="minorHAnsi" w:hAnsiTheme="minorHAnsi" w:cs="Times New Roman"/>
                <w:color w:val="040405"/>
                <w:sz w:val="16"/>
                <w:szCs w:val="16"/>
                <w:lang w:eastAsia="en-GB"/>
              </w:rPr>
            </w:pPr>
            <w:r w:rsidRPr="00C66550">
              <w:rPr>
                <w:rFonts w:asciiTheme="minorHAnsi" w:hAnsiTheme="minorHAnsi" w:cs="Times New Roman"/>
                <w:color w:val="040405"/>
                <w:sz w:val="16"/>
                <w:szCs w:val="16"/>
                <w:lang w:eastAsia="en-GB"/>
              </w:rPr>
              <w:t>Sawdust (from forestry residuals)</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206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95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75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9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27 </w:t>
            </w:r>
          </w:p>
        </w:tc>
      </w:tr>
      <w:tr w:rsidR="00D8370F" w:rsidRPr="00C66550" w:rsidTr="00B5065A">
        <w:tc>
          <w:tcPr>
            <w:tcW w:w="2821" w:type="dxa"/>
            <w:tcBorders>
              <w:left w:val="nil"/>
            </w:tcBorders>
            <w:shd w:val="clear" w:color="auto" w:fill="BFBFBF" w:themeFill="background1" w:themeFillShade="BF"/>
            <w:vAlign w:val="bottom"/>
            <w:hideMark/>
          </w:tcPr>
          <w:p w:rsidR="00377BB4" w:rsidRPr="00C66550" w:rsidRDefault="00377BB4" w:rsidP="009B1421">
            <w:pPr>
              <w:pStyle w:val="ListParagraph"/>
              <w:numPr>
                <w:ilvl w:val="0"/>
                <w:numId w:val="9"/>
              </w:numPr>
              <w:spacing w:line="240" w:lineRule="auto"/>
              <w:ind w:left="190" w:hanging="190"/>
              <w:rPr>
                <w:rFonts w:asciiTheme="minorHAnsi" w:hAnsiTheme="minorHAnsi" w:cs="Times New Roman"/>
                <w:color w:val="040405"/>
                <w:sz w:val="16"/>
                <w:szCs w:val="16"/>
                <w:lang w:eastAsia="en-GB"/>
              </w:rPr>
            </w:pPr>
            <w:r w:rsidRPr="00C66550">
              <w:rPr>
                <w:rFonts w:asciiTheme="minorHAnsi" w:hAnsiTheme="minorHAnsi" w:cs="Times New Roman"/>
                <w:color w:val="040405"/>
                <w:sz w:val="16"/>
                <w:szCs w:val="16"/>
                <w:lang w:eastAsia="en-GB"/>
              </w:rPr>
              <w:t>Barks (from forestry residuals)</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770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123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196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201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118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132 </w:t>
            </w:r>
          </w:p>
        </w:tc>
      </w:tr>
      <w:tr w:rsidR="00D8370F" w:rsidRPr="00C66550" w:rsidTr="00B5065A">
        <w:tc>
          <w:tcPr>
            <w:tcW w:w="2821" w:type="dxa"/>
            <w:tcBorders>
              <w:left w:val="nil"/>
            </w:tcBorders>
            <w:shd w:val="clear" w:color="auto" w:fill="BFBFBF" w:themeFill="background1" w:themeFillShade="BF"/>
            <w:vAlign w:val="bottom"/>
            <w:hideMark/>
          </w:tcPr>
          <w:p w:rsidR="00377BB4" w:rsidRPr="00C66550" w:rsidRDefault="00377BB4" w:rsidP="009B1421">
            <w:pPr>
              <w:pStyle w:val="ListParagraph"/>
              <w:numPr>
                <w:ilvl w:val="0"/>
                <w:numId w:val="9"/>
              </w:numPr>
              <w:spacing w:line="240" w:lineRule="auto"/>
              <w:ind w:left="190" w:hanging="190"/>
              <w:rPr>
                <w:rFonts w:asciiTheme="minorHAnsi" w:hAnsiTheme="minorHAnsi" w:cs="Times New Roman"/>
                <w:color w:val="040405"/>
                <w:sz w:val="16"/>
                <w:szCs w:val="16"/>
                <w:lang w:eastAsia="en-GB"/>
              </w:rPr>
            </w:pPr>
            <w:r w:rsidRPr="00C66550">
              <w:rPr>
                <w:rFonts w:asciiTheme="minorHAnsi" w:hAnsiTheme="minorHAnsi" w:cs="Times New Roman"/>
                <w:color w:val="040405"/>
                <w:sz w:val="16"/>
                <w:szCs w:val="16"/>
                <w:lang w:eastAsia="en-GB"/>
              </w:rPr>
              <w:t>Straw</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27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E5424C" w:rsidP="009B1421">
            <w:pPr>
              <w:spacing w:line="240" w:lineRule="auto"/>
              <w:jc w:val="right"/>
              <w:rPr>
                <w:sz w:val="16"/>
                <w:szCs w:val="16"/>
              </w:rPr>
            </w:pPr>
            <w:r w:rsidRPr="00C66550">
              <w:rPr>
                <w:sz w:val="16"/>
                <w:szCs w:val="16"/>
              </w:rPr>
              <w:t xml:space="preserve">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10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8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8 </w:t>
            </w:r>
          </w:p>
        </w:tc>
      </w:tr>
      <w:tr w:rsidR="00D8370F" w:rsidRPr="00C66550" w:rsidTr="00B5065A">
        <w:tc>
          <w:tcPr>
            <w:tcW w:w="2821" w:type="dxa"/>
            <w:tcBorders>
              <w:left w:val="nil"/>
            </w:tcBorders>
            <w:shd w:val="clear" w:color="auto" w:fill="BFBFBF" w:themeFill="background1" w:themeFillShade="BF"/>
            <w:vAlign w:val="bottom"/>
            <w:hideMark/>
          </w:tcPr>
          <w:p w:rsidR="00377BB4" w:rsidRPr="00C66550" w:rsidRDefault="00377BB4" w:rsidP="009B1421">
            <w:pPr>
              <w:pStyle w:val="ListParagraph"/>
              <w:numPr>
                <w:ilvl w:val="0"/>
                <w:numId w:val="9"/>
              </w:numPr>
              <w:spacing w:line="240" w:lineRule="auto"/>
              <w:ind w:left="190" w:hanging="190"/>
              <w:rPr>
                <w:rFonts w:asciiTheme="minorHAnsi" w:hAnsiTheme="minorHAnsi" w:cs="Times New Roman"/>
                <w:color w:val="040405"/>
                <w:sz w:val="16"/>
                <w:szCs w:val="16"/>
                <w:lang w:eastAsia="en-GB"/>
              </w:rPr>
            </w:pPr>
            <w:r w:rsidRPr="00C66550">
              <w:rPr>
                <w:rFonts w:asciiTheme="minorHAnsi" w:hAnsiTheme="minorHAnsi" w:cs="Times New Roman"/>
                <w:color w:val="040405"/>
                <w:sz w:val="16"/>
                <w:szCs w:val="16"/>
                <w:lang w:eastAsia="en-GB"/>
              </w:rPr>
              <w:t>Manure</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461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175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97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67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90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33 </w:t>
            </w:r>
          </w:p>
        </w:tc>
      </w:tr>
      <w:tr w:rsidR="00D8370F" w:rsidRPr="00C66550" w:rsidTr="00B5065A">
        <w:tc>
          <w:tcPr>
            <w:tcW w:w="2821" w:type="dxa"/>
            <w:tcBorders>
              <w:left w:val="nil"/>
            </w:tcBorders>
            <w:shd w:val="clear" w:color="auto" w:fill="BFBFBF" w:themeFill="background1" w:themeFillShade="BF"/>
            <w:vAlign w:val="bottom"/>
            <w:hideMark/>
          </w:tcPr>
          <w:p w:rsidR="00377BB4" w:rsidRPr="00C66550" w:rsidRDefault="00377BB4" w:rsidP="009B1421">
            <w:pPr>
              <w:pStyle w:val="ListParagraph"/>
              <w:numPr>
                <w:ilvl w:val="0"/>
                <w:numId w:val="9"/>
              </w:numPr>
              <w:spacing w:line="240" w:lineRule="auto"/>
              <w:ind w:left="190" w:hanging="190"/>
              <w:rPr>
                <w:rFonts w:asciiTheme="minorHAnsi" w:hAnsiTheme="minorHAnsi" w:cs="Times New Roman"/>
                <w:color w:val="040405"/>
                <w:sz w:val="16"/>
                <w:szCs w:val="16"/>
                <w:lang w:eastAsia="en-GB"/>
              </w:rPr>
            </w:pPr>
            <w:r w:rsidRPr="00C66550">
              <w:rPr>
                <w:rFonts w:asciiTheme="minorHAnsi" w:hAnsiTheme="minorHAnsi" w:cs="Times New Roman"/>
                <w:color w:val="040405"/>
                <w:sz w:val="16"/>
                <w:szCs w:val="16"/>
                <w:lang w:eastAsia="en-GB"/>
              </w:rPr>
              <w:t>Animal bedding</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25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0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1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12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11 </w:t>
            </w:r>
          </w:p>
        </w:tc>
      </w:tr>
      <w:tr w:rsidR="00D8370F" w:rsidRPr="00C66550" w:rsidTr="00B5065A">
        <w:tc>
          <w:tcPr>
            <w:tcW w:w="2821" w:type="dxa"/>
            <w:tcBorders>
              <w:left w:val="nil"/>
            </w:tcBorders>
            <w:shd w:val="clear" w:color="auto" w:fill="BFBFBF" w:themeFill="background1" w:themeFillShade="BF"/>
            <w:vAlign w:val="bottom"/>
            <w:hideMark/>
          </w:tcPr>
          <w:p w:rsidR="00377BB4" w:rsidRPr="00C66550" w:rsidRDefault="00377BB4" w:rsidP="009B1421">
            <w:pPr>
              <w:pStyle w:val="ListParagraph"/>
              <w:numPr>
                <w:ilvl w:val="0"/>
                <w:numId w:val="8"/>
              </w:numPr>
              <w:spacing w:line="240" w:lineRule="auto"/>
              <w:ind w:left="190" w:hanging="190"/>
              <w:rPr>
                <w:rFonts w:asciiTheme="minorHAnsi" w:hAnsiTheme="minorHAnsi" w:cs="Times New Roman"/>
                <w:color w:val="040405"/>
                <w:sz w:val="16"/>
                <w:szCs w:val="16"/>
                <w:lang w:eastAsia="en-GB"/>
              </w:rPr>
            </w:pPr>
            <w:r w:rsidRPr="00C66550">
              <w:rPr>
                <w:rFonts w:asciiTheme="minorHAnsi" w:hAnsiTheme="minorHAnsi" w:cs="Times New Roman"/>
                <w:color w:val="040405"/>
                <w:sz w:val="16"/>
                <w:szCs w:val="16"/>
                <w:lang w:eastAsia="en-GB"/>
              </w:rPr>
              <w:t>Animal mortalities</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80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E5424C" w:rsidP="009B1421">
            <w:pPr>
              <w:spacing w:line="240" w:lineRule="auto"/>
              <w:jc w:val="right"/>
              <w:rPr>
                <w:sz w:val="16"/>
                <w:szCs w:val="16"/>
              </w:rPr>
            </w:pPr>
            <w:r w:rsidRPr="00C66550">
              <w:rPr>
                <w:sz w:val="16"/>
                <w:szCs w:val="16"/>
              </w:rPr>
              <w:t xml:space="preserve">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4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69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5 </w:t>
            </w:r>
          </w:p>
        </w:tc>
      </w:tr>
      <w:tr w:rsidR="00D8370F" w:rsidRPr="00C66550" w:rsidTr="00B5065A">
        <w:tc>
          <w:tcPr>
            <w:tcW w:w="2821" w:type="dxa"/>
            <w:tcBorders>
              <w:left w:val="nil"/>
            </w:tcBorders>
            <w:shd w:val="clear" w:color="auto" w:fill="BFBFBF" w:themeFill="background1" w:themeFillShade="BF"/>
            <w:vAlign w:val="bottom"/>
            <w:hideMark/>
          </w:tcPr>
          <w:p w:rsidR="00377BB4" w:rsidRPr="00C66550" w:rsidRDefault="00377BB4" w:rsidP="009B1421">
            <w:pPr>
              <w:pStyle w:val="ListParagraph"/>
              <w:numPr>
                <w:ilvl w:val="0"/>
                <w:numId w:val="8"/>
              </w:numPr>
              <w:spacing w:line="240" w:lineRule="auto"/>
              <w:ind w:left="190" w:hanging="190"/>
              <w:rPr>
                <w:rFonts w:asciiTheme="minorHAnsi" w:hAnsiTheme="minorHAnsi" w:cs="Times New Roman"/>
                <w:color w:val="040405"/>
                <w:sz w:val="16"/>
                <w:szCs w:val="16"/>
                <w:lang w:eastAsia="en-GB"/>
              </w:rPr>
            </w:pPr>
            <w:r w:rsidRPr="00C66550">
              <w:rPr>
                <w:rFonts w:asciiTheme="minorHAnsi" w:hAnsiTheme="minorHAnsi" w:cs="Times New Roman"/>
                <w:color w:val="040405"/>
                <w:sz w:val="16"/>
                <w:szCs w:val="16"/>
                <w:lang w:eastAsia="en-GB"/>
              </w:rPr>
              <w:t>Miscellaneous agricultural organics</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85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16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42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17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E5424C" w:rsidP="009B1421">
            <w:pPr>
              <w:spacing w:line="240" w:lineRule="auto"/>
              <w:jc w:val="right"/>
              <w:rPr>
                <w:sz w:val="16"/>
                <w:szCs w:val="16"/>
              </w:rPr>
            </w:pPr>
            <w:r w:rsidRPr="00C66550">
              <w:rPr>
                <w:sz w:val="16"/>
                <w:szCs w:val="16"/>
              </w:rPr>
              <w:t xml:space="preserve"> </w:t>
            </w:r>
            <w:r w:rsidR="00377BB4" w:rsidRPr="00C66550">
              <w:rPr>
                <w:sz w:val="16"/>
                <w:szCs w:val="16"/>
              </w:rPr>
              <w:t xml:space="preserve">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10 </w:t>
            </w:r>
          </w:p>
        </w:tc>
      </w:tr>
      <w:tr w:rsidR="00D8370F" w:rsidRPr="00C66550" w:rsidTr="00B5065A">
        <w:tc>
          <w:tcPr>
            <w:tcW w:w="2821" w:type="dxa"/>
            <w:tcBorders>
              <w:left w:val="nil"/>
            </w:tcBorders>
            <w:shd w:val="clear" w:color="auto" w:fill="BFBFBF" w:themeFill="background1" w:themeFillShade="BF"/>
            <w:hideMark/>
          </w:tcPr>
          <w:p w:rsidR="00377BB4" w:rsidRPr="00C66550" w:rsidRDefault="00377BB4" w:rsidP="009B1421">
            <w:pPr>
              <w:pStyle w:val="ListParagraph"/>
              <w:numPr>
                <w:ilvl w:val="0"/>
                <w:numId w:val="8"/>
              </w:numPr>
              <w:spacing w:line="240" w:lineRule="auto"/>
              <w:ind w:left="190" w:hanging="190"/>
              <w:rPr>
                <w:rFonts w:asciiTheme="minorHAnsi" w:hAnsiTheme="minorHAnsi" w:cs="Times New Roman"/>
                <w:color w:val="181818"/>
                <w:sz w:val="16"/>
                <w:szCs w:val="16"/>
                <w:lang w:eastAsia="en-GB"/>
              </w:rPr>
            </w:pPr>
            <w:r w:rsidRPr="00C66550">
              <w:rPr>
                <w:rFonts w:asciiTheme="minorHAnsi" w:hAnsiTheme="minorHAnsi" w:cs="Times New Roman"/>
                <w:color w:val="181818"/>
                <w:sz w:val="16"/>
                <w:szCs w:val="16"/>
                <w:lang w:eastAsia="en-GB"/>
              </w:rPr>
              <w:t>Miscellaneous – non agricultural</w:t>
            </w:r>
          </w:p>
        </w:tc>
        <w:tc>
          <w:tcPr>
            <w:tcW w:w="850"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130 </w:t>
            </w:r>
          </w:p>
        </w:tc>
        <w:tc>
          <w:tcPr>
            <w:tcW w:w="1276" w:type="dxa"/>
            <w:gridSpan w:val="2"/>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27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31 </w:t>
            </w:r>
          </w:p>
        </w:tc>
        <w:tc>
          <w:tcPr>
            <w:tcW w:w="567"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21 </w:t>
            </w:r>
          </w:p>
        </w:tc>
        <w:tc>
          <w:tcPr>
            <w:tcW w:w="567" w:type="dxa"/>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27 </w:t>
            </w:r>
          </w:p>
        </w:tc>
        <w:tc>
          <w:tcPr>
            <w:tcW w:w="567" w:type="dxa"/>
            <w:tcBorders>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23 </w:t>
            </w:r>
          </w:p>
        </w:tc>
      </w:tr>
      <w:tr w:rsidR="00D8370F" w:rsidRPr="00C66550" w:rsidTr="00B5065A">
        <w:tc>
          <w:tcPr>
            <w:tcW w:w="2821" w:type="dxa"/>
            <w:tcBorders>
              <w:left w:val="nil"/>
              <w:bottom w:val="single" w:sz="8" w:space="0" w:color="7F7F7F"/>
            </w:tcBorders>
            <w:shd w:val="clear" w:color="auto" w:fill="BFBFBF" w:themeFill="background1" w:themeFillShade="BF"/>
            <w:noWrap/>
            <w:vAlign w:val="bottom"/>
            <w:hideMark/>
          </w:tcPr>
          <w:p w:rsidR="00377BB4" w:rsidRPr="00C66550" w:rsidRDefault="00377BB4" w:rsidP="009B1421">
            <w:pPr>
              <w:spacing w:line="240" w:lineRule="auto"/>
              <w:rPr>
                <w:rFonts w:asciiTheme="minorHAnsi" w:hAnsiTheme="minorHAnsi" w:cs="Times New Roman"/>
                <w:color w:val="000000"/>
                <w:sz w:val="16"/>
                <w:szCs w:val="16"/>
                <w:lang w:eastAsia="en-GB"/>
              </w:rPr>
            </w:pPr>
            <w:r w:rsidRPr="00C66550">
              <w:rPr>
                <w:rFonts w:asciiTheme="minorHAnsi" w:hAnsiTheme="minorHAnsi" w:cs="Times New Roman"/>
                <w:color w:val="000000"/>
                <w:sz w:val="16"/>
                <w:szCs w:val="16"/>
                <w:lang w:eastAsia="en-GB"/>
              </w:rPr>
              <w:t>Sub-total</w:t>
            </w:r>
          </w:p>
        </w:tc>
        <w:tc>
          <w:tcPr>
            <w:tcW w:w="850" w:type="dxa"/>
            <w:tcBorders>
              <w:bottom w:val="single" w:sz="8" w:space="0" w:color="7F7F7F"/>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2,124 </w:t>
            </w:r>
          </w:p>
        </w:tc>
        <w:tc>
          <w:tcPr>
            <w:tcW w:w="1276" w:type="dxa"/>
            <w:gridSpan w:val="2"/>
            <w:tcBorders>
              <w:bottom w:val="single" w:sz="8" w:space="0" w:color="7F7F7F"/>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470 </w:t>
            </w:r>
          </w:p>
        </w:tc>
        <w:tc>
          <w:tcPr>
            <w:tcW w:w="567" w:type="dxa"/>
            <w:tcBorders>
              <w:bottom w:val="single" w:sz="8" w:space="0" w:color="7F7F7F"/>
            </w:tcBorders>
            <w:shd w:val="clear" w:color="auto" w:fill="BFBFBF" w:themeFill="background1" w:themeFillShade="BF"/>
          </w:tcPr>
          <w:p w:rsidR="00377BB4" w:rsidRPr="00C66550" w:rsidRDefault="00377BB4" w:rsidP="009B1421">
            <w:pPr>
              <w:spacing w:line="240" w:lineRule="auto"/>
              <w:jc w:val="right"/>
              <w:rPr>
                <w:sz w:val="16"/>
                <w:szCs w:val="16"/>
              </w:rPr>
            </w:pPr>
          </w:p>
        </w:tc>
        <w:tc>
          <w:tcPr>
            <w:tcW w:w="709" w:type="dxa"/>
            <w:tcBorders>
              <w:bottom w:val="single" w:sz="8" w:space="0" w:color="7F7F7F"/>
            </w:tcBorders>
            <w:shd w:val="clear" w:color="auto" w:fill="BFBFBF" w:themeFill="background1" w:themeFillShade="BF"/>
          </w:tcPr>
          <w:p w:rsidR="00377BB4" w:rsidRPr="00C66550" w:rsidRDefault="00377BB4" w:rsidP="009B1421">
            <w:pPr>
              <w:spacing w:line="240" w:lineRule="auto"/>
              <w:jc w:val="right"/>
              <w:rPr>
                <w:sz w:val="16"/>
                <w:szCs w:val="16"/>
              </w:rPr>
            </w:pPr>
            <w:r w:rsidRPr="00C66550">
              <w:rPr>
                <w:sz w:val="16"/>
                <w:szCs w:val="16"/>
              </w:rPr>
              <w:t xml:space="preserve"> 583 </w:t>
            </w:r>
          </w:p>
        </w:tc>
        <w:tc>
          <w:tcPr>
            <w:tcW w:w="567" w:type="dxa"/>
            <w:tcBorders>
              <w:bottom w:val="single" w:sz="8" w:space="0" w:color="7F7F7F"/>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383 </w:t>
            </w:r>
          </w:p>
        </w:tc>
        <w:tc>
          <w:tcPr>
            <w:tcW w:w="567" w:type="dxa"/>
            <w:tcBorders>
              <w:bottom w:val="single" w:sz="8" w:space="0" w:color="7F7F7F"/>
            </w:tcBorders>
            <w:shd w:val="clear" w:color="auto" w:fill="BFBFBF" w:themeFill="background1" w:themeFillShade="BF"/>
          </w:tcPr>
          <w:p w:rsidR="00377BB4" w:rsidRPr="00C66550" w:rsidRDefault="00377BB4" w:rsidP="009B1421">
            <w:pPr>
              <w:spacing w:line="240" w:lineRule="auto"/>
              <w:jc w:val="right"/>
              <w:rPr>
                <w:sz w:val="16"/>
                <w:szCs w:val="16"/>
              </w:rPr>
            </w:pPr>
          </w:p>
        </w:tc>
        <w:tc>
          <w:tcPr>
            <w:tcW w:w="708" w:type="dxa"/>
            <w:tcBorders>
              <w:bottom w:val="single" w:sz="8" w:space="0" w:color="7F7F7F"/>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409 </w:t>
            </w:r>
          </w:p>
        </w:tc>
        <w:tc>
          <w:tcPr>
            <w:tcW w:w="567" w:type="dxa"/>
            <w:tcBorders>
              <w:bottom w:val="single" w:sz="8" w:space="0" w:color="7F7F7F"/>
              <w:right w:val="nil"/>
            </w:tcBorders>
            <w:shd w:val="clear" w:color="auto" w:fill="BFBFBF" w:themeFill="background1" w:themeFillShade="BF"/>
            <w:hideMark/>
          </w:tcPr>
          <w:p w:rsidR="00377BB4" w:rsidRPr="00C66550" w:rsidRDefault="00377BB4" w:rsidP="009B1421">
            <w:pPr>
              <w:spacing w:line="240" w:lineRule="auto"/>
              <w:jc w:val="right"/>
              <w:rPr>
                <w:sz w:val="16"/>
                <w:szCs w:val="16"/>
              </w:rPr>
            </w:pPr>
            <w:r w:rsidRPr="00C66550">
              <w:rPr>
                <w:sz w:val="16"/>
                <w:szCs w:val="16"/>
              </w:rPr>
              <w:t xml:space="preserve"> 279 </w:t>
            </w:r>
          </w:p>
        </w:tc>
      </w:tr>
      <w:tr w:rsidR="00D8370F" w:rsidRPr="00C66550" w:rsidTr="00B5065A">
        <w:tc>
          <w:tcPr>
            <w:tcW w:w="2821" w:type="dxa"/>
            <w:tcBorders>
              <w:top w:val="single" w:sz="8" w:space="0" w:color="7F7F7F"/>
              <w:left w:val="nil"/>
            </w:tcBorders>
            <w:noWrap/>
            <w:tcMar>
              <w:left w:w="57" w:type="dxa"/>
              <w:right w:w="57" w:type="dxa"/>
            </w:tcMar>
            <w:vAlign w:val="bottom"/>
            <w:hideMark/>
          </w:tcPr>
          <w:p w:rsidR="00377BB4" w:rsidRPr="00C66550" w:rsidRDefault="00377BB4" w:rsidP="009B1421">
            <w:pPr>
              <w:spacing w:line="240" w:lineRule="auto"/>
              <w:rPr>
                <w:rFonts w:asciiTheme="minorHAnsi" w:hAnsiTheme="minorHAnsi" w:cs="Times New Roman"/>
                <w:b/>
                <w:color w:val="000000"/>
                <w:sz w:val="16"/>
                <w:szCs w:val="16"/>
                <w:lang w:eastAsia="en-GB"/>
              </w:rPr>
            </w:pPr>
            <w:r w:rsidRPr="00C66550">
              <w:rPr>
                <w:rFonts w:asciiTheme="minorHAnsi" w:hAnsiTheme="minorHAnsi" w:cs="Times New Roman"/>
                <w:b/>
                <w:color w:val="000000"/>
                <w:sz w:val="16"/>
                <w:szCs w:val="16"/>
                <w:lang w:eastAsia="en-GB"/>
              </w:rPr>
              <w:t>Total all (kt)</w:t>
            </w:r>
          </w:p>
        </w:tc>
        <w:tc>
          <w:tcPr>
            <w:tcW w:w="850" w:type="dxa"/>
            <w:tcBorders>
              <w:top w:val="single" w:sz="8" w:space="0" w:color="7F7F7F"/>
            </w:tcBorders>
            <w:noWrap/>
            <w:tcMar>
              <w:left w:w="57" w:type="dxa"/>
              <w:right w:w="57" w:type="dxa"/>
            </w:tcMar>
            <w:hideMark/>
          </w:tcPr>
          <w:p w:rsidR="00377BB4" w:rsidRPr="00C66550" w:rsidRDefault="00377BB4" w:rsidP="009B1421">
            <w:pPr>
              <w:spacing w:line="240" w:lineRule="auto"/>
              <w:jc w:val="right"/>
              <w:rPr>
                <w:b/>
                <w:sz w:val="16"/>
                <w:szCs w:val="16"/>
              </w:rPr>
            </w:pPr>
            <w:r w:rsidRPr="00C66550">
              <w:rPr>
                <w:b/>
                <w:sz w:val="16"/>
                <w:szCs w:val="16"/>
              </w:rPr>
              <w:t xml:space="preserve"> 11,827 </w:t>
            </w:r>
          </w:p>
        </w:tc>
        <w:tc>
          <w:tcPr>
            <w:tcW w:w="1276" w:type="dxa"/>
            <w:gridSpan w:val="2"/>
            <w:tcBorders>
              <w:top w:val="single" w:sz="8" w:space="0" w:color="7F7F7F"/>
            </w:tcBorders>
            <w:noWrap/>
            <w:tcMar>
              <w:left w:w="57" w:type="dxa"/>
              <w:right w:w="57" w:type="dxa"/>
            </w:tcMar>
            <w:hideMark/>
          </w:tcPr>
          <w:p w:rsidR="00377BB4" w:rsidRPr="00C66550" w:rsidRDefault="00377BB4" w:rsidP="009B1421">
            <w:pPr>
              <w:spacing w:line="240" w:lineRule="auto"/>
              <w:jc w:val="right"/>
              <w:rPr>
                <w:b/>
                <w:sz w:val="16"/>
                <w:szCs w:val="16"/>
              </w:rPr>
            </w:pPr>
            <w:r w:rsidRPr="00C66550">
              <w:rPr>
                <w:b/>
                <w:sz w:val="16"/>
                <w:szCs w:val="16"/>
              </w:rPr>
              <w:t xml:space="preserve"> 4,083 </w:t>
            </w:r>
          </w:p>
        </w:tc>
        <w:tc>
          <w:tcPr>
            <w:tcW w:w="567" w:type="dxa"/>
            <w:tcBorders>
              <w:top w:val="single" w:sz="8" w:space="0" w:color="7F7F7F"/>
            </w:tcBorders>
            <w:noWrap/>
            <w:tcMar>
              <w:left w:w="57" w:type="dxa"/>
              <w:right w:w="57" w:type="dxa"/>
            </w:tcMar>
          </w:tcPr>
          <w:p w:rsidR="00377BB4" w:rsidRPr="00C66550" w:rsidRDefault="00377BB4" w:rsidP="009B1421">
            <w:pPr>
              <w:spacing w:line="240" w:lineRule="auto"/>
              <w:jc w:val="right"/>
              <w:rPr>
                <w:b/>
                <w:sz w:val="16"/>
                <w:szCs w:val="16"/>
              </w:rPr>
            </w:pPr>
            <w:r w:rsidRPr="00C66550">
              <w:rPr>
                <w:b/>
                <w:sz w:val="16"/>
                <w:szCs w:val="16"/>
              </w:rPr>
              <w:t xml:space="preserve"> 24 </w:t>
            </w:r>
          </w:p>
        </w:tc>
        <w:tc>
          <w:tcPr>
            <w:tcW w:w="709" w:type="dxa"/>
            <w:tcBorders>
              <w:top w:val="single" w:sz="8" w:space="0" w:color="7F7F7F"/>
            </w:tcBorders>
            <w:noWrap/>
            <w:tcMar>
              <w:left w:w="57" w:type="dxa"/>
              <w:right w:w="57" w:type="dxa"/>
            </w:tcMar>
            <w:hideMark/>
          </w:tcPr>
          <w:p w:rsidR="00377BB4" w:rsidRPr="00C66550" w:rsidRDefault="00377BB4" w:rsidP="009B1421">
            <w:pPr>
              <w:spacing w:line="240" w:lineRule="auto"/>
              <w:jc w:val="right"/>
              <w:rPr>
                <w:b/>
                <w:sz w:val="16"/>
                <w:szCs w:val="16"/>
              </w:rPr>
            </w:pPr>
            <w:r w:rsidRPr="00C66550">
              <w:rPr>
                <w:b/>
                <w:sz w:val="16"/>
                <w:szCs w:val="16"/>
              </w:rPr>
              <w:t xml:space="preserve"> 2,423 </w:t>
            </w:r>
          </w:p>
        </w:tc>
        <w:tc>
          <w:tcPr>
            <w:tcW w:w="567" w:type="dxa"/>
            <w:tcBorders>
              <w:top w:val="single" w:sz="8" w:space="0" w:color="7F7F7F"/>
            </w:tcBorders>
            <w:noWrap/>
            <w:tcMar>
              <w:left w:w="57" w:type="dxa"/>
              <w:right w:w="57" w:type="dxa"/>
            </w:tcMar>
            <w:hideMark/>
          </w:tcPr>
          <w:p w:rsidR="00377BB4" w:rsidRPr="00C66550" w:rsidRDefault="00377BB4" w:rsidP="009B1421">
            <w:pPr>
              <w:spacing w:line="240" w:lineRule="auto"/>
              <w:jc w:val="right"/>
              <w:rPr>
                <w:b/>
                <w:sz w:val="16"/>
                <w:szCs w:val="16"/>
              </w:rPr>
            </w:pPr>
            <w:r w:rsidRPr="00C66550">
              <w:rPr>
                <w:b/>
                <w:sz w:val="16"/>
                <w:szCs w:val="16"/>
              </w:rPr>
              <w:t xml:space="preserve">1,289 </w:t>
            </w:r>
          </w:p>
        </w:tc>
        <w:tc>
          <w:tcPr>
            <w:tcW w:w="567" w:type="dxa"/>
            <w:tcBorders>
              <w:top w:val="single" w:sz="8" w:space="0" w:color="7F7F7F"/>
            </w:tcBorders>
            <w:noWrap/>
            <w:tcMar>
              <w:left w:w="57" w:type="dxa"/>
              <w:right w:w="57" w:type="dxa"/>
            </w:tcMar>
            <w:hideMark/>
          </w:tcPr>
          <w:p w:rsidR="00377BB4" w:rsidRPr="00C66550" w:rsidRDefault="00377BB4" w:rsidP="009B1421">
            <w:pPr>
              <w:spacing w:line="240" w:lineRule="auto"/>
              <w:jc w:val="right"/>
              <w:rPr>
                <w:b/>
                <w:sz w:val="16"/>
                <w:szCs w:val="16"/>
              </w:rPr>
            </w:pPr>
            <w:r w:rsidRPr="00C66550">
              <w:rPr>
                <w:b/>
                <w:sz w:val="16"/>
                <w:szCs w:val="16"/>
              </w:rPr>
              <w:t xml:space="preserve"> 159 </w:t>
            </w:r>
          </w:p>
        </w:tc>
        <w:tc>
          <w:tcPr>
            <w:tcW w:w="708" w:type="dxa"/>
            <w:tcBorders>
              <w:top w:val="single" w:sz="8" w:space="0" w:color="7F7F7F"/>
            </w:tcBorders>
            <w:noWrap/>
            <w:tcMar>
              <w:left w:w="57" w:type="dxa"/>
              <w:right w:w="57" w:type="dxa"/>
            </w:tcMar>
            <w:hideMark/>
          </w:tcPr>
          <w:p w:rsidR="00377BB4" w:rsidRPr="00C66550" w:rsidRDefault="00377BB4" w:rsidP="009B1421">
            <w:pPr>
              <w:spacing w:line="240" w:lineRule="auto"/>
              <w:jc w:val="right"/>
              <w:rPr>
                <w:b/>
                <w:sz w:val="16"/>
                <w:szCs w:val="16"/>
              </w:rPr>
            </w:pPr>
            <w:r w:rsidRPr="00C66550">
              <w:rPr>
                <w:b/>
                <w:sz w:val="16"/>
                <w:szCs w:val="16"/>
              </w:rPr>
              <w:t xml:space="preserve"> 2,678 </w:t>
            </w:r>
          </w:p>
        </w:tc>
        <w:tc>
          <w:tcPr>
            <w:tcW w:w="567" w:type="dxa"/>
            <w:tcBorders>
              <w:top w:val="single" w:sz="8" w:space="0" w:color="7F7F7F"/>
              <w:right w:val="nil"/>
            </w:tcBorders>
            <w:noWrap/>
            <w:tcMar>
              <w:left w:w="57" w:type="dxa"/>
              <w:right w:w="57" w:type="dxa"/>
            </w:tcMar>
            <w:hideMark/>
          </w:tcPr>
          <w:p w:rsidR="00377BB4" w:rsidRPr="00C66550" w:rsidRDefault="00377BB4" w:rsidP="009B1421">
            <w:pPr>
              <w:spacing w:line="240" w:lineRule="auto"/>
              <w:jc w:val="right"/>
              <w:rPr>
                <w:b/>
                <w:sz w:val="16"/>
                <w:szCs w:val="16"/>
              </w:rPr>
            </w:pPr>
            <w:r w:rsidRPr="00C66550">
              <w:rPr>
                <w:b/>
                <w:sz w:val="16"/>
                <w:szCs w:val="16"/>
              </w:rPr>
              <w:t xml:space="preserve"> 1,204 </w:t>
            </w:r>
          </w:p>
        </w:tc>
      </w:tr>
      <w:tr w:rsidR="00D8370F" w:rsidRPr="00C66550" w:rsidTr="00B5065A">
        <w:tc>
          <w:tcPr>
            <w:tcW w:w="2821" w:type="dxa"/>
            <w:tcBorders>
              <w:left w:val="nil"/>
              <w:bottom w:val="single" w:sz="8" w:space="0" w:color="7F7F7F"/>
            </w:tcBorders>
            <w:noWrap/>
            <w:vAlign w:val="bottom"/>
            <w:hideMark/>
          </w:tcPr>
          <w:p w:rsidR="00377BB4" w:rsidRPr="00C66550" w:rsidRDefault="00377BB4" w:rsidP="009B1421">
            <w:pPr>
              <w:spacing w:line="240" w:lineRule="auto"/>
              <w:rPr>
                <w:rFonts w:asciiTheme="minorHAnsi" w:hAnsiTheme="minorHAnsi" w:cs="Times New Roman"/>
                <w:b/>
                <w:color w:val="000000"/>
                <w:sz w:val="16"/>
                <w:szCs w:val="16"/>
                <w:lang w:eastAsia="en-GB"/>
              </w:rPr>
            </w:pPr>
            <w:r w:rsidRPr="00C66550">
              <w:rPr>
                <w:rFonts w:asciiTheme="minorHAnsi" w:hAnsiTheme="minorHAnsi" w:cs="Times New Roman"/>
                <w:b/>
                <w:color w:val="000000"/>
                <w:sz w:val="16"/>
                <w:szCs w:val="16"/>
                <w:lang w:eastAsia="en-GB"/>
              </w:rPr>
              <w:t>Recovery per capita (kg/yr)</w:t>
            </w:r>
          </w:p>
        </w:tc>
        <w:tc>
          <w:tcPr>
            <w:tcW w:w="850" w:type="dxa"/>
            <w:tcBorders>
              <w:bottom w:val="single" w:sz="8" w:space="0" w:color="7F7F7F"/>
            </w:tcBorders>
            <w:noWrap/>
            <w:hideMark/>
          </w:tcPr>
          <w:p w:rsidR="00377BB4" w:rsidRPr="00C66550" w:rsidRDefault="00377BB4" w:rsidP="009B1421">
            <w:pPr>
              <w:spacing w:line="240" w:lineRule="auto"/>
              <w:jc w:val="right"/>
              <w:rPr>
                <w:sz w:val="16"/>
                <w:szCs w:val="16"/>
              </w:rPr>
            </w:pPr>
            <w:r w:rsidRPr="00C66550">
              <w:rPr>
                <w:sz w:val="16"/>
                <w:szCs w:val="16"/>
              </w:rPr>
              <w:t xml:space="preserve"> 0.53 </w:t>
            </w:r>
          </w:p>
        </w:tc>
        <w:tc>
          <w:tcPr>
            <w:tcW w:w="1276" w:type="dxa"/>
            <w:gridSpan w:val="2"/>
            <w:tcBorders>
              <w:bottom w:val="single" w:sz="8" w:space="0" w:color="7F7F7F"/>
            </w:tcBorders>
            <w:noWrap/>
            <w:hideMark/>
          </w:tcPr>
          <w:p w:rsidR="00377BB4" w:rsidRPr="00C66550" w:rsidRDefault="00377BB4" w:rsidP="009B1421">
            <w:pPr>
              <w:spacing w:line="240" w:lineRule="auto"/>
              <w:jc w:val="right"/>
              <w:rPr>
                <w:sz w:val="16"/>
                <w:szCs w:val="16"/>
              </w:rPr>
            </w:pPr>
            <w:r w:rsidRPr="00C66550">
              <w:rPr>
                <w:sz w:val="16"/>
                <w:szCs w:val="16"/>
              </w:rPr>
              <w:t xml:space="preserve"> 0.54 </w:t>
            </w:r>
          </w:p>
        </w:tc>
        <w:tc>
          <w:tcPr>
            <w:tcW w:w="567" w:type="dxa"/>
            <w:tcBorders>
              <w:bottom w:val="single" w:sz="8" w:space="0" w:color="7F7F7F"/>
            </w:tcBorders>
            <w:noWrap/>
          </w:tcPr>
          <w:p w:rsidR="00377BB4" w:rsidRPr="00C66550" w:rsidRDefault="00377BB4" w:rsidP="009B1421">
            <w:pPr>
              <w:spacing w:line="240" w:lineRule="auto"/>
              <w:jc w:val="right"/>
              <w:rPr>
                <w:sz w:val="16"/>
                <w:szCs w:val="16"/>
              </w:rPr>
            </w:pPr>
            <w:r w:rsidRPr="00C66550">
              <w:rPr>
                <w:sz w:val="16"/>
                <w:szCs w:val="16"/>
              </w:rPr>
              <w:t xml:space="preserve"> 0.10 </w:t>
            </w:r>
          </w:p>
        </w:tc>
        <w:tc>
          <w:tcPr>
            <w:tcW w:w="709" w:type="dxa"/>
            <w:tcBorders>
              <w:bottom w:val="single" w:sz="8" w:space="0" w:color="7F7F7F"/>
            </w:tcBorders>
            <w:noWrap/>
            <w:hideMark/>
          </w:tcPr>
          <w:p w:rsidR="00377BB4" w:rsidRPr="00C66550" w:rsidRDefault="00377BB4" w:rsidP="009B1421">
            <w:pPr>
              <w:spacing w:line="240" w:lineRule="auto"/>
              <w:jc w:val="right"/>
              <w:rPr>
                <w:sz w:val="16"/>
                <w:szCs w:val="16"/>
              </w:rPr>
            </w:pPr>
            <w:r w:rsidRPr="00C66550">
              <w:rPr>
                <w:sz w:val="16"/>
                <w:szCs w:val="16"/>
              </w:rPr>
              <w:t xml:space="preserve"> 0.54 </w:t>
            </w:r>
          </w:p>
        </w:tc>
        <w:tc>
          <w:tcPr>
            <w:tcW w:w="567" w:type="dxa"/>
            <w:tcBorders>
              <w:bottom w:val="single" w:sz="8" w:space="0" w:color="7F7F7F"/>
            </w:tcBorders>
            <w:noWrap/>
            <w:hideMark/>
          </w:tcPr>
          <w:p w:rsidR="00377BB4" w:rsidRPr="00C66550" w:rsidRDefault="00377BB4" w:rsidP="009B1421">
            <w:pPr>
              <w:spacing w:line="240" w:lineRule="auto"/>
              <w:jc w:val="right"/>
              <w:rPr>
                <w:sz w:val="16"/>
                <w:szCs w:val="16"/>
              </w:rPr>
            </w:pPr>
            <w:r w:rsidRPr="00C66550">
              <w:rPr>
                <w:sz w:val="16"/>
                <w:szCs w:val="16"/>
              </w:rPr>
              <w:t xml:space="preserve"> 0.79 </w:t>
            </w:r>
          </w:p>
        </w:tc>
        <w:tc>
          <w:tcPr>
            <w:tcW w:w="567" w:type="dxa"/>
            <w:tcBorders>
              <w:bottom w:val="single" w:sz="8" w:space="0" w:color="7F7F7F"/>
            </w:tcBorders>
            <w:noWrap/>
            <w:hideMark/>
          </w:tcPr>
          <w:p w:rsidR="00377BB4" w:rsidRPr="00C66550" w:rsidRDefault="00377BB4" w:rsidP="009B1421">
            <w:pPr>
              <w:spacing w:line="240" w:lineRule="auto"/>
              <w:jc w:val="right"/>
              <w:rPr>
                <w:sz w:val="16"/>
                <w:szCs w:val="16"/>
              </w:rPr>
            </w:pPr>
            <w:r w:rsidRPr="00C66550">
              <w:rPr>
                <w:sz w:val="16"/>
                <w:szCs w:val="16"/>
              </w:rPr>
              <w:t xml:space="preserve"> 0.31 </w:t>
            </w:r>
          </w:p>
        </w:tc>
        <w:tc>
          <w:tcPr>
            <w:tcW w:w="708" w:type="dxa"/>
            <w:tcBorders>
              <w:bottom w:val="single" w:sz="8" w:space="0" w:color="7F7F7F"/>
            </w:tcBorders>
            <w:noWrap/>
            <w:hideMark/>
          </w:tcPr>
          <w:p w:rsidR="00377BB4" w:rsidRPr="00C66550" w:rsidRDefault="00377BB4" w:rsidP="009B1421">
            <w:pPr>
              <w:spacing w:line="240" w:lineRule="auto"/>
              <w:jc w:val="right"/>
              <w:rPr>
                <w:sz w:val="16"/>
                <w:szCs w:val="16"/>
              </w:rPr>
            </w:pPr>
            <w:r w:rsidRPr="00C66550">
              <w:rPr>
                <w:sz w:val="16"/>
                <w:szCs w:val="16"/>
              </w:rPr>
              <w:t xml:space="preserve"> 0.49 </w:t>
            </w:r>
          </w:p>
        </w:tc>
        <w:tc>
          <w:tcPr>
            <w:tcW w:w="567" w:type="dxa"/>
            <w:tcBorders>
              <w:bottom w:val="single" w:sz="8" w:space="0" w:color="7F7F7F"/>
              <w:right w:val="nil"/>
            </w:tcBorders>
            <w:noWrap/>
            <w:hideMark/>
          </w:tcPr>
          <w:p w:rsidR="00377BB4" w:rsidRPr="00C66550" w:rsidRDefault="00377BB4" w:rsidP="009B1421">
            <w:pPr>
              <w:spacing w:line="240" w:lineRule="auto"/>
              <w:jc w:val="right"/>
              <w:rPr>
                <w:sz w:val="16"/>
                <w:szCs w:val="16"/>
              </w:rPr>
            </w:pPr>
            <w:r w:rsidRPr="00C66550">
              <w:rPr>
                <w:sz w:val="16"/>
                <w:szCs w:val="16"/>
              </w:rPr>
              <w:t xml:space="preserve"> 0.52 </w:t>
            </w:r>
          </w:p>
        </w:tc>
      </w:tr>
    </w:tbl>
    <w:p w:rsidR="00A378E8" w:rsidRPr="00C66550" w:rsidRDefault="00CD1441" w:rsidP="00CD1441">
      <w:pPr>
        <w:pStyle w:val="BodyText"/>
        <w:rPr>
          <w:i/>
          <w:color w:val="0000FF" w:themeColor="text2"/>
          <w:sz w:val="18"/>
          <w:szCs w:val="18"/>
        </w:rPr>
      </w:pPr>
      <w:r w:rsidRPr="00C66550">
        <w:rPr>
          <w:i/>
          <w:color w:val="0000FF" w:themeColor="text2"/>
          <w:sz w:val="18"/>
          <w:szCs w:val="18"/>
        </w:rPr>
        <w:t>Shaded data are from</w:t>
      </w:r>
      <w:r w:rsidR="008D568B" w:rsidRPr="00C66550">
        <w:rPr>
          <w:i/>
          <w:color w:val="0000FF" w:themeColor="text2"/>
          <w:sz w:val="18"/>
          <w:szCs w:val="18"/>
        </w:rPr>
        <w:t xml:space="preserve"> ROU</w:t>
      </w:r>
      <w:r w:rsidRPr="00C66550">
        <w:rPr>
          <w:i/>
          <w:color w:val="0000FF" w:themeColor="text2"/>
          <w:sz w:val="18"/>
          <w:szCs w:val="18"/>
        </w:rPr>
        <w:t xml:space="preserve"> </w:t>
      </w:r>
      <w:r w:rsidR="008D568B" w:rsidRPr="00C66550">
        <w:rPr>
          <w:i/>
          <w:color w:val="0000FF" w:themeColor="text2"/>
          <w:sz w:val="18"/>
          <w:szCs w:val="18"/>
        </w:rPr>
        <w:t>(</w:t>
      </w:r>
      <w:r w:rsidRPr="00C66550">
        <w:rPr>
          <w:i/>
          <w:color w:val="0000FF" w:themeColor="text2"/>
          <w:sz w:val="18"/>
          <w:szCs w:val="18"/>
        </w:rPr>
        <w:t>Campbell</w:t>
      </w:r>
      <w:r w:rsidR="008D568B" w:rsidRPr="00C66550">
        <w:rPr>
          <w:i/>
          <w:color w:val="0000FF" w:themeColor="text2"/>
          <w:sz w:val="18"/>
          <w:szCs w:val="18"/>
        </w:rPr>
        <w:t xml:space="preserve">, </w:t>
      </w:r>
      <w:r w:rsidRPr="00C66550">
        <w:rPr>
          <w:i/>
          <w:color w:val="0000FF" w:themeColor="text2"/>
          <w:sz w:val="18"/>
          <w:szCs w:val="18"/>
        </w:rPr>
        <w:t xml:space="preserve">pers. comm.). Other data </w:t>
      </w:r>
      <w:r w:rsidR="008D568B" w:rsidRPr="00C66550">
        <w:rPr>
          <w:i/>
          <w:color w:val="0000FF" w:themeColor="text2"/>
          <w:sz w:val="18"/>
          <w:szCs w:val="18"/>
        </w:rPr>
        <w:t xml:space="preserve">are </w:t>
      </w:r>
      <w:r w:rsidRPr="00C66550">
        <w:rPr>
          <w:i/>
          <w:color w:val="0000FF" w:themeColor="text2"/>
          <w:sz w:val="18"/>
          <w:szCs w:val="18"/>
        </w:rPr>
        <w:t xml:space="preserve">as compiled within this report. </w:t>
      </w:r>
    </w:p>
    <w:p w:rsidR="00B14CBB" w:rsidRPr="00C66550" w:rsidRDefault="00B14CBB">
      <w:pPr>
        <w:spacing w:line="240" w:lineRule="auto"/>
        <w:rPr>
          <w:rFonts w:ascii="Arial Rounded MT Bold" w:hAnsi="Arial Rounded MT Bold" w:cs="Arial"/>
          <w:color w:val="0000FF"/>
          <w:sz w:val="28"/>
          <w:szCs w:val="28"/>
        </w:rPr>
      </w:pPr>
      <w:r w:rsidRPr="00C66550">
        <w:br w:type="page"/>
      </w:r>
    </w:p>
    <w:p w:rsidR="002A73E4" w:rsidRPr="00C66550" w:rsidRDefault="002A73E4" w:rsidP="006D25F9">
      <w:pPr>
        <w:pStyle w:val="Heading2"/>
      </w:pPr>
      <w:bookmarkStart w:id="192" w:name="_Toc379466389"/>
      <w:r w:rsidRPr="00C66550">
        <w:lastRenderedPageBreak/>
        <w:t>Recovery trends</w:t>
      </w:r>
      <w:bookmarkEnd w:id="192"/>
    </w:p>
    <w:p w:rsidR="002A73E4" w:rsidRPr="00C66550" w:rsidRDefault="0062001A" w:rsidP="002A73E4">
      <w:pPr>
        <w:pStyle w:val="BodyText"/>
      </w:pPr>
      <w:r w:rsidRPr="00C66550">
        <w:fldChar w:fldCharType="begin"/>
      </w:r>
      <w:r w:rsidR="000D51CD" w:rsidRPr="00C66550">
        <w:instrText xml:space="preserve"> REF _Ref349659224 \h </w:instrText>
      </w:r>
      <w:r w:rsidRPr="00C66550">
        <w:fldChar w:fldCharType="separate"/>
      </w:r>
      <w:r w:rsidR="00D96003" w:rsidRPr="00C66550">
        <w:t xml:space="preserve">Table </w:t>
      </w:r>
      <w:r w:rsidR="00D96003">
        <w:rPr>
          <w:noProof/>
        </w:rPr>
        <w:t>10</w:t>
      </w:r>
      <w:r w:rsidRPr="00C66550">
        <w:fldChar w:fldCharType="end"/>
      </w:r>
      <w:r w:rsidR="000D51CD" w:rsidRPr="00C66550">
        <w:t xml:space="preserve"> </w:t>
      </w:r>
      <w:r w:rsidR="002A73E4" w:rsidRPr="00C66550">
        <w:t>shows estimated trends in the recovery of different organics for the period 2006/07 to 2010/11, based on R</w:t>
      </w:r>
      <w:r w:rsidR="00966798" w:rsidRPr="00C66550">
        <w:t>O</w:t>
      </w:r>
      <w:r w:rsidR="002A73E4" w:rsidRPr="00C66550">
        <w:t>U survey data.</w:t>
      </w:r>
      <w:r w:rsidR="00FF12A8" w:rsidRPr="00C66550">
        <w:t xml:space="preserve"> </w:t>
      </w:r>
      <w:r w:rsidR="002A73E4" w:rsidRPr="00C66550">
        <w:t>This does not include recovery of paper and cardboard, landfill biogas energy generation or timber to energy recovery.</w:t>
      </w:r>
      <w:bookmarkStart w:id="193" w:name="_Ref348520268"/>
    </w:p>
    <w:p w:rsidR="002A73E4" w:rsidRPr="00C66550" w:rsidRDefault="002A73E4" w:rsidP="002A73E4">
      <w:pPr>
        <w:pStyle w:val="BodyText"/>
      </w:pPr>
    </w:p>
    <w:p w:rsidR="002A73E4" w:rsidRPr="00C66550" w:rsidRDefault="002A73E4" w:rsidP="00FB4820">
      <w:pPr>
        <w:pStyle w:val="Figures"/>
      </w:pPr>
      <w:bookmarkStart w:id="194" w:name="_Ref349659224"/>
      <w:bookmarkStart w:id="195" w:name="_Toc365038854"/>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10</w:t>
      </w:r>
      <w:r w:rsidR="0062001A" w:rsidRPr="00C66550">
        <w:fldChar w:fldCharType="end"/>
      </w:r>
      <w:bookmarkEnd w:id="193"/>
      <w:bookmarkEnd w:id="194"/>
      <w:r w:rsidR="00BF5F0E" w:rsidRPr="00C66550">
        <w:t>:</w:t>
      </w:r>
      <w:r w:rsidR="00BF5F0E" w:rsidRPr="00C66550">
        <w:tab/>
      </w:r>
      <w:r w:rsidRPr="00C66550">
        <w:t>Trends in organics recovery reported by R</w:t>
      </w:r>
      <w:r w:rsidR="003B0DC8" w:rsidRPr="00C66550">
        <w:t>O</w:t>
      </w:r>
      <w:r w:rsidRPr="00C66550">
        <w:t>U survey respondents</w:t>
      </w:r>
      <w:bookmarkEnd w:id="195"/>
    </w:p>
    <w:tbl>
      <w:tblPr>
        <w:tblStyle w:val="BETable1"/>
        <w:tblW w:w="8926" w:type="dxa"/>
        <w:tblInd w:w="0" w:type="dxa"/>
        <w:tblLayout w:type="fixed"/>
        <w:tblLook w:val="04A0"/>
      </w:tblPr>
      <w:tblGrid>
        <w:gridCol w:w="2685"/>
        <w:gridCol w:w="1035"/>
        <w:gridCol w:w="1035"/>
        <w:gridCol w:w="1066"/>
        <w:gridCol w:w="1035"/>
        <w:gridCol w:w="1035"/>
        <w:gridCol w:w="1035"/>
      </w:tblGrid>
      <w:tr w:rsidR="002A73E4" w:rsidRPr="00C66550" w:rsidTr="00B14CBB">
        <w:trPr>
          <w:cnfStyle w:val="100000000000"/>
          <w:tblHeader/>
        </w:trPr>
        <w:tc>
          <w:tcPr>
            <w:cnfStyle w:val="001000000000"/>
            <w:tcW w:w="2685" w:type="dxa"/>
            <w:tcBorders>
              <w:bottom w:val="single" w:sz="4" w:space="0" w:color="7F7F7F" w:themeColor="background2"/>
            </w:tcBorders>
            <w:noWrap/>
            <w:hideMark/>
          </w:tcPr>
          <w:p w:rsidR="002A73E4" w:rsidRPr="00C66550" w:rsidRDefault="002A73E4" w:rsidP="009B1421">
            <w:pPr>
              <w:spacing w:line="240" w:lineRule="auto"/>
              <w:rPr>
                <w:rFonts w:asciiTheme="minorHAnsi" w:hAnsiTheme="minorHAnsi" w:cs="Times New Roman"/>
                <w:color w:val="000000"/>
                <w:sz w:val="18"/>
                <w:szCs w:val="18"/>
                <w:lang w:eastAsia="en-GB"/>
              </w:rPr>
            </w:pPr>
          </w:p>
        </w:tc>
        <w:tc>
          <w:tcPr>
            <w:tcW w:w="1035" w:type="dxa"/>
            <w:tcBorders>
              <w:bottom w:val="single" w:sz="4" w:space="0" w:color="7F7F7F" w:themeColor="background2"/>
            </w:tcBorders>
            <w:noWrap/>
            <w:hideMark/>
          </w:tcPr>
          <w:p w:rsidR="002A73E4" w:rsidRPr="00C66550" w:rsidRDefault="002A73E4" w:rsidP="009B1421">
            <w:pPr>
              <w:spacing w:line="240" w:lineRule="auto"/>
              <w:jc w:val="right"/>
              <w:cnfStyle w:val="1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2005/06</w:t>
            </w:r>
          </w:p>
        </w:tc>
        <w:tc>
          <w:tcPr>
            <w:tcW w:w="1035" w:type="dxa"/>
            <w:tcBorders>
              <w:bottom w:val="single" w:sz="4" w:space="0" w:color="7F7F7F" w:themeColor="background2"/>
            </w:tcBorders>
            <w:noWrap/>
            <w:hideMark/>
          </w:tcPr>
          <w:p w:rsidR="002A73E4" w:rsidRPr="00C66550" w:rsidRDefault="002A73E4" w:rsidP="009B1421">
            <w:pPr>
              <w:spacing w:line="240" w:lineRule="auto"/>
              <w:jc w:val="right"/>
              <w:cnfStyle w:val="1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2006/07</w:t>
            </w:r>
          </w:p>
        </w:tc>
        <w:tc>
          <w:tcPr>
            <w:tcW w:w="1066" w:type="dxa"/>
            <w:tcBorders>
              <w:bottom w:val="single" w:sz="4" w:space="0" w:color="7F7F7F" w:themeColor="background2"/>
            </w:tcBorders>
            <w:noWrap/>
            <w:hideMark/>
          </w:tcPr>
          <w:p w:rsidR="002A73E4" w:rsidRPr="00C66550" w:rsidRDefault="002A73E4" w:rsidP="009B1421">
            <w:pPr>
              <w:spacing w:line="240" w:lineRule="auto"/>
              <w:jc w:val="right"/>
              <w:cnfStyle w:val="100000000000"/>
              <w:rPr>
                <w:rFonts w:asciiTheme="minorHAnsi" w:hAnsiTheme="minorHAnsi" w:cs="Times New Roman"/>
                <w:color w:val="000000"/>
                <w:sz w:val="18"/>
                <w:szCs w:val="18"/>
                <w:vertAlign w:val="superscript"/>
                <w:lang w:eastAsia="en-GB"/>
              </w:rPr>
            </w:pPr>
            <w:r w:rsidRPr="00C66550">
              <w:rPr>
                <w:rFonts w:asciiTheme="minorHAnsi" w:hAnsiTheme="minorHAnsi" w:cs="Times New Roman"/>
                <w:color w:val="000000"/>
                <w:sz w:val="18"/>
                <w:szCs w:val="18"/>
                <w:lang w:eastAsia="en-GB"/>
              </w:rPr>
              <w:t>2007/08</w:t>
            </w:r>
            <w:r w:rsidR="009B1421" w:rsidRPr="00C66550">
              <w:rPr>
                <w:rFonts w:asciiTheme="minorHAnsi" w:hAnsiTheme="minorHAnsi" w:cs="Times New Roman"/>
                <w:color w:val="000000"/>
                <w:sz w:val="18"/>
                <w:szCs w:val="18"/>
                <w:lang w:eastAsia="en-GB"/>
              </w:rPr>
              <w:t>*</w:t>
            </w:r>
          </w:p>
        </w:tc>
        <w:tc>
          <w:tcPr>
            <w:tcW w:w="1035" w:type="dxa"/>
            <w:tcBorders>
              <w:bottom w:val="single" w:sz="4" w:space="0" w:color="7F7F7F" w:themeColor="background2"/>
            </w:tcBorders>
            <w:noWrap/>
            <w:hideMark/>
          </w:tcPr>
          <w:p w:rsidR="002A73E4" w:rsidRPr="00C66550" w:rsidRDefault="002A73E4" w:rsidP="009B1421">
            <w:pPr>
              <w:spacing w:line="240" w:lineRule="auto"/>
              <w:jc w:val="right"/>
              <w:cnfStyle w:val="1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2008/09</w:t>
            </w:r>
          </w:p>
        </w:tc>
        <w:tc>
          <w:tcPr>
            <w:tcW w:w="1035" w:type="dxa"/>
            <w:tcBorders>
              <w:bottom w:val="single" w:sz="4" w:space="0" w:color="7F7F7F" w:themeColor="background2"/>
            </w:tcBorders>
            <w:noWrap/>
            <w:hideMark/>
          </w:tcPr>
          <w:p w:rsidR="002A73E4" w:rsidRPr="00C66550" w:rsidRDefault="002A73E4" w:rsidP="009B1421">
            <w:pPr>
              <w:spacing w:line="240" w:lineRule="auto"/>
              <w:jc w:val="right"/>
              <w:cnfStyle w:val="1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2009/10</w:t>
            </w:r>
          </w:p>
        </w:tc>
        <w:tc>
          <w:tcPr>
            <w:tcW w:w="1035" w:type="dxa"/>
            <w:tcBorders>
              <w:bottom w:val="single" w:sz="4" w:space="0" w:color="7F7F7F" w:themeColor="background2"/>
            </w:tcBorders>
            <w:noWrap/>
            <w:hideMark/>
          </w:tcPr>
          <w:p w:rsidR="002A73E4" w:rsidRPr="00C66550" w:rsidRDefault="002A73E4" w:rsidP="009B1421">
            <w:pPr>
              <w:spacing w:line="240" w:lineRule="auto"/>
              <w:jc w:val="right"/>
              <w:cnfStyle w:val="1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2010/11</w:t>
            </w:r>
          </w:p>
        </w:tc>
      </w:tr>
      <w:tr w:rsidR="002A73E4" w:rsidRPr="00C66550" w:rsidTr="00B14CBB">
        <w:tc>
          <w:tcPr>
            <w:cnfStyle w:val="001000000000"/>
            <w:tcW w:w="2685" w:type="dxa"/>
            <w:tcBorders>
              <w:bottom w:val="nil"/>
            </w:tcBorders>
            <w:noWrap/>
            <w:hideMark/>
          </w:tcPr>
          <w:p w:rsidR="002A73E4" w:rsidRPr="00C66550" w:rsidRDefault="002A73E4" w:rsidP="009B1421">
            <w:pPr>
              <w:spacing w:line="240" w:lineRule="auto"/>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FACILITIES SURVEYED</w:t>
            </w:r>
          </w:p>
        </w:tc>
        <w:tc>
          <w:tcPr>
            <w:tcW w:w="1035" w:type="dxa"/>
            <w:tcBorders>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141</w:t>
            </w:r>
          </w:p>
        </w:tc>
        <w:tc>
          <w:tcPr>
            <w:tcW w:w="1035" w:type="dxa"/>
            <w:tcBorders>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143</w:t>
            </w:r>
          </w:p>
        </w:tc>
        <w:tc>
          <w:tcPr>
            <w:tcW w:w="1066" w:type="dxa"/>
            <w:tcBorders>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138</w:t>
            </w:r>
          </w:p>
        </w:tc>
        <w:tc>
          <w:tcPr>
            <w:tcW w:w="1035" w:type="dxa"/>
            <w:tcBorders>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186</w:t>
            </w:r>
          </w:p>
        </w:tc>
        <w:tc>
          <w:tcPr>
            <w:tcW w:w="1035" w:type="dxa"/>
            <w:tcBorders>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187</w:t>
            </w:r>
          </w:p>
        </w:tc>
        <w:tc>
          <w:tcPr>
            <w:tcW w:w="1035" w:type="dxa"/>
            <w:tcBorders>
              <w:bottom w:val="nil"/>
            </w:tcBorders>
            <w:noWrap/>
            <w:hideMark/>
          </w:tcPr>
          <w:p w:rsidR="002A73E4" w:rsidRPr="00C66550" w:rsidRDefault="002A73E4" w:rsidP="009B1421">
            <w:pPr>
              <w:jc w:val="right"/>
              <w:cnfStyle w:val="000000000000"/>
              <w:rPr>
                <w:rFonts w:cs="Calibri"/>
                <w:color w:val="000000"/>
                <w:sz w:val="18"/>
                <w:szCs w:val="18"/>
              </w:rPr>
            </w:pPr>
            <w:r w:rsidRPr="00C66550">
              <w:rPr>
                <w:rFonts w:cs="Calibri"/>
                <w:color w:val="000000"/>
                <w:sz w:val="18"/>
                <w:szCs w:val="18"/>
              </w:rPr>
              <w:t>198</w:t>
            </w:r>
          </w:p>
        </w:tc>
      </w:tr>
      <w:tr w:rsidR="002A73E4" w:rsidRPr="00C66550" w:rsidTr="00B14CBB">
        <w:tc>
          <w:tcPr>
            <w:cnfStyle w:val="001000000000"/>
            <w:tcW w:w="2685" w:type="dxa"/>
            <w:tcBorders>
              <w:top w:val="nil"/>
              <w:bottom w:val="nil"/>
            </w:tcBorders>
            <w:noWrap/>
            <w:hideMark/>
          </w:tcPr>
          <w:p w:rsidR="002A73E4" w:rsidRPr="00C66550" w:rsidRDefault="002A73E4" w:rsidP="009B1421">
            <w:pPr>
              <w:spacing w:line="240" w:lineRule="auto"/>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ON-FARM</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29</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28</w:t>
            </w:r>
          </w:p>
        </w:tc>
        <w:tc>
          <w:tcPr>
            <w:tcW w:w="1066"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28</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48</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51</w:t>
            </w:r>
          </w:p>
        </w:tc>
        <w:tc>
          <w:tcPr>
            <w:tcW w:w="1035" w:type="dxa"/>
            <w:tcBorders>
              <w:top w:val="nil"/>
              <w:bottom w:val="nil"/>
            </w:tcBorders>
            <w:noWrap/>
            <w:hideMark/>
          </w:tcPr>
          <w:p w:rsidR="002A73E4" w:rsidRPr="00C66550" w:rsidRDefault="002A73E4" w:rsidP="009B1421">
            <w:pPr>
              <w:jc w:val="right"/>
              <w:cnfStyle w:val="000000000000"/>
              <w:rPr>
                <w:rFonts w:cs="Calibri"/>
                <w:color w:val="000000"/>
                <w:sz w:val="18"/>
                <w:szCs w:val="18"/>
              </w:rPr>
            </w:pPr>
            <w:r w:rsidRPr="00C66550">
              <w:rPr>
                <w:rFonts w:cs="Calibri"/>
                <w:color w:val="000000"/>
                <w:sz w:val="18"/>
                <w:szCs w:val="18"/>
              </w:rPr>
              <w:t>45</w:t>
            </w:r>
          </w:p>
        </w:tc>
      </w:tr>
      <w:tr w:rsidR="002A73E4" w:rsidRPr="00C66550" w:rsidTr="00B14CBB">
        <w:tc>
          <w:tcPr>
            <w:cnfStyle w:val="001000000000"/>
            <w:tcW w:w="2685" w:type="dxa"/>
            <w:tcBorders>
              <w:top w:val="nil"/>
              <w:bottom w:val="nil"/>
            </w:tcBorders>
            <w:noWrap/>
            <w:hideMark/>
          </w:tcPr>
          <w:p w:rsidR="002A73E4" w:rsidRPr="00C66550" w:rsidRDefault="002A73E4" w:rsidP="009B1421">
            <w:pPr>
              <w:spacing w:line="240" w:lineRule="auto"/>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COUNCIL FACILITY</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3</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4</w:t>
            </w:r>
          </w:p>
        </w:tc>
        <w:tc>
          <w:tcPr>
            <w:tcW w:w="1066"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8</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w:t>
            </w:r>
          </w:p>
        </w:tc>
        <w:tc>
          <w:tcPr>
            <w:tcW w:w="1035" w:type="dxa"/>
            <w:tcBorders>
              <w:top w:val="nil"/>
              <w:bottom w:val="nil"/>
            </w:tcBorders>
            <w:noWrap/>
            <w:hideMark/>
          </w:tcPr>
          <w:p w:rsidR="002A73E4" w:rsidRPr="00C66550" w:rsidRDefault="002A73E4" w:rsidP="009B1421">
            <w:pPr>
              <w:jc w:val="right"/>
              <w:cnfStyle w:val="000000000000"/>
              <w:rPr>
                <w:rFonts w:cs="Calibri"/>
                <w:color w:val="000000"/>
                <w:sz w:val="18"/>
                <w:szCs w:val="18"/>
              </w:rPr>
            </w:pPr>
            <w:r w:rsidRPr="00C66550">
              <w:rPr>
                <w:rFonts w:cs="Calibri"/>
                <w:color w:val="000000"/>
                <w:sz w:val="18"/>
                <w:szCs w:val="18"/>
              </w:rPr>
              <w:t>6</w:t>
            </w:r>
          </w:p>
        </w:tc>
      </w:tr>
      <w:tr w:rsidR="002A73E4" w:rsidRPr="00C66550" w:rsidTr="00B14CBB">
        <w:tc>
          <w:tcPr>
            <w:cnfStyle w:val="001000000000"/>
            <w:tcW w:w="2685" w:type="dxa"/>
            <w:tcBorders>
              <w:top w:val="nil"/>
              <w:bottom w:val="nil"/>
            </w:tcBorders>
            <w:noWrap/>
            <w:hideMark/>
          </w:tcPr>
          <w:p w:rsidR="002A73E4" w:rsidRPr="00C66550" w:rsidRDefault="002A73E4" w:rsidP="009B1421">
            <w:pPr>
              <w:spacing w:line="240" w:lineRule="auto"/>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LICENSED COMMERCIAL</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101</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104</w:t>
            </w:r>
          </w:p>
        </w:tc>
        <w:tc>
          <w:tcPr>
            <w:tcW w:w="1066"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99</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102</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105</w:t>
            </w:r>
          </w:p>
        </w:tc>
        <w:tc>
          <w:tcPr>
            <w:tcW w:w="1035" w:type="dxa"/>
            <w:tcBorders>
              <w:top w:val="nil"/>
              <w:bottom w:val="nil"/>
            </w:tcBorders>
            <w:noWrap/>
            <w:hideMark/>
          </w:tcPr>
          <w:p w:rsidR="002A73E4" w:rsidRPr="00C66550" w:rsidRDefault="002A73E4" w:rsidP="009B1421">
            <w:pPr>
              <w:jc w:val="right"/>
              <w:cnfStyle w:val="000000000000"/>
              <w:rPr>
                <w:rFonts w:cs="Calibri"/>
                <w:color w:val="000000"/>
                <w:sz w:val="18"/>
                <w:szCs w:val="18"/>
              </w:rPr>
            </w:pPr>
            <w:r w:rsidRPr="00C66550">
              <w:rPr>
                <w:rFonts w:cs="Calibri"/>
                <w:color w:val="000000"/>
                <w:sz w:val="18"/>
                <w:szCs w:val="18"/>
              </w:rPr>
              <w:t>142</w:t>
            </w:r>
          </w:p>
        </w:tc>
      </w:tr>
      <w:tr w:rsidR="002A73E4" w:rsidRPr="00C66550" w:rsidTr="00B14CBB">
        <w:tc>
          <w:tcPr>
            <w:cnfStyle w:val="001000000000"/>
            <w:tcW w:w="2685" w:type="dxa"/>
            <w:tcBorders>
              <w:top w:val="nil"/>
              <w:bottom w:val="nil"/>
            </w:tcBorders>
            <w:noWrap/>
            <w:hideMark/>
          </w:tcPr>
          <w:p w:rsidR="002A73E4" w:rsidRPr="00C66550" w:rsidRDefault="002A73E4" w:rsidP="009B1421">
            <w:pPr>
              <w:spacing w:line="240" w:lineRule="auto"/>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OTHER</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8</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w:t>
            </w:r>
          </w:p>
        </w:tc>
        <w:tc>
          <w:tcPr>
            <w:tcW w:w="1066"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28</w:t>
            </w:r>
          </w:p>
        </w:tc>
        <w:tc>
          <w:tcPr>
            <w:tcW w:w="1035" w:type="dxa"/>
            <w:tcBorders>
              <w:top w:val="nil"/>
              <w:bottom w:val="nil"/>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25</w:t>
            </w:r>
          </w:p>
        </w:tc>
        <w:tc>
          <w:tcPr>
            <w:tcW w:w="1035" w:type="dxa"/>
            <w:tcBorders>
              <w:top w:val="nil"/>
              <w:bottom w:val="nil"/>
            </w:tcBorders>
            <w:noWrap/>
            <w:hideMark/>
          </w:tcPr>
          <w:p w:rsidR="002A73E4" w:rsidRPr="00C66550" w:rsidRDefault="002A73E4" w:rsidP="009B1421">
            <w:pPr>
              <w:jc w:val="right"/>
              <w:cnfStyle w:val="000000000000"/>
              <w:rPr>
                <w:rFonts w:cs="Calibri"/>
                <w:color w:val="000000"/>
                <w:sz w:val="18"/>
                <w:szCs w:val="18"/>
              </w:rPr>
            </w:pPr>
            <w:r w:rsidRPr="00C66550">
              <w:rPr>
                <w:rFonts w:cs="Calibri"/>
                <w:color w:val="000000"/>
                <w:sz w:val="18"/>
                <w:szCs w:val="18"/>
              </w:rPr>
              <w:t>5</w:t>
            </w:r>
          </w:p>
        </w:tc>
      </w:tr>
      <w:tr w:rsidR="002A73E4" w:rsidRPr="00C66550" w:rsidTr="00B14CBB">
        <w:tc>
          <w:tcPr>
            <w:cnfStyle w:val="001000000000"/>
            <w:tcW w:w="2685" w:type="dxa"/>
            <w:tcBorders>
              <w:top w:val="nil"/>
              <w:bottom w:val="single" w:sz="4" w:space="0" w:color="7F7F7F" w:themeColor="background2"/>
            </w:tcBorders>
            <w:noWrap/>
            <w:hideMark/>
          </w:tcPr>
          <w:p w:rsidR="002A73E4" w:rsidRPr="00C66550" w:rsidRDefault="002A73E4" w:rsidP="009B1421">
            <w:pPr>
              <w:spacing w:line="240" w:lineRule="auto"/>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 RESPONSE RATE</w:t>
            </w:r>
          </w:p>
        </w:tc>
        <w:tc>
          <w:tcPr>
            <w:tcW w:w="1035" w:type="dxa"/>
            <w:tcBorders>
              <w:top w:val="nil"/>
              <w:bottom w:val="single" w:sz="4" w:space="0" w:color="7F7F7F" w:themeColor="background2"/>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98</w:t>
            </w:r>
          </w:p>
        </w:tc>
        <w:tc>
          <w:tcPr>
            <w:tcW w:w="1035" w:type="dxa"/>
            <w:tcBorders>
              <w:top w:val="nil"/>
              <w:bottom w:val="single" w:sz="4" w:space="0" w:color="7F7F7F" w:themeColor="background2"/>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97</w:t>
            </w:r>
          </w:p>
        </w:tc>
        <w:tc>
          <w:tcPr>
            <w:tcW w:w="1066" w:type="dxa"/>
            <w:tcBorders>
              <w:top w:val="nil"/>
              <w:bottom w:val="single" w:sz="4" w:space="0" w:color="7F7F7F" w:themeColor="background2"/>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97</w:t>
            </w:r>
          </w:p>
        </w:tc>
        <w:tc>
          <w:tcPr>
            <w:tcW w:w="1035" w:type="dxa"/>
            <w:tcBorders>
              <w:top w:val="nil"/>
              <w:bottom w:val="single" w:sz="4" w:space="0" w:color="7F7F7F" w:themeColor="background2"/>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97</w:t>
            </w:r>
          </w:p>
        </w:tc>
        <w:tc>
          <w:tcPr>
            <w:tcW w:w="1035" w:type="dxa"/>
            <w:tcBorders>
              <w:top w:val="nil"/>
              <w:bottom w:val="single" w:sz="4" w:space="0" w:color="7F7F7F" w:themeColor="background2"/>
            </w:tcBorders>
            <w:noWrap/>
            <w:hideMark/>
          </w:tcPr>
          <w:p w:rsidR="002A73E4" w:rsidRPr="00C66550" w:rsidRDefault="002A73E4" w:rsidP="009B1421">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94</w:t>
            </w:r>
          </w:p>
        </w:tc>
        <w:tc>
          <w:tcPr>
            <w:tcW w:w="1035" w:type="dxa"/>
            <w:tcBorders>
              <w:top w:val="nil"/>
              <w:bottom w:val="single" w:sz="4" w:space="0" w:color="7F7F7F" w:themeColor="background2"/>
            </w:tcBorders>
            <w:noWrap/>
            <w:hideMark/>
          </w:tcPr>
          <w:p w:rsidR="002A73E4" w:rsidRPr="00C66550" w:rsidRDefault="002A73E4" w:rsidP="009B1421">
            <w:pPr>
              <w:jc w:val="right"/>
              <w:cnfStyle w:val="000000000000"/>
              <w:rPr>
                <w:rFonts w:cs="Calibri"/>
                <w:color w:val="000000"/>
                <w:sz w:val="18"/>
                <w:szCs w:val="18"/>
              </w:rPr>
            </w:pPr>
            <w:r w:rsidRPr="00C66550">
              <w:rPr>
                <w:rFonts w:cs="Calibri"/>
                <w:color w:val="000000"/>
                <w:sz w:val="18"/>
                <w:szCs w:val="18"/>
              </w:rPr>
              <w:t>99</w:t>
            </w:r>
          </w:p>
        </w:tc>
      </w:tr>
      <w:tr w:rsidR="002A73E4" w:rsidRPr="00C66550" w:rsidTr="00B14CBB">
        <w:tc>
          <w:tcPr>
            <w:cnfStyle w:val="001000000000"/>
            <w:tcW w:w="2685" w:type="dxa"/>
            <w:tcBorders>
              <w:top w:val="single" w:sz="4" w:space="0" w:color="7F7F7F" w:themeColor="background2"/>
              <w:bottom w:val="nil"/>
            </w:tcBorders>
            <w:hideMark/>
          </w:tcPr>
          <w:p w:rsidR="002A73E4" w:rsidRPr="00C66550" w:rsidRDefault="002A73E4" w:rsidP="009B1421">
            <w:pPr>
              <w:spacing w:line="240" w:lineRule="auto"/>
              <w:rPr>
                <w:rFonts w:asciiTheme="minorHAnsi" w:hAnsiTheme="minorHAnsi"/>
                <w:b/>
                <w:bCs/>
                <w:color w:val="040405"/>
                <w:sz w:val="18"/>
                <w:szCs w:val="18"/>
                <w:lang w:eastAsia="en-GB"/>
              </w:rPr>
            </w:pPr>
            <w:r w:rsidRPr="00C66550">
              <w:rPr>
                <w:rFonts w:asciiTheme="minorHAnsi" w:hAnsiTheme="minorHAnsi"/>
                <w:bCs/>
                <w:color w:val="040405"/>
                <w:sz w:val="18"/>
                <w:szCs w:val="18"/>
                <w:lang w:eastAsia="en-GB"/>
              </w:rPr>
              <w:t>RAW MATERIALS PROCESSED</w:t>
            </w:r>
            <w:r w:rsidR="00813D47">
              <w:rPr>
                <w:rFonts w:asciiTheme="minorHAnsi" w:hAnsiTheme="minorHAnsi"/>
                <w:bCs/>
                <w:color w:val="040405"/>
                <w:sz w:val="18"/>
                <w:szCs w:val="18"/>
                <w:lang w:eastAsia="en-GB"/>
              </w:rPr>
              <w:t xml:space="preserve"> (kt)</w:t>
            </w:r>
          </w:p>
        </w:tc>
        <w:tc>
          <w:tcPr>
            <w:tcW w:w="1035" w:type="dxa"/>
            <w:tcBorders>
              <w:top w:val="single" w:sz="4" w:space="0" w:color="7F7F7F" w:themeColor="background2"/>
              <w:bottom w:val="nil"/>
            </w:tcBorders>
            <w:hideMark/>
          </w:tcPr>
          <w:p w:rsidR="002A73E4" w:rsidRPr="00C66550" w:rsidRDefault="002A73E4" w:rsidP="00813D47">
            <w:pPr>
              <w:jc w:val="right"/>
              <w:cnfStyle w:val="000000000000"/>
              <w:rPr>
                <w:rFonts w:cs="Calibri"/>
                <w:b/>
                <w:color w:val="000000"/>
                <w:sz w:val="18"/>
                <w:szCs w:val="18"/>
              </w:rPr>
            </w:pPr>
            <w:r w:rsidRPr="00C66550">
              <w:rPr>
                <w:rFonts w:cs="Calibri"/>
                <w:color w:val="000000"/>
                <w:sz w:val="18"/>
                <w:szCs w:val="18"/>
              </w:rPr>
              <w:t>4,37</w:t>
            </w:r>
            <w:r w:rsidR="00813D47">
              <w:rPr>
                <w:rFonts w:cs="Calibri"/>
                <w:color w:val="000000"/>
                <w:sz w:val="18"/>
                <w:szCs w:val="18"/>
              </w:rPr>
              <w:t>3</w:t>
            </w:r>
          </w:p>
        </w:tc>
        <w:tc>
          <w:tcPr>
            <w:tcW w:w="1035" w:type="dxa"/>
            <w:tcBorders>
              <w:top w:val="single" w:sz="4" w:space="0" w:color="7F7F7F" w:themeColor="background2"/>
              <w:bottom w:val="nil"/>
            </w:tcBorders>
            <w:hideMark/>
          </w:tcPr>
          <w:p w:rsidR="002A73E4" w:rsidRPr="00C66550" w:rsidRDefault="002A73E4" w:rsidP="00813D47">
            <w:pPr>
              <w:jc w:val="right"/>
              <w:cnfStyle w:val="000000000000"/>
              <w:rPr>
                <w:rFonts w:cs="Calibri"/>
                <w:b/>
                <w:color w:val="000000"/>
                <w:sz w:val="18"/>
                <w:szCs w:val="18"/>
              </w:rPr>
            </w:pPr>
            <w:r w:rsidRPr="00C66550">
              <w:rPr>
                <w:rFonts w:cs="Calibri"/>
                <w:color w:val="000000"/>
                <w:sz w:val="18"/>
                <w:szCs w:val="18"/>
              </w:rPr>
              <w:t>5,169</w:t>
            </w:r>
          </w:p>
        </w:tc>
        <w:tc>
          <w:tcPr>
            <w:tcW w:w="1066" w:type="dxa"/>
            <w:tcBorders>
              <w:top w:val="single" w:sz="4" w:space="0" w:color="7F7F7F" w:themeColor="background2"/>
              <w:bottom w:val="nil"/>
            </w:tcBorders>
            <w:hideMark/>
          </w:tcPr>
          <w:p w:rsidR="002A73E4" w:rsidRPr="00C66550" w:rsidRDefault="002A73E4" w:rsidP="00813D47">
            <w:pPr>
              <w:jc w:val="right"/>
              <w:cnfStyle w:val="000000000000"/>
              <w:rPr>
                <w:rFonts w:cs="Calibri"/>
                <w:b/>
                <w:color w:val="000000"/>
                <w:sz w:val="18"/>
                <w:szCs w:val="18"/>
                <w:vertAlign w:val="superscript"/>
              </w:rPr>
            </w:pPr>
            <w:r w:rsidRPr="00C66550">
              <w:rPr>
                <w:rFonts w:cs="Calibri"/>
                <w:color w:val="000000"/>
                <w:sz w:val="18"/>
                <w:szCs w:val="18"/>
              </w:rPr>
              <w:t>4,48</w:t>
            </w:r>
            <w:r w:rsidR="00813D47">
              <w:rPr>
                <w:rFonts w:cs="Calibri"/>
                <w:color w:val="000000"/>
                <w:sz w:val="18"/>
                <w:szCs w:val="18"/>
              </w:rPr>
              <w:t>5</w:t>
            </w:r>
            <w:r w:rsidRPr="00C66550">
              <w:rPr>
                <w:rFonts w:cs="Calibri"/>
                <w:color w:val="000000"/>
                <w:sz w:val="18"/>
                <w:szCs w:val="18"/>
                <w:vertAlign w:val="superscript"/>
              </w:rPr>
              <w:t>1</w:t>
            </w:r>
          </w:p>
        </w:tc>
        <w:tc>
          <w:tcPr>
            <w:tcW w:w="1035" w:type="dxa"/>
            <w:tcBorders>
              <w:top w:val="single" w:sz="4" w:space="0" w:color="7F7F7F" w:themeColor="background2"/>
              <w:bottom w:val="nil"/>
            </w:tcBorders>
            <w:hideMark/>
          </w:tcPr>
          <w:p w:rsidR="002A73E4" w:rsidRPr="00C66550" w:rsidRDefault="002A73E4" w:rsidP="00813D47">
            <w:pPr>
              <w:jc w:val="right"/>
              <w:cnfStyle w:val="000000000000"/>
              <w:rPr>
                <w:rFonts w:cs="Calibri"/>
                <w:b/>
                <w:color w:val="000000"/>
                <w:sz w:val="18"/>
                <w:szCs w:val="18"/>
              </w:rPr>
            </w:pPr>
            <w:r w:rsidRPr="00C66550">
              <w:rPr>
                <w:rFonts w:cs="Calibri"/>
                <w:color w:val="000000"/>
                <w:sz w:val="18"/>
                <w:szCs w:val="18"/>
              </w:rPr>
              <w:t>5,279</w:t>
            </w:r>
          </w:p>
        </w:tc>
        <w:tc>
          <w:tcPr>
            <w:tcW w:w="1035" w:type="dxa"/>
            <w:tcBorders>
              <w:top w:val="single" w:sz="4" w:space="0" w:color="7F7F7F" w:themeColor="background2"/>
              <w:bottom w:val="nil"/>
            </w:tcBorders>
            <w:hideMark/>
          </w:tcPr>
          <w:p w:rsidR="002A73E4" w:rsidRPr="00C66550" w:rsidRDefault="002A73E4" w:rsidP="00813D47">
            <w:pPr>
              <w:jc w:val="right"/>
              <w:cnfStyle w:val="000000000000"/>
              <w:rPr>
                <w:rFonts w:cs="Calibri"/>
                <w:b/>
                <w:color w:val="000000"/>
                <w:sz w:val="18"/>
                <w:szCs w:val="18"/>
              </w:rPr>
            </w:pPr>
            <w:r w:rsidRPr="00C66550">
              <w:rPr>
                <w:rFonts w:cs="Calibri"/>
                <w:color w:val="000000"/>
                <w:sz w:val="18"/>
                <w:szCs w:val="18"/>
              </w:rPr>
              <w:t>5,80</w:t>
            </w:r>
            <w:r w:rsidR="00813D47">
              <w:rPr>
                <w:rFonts w:cs="Calibri"/>
                <w:color w:val="000000"/>
                <w:sz w:val="18"/>
                <w:szCs w:val="18"/>
              </w:rPr>
              <w:t>9</w:t>
            </w:r>
          </w:p>
        </w:tc>
        <w:tc>
          <w:tcPr>
            <w:tcW w:w="1035" w:type="dxa"/>
            <w:tcBorders>
              <w:top w:val="single" w:sz="4" w:space="0" w:color="7F7F7F" w:themeColor="background2"/>
              <w:bottom w:val="nil"/>
            </w:tcBorders>
            <w:hideMark/>
          </w:tcPr>
          <w:p w:rsidR="002A73E4" w:rsidRPr="00C66550" w:rsidRDefault="002A73E4" w:rsidP="00813D47">
            <w:pPr>
              <w:jc w:val="right"/>
              <w:cnfStyle w:val="000000000000"/>
              <w:rPr>
                <w:rFonts w:cs="Calibri"/>
                <w:b/>
                <w:color w:val="000000"/>
                <w:sz w:val="18"/>
                <w:szCs w:val="18"/>
              </w:rPr>
            </w:pPr>
            <w:r w:rsidRPr="00C66550">
              <w:rPr>
                <w:rFonts w:cs="Calibri"/>
                <w:color w:val="000000"/>
                <w:sz w:val="18"/>
                <w:szCs w:val="18"/>
              </w:rPr>
              <w:t>6,33</w:t>
            </w:r>
            <w:r w:rsidR="00813D47">
              <w:rPr>
                <w:rFonts w:cs="Calibri"/>
                <w:color w:val="000000"/>
                <w:sz w:val="18"/>
                <w:szCs w:val="18"/>
              </w:rPr>
              <w:t>1</w:t>
            </w:r>
          </w:p>
        </w:tc>
      </w:tr>
      <w:tr w:rsidR="002A73E4" w:rsidRPr="00C66550" w:rsidTr="00B14CBB">
        <w:tc>
          <w:tcPr>
            <w:cnfStyle w:val="001000000000"/>
            <w:tcW w:w="2685" w:type="dxa"/>
            <w:tcBorders>
              <w:top w:val="nil"/>
              <w:bottom w:val="nil"/>
            </w:tcBorders>
            <w:hideMark/>
          </w:tcPr>
          <w:p w:rsidR="002A73E4" w:rsidRPr="00C66550" w:rsidRDefault="002A73E4" w:rsidP="00744209">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Garden organics</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1,73</w:t>
            </w:r>
            <w:r w:rsidR="00813D47">
              <w:rPr>
                <w:rFonts w:asciiTheme="minorHAnsi" w:hAnsiTheme="minorHAnsi" w:cs="Times New Roman"/>
                <w:color w:val="000000"/>
                <w:sz w:val="18"/>
                <w:szCs w:val="18"/>
                <w:lang w:eastAsia="en-GB"/>
              </w:rPr>
              <w:t>8</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2,31</w:t>
            </w:r>
            <w:r w:rsidR="00813D47">
              <w:rPr>
                <w:rFonts w:asciiTheme="minorHAnsi" w:hAnsiTheme="minorHAnsi" w:cs="Times New Roman"/>
                <w:color w:val="000000"/>
                <w:sz w:val="18"/>
                <w:szCs w:val="18"/>
                <w:lang w:eastAsia="en-GB"/>
              </w:rPr>
              <w:t>2</w:t>
            </w:r>
          </w:p>
        </w:tc>
        <w:tc>
          <w:tcPr>
            <w:tcW w:w="1066"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vertAlign w:val="superscript"/>
                <w:lang w:eastAsia="en-GB"/>
              </w:rPr>
            </w:pPr>
            <w:r w:rsidRPr="00C66550">
              <w:rPr>
                <w:rFonts w:asciiTheme="minorHAnsi" w:hAnsiTheme="minorHAnsi" w:cs="Times New Roman"/>
                <w:color w:val="000000"/>
                <w:sz w:val="18"/>
                <w:szCs w:val="18"/>
                <w:lang w:eastAsia="en-GB"/>
              </w:rPr>
              <w:t>1,358</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1,6</w:t>
            </w:r>
            <w:r w:rsidR="00813D47">
              <w:rPr>
                <w:rFonts w:asciiTheme="minorHAnsi" w:hAnsiTheme="minorHAnsi" w:cs="Times New Roman"/>
                <w:color w:val="000000"/>
                <w:sz w:val="18"/>
                <w:szCs w:val="18"/>
                <w:lang w:eastAsia="en-GB"/>
              </w:rPr>
              <w:t>60</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1,583</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2,411</w:t>
            </w:r>
          </w:p>
        </w:tc>
      </w:tr>
      <w:tr w:rsidR="002A73E4" w:rsidRPr="00C66550" w:rsidTr="00B14CBB">
        <w:tc>
          <w:tcPr>
            <w:cnfStyle w:val="001000000000"/>
            <w:tcW w:w="2685" w:type="dxa"/>
            <w:tcBorders>
              <w:top w:val="nil"/>
              <w:bottom w:val="nil"/>
            </w:tcBorders>
            <w:hideMark/>
          </w:tcPr>
          <w:p w:rsidR="002A73E4" w:rsidRPr="00C66550" w:rsidRDefault="002A73E4" w:rsidP="00744209">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 xml:space="preserve">Wood/sawdust (from </w:t>
            </w:r>
            <w:r w:rsidR="00744209" w:rsidRPr="00C66550">
              <w:rPr>
                <w:rFonts w:asciiTheme="minorHAnsi" w:hAnsiTheme="minorHAnsi"/>
                <w:color w:val="040405"/>
                <w:sz w:val="18"/>
                <w:szCs w:val="18"/>
                <w:lang w:eastAsia="en-GB"/>
              </w:rPr>
              <w:t>C&amp;I</w:t>
            </w:r>
            <w:r w:rsidRPr="00C66550">
              <w:rPr>
                <w:rFonts w:asciiTheme="minorHAnsi" w:hAnsiTheme="minorHAnsi"/>
                <w:color w:val="040405"/>
                <w:sz w:val="18"/>
                <w:szCs w:val="18"/>
                <w:lang w:eastAsia="en-GB"/>
              </w:rPr>
              <w:t xml:space="preserve"> sources)</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229</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247</w:t>
            </w:r>
          </w:p>
        </w:tc>
        <w:tc>
          <w:tcPr>
            <w:tcW w:w="1066"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vertAlign w:val="superscript"/>
                <w:lang w:eastAsia="en-GB"/>
              </w:rPr>
            </w:pPr>
            <w:r w:rsidRPr="00C66550">
              <w:rPr>
                <w:rFonts w:asciiTheme="minorHAnsi" w:hAnsiTheme="minorHAnsi" w:cs="Times New Roman"/>
                <w:color w:val="000000"/>
                <w:sz w:val="18"/>
                <w:szCs w:val="18"/>
                <w:lang w:eastAsia="en-GB"/>
              </w:rPr>
              <w:t>14</w:t>
            </w:r>
            <w:r w:rsidR="00813D47">
              <w:rPr>
                <w:rFonts w:asciiTheme="minorHAnsi" w:hAnsiTheme="minorHAnsi" w:cs="Times New Roman"/>
                <w:color w:val="000000"/>
                <w:sz w:val="18"/>
                <w:szCs w:val="18"/>
                <w:lang w:eastAsia="en-GB"/>
              </w:rPr>
              <w:t>1</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211</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259</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292</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pacing w:val="-1"/>
                <w:sz w:val="18"/>
                <w:szCs w:val="18"/>
                <w:lang w:eastAsia="en-GB"/>
              </w:rPr>
              <w:t>Food organics (food waste)</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8</w:t>
            </w:r>
            <w:r w:rsidR="00813D47">
              <w:rPr>
                <w:rFonts w:asciiTheme="minorHAnsi" w:hAnsiTheme="minorHAnsi" w:cs="Times New Roman"/>
                <w:color w:val="000000"/>
                <w:sz w:val="18"/>
                <w:szCs w:val="18"/>
                <w:lang w:eastAsia="en-GB"/>
              </w:rPr>
              <w:t>2</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79</w:t>
            </w:r>
          </w:p>
        </w:tc>
        <w:tc>
          <w:tcPr>
            <w:tcW w:w="1066"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124</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136</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21</w:t>
            </w:r>
            <w:r w:rsidR="00813D47">
              <w:rPr>
                <w:rFonts w:asciiTheme="minorHAnsi" w:hAnsiTheme="minorHAnsi" w:cs="Times New Roman"/>
                <w:color w:val="000000"/>
                <w:sz w:val="18"/>
                <w:szCs w:val="18"/>
                <w:lang w:eastAsia="en-GB"/>
              </w:rPr>
              <w:t>2</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15</w:t>
            </w:r>
            <w:r w:rsidR="00813D47">
              <w:rPr>
                <w:rFonts w:asciiTheme="minorHAnsi" w:hAnsiTheme="minorHAnsi" w:cs="Times New Roman"/>
                <w:color w:val="000000"/>
                <w:sz w:val="18"/>
                <w:szCs w:val="18"/>
                <w:lang w:eastAsia="en-GB"/>
              </w:rPr>
              <w:t>1</w:t>
            </w:r>
          </w:p>
        </w:tc>
      </w:tr>
      <w:tr w:rsidR="002A73E4" w:rsidRPr="00C66550" w:rsidTr="00B14CBB">
        <w:tc>
          <w:tcPr>
            <w:cnfStyle w:val="001000000000"/>
            <w:tcW w:w="2685" w:type="dxa"/>
            <w:tcBorders>
              <w:top w:val="nil"/>
              <w:bottom w:val="nil"/>
            </w:tcBorders>
            <w:hideMark/>
          </w:tcPr>
          <w:p w:rsidR="002A73E4" w:rsidRPr="00C66550" w:rsidRDefault="00744209"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P</w:t>
            </w:r>
            <w:r w:rsidR="002A73E4" w:rsidRPr="00C66550">
              <w:rPr>
                <w:rFonts w:asciiTheme="minorHAnsi" w:hAnsiTheme="minorHAnsi"/>
                <w:color w:val="040405"/>
                <w:sz w:val="18"/>
                <w:szCs w:val="18"/>
                <w:lang w:eastAsia="en-GB"/>
              </w:rPr>
              <w:t>aper pulp/sludge</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56</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w:t>
            </w:r>
            <w:r w:rsidR="00813D47">
              <w:rPr>
                <w:rFonts w:asciiTheme="minorHAnsi" w:hAnsiTheme="minorHAnsi" w:cs="Times New Roman"/>
                <w:color w:val="000000"/>
                <w:sz w:val="18"/>
                <w:szCs w:val="18"/>
                <w:lang w:eastAsia="en-GB"/>
              </w:rPr>
              <w:t>4</w:t>
            </w:r>
          </w:p>
        </w:tc>
        <w:tc>
          <w:tcPr>
            <w:tcW w:w="1066"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w:t>
            </w:r>
            <w:r w:rsidR="00813D47">
              <w:rPr>
                <w:rFonts w:asciiTheme="minorHAnsi" w:hAnsiTheme="minorHAnsi" w:cs="Times New Roman"/>
                <w:color w:val="000000"/>
                <w:sz w:val="18"/>
                <w:szCs w:val="18"/>
                <w:lang w:eastAsia="en-GB"/>
              </w:rPr>
              <w:t>9</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57</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57</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w:t>
            </w:r>
            <w:r w:rsidR="00813D47">
              <w:rPr>
                <w:rFonts w:asciiTheme="minorHAnsi" w:hAnsiTheme="minorHAnsi" w:cs="Times New Roman"/>
                <w:color w:val="000000"/>
                <w:sz w:val="18"/>
                <w:szCs w:val="18"/>
                <w:lang w:eastAsia="en-GB"/>
              </w:rPr>
              <w:t>4</w:t>
            </w:r>
          </w:p>
        </w:tc>
      </w:tr>
      <w:tr w:rsidR="002A73E4" w:rsidRPr="00C66550" w:rsidTr="00B14CBB">
        <w:tc>
          <w:tcPr>
            <w:cnfStyle w:val="001000000000"/>
            <w:tcW w:w="2685" w:type="dxa"/>
            <w:tcBorders>
              <w:top w:val="nil"/>
              <w:bottom w:val="nil"/>
            </w:tcBorders>
            <w:hideMark/>
          </w:tcPr>
          <w:p w:rsidR="002A73E4" w:rsidRPr="00C66550" w:rsidRDefault="002A73E4" w:rsidP="00744209">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MSW organic fraction</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174</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23</w:t>
            </w:r>
            <w:r w:rsidR="00813D47">
              <w:rPr>
                <w:rFonts w:asciiTheme="minorHAnsi" w:hAnsiTheme="minorHAnsi" w:cs="Times New Roman"/>
                <w:color w:val="000000"/>
                <w:sz w:val="18"/>
                <w:szCs w:val="18"/>
                <w:lang w:eastAsia="en-GB"/>
              </w:rPr>
              <w:t>8</w:t>
            </w:r>
          </w:p>
        </w:tc>
        <w:tc>
          <w:tcPr>
            <w:tcW w:w="1066"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23</w:t>
            </w:r>
            <w:r w:rsidR="00813D47">
              <w:rPr>
                <w:rFonts w:asciiTheme="minorHAnsi" w:hAnsiTheme="minorHAnsi" w:cs="Times New Roman"/>
                <w:color w:val="000000"/>
                <w:sz w:val="18"/>
                <w:szCs w:val="18"/>
                <w:lang w:eastAsia="en-GB"/>
              </w:rPr>
              <w:t>3</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237</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28</w:t>
            </w:r>
            <w:r w:rsidR="00813D47">
              <w:rPr>
                <w:rFonts w:asciiTheme="minorHAnsi" w:hAnsiTheme="minorHAnsi" w:cs="Times New Roman"/>
                <w:color w:val="000000"/>
                <w:sz w:val="18"/>
                <w:szCs w:val="18"/>
                <w:lang w:eastAsia="en-GB"/>
              </w:rPr>
              <w:t>3</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38</w:t>
            </w:r>
            <w:r w:rsidR="00813D47">
              <w:rPr>
                <w:rFonts w:asciiTheme="minorHAnsi" w:hAnsiTheme="minorHAnsi" w:cs="Times New Roman"/>
                <w:color w:val="000000"/>
                <w:sz w:val="18"/>
                <w:szCs w:val="18"/>
                <w:lang w:eastAsia="en-GB"/>
              </w:rPr>
              <w:t>1</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Biowaste (mixed garden and food)</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10</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w:t>
            </w:r>
            <w:r w:rsidR="00813D47">
              <w:rPr>
                <w:rFonts w:asciiTheme="minorHAnsi" w:hAnsiTheme="minorHAnsi" w:cs="Times New Roman"/>
                <w:color w:val="000000"/>
                <w:sz w:val="18"/>
                <w:szCs w:val="18"/>
                <w:lang w:eastAsia="en-GB"/>
              </w:rPr>
              <w:t>6</w:t>
            </w:r>
          </w:p>
        </w:tc>
        <w:tc>
          <w:tcPr>
            <w:tcW w:w="1066"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w:t>
            </w:r>
            <w:r w:rsidR="00813D47">
              <w:rPr>
                <w:rFonts w:asciiTheme="minorHAnsi" w:hAnsiTheme="minorHAnsi" w:cs="Times New Roman"/>
                <w:color w:val="000000"/>
                <w:sz w:val="18"/>
                <w:szCs w:val="18"/>
                <w:lang w:eastAsia="en-GB"/>
              </w:rPr>
              <w:t>4</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32</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50</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w:t>
            </w:r>
            <w:r w:rsidR="00813D47">
              <w:rPr>
                <w:rFonts w:asciiTheme="minorHAnsi" w:hAnsiTheme="minorHAnsi" w:cs="Times New Roman"/>
                <w:color w:val="000000"/>
                <w:sz w:val="18"/>
                <w:szCs w:val="18"/>
                <w:lang w:eastAsia="en-GB"/>
              </w:rPr>
              <w:t>5</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Other</w:t>
            </w:r>
            <w:r w:rsidR="003B0DC8" w:rsidRPr="00C66550">
              <w:rPr>
                <w:rFonts w:asciiTheme="minorHAnsi" w:hAnsiTheme="minorHAnsi"/>
                <w:color w:val="040405"/>
                <w:sz w:val="18"/>
                <w:szCs w:val="18"/>
                <w:lang w:eastAsia="en-GB"/>
              </w:rPr>
              <w:t>—</w:t>
            </w:r>
            <w:r w:rsidRPr="00C66550">
              <w:rPr>
                <w:rFonts w:asciiTheme="minorHAnsi" w:hAnsiTheme="minorHAnsi"/>
                <w:color w:val="040405"/>
                <w:sz w:val="18"/>
                <w:szCs w:val="18"/>
                <w:lang w:eastAsia="en-GB"/>
              </w:rPr>
              <w:t>Miscellaneous</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93</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64</w:t>
            </w:r>
          </w:p>
        </w:tc>
        <w:tc>
          <w:tcPr>
            <w:tcW w:w="1066"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w:t>
            </w:r>
            <w:r w:rsidR="00813D47">
              <w:rPr>
                <w:rFonts w:asciiTheme="minorHAnsi" w:hAnsiTheme="minorHAnsi" w:cs="Times New Roman"/>
                <w:color w:val="000000"/>
                <w:sz w:val="18"/>
                <w:szCs w:val="18"/>
                <w:lang w:eastAsia="en-GB"/>
              </w:rPr>
              <w:t>5</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w:t>
            </w:r>
            <w:r w:rsidR="00813D47">
              <w:rPr>
                <w:rFonts w:asciiTheme="minorHAnsi" w:hAnsiTheme="minorHAnsi" w:cs="Times New Roman"/>
                <w:color w:val="000000"/>
                <w:sz w:val="18"/>
                <w:szCs w:val="18"/>
                <w:lang w:eastAsia="en-GB"/>
              </w:rPr>
              <w:t>9</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57</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w:t>
            </w:r>
            <w:r w:rsidR="00813D47">
              <w:rPr>
                <w:rFonts w:asciiTheme="minorHAnsi" w:hAnsiTheme="minorHAnsi" w:cs="Times New Roman"/>
                <w:color w:val="000000"/>
                <w:sz w:val="18"/>
                <w:szCs w:val="18"/>
                <w:lang w:eastAsia="en-GB"/>
              </w:rPr>
              <w:t>30</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Paunch</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4</w:t>
            </w:r>
            <w:r w:rsidR="00813D47">
              <w:rPr>
                <w:rFonts w:asciiTheme="minorHAnsi" w:hAnsiTheme="minorHAnsi" w:cs="Times New Roman"/>
                <w:color w:val="000000"/>
                <w:sz w:val="18"/>
                <w:szCs w:val="18"/>
                <w:lang w:eastAsia="en-GB"/>
              </w:rPr>
              <w:t>8</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w:t>
            </w:r>
            <w:r w:rsidR="00813D47">
              <w:rPr>
                <w:rFonts w:asciiTheme="minorHAnsi" w:hAnsiTheme="minorHAnsi" w:cs="Times New Roman"/>
                <w:color w:val="000000"/>
                <w:sz w:val="18"/>
                <w:szCs w:val="18"/>
                <w:lang w:eastAsia="en-GB"/>
              </w:rPr>
              <w:t>6</w:t>
            </w:r>
          </w:p>
        </w:tc>
        <w:tc>
          <w:tcPr>
            <w:tcW w:w="1066"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21</w:t>
            </w:r>
          </w:p>
        </w:tc>
        <w:tc>
          <w:tcPr>
            <w:tcW w:w="1035" w:type="dxa"/>
            <w:tcBorders>
              <w:top w:val="nil"/>
              <w:bottom w:val="nil"/>
            </w:tcBorders>
            <w:hideMark/>
          </w:tcPr>
          <w:p w:rsidR="002A73E4" w:rsidRPr="00C66550" w:rsidRDefault="00813D47" w:rsidP="00813D47">
            <w:pPr>
              <w:spacing w:line="240" w:lineRule="auto"/>
              <w:jc w:val="right"/>
              <w:cnfStyle w:val="000000000000"/>
              <w:rPr>
                <w:rFonts w:asciiTheme="minorHAnsi" w:hAnsiTheme="minorHAnsi" w:cs="Times New Roman"/>
                <w:color w:val="000000"/>
                <w:sz w:val="18"/>
                <w:szCs w:val="18"/>
                <w:lang w:eastAsia="en-GB"/>
              </w:rPr>
            </w:pPr>
            <w:r>
              <w:rPr>
                <w:rFonts w:asciiTheme="minorHAnsi" w:hAnsiTheme="minorHAnsi" w:cs="Times New Roman"/>
                <w:color w:val="000000"/>
                <w:sz w:val="18"/>
                <w:szCs w:val="18"/>
                <w:lang w:eastAsia="en-GB"/>
              </w:rPr>
              <w:t>20</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w:t>
            </w:r>
            <w:r w:rsidR="00813D47">
              <w:rPr>
                <w:rFonts w:asciiTheme="minorHAnsi" w:hAnsiTheme="minorHAnsi" w:cs="Times New Roman"/>
                <w:color w:val="000000"/>
                <w:sz w:val="18"/>
                <w:szCs w:val="18"/>
                <w:lang w:eastAsia="en-GB"/>
              </w:rPr>
              <w:t>4</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55</w:t>
            </w:r>
          </w:p>
        </w:tc>
      </w:tr>
      <w:tr w:rsidR="002A73E4" w:rsidRPr="00C66550" w:rsidTr="00B14CBB">
        <w:tc>
          <w:tcPr>
            <w:cnfStyle w:val="001000000000"/>
            <w:tcW w:w="2685" w:type="dxa"/>
            <w:tcBorders>
              <w:top w:val="nil"/>
              <w:bottom w:val="single" w:sz="4" w:space="0" w:color="7F7F7F" w:themeColor="background2"/>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SUB</w:t>
            </w:r>
            <w:r w:rsidR="003B0DC8" w:rsidRPr="00C66550">
              <w:rPr>
                <w:rFonts w:asciiTheme="minorHAnsi" w:hAnsiTheme="minorHAnsi"/>
                <w:color w:val="040405"/>
                <w:sz w:val="18"/>
                <w:szCs w:val="18"/>
                <w:lang w:eastAsia="en-GB"/>
              </w:rPr>
              <w:t>-</w:t>
            </w:r>
            <w:r w:rsidRPr="00C66550">
              <w:rPr>
                <w:rFonts w:asciiTheme="minorHAnsi" w:hAnsiTheme="minorHAnsi"/>
                <w:color w:val="040405"/>
                <w:sz w:val="18"/>
                <w:szCs w:val="18"/>
                <w:lang w:eastAsia="en-GB"/>
              </w:rPr>
              <w:t>TOTAL</w:t>
            </w:r>
          </w:p>
        </w:tc>
        <w:tc>
          <w:tcPr>
            <w:tcW w:w="1035" w:type="dxa"/>
            <w:tcBorders>
              <w:top w:val="nil"/>
              <w:bottom w:val="single" w:sz="4" w:space="0" w:color="7F7F7F" w:themeColor="background2"/>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2,43</w:t>
            </w:r>
            <w:r w:rsidR="00813D47">
              <w:rPr>
                <w:rFonts w:asciiTheme="minorHAnsi" w:hAnsiTheme="minorHAnsi" w:cs="Times New Roman"/>
                <w:color w:val="000000"/>
                <w:sz w:val="18"/>
                <w:szCs w:val="18"/>
                <w:lang w:eastAsia="en-GB"/>
              </w:rPr>
              <w:t>1</w:t>
            </w:r>
          </w:p>
        </w:tc>
        <w:tc>
          <w:tcPr>
            <w:tcW w:w="1035" w:type="dxa"/>
            <w:tcBorders>
              <w:top w:val="nil"/>
              <w:bottom w:val="single" w:sz="4" w:space="0" w:color="7F7F7F" w:themeColor="background2"/>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3,03</w:t>
            </w:r>
            <w:r w:rsidR="00813D47">
              <w:rPr>
                <w:rFonts w:asciiTheme="minorHAnsi" w:hAnsiTheme="minorHAnsi" w:cs="Times New Roman"/>
                <w:color w:val="000000"/>
                <w:sz w:val="18"/>
                <w:szCs w:val="18"/>
                <w:lang w:eastAsia="en-GB"/>
              </w:rPr>
              <w:t>5</w:t>
            </w:r>
          </w:p>
        </w:tc>
        <w:tc>
          <w:tcPr>
            <w:tcW w:w="1066" w:type="dxa"/>
            <w:tcBorders>
              <w:top w:val="nil"/>
              <w:bottom w:val="single" w:sz="4" w:space="0" w:color="7F7F7F" w:themeColor="background2"/>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2,00</w:t>
            </w:r>
            <w:r w:rsidR="00813D47">
              <w:rPr>
                <w:rFonts w:asciiTheme="minorHAnsi" w:hAnsiTheme="minorHAnsi" w:cs="Times New Roman"/>
                <w:color w:val="000000"/>
                <w:sz w:val="18"/>
                <w:szCs w:val="18"/>
                <w:lang w:eastAsia="en-GB"/>
              </w:rPr>
              <w:t>4</w:t>
            </w:r>
          </w:p>
        </w:tc>
        <w:tc>
          <w:tcPr>
            <w:tcW w:w="1035" w:type="dxa"/>
            <w:tcBorders>
              <w:top w:val="nil"/>
              <w:bottom w:val="single" w:sz="4" w:space="0" w:color="7F7F7F" w:themeColor="background2"/>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2,422</w:t>
            </w:r>
          </w:p>
        </w:tc>
        <w:tc>
          <w:tcPr>
            <w:tcW w:w="1035" w:type="dxa"/>
            <w:tcBorders>
              <w:top w:val="nil"/>
              <w:bottom w:val="single" w:sz="4" w:space="0" w:color="7F7F7F" w:themeColor="background2"/>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2,565</w:t>
            </w:r>
          </w:p>
        </w:tc>
        <w:tc>
          <w:tcPr>
            <w:tcW w:w="1035" w:type="dxa"/>
            <w:tcBorders>
              <w:top w:val="nil"/>
              <w:bottom w:val="single" w:sz="4" w:space="0" w:color="7F7F7F" w:themeColor="background2"/>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3,49</w:t>
            </w:r>
            <w:r w:rsidR="00813D47">
              <w:rPr>
                <w:rFonts w:asciiTheme="minorHAnsi" w:hAnsiTheme="minorHAnsi" w:cs="Times New Roman"/>
                <w:color w:val="000000"/>
                <w:sz w:val="18"/>
                <w:szCs w:val="18"/>
                <w:lang w:eastAsia="en-GB"/>
              </w:rPr>
              <w:t>9</w:t>
            </w:r>
          </w:p>
        </w:tc>
      </w:tr>
      <w:tr w:rsidR="002A73E4" w:rsidRPr="00C66550" w:rsidTr="00B14CBB">
        <w:tc>
          <w:tcPr>
            <w:cnfStyle w:val="001000000000"/>
            <w:tcW w:w="8926" w:type="dxa"/>
            <w:gridSpan w:val="7"/>
            <w:tcBorders>
              <w:top w:val="single" w:sz="4" w:space="0" w:color="7F7F7F" w:themeColor="background2"/>
              <w:bottom w:val="single" w:sz="4" w:space="0" w:color="7F7F7F" w:themeColor="background2"/>
            </w:tcBorders>
            <w:hideMark/>
          </w:tcPr>
          <w:p w:rsidR="002A73E4" w:rsidRPr="00C66550" w:rsidRDefault="002A73E4" w:rsidP="00813D47">
            <w:pPr>
              <w:spacing w:line="240" w:lineRule="auto"/>
              <w:rPr>
                <w:rFonts w:asciiTheme="minorHAnsi" w:hAnsiTheme="minorHAnsi" w:cs="Times New Roman"/>
                <w:b/>
                <w:color w:val="000000"/>
                <w:sz w:val="18"/>
                <w:szCs w:val="18"/>
                <w:lang w:eastAsia="en-GB"/>
              </w:rPr>
            </w:pPr>
            <w:r w:rsidRPr="00C66550">
              <w:rPr>
                <w:rFonts w:asciiTheme="minorHAnsi" w:hAnsiTheme="minorHAnsi"/>
                <w:color w:val="040405"/>
                <w:sz w:val="18"/>
                <w:szCs w:val="18"/>
                <w:lang w:eastAsia="en-GB"/>
              </w:rPr>
              <w:t>PRIMARY PRODUCTION WASTES/BIOMASS</w:t>
            </w:r>
            <w:r w:rsidR="00813D47">
              <w:rPr>
                <w:rFonts w:asciiTheme="minorHAnsi" w:hAnsiTheme="minorHAnsi"/>
                <w:color w:val="040405"/>
                <w:sz w:val="18"/>
                <w:szCs w:val="18"/>
                <w:lang w:eastAsia="en-GB"/>
              </w:rPr>
              <w:t xml:space="preserve"> (kt)</w:t>
            </w:r>
          </w:p>
        </w:tc>
      </w:tr>
      <w:tr w:rsidR="002A73E4" w:rsidRPr="00C66550" w:rsidTr="00B14CBB">
        <w:tc>
          <w:tcPr>
            <w:cnfStyle w:val="001000000000"/>
            <w:tcW w:w="2685" w:type="dxa"/>
            <w:tcBorders>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Sawdust (from forestry</w:t>
            </w:r>
            <w:r w:rsidR="0025147E" w:rsidRPr="00C66550">
              <w:rPr>
                <w:rFonts w:asciiTheme="minorHAnsi" w:hAnsiTheme="minorHAnsi"/>
                <w:color w:val="040405"/>
                <w:sz w:val="18"/>
                <w:szCs w:val="18"/>
                <w:lang w:eastAsia="en-GB"/>
              </w:rPr>
              <w:t xml:space="preserve"> </w:t>
            </w:r>
            <w:r w:rsidRPr="00C66550">
              <w:rPr>
                <w:rFonts w:asciiTheme="minorHAnsi" w:hAnsiTheme="minorHAnsi"/>
                <w:color w:val="040405"/>
                <w:sz w:val="18"/>
                <w:szCs w:val="18"/>
                <w:lang w:eastAsia="en-GB"/>
              </w:rPr>
              <w:t>residuals)</w:t>
            </w:r>
          </w:p>
        </w:tc>
        <w:tc>
          <w:tcPr>
            <w:tcW w:w="1035" w:type="dxa"/>
            <w:tcBorders>
              <w:bottom w:val="nil"/>
            </w:tcBorders>
            <w:hideMark/>
          </w:tcPr>
          <w:p w:rsidR="002A73E4" w:rsidRPr="00C66550" w:rsidRDefault="00813D47" w:rsidP="00813D47">
            <w:pPr>
              <w:spacing w:line="240" w:lineRule="auto"/>
              <w:jc w:val="right"/>
              <w:cnfStyle w:val="000000000000"/>
              <w:rPr>
                <w:rFonts w:asciiTheme="minorHAnsi" w:hAnsiTheme="minorHAnsi" w:cs="Times New Roman"/>
                <w:color w:val="000000"/>
                <w:sz w:val="18"/>
                <w:szCs w:val="18"/>
                <w:lang w:eastAsia="en-GB"/>
              </w:rPr>
            </w:pPr>
            <w:r>
              <w:rPr>
                <w:rFonts w:asciiTheme="minorHAnsi" w:hAnsiTheme="minorHAnsi" w:cs="Times New Roman"/>
                <w:color w:val="000000"/>
                <w:sz w:val="18"/>
                <w:szCs w:val="18"/>
                <w:lang w:eastAsia="en-GB"/>
              </w:rPr>
              <w:t>184</w:t>
            </w:r>
          </w:p>
        </w:tc>
        <w:tc>
          <w:tcPr>
            <w:tcW w:w="1035" w:type="dxa"/>
            <w:tcBorders>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216</w:t>
            </w:r>
          </w:p>
        </w:tc>
        <w:tc>
          <w:tcPr>
            <w:tcW w:w="1066" w:type="dxa"/>
            <w:tcBorders>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221</w:t>
            </w:r>
          </w:p>
        </w:tc>
        <w:tc>
          <w:tcPr>
            <w:tcW w:w="1035" w:type="dxa"/>
            <w:tcBorders>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24</w:t>
            </w:r>
            <w:r w:rsidR="006338D7">
              <w:rPr>
                <w:rFonts w:asciiTheme="minorHAnsi" w:hAnsiTheme="minorHAnsi" w:cs="Times New Roman"/>
                <w:color w:val="000000"/>
                <w:sz w:val="18"/>
                <w:szCs w:val="18"/>
                <w:lang w:eastAsia="en-GB"/>
              </w:rPr>
              <w:t>7</w:t>
            </w:r>
          </w:p>
        </w:tc>
        <w:tc>
          <w:tcPr>
            <w:tcW w:w="1035" w:type="dxa"/>
            <w:tcBorders>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239</w:t>
            </w:r>
          </w:p>
        </w:tc>
        <w:tc>
          <w:tcPr>
            <w:tcW w:w="1035" w:type="dxa"/>
            <w:tcBorders>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206</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Barks (from forestry residuals)</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500</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539</w:t>
            </w:r>
          </w:p>
        </w:tc>
        <w:tc>
          <w:tcPr>
            <w:tcW w:w="1066"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593</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770</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777</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769</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Straw</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21</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w:t>
            </w:r>
            <w:r w:rsidR="00813D47">
              <w:rPr>
                <w:rFonts w:asciiTheme="minorHAnsi" w:hAnsiTheme="minorHAnsi" w:cs="Times New Roman"/>
                <w:color w:val="000000"/>
                <w:sz w:val="18"/>
                <w:szCs w:val="18"/>
                <w:lang w:eastAsia="en-GB"/>
              </w:rPr>
              <w:t>4</w:t>
            </w:r>
          </w:p>
        </w:tc>
        <w:tc>
          <w:tcPr>
            <w:tcW w:w="1066"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17</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25</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w:t>
            </w:r>
            <w:r w:rsidR="006338D7">
              <w:rPr>
                <w:rFonts w:asciiTheme="minorHAnsi" w:hAnsiTheme="minorHAnsi" w:cs="Times New Roman"/>
                <w:color w:val="000000"/>
                <w:sz w:val="18"/>
                <w:szCs w:val="18"/>
                <w:lang w:eastAsia="en-GB"/>
              </w:rPr>
              <w:t>5</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27</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Manure</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475</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47</w:t>
            </w:r>
            <w:r w:rsidR="00813D47">
              <w:rPr>
                <w:rFonts w:asciiTheme="minorHAnsi" w:hAnsiTheme="minorHAnsi" w:cs="Times New Roman"/>
                <w:color w:val="000000"/>
                <w:sz w:val="18"/>
                <w:szCs w:val="18"/>
                <w:lang w:eastAsia="en-GB"/>
              </w:rPr>
              <w:t>8</w:t>
            </w:r>
          </w:p>
        </w:tc>
        <w:tc>
          <w:tcPr>
            <w:tcW w:w="1066"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70</w:t>
            </w:r>
            <w:r w:rsidR="006338D7">
              <w:rPr>
                <w:rFonts w:asciiTheme="minorHAnsi" w:hAnsiTheme="minorHAnsi" w:cs="Times New Roman"/>
                <w:color w:val="000000"/>
                <w:sz w:val="18"/>
                <w:szCs w:val="18"/>
                <w:lang w:eastAsia="en-GB"/>
              </w:rPr>
              <w:t>3</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68</w:t>
            </w:r>
            <w:r w:rsidR="006338D7">
              <w:rPr>
                <w:rFonts w:asciiTheme="minorHAnsi" w:hAnsiTheme="minorHAnsi" w:cs="Times New Roman"/>
                <w:color w:val="000000"/>
                <w:sz w:val="18"/>
                <w:szCs w:val="18"/>
                <w:lang w:eastAsia="en-GB"/>
              </w:rPr>
              <w:t>2</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65</w:t>
            </w:r>
            <w:r w:rsidR="006338D7">
              <w:rPr>
                <w:rFonts w:asciiTheme="minorHAnsi" w:hAnsiTheme="minorHAnsi" w:cs="Times New Roman"/>
                <w:color w:val="000000"/>
                <w:sz w:val="18"/>
                <w:szCs w:val="18"/>
                <w:lang w:eastAsia="en-GB"/>
              </w:rPr>
              <w:t>8</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460</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Animal bedding</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w:t>
            </w:r>
            <w:r w:rsidR="00813D47">
              <w:rPr>
                <w:rFonts w:asciiTheme="minorHAnsi" w:hAnsiTheme="minorHAnsi" w:cs="Times New Roman"/>
                <w:color w:val="000000"/>
                <w:sz w:val="18"/>
                <w:szCs w:val="18"/>
                <w:lang w:eastAsia="en-GB"/>
              </w:rPr>
              <w:t>4</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w:t>
            </w:r>
            <w:r w:rsidR="00813D47">
              <w:rPr>
                <w:rFonts w:asciiTheme="minorHAnsi" w:hAnsiTheme="minorHAnsi" w:cs="Times New Roman"/>
                <w:color w:val="000000"/>
                <w:sz w:val="18"/>
                <w:szCs w:val="18"/>
                <w:lang w:eastAsia="en-GB"/>
              </w:rPr>
              <w:t>4</w:t>
            </w:r>
          </w:p>
        </w:tc>
        <w:tc>
          <w:tcPr>
            <w:tcW w:w="1066"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18</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13</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24</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24</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Animal mortalities</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4</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w:t>
            </w:r>
            <w:r w:rsidR="00813D47">
              <w:rPr>
                <w:rFonts w:asciiTheme="minorHAnsi" w:hAnsiTheme="minorHAnsi" w:cs="Times New Roman"/>
                <w:color w:val="000000"/>
                <w:sz w:val="18"/>
                <w:szCs w:val="18"/>
                <w:lang w:eastAsia="en-GB"/>
              </w:rPr>
              <w:t>1</w:t>
            </w:r>
          </w:p>
        </w:tc>
        <w:tc>
          <w:tcPr>
            <w:tcW w:w="1066"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10</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12</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80</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Miscellaneous agricultural organics</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68</w:t>
            </w:r>
          </w:p>
        </w:tc>
        <w:tc>
          <w:tcPr>
            <w:tcW w:w="1035" w:type="dxa"/>
            <w:tcBorders>
              <w:top w:val="nil"/>
              <w:bottom w:val="nil"/>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70</w:t>
            </w:r>
          </w:p>
        </w:tc>
        <w:tc>
          <w:tcPr>
            <w:tcW w:w="1066"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98</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144</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8</w:t>
            </w:r>
            <w:r w:rsidR="006338D7">
              <w:rPr>
                <w:rFonts w:asciiTheme="minorHAnsi" w:hAnsiTheme="minorHAnsi" w:cs="Times New Roman"/>
                <w:color w:val="000000"/>
                <w:sz w:val="18"/>
                <w:szCs w:val="18"/>
                <w:lang w:eastAsia="en-GB"/>
              </w:rPr>
              <w:t>1</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8</w:t>
            </w:r>
            <w:r w:rsidR="006338D7">
              <w:rPr>
                <w:rFonts w:asciiTheme="minorHAnsi" w:hAnsiTheme="minorHAnsi" w:cs="Times New Roman"/>
                <w:color w:val="000000"/>
                <w:sz w:val="18"/>
                <w:szCs w:val="18"/>
                <w:lang w:eastAsia="en-GB"/>
              </w:rPr>
              <w:t>5</w:t>
            </w:r>
          </w:p>
        </w:tc>
      </w:tr>
      <w:tr w:rsidR="002A73E4" w:rsidRPr="00C66550" w:rsidTr="00B14CBB">
        <w:tc>
          <w:tcPr>
            <w:cnfStyle w:val="001000000000"/>
            <w:tcW w:w="2685" w:type="dxa"/>
            <w:tcBorders>
              <w:top w:val="nil"/>
              <w:bottom w:val="single" w:sz="4" w:space="0" w:color="7F7F7F" w:themeColor="background2"/>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SUB-TOTAL</w:t>
            </w:r>
          </w:p>
        </w:tc>
        <w:tc>
          <w:tcPr>
            <w:tcW w:w="1035" w:type="dxa"/>
            <w:tcBorders>
              <w:top w:val="nil"/>
              <w:bottom w:val="single" w:sz="4" w:space="0" w:color="7F7F7F" w:themeColor="background2"/>
            </w:tcBorders>
            <w:hideMark/>
          </w:tcPr>
          <w:p w:rsidR="002A73E4" w:rsidRPr="00C66550" w:rsidRDefault="002A73E4" w:rsidP="00813D4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1,276</w:t>
            </w:r>
          </w:p>
        </w:tc>
        <w:tc>
          <w:tcPr>
            <w:tcW w:w="1035" w:type="dxa"/>
            <w:tcBorders>
              <w:top w:val="nil"/>
              <w:bottom w:val="single" w:sz="4" w:space="0" w:color="7F7F7F" w:themeColor="background2"/>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1,35</w:t>
            </w:r>
            <w:r w:rsidR="006338D7">
              <w:rPr>
                <w:rFonts w:asciiTheme="minorHAnsi" w:hAnsiTheme="minorHAnsi" w:cs="Times New Roman"/>
                <w:color w:val="000000"/>
                <w:sz w:val="18"/>
                <w:szCs w:val="18"/>
                <w:lang w:eastAsia="en-GB"/>
              </w:rPr>
              <w:t>1</w:t>
            </w:r>
          </w:p>
        </w:tc>
        <w:tc>
          <w:tcPr>
            <w:tcW w:w="1066" w:type="dxa"/>
            <w:tcBorders>
              <w:top w:val="nil"/>
              <w:bottom w:val="single" w:sz="4" w:space="0" w:color="7F7F7F" w:themeColor="background2"/>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1,661</w:t>
            </w:r>
          </w:p>
        </w:tc>
        <w:tc>
          <w:tcPr>
            <w:tcW w:w="1035" w:type="dxa"/>
            <w:tcBorders>
              <w:top w:val="nil"/>
              <w:bottom w:val="single" w:sz="4" w:space="0" w:color="7F7F7F" w:themeColor="background2"/>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1,894</w:t>
            </w:r>
          </w:p>
        </w:tc>
        <w:tc>
          <w:tcPr>
            <w:tcW w:w="1035" w:type="dxa"/>
            <w:tcBorders>
              <w:top w:val="nil"/>
              <w:bottom w:val="single" w:sz="4" w:space="0" w:color="7F7F7F" w:themeColor="background2"/>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1,81</w:t>
            </w:r>
            <w:r w:rsidR="006338D7">
              <w:rPr>
                <w:rFonts w:asciiTheme="minorHAnsi" w:hAnsiTheme="minorHAnsi" w:cs="Times New Roman"/>
                <w:color w:val="000000"/>
                <w:sz w:val="18"/>
                <w:szCs w:val="18"/>
                <w:lang w:eastAsia="en-GB"/>
              </w:rPr>
              <w:t>1</w:t>
            </w:r>
          </w:p>
        </w:tc>
        <w:tc>
          <w:tcPr>
            <w:tcW w:w="1035" w:type="dxa"/>
            <w:tcBorders>
              <w:top w:val="nil"/>
              <w:bottom w:val="single" w:sz="4" w:space="0" w:color="7F7F7F" w:themeColor="background2"/>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1,652</w:t>
            </w:r>
          </w:p>
        </w:tc>
      </w:tr>
      <w:tr w:rsidR="002A73E4" w:rsidRPr="00C66550" w:rsidTr="00B14CBB">
        <w:tc>
          <w:tcPr>
            <w:cnfStyle w:val="001000000000"/>
            <w:tcW w:w="2685" w:type="dxa"/>
            <w:tcBorders>
              <w:top w:val="single" w:sz="4" w:space="0" w:color="7F7F7F" w:themeColor="background2"/>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Biosolids/grit/screenings</w:t>
            </w:r>
          </w:p>
        </w:tc>
        <w:tc>
          <w:tcPr>
            <w:tcW w:w="1035" w:type="dxa"/>
            <w:tcBorders>
              <w:top w:val="single" w:sz="4" w:space="0" w:color="7F7F7F" w:themeColor="background2"/>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49</w:t>
            </w:r>
            <w:r w:rsidR="006338D7">
              <w:rPr>
                <w:rFonts w:asciiTheme="minorHAnsi" w:hAnsiTheme="minorHAnsi" w:cs="Times New Roman"/>
                <w:color w:val="000000"/>
                <w:sz w:val="18"/>
                <w:szCs w:val="18"/>
                <w:lang w:eastAsia="en-GB"/>
              </w:rPr>
              <w:t>2</w:t>
            </w:r>
          </w:p>
        </w:tc>
        <w:tc>
          <w:tcPr>
            <w:tcW w:w="1035" w:type="dxa"/>
            <w:tcBorders>
              <w:top w:val="single" w:sz="4" w:space="0" w:color="7F7F7F" w:themeColor="background2"/>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620</w:t>
            </w:r>
          </w:p>
        </w:tc>
        <w:tc>
          <w:tcPr>
            <w:tcW w:w="1066" w:type="dxa"/>
            <w:tcBorders>
              <w:top w:val="single" w:sz="4" w:space="0" w:color="7F7F7F" w:themeColor="background2"/>
              <w:bottom w:val="nil"/>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626</w:t>
            </w:r>
          </w:p>
        </w:tc>
        <w:tc>
          <w:tcPr>
            <w:tcW w:w="1035" w:type="dxa"/>
            <w:tcBorders>
              <w:top w:val="single" w:sz="4" w:space="0" w:color="7F7F7F" w:themeColor="background2"/>
              <w:bottom w:val="nil"/>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68</w:t>
            </w:r>
            <w:r w:rsidR="0040747C">
              <w:rPr>
                <w:rFonts w:asciiTheme="minorHAnsi" w:hAnsiTheme="minorHAnsi" w:cs="Times New Roman"/>
                <w:color w:val="000000"/>
                <w:sz w:val="18"/>
                <w:szCs w:val="18"/>
                <w:lang w:eastAsia="en-GB"/>
              </w:rPr>
              <w:t>2</w:t>
            </w:r>
          </w:p>
        </w:tc>
        <w:tc>
          <w:tcPr>
            <w:tcW w:w="1035" w:type="dxa"/>
            <w:tcBorders>
              <w:top w:val="single" w:sz="4" w:space="0" w:color="7F7F7F" w:themeColor="background2"/>
              <w:bottom w:val="nil"/>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1,1</w:t>
            </w:r>
            <w:r w:rsidR="0040747C">
              <w:rPr>
                <w:rFonts w:asciiTheme="minorHAnsi" w:hAnsiTheme="minorHAnsi" w:cs="Times New Roman"/>
                <w:color w:val="000000"/>
                <w:sz w:val="18"/>
                <w:szCs w:val="18"/>
                <w:lang w:eastAsia="en-GB"/>
              </w:rPr>
              <w:t>50</w:t>
            </w:r>
          </w:p>
        </w:tc>
        <w:tc>
          <w:tcPr>
            <w:tcW w:w="1035" w:type="dxa"/>
            <w:tcBorders>
              <w:top w:val="single" w:sz="4" w:space="0" w:color="7F7F7F" w:themeColor="background2"/>
              <w:bottom w:val="nil"/>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917</w:t>
            </w:r>
          </w:p>
        </w:tc>
      </w:tr>
      <w:tr w:rsidR="002A73E4" w:rsidRPr="00C66550" w:rsidTr="00B14CBB">
        <w:tc>
          <w:tcPr>
            <w:cnfStyle w:val="001000000000"/>
            <w:tcW w:w="2685" w:type="dxa"/>
            <w:tcBorders>
              <w:top w:val="nil"/>
              <w:bottom w:val="nil"/>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Oils, grease trap, sludges</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17</w:t>
            </w:r>
            <w:r w:rsidR="006338D7">
              <w:rPr>
                <w:rFonts w:asciiTheme="minorHAnsi" w:hAnsiTheme="minorHAnsi" w:cs="Times New Roman"/>
                <w:color w:val="000000"/>
                <w:sz w:val="18"/>
                <w:szCs w:val="18"/>
                <w:lang w:eastAsia="en-GB"/>
              </w:rPr>
              <w:t>4</w:t>
            </w:r>
          </w:p>
        </w:tc>
        <w:tc>
          <w:tcPr>
            <w:tcW w:w="1035" w:type="dxa"/>
            <w:tcBorders>
              <w:top w:val="nil"/>
              <w:bottom w:val="nil"/>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16</w:t>
            </w:r>
            <w:r w:rsidR="006338D7">
              <w:rPr>
                <w:rFonts w:asciiTheme="minorHAnsi" w:hAnsiTheme="minorHAnsi" w:cs="Times New Roman"/>
                <w:color w:val="000000"/>
                <w:sz w:val="18"/>
                <w:szCs w:val="18"/>
                <w:lang w:eastAsia="en-GB"/>
              </w:rPr>
              <w:t>4</w:t>
            </w:r>
          </w:p>
        </w:tc>
        <w:tc>
          <w:tcPr>
            <w:tcW w:w="1066" w:type="dxa"/>
            <w:tcBorders>
              <w:top w:val="nil"/>
              <w:bottom w:val="nil"/>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193</w:t>
            </w:r>
          </w:p>
        </w:tc>
        <w:tc>
          <w:tcPr>
            <w:tcW w:w="1035" w:type="dxa"/>
            <w:tcBorders>
              <w:top w:val="nil"/>
              <w:bottom w:val="nil"/>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281</w:t>
            </w:r>
          </w:p>
        </w:tc>
        <w:tc>
          <w:tcPr>
            <w:tcW w:w="1035" w:type="dxa"/>
            <w:tcBorders>
              <w:top w:val="nil"/>
              <w:bottom w:val="nil"/>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282</w:t>
            </w:r>
          </w:p>
        </w:tc>
        <w:tc>
          <w:tcPr>
            <w:tcW w:w="1035" w:type="dxa"/>
            <w:tcBorders>
              <w:top w:val="nil"/>
              <w:bottom w:val="nil"/>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263</w:t>
            </w:r>
          </w:p>
        </w:tc>
      </w:tr>
      <w:tr w:rsidR="002A73E4" w:rsidRPr="00C66550" w:rsidTr="00B14CBB">
        <w:tc>
          <w:tcPr>
            <w:cnfStyle w:val="001000000000"/>
            <w:tcW w:w="2685" w:type="dxa"/>
            <w:tcBorders>
              <w:top w:val="nil"/>
              <w:bottom w:val="single" w:sz="4" w:space="0" w:color="7F7F7F" w:themeColor="background2"/>
            </w:tcBorders>
            <w:hideMark/>
          </w:tcPr>
          <w:p w:rsidR="002A73E4" w:rsidRPr="00C66550" w:rsidRDefault="002A73E4" w:rsidP="009B1421">
            <w:pPr>
              <w:spacing w:line="240" w:lineRule="auto"/>
              <w:rPr>
                <w:rFonts w:asciiTheme="minorHAnsi" w:hAnsiTheme="minorHAnsi"/>
                <w:color w:val="040405"/>
                <w:sz w:val="18"/>
                <w:szCs w:val="18"/>
                <w:lang w:eastAsia="en-GB"/>
              </w:rPr>
            </w:pPr>
            <w:r w:rsidRPr="00C66550">
              <w:rPr>
                <w:rFonts w:asciiTheme="minorHAnsi" w:hAnsiTheme="minorHAnsi"/>
                <w:color w:val="040405"/>
                <w:sz w:val="18"/>
                <w:szCs w:val="18"/>
                <w:lang w:eastAsia="en-GB"/>
              </w:rPr>
              <w:t>SUB-TOTAL</w:t>
            </w:r>
          </w:p>
        </w:tc>
        <w:tc>
          <w:tcPr>
            <w:tcW w:w="1035" w:type="dxa"/>
            <w:tcBorders>
              <w:top w:val="nil"/>
              <w:bottom w:val="single" w:sz="4" w:space="0" w:color="7F7F7F" w:themeColor="background2"/>
            </w:tcBorders>
            <w:hideMark/>
          </w:tcPr>
          <w:p w:rsidR="002A73E4" w:rsidRPr="00C66550" w:rsidRDefault="002A73E4" w:rsidP="006338D7">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66</w:t>
            </w:r>
            <w:r w:rsidR="006338D7">
              <w:rPr>
                <w:rFonts w:asciiTheme="minorHAnsi" w:hAnsiTheme="minorHAnsi" w:cs="Times New Roman"/>
                <w:color w:val="000000"/>
                <w:sz w:val="18"/>
                <w:szCs w:val="18"/>
                <w:lang w:eastAsia="en-GB"/>
              </w:rPr>
              <w:t>6</w:t>
            </w:r>
          </w:p>
        </w:tc>
        <w:tc>
          <w:tcPr>
            <w:tcW w:w="1035" w:type="dxa"/>
            <w:tcBorders>
              <w:top w:val="nil"/>
              <w:bottom w:val="single" w:sz="4" w:space="0" w:color="7F7F7F" w:themeColor="background2"/>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78</w:t>
            </w:r>
            <w:r w:rsidR="0040747C">
              <w:rPr>
                <w:rFonts w:asciiTheme="minorHAnsi" w:hAnsiTheme="minorHAnsi" w:cs="Times New Roman"/>
                <w:color w:val="000000"/>
                <w:sz w:val="18"/>
                <w:szCs w:val="18"/>
                <w:lang w:eastAsia="en-GB"/>
              </w:rPr>
              <w:t>4</w:t>
            </w:r>
          </w:p>
        </w:tc>
        <w:tc>
          <w:tcPr>
            <w:tcW w:w="1066" w:type="dxa"/>
            <w:tcBorders>
              <w:top w:val="nil"/>
              <w:bottom w:val="single" w:sz="4" w:space="0" w:color="7F7F7F" w:themeColor="background2"/>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8</w:t>
            </w:r>
            <w:r w:rsidR="0040747C">
              <w:rPr>
                <w:rFonts w:asciiTheme="minorHAnsi" w:hAnsiTheme="minorHAnsi" w:cs="Times New Roman"/>
                <w:color w:val="000000"/>
                <w:sz w:val="18"/>
                <w:szCs w:val="18"/>
                <w:lang w:eastAsia="en-GB"/>
              </w:rPr>
              <w:t>20</w:t>
            </w:r>
          </w:p>
        </w:tc>
        <w:tc>
          <w:tcPr>
            <w:tcW w:w="1035" w:type="dxa"/>
            <w:tcBorders>
              <w:top w:val="nil"/>
              <w:bottom w:val="single" w:sz="4" w:space="0" w:color="7F7F7F" w:themeColor="background2"/>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96</w:t>
            </w:r>
            <w:r w:rsidR="0040747C">
              <w:rPr>
                <w:rFonts w:asciiTheme="minorHAnsi" w:hAnsiTheme="minorHAnsi" w:cs="Times New Roman"/>
                <w:color w:val="000000"/>
                <w:sz w:val="18"/>
                <w:szCs w:val="18"/>
                <w:lang w:eastAsia="en-GB"/>
              </w:rPr>
              <w:t>3</w:t>
            </w:r>
          </w:p>
        </w:tc>
        <w:tc>
          <w:tcPr>
            <w:tcW w:w="1035" w:type="dxa"/>
            <w:tcBorders>
              <w:top w:val="nil"/>
              <w:bottom w:val="single" w:sz="4" w:space="0" w:color="7F7F7F" w:themeColor="background2"/>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1,432</w:t>
            </w:r>
          </w:p>
        </w:tc>
        <w:tc>
          <w:tcPr>
            <w:tcW w:w="1035" w:type="dxa"/>
            <w:tcBorders>
              <w:top w:val="nil"/>
              <w:bottom w:val="single" w:sz="4" w:space="0" w:color="7F7F7F" w:themeColor="background2"/>
            </w:tcBorders>
            <w:hideMark/>
          </w:tcPr>
          <w:p w:rsidR="002A73E4" w:rsidRPr="00C66550" w:rsidRDefault="002A73E4" w:rsidP="0040747C">
            <w:pPr>
              <w:spacing w:line="240" w:lineRule="auto"/>
              <w:jc w:val="right"/>
              <w:cnfStyle w:val="000000000000"/>
              <w:rPr>
                <w:rFonts w:asciiTheme="minorHAnsi" w:hAnsiTheme="minorHAnsi" w:cs="Times New Roman"/>
                <w:color w:val="000000"/>
                <w:sz w:val="18"/>
                <w:szCs w:val="18"/>
                <w:lang w:eastAsia="en-GB"/>
              </w:rPr>
            </w:pPr>
            <w:r w:rsidRPr="00C66550">
              <w:rPr>
                <w:rFonts w:asciiTheme="minorHAnsi" w:hAnsiTheme="minorHAnsi" w:cs="Times New Roman"/>
                <w:color w:val="000000"/>
                <w:sz w:val="18"/>
                <w:szCs w:val="18"/>
                <w:lang w:eastAsia="en-GB"/>
              </w:rPr>
              <w:t>1,180</w:t>
            </w:r>
          </w:p>
        </w:tc>
      </w:tr>
    </w:tbl>
    <w:p w:rsidR="002A73E4" w:rsidRPr="00C66550" w:rsidRDefault="009B1421" w:rsidP="00B14CBB">
      <w:pPr>
        <w:pStyle w:val="FigureTableinfo"/>
        <w:ind w:right="1111"/>
      </w:pPr>
      <w:r w:rsidRPr="00C66550">
        <w:rPr>
          <w:sz w:val="18"/>
          <w:szCs w:val="18"/>
        </w:rPr>
        <w:t>*</w:t>
      </w:r>
      <w:r w:rsidR="002A73E4" w:rsidRPr="00C66550">
        <w:rPr>
          <w:sz w:val="18"/>
          <w:szCs w:val="18"/>
        </w:rPr>
        <w:t xml:space="preserve"> </w:t>
      </w:r>
      <w:r w:rsidR="00BB3966">
        <w:rPr>
          <w:sz w:val="18"/>
          <w:szCs w:val="18"/>
        </w:rPr>
        <w:t>Vic</w:t>
      </w:r>
      <w:r w:rsidR="002A73E4" w:rsidRPr="00C66550">
        <w:rPr>
          <w:sz w:val="18"/>
          <w:szCs w:val="18"/>
        </w:rPr>
        <w:t xml:space="preserve"> was not surveyed for the 2007/08 period</w:t>
      </w:r>
      <w:r w:rsidRPr="00C66550">
        <w:rPr>
          <w:sz w:val="18"/>
          <w:szCs w:val="18"/>
        </w:rPr>
        <w:t xml:space="preserve"> so the apparent decline </w:t>
      </w:r>
      <w:r w:rsidR="002A73E4" w:rsidRPr="00C66550">
        <w:rPr>
          <w:sz w:val="18"/>
          <w:szCs w:val="18"/>
        </w:rPr>
        <w:t>in organics rec</w:t>
      </w:r>
      <w:r w:rsidRPr="00C66550">
        <w:rPr>
          <w:sz w:val="18"/>
          <w:szCs w:val="18"/>
        </w:rPr>
        <w:t>overy in that year is misleading. O</w:t>
      </w:r>
      <w:r w:rsidR="002A73E4" w:rsidRPr="00C66550">
        <w:rPr>
          <w:sz w:val="18"/>
          <w:szCs w:val="18"/>
        </w:rPr>
        <w:t>rganic</w:t>
      </w:r>
      <w:r w:rsidRPr="00C66550">
        <w:rPr>
          <w:sz w:val="18"/>
          <w:szCs w:val="18"/>
        </w:rPr>
        <w:t xml:space="preserve"> waste</w:t>
      </w:r>
      <w:r w:rsidR="002A73E4" w:rsidRPr="00C66550">
        <w:rPr>
          <w:sz w:val="18"/>
          <w:szCs w:val="18"/>
        </w:rPr>
        <w:t xml:space="preserve"> recovery in </w:t>
      </w:r>
      <w:r w:rsidR="00BB3966">
        <w:rPr>
          <w:sz w:val="18"/>
          <w:szCs w:val="18"/>
        </w:rPr>
        <w:t>Vic</w:t>
      </w:r>
      <w:r w:rsidR="002A73E4" w:rsidRPr="00C66550">
        <w:rPr>
          <w:sz w:val="18"/>
          <w:szCs w:val="18"/>
        </w:rPr>
        <w:t xml:space="preserve"> expanded rapidly between 2006/07 and 2008/09.</w:t>
      </w:r>
    </w:p>
    <w:p w:rsidR="00174E8A" w:rsidRPr="00C66550" w:rsidRDefault="00174E8A" w:rsidP="00B14CBB">
      <w:pPr>
        <w:pStyle w:val="Bullet1"/>
        <w:numPr>
          <w:ilvl w:val="0"/>
          <w:numId w:val="0"/>
        </w:numPr>
        <w:ind w:left="454" w:hanging="454"/>
      </w:pPr>
    </w:p>
    <w:p w:rsidR="00174E8A" w:rsidRPr="00C66550" w:rsidRDefault="0062001A" w:rsidP="00174E8A">
      <w:pPr>
        <w:pStyle w:val="BodyText"/>
      </w:pPr>
      <w:r w:rsidRPr="00C66550">
        <w:fldChar w:fldCharType="begin"/>
      </w:r>
      <w:r w:rsidR="00E70F21" w:rsidRPr="00C66550">
        <w:instrText xml:space="preserve"> REF _Ref349659224 \h </w:instrText>
      </w:r>
      <w:r w:rsidRPr="00C66550">
        <w:fldChar w:fldCharType="separate"/>
      </w:r>
      <w:r w:rsidR="00D96003" w:rsidRPr="00C66550">
        <w:t xml:space="preserve">Table </w:t>
      </w:r>
      <w:r w:rsidR="00D96003">
        <w:rPr>
          <w:noProof/>
        </w:rPr>
        <w:t>10</w:t>
      </w:r>
      <w:r w:rsidRPr="00C66550">
        <w:fldChar w:fldCharType="end"/>
      </w:r>
      <w:r w:rsidR="00174E8A" w:rsidRPr="00C66550">
        <w:t xml:space="preserve"> </w:t>
      </w:r>
      <w:r w:rsidR="00744209" w:rsidRPr="00C66550">
        <w:t>suggests that</w:t>
      </w:r>
      <w:r w:rsidR="00174E8A" w:rsidRPr="00C66550">
        <w:t xml:space="preserve"> levels of organics recovery</w:t>
      </w:r>
      <w:r w:rsidR="00744209" w:rsidRPr="00C66550">
        <w:t xml:space="preserve"> grew during this period, although part of the increase may be due to a greater</w:t>
      </w:r>
      <w:r w:rsidR="00174E8A" w:rsidRPr="00C66550">
        <w:t xml:space="preserve"> </w:t>
      </w:r>
      <w:r w:rsidR="008A3648" w:rsidRPr="00C66550">
        <w:t>number of respondents to the RO</w:t>
      </w:r>
      <w:r w:rsidR="00174E8A" w:rsidRPr="00C66550">
        <w:t xml:space="preserve">U survey. </w:t>
      </w:r>
      <w:r w:rsidR="00744209" w:rsidRPr="00C66550">
        <w:t>N</w:t>
      </w:r>
      <w:r w:rsidR="00174E8A" w:rsidRPr="00C66550">
        <w:t>otable trends are:</w:t>
      </w:r>
    </w:p>
    <w:p w:rsidR="00174E8A" w:rsidRPr="00C66550" w:rsidRDefault="00174E8A" w:rsidP="00174E8A">
      <w:pPr>
        <w:pStyle w:val="Bullet1"/>
      </w:pPr>
      <w:r w:rsidRPr="00C66550">
        <w:t>Quantities of reported garden organics recovery have fluctuated. Variability can be attributed to seaso</w:t>
      </w:r>
      <w:r w:rsidR="00C66550" w:rsidRPr="00C66550">
        <w:t>n/a</w:t>
      </w:r>
      <w:r w:rsidRPr="00C66550">
        <w:t>l variability—drought reduces volumes of garden organics and extreme storm event increase levels of garden organics recovery.</w:t>
      </w:r>
    </w:p>
    <w:p w:rsidR="00174E8A" w:rsidRPr="00C66550" w:rsidRDefault="00174E8A" w:rsidP="00174E8A">
      <w:pPr>
        <w:pStyle w:val="Bullet1"/>
      </w:pPr>
      <w:r w:rsidRPr="00C66550">
        <w:t>Increases in food organics and mixed garden and food recovery</w:t>
      </w:r>
      <w:r w:rsidR="00FB3544" w:rsidRPr="00C66550">
        <w:t xml:space="preserve"> (attributable mainly to</w:t>
      </w:r>
      <w:r w:rsidRPr="00C66550">
        <w:t xml:space="preserve"> NSW and </w:t>
      </w:r>
      <w:r w:rsidR="00DF4FB7">
        <w:t>Qld</w:t>
      </w:r>
      <w:r w:rsidR="00FB3544" w:rsidRPr="00C66550">
        <w:t>)</w:t>
      </w:r>
      <w:r w:rsidRPr="00C66550">
        <w:t>.</w:t>
      </w:r>
    </w:p>
    <w:p w:rsidR="00174E8A" w:rsidRPr="00C66550" w:rsidRDefault="00174E8A" w:rsidP="00174E8A">
      <w:pPr>
        <w:pStyle w:val="Bullet1"/>
      </w:pPr>
      <w:r w:rsidRPr="00C66550">
        <w:lastRenderedPageBreak/>
        <w:t>Increases in recovery of the organics fraction of MSW</w:t>
      </w:r>
      <w:r w:rsidR="00FB3544" w:rsidRPr="00C66550">
        <w:t xml:space="preserve"> (attributable mainly to AWT development in </w:t>
      </w:r>
      <w:r w:rsidRPr="00C66550">
        <w:t>NSW</w:t>
      </w:r>
      <w:r w:rsidR="00FB3544" w:rsidRPr="00C66550">
        <w:t xml:space="preserve"> and</w:t>
      </w:r>
      <w:r w:rsidRPr="00C66550">
        <w:t xml:space="preserve"> WA</w:t>
      </w:r>
      <w:r w:rsidR="00FB3544" w:rsidRPr="00C66550">
        <w:t>)</w:t>
      </w:r>
      <w:r w:rsidRPr="00C66550">
        <w:t>.</w:t>
      </w:r>
    </w:p>
    <w:p w:rsidR="00B14CBB" w:rsidRPr="00C66550" w:rsidRDefault="00174E8A" w:rsidP="00174E8A">
      <w:pPr>
        <w:pStyle w:val="Bullet1"/>
      </w:pPr>
      <w:r w:rsidRPr="00C66550">
        <w:t xml:space="preserve">An increase in ‘biowaste’ (mainly mixed garden and food) as more councils provide kerbside organic services for garden and food. </w:t>
      </w:r>
    </w:p>
    <w:p w:rsidR="00B14CBB" w:rsidRPr="00C66550" w:rsidRDefault="00B14CBB" w:rsidP="00B14CBB">
      <w:pPr>
        <w:pStyle w:val="Bullet1"/>
      </w:pPr>
      <w:r w:rsidRPr="00C66550">
        <w:t>Quantities of timber recovery have steadily increased.</w:t>
      </w:r>
    </w:p>
    <w:p w:rsidR="00174E8A" w:rsidRPr="00C66550" w:rsidRDefault="00B14CBB" w:rsidP="00174E8A">
      <w:pPr>
        <w:pStyle w:val="Bullet1"/>
      </w:pPr>
      <w:r w:rsidRPr="00C66550">
        <w:t>Some of the apparent changes over the years may be due to improved reporting (e.g. food organics), varying classification of materials (e.g. other – miscellaneous) or shifts of material streams from on-farm to commercial compost operations (e.g. primary production wastes)</w:t>
      </w:r>
      <w:r w:rsidR="00174E8A" w:rsidRPr="00C66550">
        <w:t>.</w:t>
      </w:r>
    </w:p>
    <w:p w:rsidR="00174E8A" w:rsidRPr="00C66550" w:rsidRDefault="00174E8A">
      <w:pPr>
        <w:spacing w:line="240" w:lineRule="auto"/>
        <w:rPr>
          <w:sz w:val="22"/>
        </w:rPr>
      </w:pPr>
    </w:p>
    <w:p w:rsidR="002A73E4" w:rsidRPr="00C66550" w:rsidRDefault="002A73E4" w:rsidP="006D25F9">
      <w:pPr>
        <w:pStyle w:val="Heading2"/>
      </w:pPr>
      <w:bookmarkStart w:id="196" w:name="_Toc379466390"/>
      <w:r w:rsidRPr="00C66550">
        <w:t>Trends by jurisdiction</w:t>
      </w:r>
      <w:bookmarkEnd w:id="196"/>
    </w:p>
    <w:p w:rsidR="002A73E4" w:rsidRPr="00C66550" w:rsidRDefault="0062001A" w:rsidP="002A73E4">
      <w:pPr>
        <w:spacing w:line="240" w:lineRule="auto"/>
        <w:rPr>
          <w:color w:val="080808"/>
          <w:sz w:val="22"/>
        </w:rPr>
      </w:pPr>
      <w:fldSimple w:instr=" REF _Ref348520353 \h  \* MERGEFORMAT ">
        <w:r w:rsidR="00D96003" w:rsidRPr="00D96003">
          <w:rPr>
            <w:sz w:val="22"/>
          </w:rPr>
          <w:t xml:space="preserve">Table </w:t>
        </w:r>
        <w:r w:rsidR="00D96003" w:rsidRPr="00D96003">
          <w:rPr>
            <w:noProof/>
            <w:sz w:val="22"/>
          </w:rPr>
          <w:t>11</w:t>
        </w:r>
      </w:fldSimple>
      <w:r w:rsidR="002A73E4" w:rsidRPr="00C66550">
        <w:rPr>
          <w:color w:val="080808"/>
          <w:sz w:val="22"/>
        </w:rPr>
        <w:t xml:space="preserve"> shows trends in organics recovery in states and territories reported in R</w:t>
      </w:r>
      <w:r w:rsidR="003B0DC8" w:rsidRPr="00C66550">
        <w:rPr>
          <w:color w:val="080808"/>
          <w:sz w:val="22"/>
        </w:rPr>
        <w:t>O</w:t>
      </w:r>
      <w:r w:rsidR="002A73E4" w:rsidRPr="00C66550">
        <w:rPr>
          <w:color w:val="080808"/>
          <w:sz w:val="22"/>
        </w:rPr>
        <w:t xml:space="preserve">U surveys. </w:t>
      </w:r>
      <w:r w:rsidR="003B0DC8" w:rsidRPr="00C66550">
        <w:rPr>
          <w:color w:val="080808"/>
          <w:sz w:val="22"/>
        </w:rPr>
        <w:t>ROU surveys do</w:t>
      </w:r>
      <w:r w:rsidR="002A73E4" w:rsidRPr="00C66550">
        <w:rPr>
          <w:color w:val="080808"/>
          <w:sz w:val="22"/>
        </w:rPr>
        <w:t xml:space="preserve"> not include recovery of paper products, landfill biogas energy recovery, and energy recovery from timber</w:t>
      </w:r>
      <w:r w:rsidR="003E6B4C" w:rsidRPr="00C66550">
        <w:rPr>
          <w:color w:val="080808"/>
          <w:sz w:val="22"/>
        </w:rPr>
        <w:t xml:space="preserve">, but do include recovery of some primary production wastes not included </w:t>
      </w:r>
      <w:r w:rsidR="005E5CEF">
        <w:rPr>
          <w:color w:val="080808"/>
          <w:sz w:val="22"/>
        </w:rPr>
        <w:t>part of the scope of this report</w:t>
      </w:r>
      <w:r w:rsidR="003E6B4C" w:rsidRPr="00C66550">
        <w:rPr>
          <w:color w:val="080808"/>
          <w:sz w:val="22"/>
        </w:rPr>
        <w:t>.</w:t>
      </w:r>
      <w:r w:rsidR="002A73E4" w:rsidRPr="00C66550">
        <w:rPr>
          <w:color w:val="080808"/>
          <w:sz w:val="22"/>
        </w:rPr>
        <w:t xml:space="preserve"> This is why the total organics figures shown differ from those estimated in </w:t>
      </w:r>
      <w:fldSimple w:instr=" REF _Ref349659151 \h  \* MERGEFORMAT ">
        <w:r w:rsidR="00D96003" w:rsidRPr="00D96003">
          <w:rPr>
            <w:sz w:val="22"/>
          </w:rPr>
          <w:t>Table 9</w:t>
        </w:r>
      </w:fldSimple>
      <w:r w:rsidR="002A73E4" w:rsidRPr="00C66550">
        <w:rPr>
          <w:color w:val="080808"/>
          <w:sz w:val="22"/>
        </w:rPr>
        <w:t xml:space="preserve"> and </w:t>
      </w:r>
      <w:fldSimple w:instr=" REF _Ref349659224 \h  \* MERGEFORMAT ">
        <w:r w:rsidR="00D96003" w:rsidRPr="00D96003">
          <w:rPr>
            <w:sz w:val="22"/>
          </w:rPr>
          <w:t>Table 10</w:t>
        </w:r>
      </w:fldSimple>
      <w:r w:rsidR="002A73E4" w:rsidRPr="00C66550">
        <w:rPr>
          <w:color w:val="080808"/>
          <w:sz w:val="22"/>
        </w:rPr>
        <w:t>. However, because the R</w:t>
      </w:r>
      <w:r w:rsidR="003B0DC8" w:rsidRPr="00C66550">
        <w:rPr>
          <w:color w:val="080808"/>
          <w:sz w:val="22"/>
        </w:rPr>
        <w:t>O</w:t>
      </w:r>
      <w:r w:rsidR="002A73E4" w:rsidRPr="00C66550">
        <w:rPr>
          <w:color w:val="080808"/>
          <w:sz w:val="22"/>
        </w:rPr>
        <w:t xml:space="preserve">U surveys have used a consistent auditing </w:t>
      </w:r>
      <w:r w:rsidR="00875317" w:rsidRPr="00C66550">
        <w:rPr>
          <w:color w:val="080808"/>
          <w:sz w:val="22"/>
        </w:rPr>
        <w:t>method</w:t>
      </w:r>
      <w:r w:rsidR="002A73E4" w:rsidRPr="00C66550">
        <w:rPr>
          <w:color w:val="080808"/>
          <w:sz w:val="22"/>
        </w:rPr>
        <w:t>, they provide useful data for monitoring trends in organics management.</w:t>
      </w:r>
    </w:p>
    <w:p w:rsidR="002A73E4" w:rsidRPr="00C66550" w:rsidRDefault="002A73E4" w:rsidP="002A73E4">
      <w:pPr>
        <w:spacing w:line="240" w:lineRule="auto"/>
        <w:rPr>
          <w:color w:val="080808"/>
          <w:sz w:val="22"/>
        </w:rPr>
      </w:pPr>
    </w:p>
    <w:p w:rsidR="002A73E4" w:rsidRPr="00C66550" w:rsidRDefault="002A73E4" w:rsidP="00FB4820">
      <w:pPr>
        <w:pStyle w:val="Figures"/>
      </w:pPr>
      <w:bookmarkStart w:id="197" w:name="_Ref348520353"/>
      <w:bookmarkStart w:id="198" w:name="_Toc365038855"/>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11</w:t>
      </w:r>
      <w:r w:rsidR="0062001A" w:rsidRPr="00C66550">
        <w:fldChar w:fldCharType="end"/>
      </w:r>
      <w:bookmarkEnd w:id="197"/>
      <w:r w:rsidR="00BF5F0E" w:rsidRPr="00C66550">
        <w:t>:</w:t>
      </w:r>
      <w:r w:rsidR="00BF5F0E" w:rsidRPr="00C66550">
        <w:tab/>
      </w:r>
      <w:r w:rsidRPr="00C66550">
        <w:t xml:space="preserve">Trends in organics recovery </w:t>
      </w:r>
      <w:r w:rsidR="00BE35F1" w:rsidRPr="00C66550">
        <w:t xml:space="preserve">based on </w:t>
      </w:r>
      <w:r w:rsidRPr="00C66550">
        <w:t>R</w:t>
      </w:r>
      <w:r w:rsidR="0016733B" w:rsidRPr="00C66550">
        <w:t>O</w:t>
      </w:r>
      <w:r w:rsidRPr="00C66550">
        <w:t>U surveys</w:t>
      </w:r>
      <w:r w:rsidR="00BE35F1" w:rsidRPr="00C66550">
        <w:t>,</w:t>
      </w:r>
      <w:r w:rsidRPr="00C66550">
        <w:t xml:space="preserve"> 2005/06</w:t>
      </w:r>
      <w:r w:rsidR="00081CFB" w:rsidRPr="00C66550">
        <w:t xml:space="preserve"> to 2</w:t>
      </w:r>
      <w:r w:rsidRPr="00C66550">
        <w:t>010/11</w:t>
      </w:r>
      <w:bookmarkEnd w:id="198"/>
      <w:r w:rsidRPr="00C66550">
        <w:t xml:space="preserve"> </w:t>
      </w:r>
    </w:p>
    <w:tbl>
      <w:tblPr>
        <w:tblStyle w:val="BETable1"/>
        <w:tblW w:w="5000" w:type="pct"/>
        <w:tblInd w:w="0" w:type="dxa"/>
        <w:tblBorders>
          <w:bottom w:val="none" w:sz="0" w:space="0" w:color="auto"/>
        </w:tblBorders>
        <w:tblLayout w:type="fixed"/>
        <w:tblLook w:val="04A0"/>
      </w:tblPr>
      <w:tblGrid>
        <w:gridCol w:w="2612"/>
        <w:gridCol w:w="979"/>
        <w:gridCol w:w="1146"/>
        <w:gridCol w:w="814"/>
        <w:gridCol w:w="489"/>
        <w:gridCol w:w="491"/>
        <w:gridCol w:w="979"/>
        <w:gridCol w:w="911"/>
        <w:gridCol w:w="1049"/>
      </w:tblGrid>
      <w:tr w:rsidR="00BE35F1" w:rsidRPr="00C66550" w:rsidTr="00BE35F1">
        <w:trPr>
          <w:cnfStyle w:val="100000000000"/>
          <w:trHeight w:val="259"/>
        </w:trPr>
        <w:tc>
          <w:tcPr>
            <w:cnfStyle w:val="001000000000"/>
            <w:tcW w:w="1379" w:type="pct"/>
            <w:vAlign w:val="bottom"/>
          </w:tcPr>
          <w:p w:rsidR="006F00D4" w:rsidRPr="00C66550" w:rsidRDefault="006F00D4" w:rsidP="007A212F">
            <w:pPr>
              <w:rPr>
                <w:rFonts w:asciiTheme="minorHAnsi" w:hAnsiTheme="minorHAnsi" w:cs="Calibri"/>
                <w:szCs w:val="20"/>
              </w:rPr>
            </w:pPr>
            <w:r w:rsidRPr="00C66550">
              <w:rPr>
                <w:rFonts w:asciiTheme="minorHAnsi" w:hAnsiTheme="minorHAnsi" w:cs="Calibri"/>
                <w:bCs/>
                <w:color w:val="000000"/>
                <w:szCs w:val="20"/>
              </w:rPr>
              <w:t>State /territory</w:t>
            </w:r>
          </w:p>
        </w:tc>
        <w:tc>
          <w:tcPr>
            <w:tcW w:w="517" w:type="pct"/>
            <w:vAlign w:val="bottom"/>
          </w:tcPr>
          <w:p w:rsidR="006F00D4" w:rsidRPr="00C66550" w:rsidRDefault="006F00D4" w:rsidP="0040747C">
            <w:pPr>
              <w:jc w:val="right"/>
              <w:cnfStyle w:val="100000000000"/>
              <w:rPr>
                <w:rFonts w:asciiTheme="minorHAnsi" w:hAnsiTheme="minorHAnsi" w:cs="Calibri"/>
                <w:szCs w:val="20"/>
              </w:rPr>
            </w:pPr>
            <w:r w:rsidRPr="00C66550">
              <w:rPr>
                <w:rFonts w:asciiTheme="minorHAnsi" w:hAnsiTheme="minorHAnsi" w:cs="Calibri"/>
                <w:bCs/>
                <w:color w:val="000000"/>
                <w:szCs w:val="20"/>
              </w:rPr>
              <w:t>2005/06</w:t>
            </w:r>
          </w:p>
        </w:tc>
        <w:tc>
          <w:tcPr>
            <w:tcW w:w="605" w:type="pct"/>
            <w:vAlign w:val="bottom"/>
          </w:tcPr>
          <w:p w:rsidR="006F00D4" w:rsidRPr="00C66550" w:rsidRDefault="006F00D4" w:rsidP="0040747C">
            <w:pPr>
              <w:ind w:left="211"/>
              <w:jc w:val="right"/>
              <w:cnfStyle w:val="100000000000"/>
              <w:rPr>
                <w:rFonts w:asciiTheme="minorHAnsi" w:hAnsiTheme="minorHAnsi" w:cs="Calibri"/>
                <w:szCs w:val="20"/>
              </w:rPr>
            </w:pPr>
            <w:r w:rsidRPr="00C66550">
              <w:rPr>
                <w:rFonts w:asciiTheme="minorHAnsi" w:hAnsiTheme="minorHAnsi" w:cs="Calibri"/>
                <w:bCs/>
                <w:color w:val="000000"/>
                <w:szCs w:val="20"/>
              </w:rPr>
              <w:t>2006/07</w:t>
            </w:r>
          </w:p>
        </w:tc>
        <w:tc>
          <w:tcPr>
            <w:tcW w:w="430" w:type="pct"/>
            <w:vAlign w:val="bottom"/>
          </w:tcPr>
          <w:p w:rsidR="006F00D4" w:rsidRPr="00C66550" w:rsidRDefault="006F00D4" w:rsidP="0040747C">
            <w:pPr>
              <w:jc w:val="right"/>
              <w:cnfStyle w:val="100000000000"/>
              <w:rPr>
                <w:rFonts w:asciiTheme="minorHAnsi" w:hAnsiTheme="minorHAnsi" w:cs="Calibri"/>
                <w:szCs w:val="20"/>
              </w:rPr>
            </w:pPr>
            <w:r w:rsidRPr="00C66550">
              <w:rPr>
                <w:rFonts w:asciiTheme="minorHAnsi" w:hAnsiTheme="minorHAnsi" w:cs="Calibri"/>
                <w:bCs/>
                <w:color w:val="000000"/>
                <w:szCs w:val="20"/>
              </w:rPr>
              <w:t>2007/08</w:t>
            </w:r>
          </w:p>
        </w:tc>
        <w:tc>
          <w:tcPr>
            <w:tcW w:w="517" w:type="pct"/>
            <w:gridSpan w:val="2"/>
            <w:vAlign w:val="bottom"/>
          </w:tcPr>
          <w:p w:rsidR="006F00D4" w:rsidRPr="00C66550" w:rsidRDefault="006F00D4" w:rsidP="0040747C">
            <w:pPr>
              <w:jc w:val="right"/>
              <w:cnfStyle w:val="100000000000"/>
              <w:rPr>
                <w:rFonts w:asciiTheme="minorHAnsi" w:hAnsiTheme="minorHAnsi" w:cs="Calibri"/>
                <w:szCs w:val="20"/>
              </w:rPr>
            </w:pPr>
            <w:r w:rsidRPr="00C66550">
              <w:rPr>
                <w:rFonts w:asciiTheme="minorHAnsi" w:hAnsiTheme="minorHAnsi" w:cs="Calibri"/>
                <w:bCs/>
                <w:color w:val="000000"/>
                <w:szCs w:val="20"/>
              </w:rPr>
              <w:t>2008/09</w:t>
            </w:r>
          </w:p>
        </w:tc>
        <w:tc>
          <w:tcPr>
            <w:tcW w:w="517" w:type="pct"/>
            <w:vAlign w:val="bottom"/>
          </w:tcPr>
          <w:p w:rsidR="006F00D4" w:rsidRPr="00C66550" w:rsidRDefault="006F00D4" w:rsidP="0040747C">
            <w:pPr>
              <w:jc w:val="right"/>
              <w:cnfStyle w:val="100000000000"/>
              <w:rPr>
                <w:rFonts w:asciiTheme="minorHAnsi" w:hAnsiTheme="minorHAnsi" w:cs="Calibri"/>
                <w:szCs w:val="20"/>
              </w:rPr>
            </w:pPr>
            <w:r w:rsidRPr="00C66550">
              <w:rPr>
                <w:rFonts w:asciiTheme="minorHAnsi" w:hAnsiTheme="minorHAnsi" w:cs="Calibri"/>
                <w:bCs/>
                <w:color w:val="000000"/>
                <w:szCs w:val="20"/>
              </w:rPr>
              <w:t>2009/10</w:t>
            </w:r>
          </w:p>
        </w:tc>
        <w:tc>
          <w:tcPr>
            <w:tcW w:w="481" w:type="pct"/>
            <w:vAlign w:val="bottom"/>
          </w:tcPr>
          <w:p w:rsidR="006F00D4" w:rsidRPr="00C66550" w:rsidRDefault="006F00D4" w:rsidP="0040747C">
            <w:pPr>
              <w:jc w:val="right"/>
              <w:cnfStyle w:val="100000000000"/>
              <w:rPr>
                <w:rFonts w:asciiTheme="minorHAnsi" w:hAnsiTheme="minorHAnsi" w:cs="Calibri"/>
                <w:b w:val="0"/>
                <w:bCs/>
                <w:color w:val="000000"/>
                <w:szCs w:val="20"/>
              </w:rPr>
            </w:pPr>
            <w:r w:rsidRPr="00C66550">
              <w:rPr>
                <w:rFonts w:asciiTheme="minorHAnsi" w:hAnsiTheme="minorHAnsi" w:cs="Calibri"/>
                <w:bCs/>
                <w:color w:val="000000"/>
                <w:szCs w:val="20"/>
              </w:rPr>
              <w:t>2010/11</w:t>
            </w:r>
          </w:p>
        </w:tc>
        <w:tc>
          <w:tcPr>
            <w:tcW w:w="554" w:type="pct"/>
            <w:vAlign w:val="bottom"/>
          </w:tcPr>
          <w:p w:rsidR="006F00D4" w:rsidRPr="00C66550" w:rsidRDefault="006F00D4" w:rsidP="00BE35F1">
            <w:pPr>
              <w:jc w:val="right"/>
              <w:cnfStyle w:val="100000000000"/>
              <w:rPr>
                <w:rFonts w:asciiTheme="minorHAnsi" w:hAnsiTheme="minorHAnsi" w:cs="Calibri"/>
                <w:b w:val="0"/>
                <w:bCs/>
                <w:color w:val="000000"/>
                <w:szCs w:val="20"/>
              </w:rPr>
            </w:pPr>
            <w:r w:rsidRPr="00C66550">
              <w:rPr>
                <w:rFonts w:cs="Calibri"/>
                <w:color w:val="000000"/>
                <w:szCs w:val="20"/>
              </w:rPr>
              <w:t xml:space="preserve">% </w:t>
            </w:r>
            <w:r w:rsidR="007A212F" w:rsidRPr="00C66550">
              <w:rPr>
                <w:rFonts w:cs="Calibri"/>
                <w:color w:val="000000"/>
                <w:szCs w:val="20"/>
              </w:rPr>
              <w:t>i</w:t>
            </w:r>
            <w:r w:rsidRPr="00C66550">
              <w:rPr>
                <w:rFonts w:cs="Calibri"/>
                <w:color w:val="000000"/>
                <w:szCs w:val="20"/>
              </w:rPr>
              <w:t>ncrease</w:t>
            </w:r>
          </w:p>
        </w:tc>
      </w:tr>
      <w:tr w:rsidR="00BE35F1" w:rsidRPr="00C66550" w:rsidTr="00BE35F1">
        <w:trPr>
          <w:trHeight w:val="259"/>
        </w:trPr>
        <w:tc>
          <w:tcPr>
            <w:cnfStyle w:val="001000000000"/>
            <w:tcW w:w="1379" w:type="pct"/>
            <w:tcBorders>
              <w:bottom w:val="single" w:sz="4" w:space="0" w:color="7F7F7F" w:themeColor="background2"/>
            </w:tcBorders>
          </w:tcPr>
          <w:p w:rsidR="006F00D4" w:rsidRPr="00C66550" w:rsidRDefault="006F00D4" w:rsidP="002A73E4">
            <w:pPr>
              <w:rPr>
                <w:rFonts w:asciiTheme="minorHAnsi" w:hAnsiTheme="minorHAnsi" w:cs="Calibri"/>
                <w:bCs/>
                <w:color w:val="000000"/>
                <w:szCs w:val="20"/>
              </w:rPr>
            </w:pPr>
          </w:p>
        </w:tc>
        <w:tc>
          <w:tcPr>
            <w:tcW w:w="1810" w:type="pct"/>
            <w:gridSpan w:val="4"/>
            <w:tcBorders>
              <w:bottom w:val="single" w:sz="4" w:space="0" w:color="7F7F7F" w:themeColor="background2"/>
            </w:tcBorders>
          </w:tcPr>
          <w:p w:rsidR="006F00D4" w:rsidRPr="00C66550" w:rsidRDefault="00642B3C" w:rsidP="00642B3C">
            <w:pPr>
              <w:jc w:val="right"/>
              <w:cnfStyle w:val="000000000000"/>
              <w:rPr>
                <w:rFonts w:asciiTheme="minorHAnsi" w:hAnsiTheme="minorHAnsi" w:cs="Calibri"/>
                <w:bCs/>
                <w:i/>
                <w:color w:val="000000"/>
                <w:szCs w:val="20"/>
              </w:rPr>
            </w:pPr>
            <w:r w:rsidRPr="00C66550">
              <w:rPr>
                <w:rFonts w:asciiTheme="minorHAnsi" w:hAnsiTheme="minorHAnsi" w:cs="Calibri"/>
                <w:bCs/>
                <w:i/>
                <w:color w:val="000000"/>
                <w:szCs w:val="20"/>
              </w:rPr>
              <w:t>Kilotonnes</w:t>
            </w:r>
          </w:p>
        </w:tc>
        <w:tc>
          <w:tcPr>
            <w:tcW w:w="1811" w:type="pct"/>
            <w:gridSpan w:val="4"/>
            <w:tcBorders>
              <w:bottom w:val="single" w:sz="4" w:space="0" w:color="7F7F7F" w:themeColor="background2"/>
            </w:tcBorders>
          </w:tcPr>
          <w:p w:rsidR="006F00D4" w:rsidRPr="00C66550" w:rsidRDefault="006F00D4" w:rsidP="002A73E4">
            <w:pPr>
              <w:cnfStyle w:val="000000000000"/>
              <w:rPr>
                <w:rFonts w:asciiTheme="minorHAnsi" w:hAnsiTheme="minorHAnsi" w:cs="Calibri"/>
                <w:b/>
                <w:bCs/>
                <w:color w:val="000000"/>
                <w:szCs w:val="20"/>
              </w:rPr>
            </w:pPr>
          </w:p>
        </w:tc>
      </w:tr>
      <w:tr w:rsidR="00BE35F1" w:rsidRPr="00C66550" w:rsidTr="00BE35F1">
        <w:tc>
          <w:tcPr>
            <w:cnfStyle w:val="001000000000"/>
            <w:tcW w:w="1379" w:type="pct"/>
            <w:tcBorders>
              <w:bottom w:val="nil"/>
            </w:tcBorders>
          </w:tcPr>
          <w:p w:rsidR="002A73E4" w:rsidRPr="00C66550" w:rsidRDefault="002A73E4" w:rsidP="0016733B">
            <w:pPr>
              <w:rPr>
                <w:rFonts w:asciiTheme="minorHAnsi" w:hAnsiTheme="minorHAnsi" w:cs="Calibri"/>
                <w:szCs w:val="20"/>
              </w:rPr>
            </w:pPr>
            <w:r w:rsidRPr="00C66550">
              <w:rPr>
                <w:rFonts w:asciiTheme="minorHAnsi" w:hAnsiTheme="minorHAnsi" w:cs="Calibri"/>
                <w:color w:val="000000"/>
                <w:szCs w:val="20"/>
              </w:rPr>
              <w:t xml:space="preserve">ACT </w:t>
            </w:r>
            <w:r w:rsidR="0016733B" w:rsidRPr="00C66550">
              <w:rPr>
                <w:rFonts w:asciiTheme="minorHAnsi" w:hAnsiTheme="minorHAnsi" w:cs="Calibri"/>
                <w:color w:val="000000"/>
                <w:szCs w:val="20"/>
              </w:rPr>
              <w:t>and</w:t>
            </w:r>
            <w:r w:rsidRPr="00C66550">
              <w:rPr>
                <w:rFonts w:asciiTheme="minorHAnsi" w:hAnsiTheme="minorHAnsi" w:cs="Calibri"/>
                <w:color w:val="000000"/>
                <w:szCs w:val="20"/>
              </w:rPr>
              <w:t xml:space="preserve"> NSW</w:t>
            </w:r>
          </w:p>
        </w:tc>
        <w:tc>
          <w:tcPr>
            <w:tcW w:w="517" w:type="pct"/>
            <w:tcBorders>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1,660</w:t>
            </w:r>
          </w:p>
        </w:tc>
        <w:tc>
          <w:tcPr>
            <w:tcW w:w="605" w:type="pct"/>
            <w:tcBorders>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1,828</w:t>
            </w:r>
          </w:p>
        </w:tc>
        <w:tc>
          <w:tcPr>
            <w:tcW w:w="430" w:type="pct"/>
            <w:tcBorders>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1,64</w:t>
            </w:r>
            <w:r w:rsidR="00BE35F1" w:rsidRPr="00C66550">
              <w:rPr>
                <w:rFonts w:cs="Times New Roman"/>
                <w:color w:val="000000"/>
                <w:lang w:eastAsia="en-GB"/>
              </w:rPr>
              <w:t>6</w:t>
            </w:r>
          </w:p>
        </w:tc>
        <w:tc>
          <w:tcPr>
            <w:tcW w:w="517" w:type="pct"/>
            <w:gridSpan w:val="2"/>
            <w:tcBorders>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1,594</w:t>
            </w:r>
          </w:p>
        </w:tc>
        <w:tc>
          <w:tcPr>
            <w:tcW w:w="517" w:type="pct"/>
            <w:tcBorders>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1,808</w:t>
            </w:r>
          </w:p>
        </w:tc>
        <w:tc>
          <w:tcPr>
            <w:tcW w:w="481" w:type="pct"/>
            <w:tcBorders>
              <w:bottom w:val="nil"/>
            </w:tcBorders>
            <w:vAlign w:val="bottom"/>
          </w:tcPr>
          <w:p w:rsidR="002A73E4" w:rsidRPr="00C66550" w:rsidRDefault="002A73E4" w:rsidP="0040747C">
            <w:pPr>
              <w:jc w:val="right"/>
              <w:cnfStyle w:val="000000000000"/>
              <w:rPr>
                <w:rFonts w:asciiTheme="minorHAnsi" w:hAnsiTheme="minorHAnsi" w:cs="Calibri"/>
                <w:color w:val="000000"/>
                <w:szCs w:val="20"/>
              </w:rPr>
            </w:pPr>
            <w:r w:rsidRPr="00C66550">
              <w:rPr>
                <w:rFonts w:cs="Times New Roman"/>
                <w:color w:val="000000"/>
                <w:lang w:eastAsia="en-GB"/>
              </w:rPr>
              <w:t>1,78</w:t>
            </w:r>
            <w:r w:rsidR="00BE35F1" w:rsidRPr="00C66550">
              <w:rPr>
                <w:rFonts w:cs="Times New Roman"/>
                <w:color w:val="000000"/>
                <w:lang w:eastAsia="en-GB"/>
              </w:rPr>
              <w:t>9</w:t>
            </w:r>
          </w:p>
        </w:tc>
        <w:tc>
          <w:tcPr>
            <w:tcW w:w="554" w:type="pct"/>
            <w:tcBorders>
              <w:bottom w:val="nil"/>
            </w:tcBorders>
            <w:vAlign w:val="bottom"/>
          </w:tcPr>
          <w:p w:rsidR="002A73E4" w:rsidRPr="00C66550" w:rsidRDefault="002A73E4" w:rsidP="00BE35F1">
            <w:pPr>
              <w:jc w:val="right"/>
              <w:cnfStyle w:val="000000000000"/>
              <w:rPr>
                <w:rFonts w:asciiTheme="minorHAnsi" w:hAnsiTheme="minorHAnsi" w:cs="Calibri"/>
                <w:color w:val="000000"/>
                <w:szCs w:val="20"/>
              </w:rPr>
            </w:pPr>
            <w:r w:rsidRPr="00C66550">
              <w:rPr>
                <w:rFonts w:cs="Times New Roman"/>
                <w:color w:val="000000"/>
                <w:lang w:eastAsia="en-GB"/>
              </w:rPr>
              <w:t>8%</w:t>
            </w:r>
          </w:p>
        </w:tc>
      </w:tr>
      <w:tr w:rsidR="00BE35F1" w:rsidRPr="00C66550" w:rsidTr="00BE35F1">
        <w:tc>
          <w:tcPr>
            <w:cnfStyle w:val="001000000000"/>
            <w:tcW w:w="1379" w:type="pct"/>
            <w:tcBorders>
              <w:top w:val="nil"/>
              <w:bottom w:val="nil"/>
            </w:tcBorders>
          </w:tcPr>
          <w:p w:rsidR="002A73E4" w:rsidRPr="00C66550" w:rsidRDefault="000C21D0" w:rsidP="002A73E4">
            <w:pPr>
              <w:rPr>
                <w:rFonts w:asciiTheme="minorHAnsi" w:hAnsiTheme="minorHAnsi" w:cs="Calibri"/>
                <w:szCs w:val="20"/>
              </w:rPr>
            </w:pPr>
            <w:r w:rsidRPr="00C66550">
              <w:rPr>
                <w:rFonts w:asciiTheme="minorHAnsi" w:hAnsiTheme="minorHAnsi" w:cs="Calibri"/>
                <w:color w:val="000000"/>
                <w:szCs w:val="20"/>
              </w:rPr>
              <w:t>Qld</w:t>
            </w:r>
          </w:p>
        </w:tc>
        <w:tc>
          <w:tcPr>
            <w:tcW w:w="517"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1,179</w:t>
            </w:r>
          </w:p>
        </w:tc>
        <w:tc>
          <w:tcPr>
            <w:tcW w:w="605"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1,79</w:t>
            </w:r>
            <w:r w:rsidR="00BE35F1" w:rsidRPr="00C66550">
              <w:rPr>
                <w:rFonts w:cs="Times New Roman"/>
                <w:color w:val="000000"/>
                <w:lang w:eastAsia="en-GB"/>
              </w:rPr>
              <w:t>4</w:t>
            </w:r>
          </w:p>
        </w:tc>
        <w:tc>
          <w:tcPr>
            <w:tcW w:w="430"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1,613</w:t>
            </w:r>
          </w:p>
        </w:tc>
        <w:tc>
          <w:tcPr>
            <w:tcW w:w="517" w:type="pct"/>
            <w:gridSpan w:val="2"/>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1,702</w:t>
            </w:r>
          </w:p>
        </w:tc>
        <w:tc>
          <w:tcPr>
            <w:tcW w:w="517"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1,997</w:t>
            </w:r>
          </w:p>
        </w:tc>
        <w:tc>
          <w:tcPr>
            <w:tcW w:w="481" w:type="pct"/>
            <w:tcBorders>
              <w:top w:val="nil"/>
              <w:bottom w:val="nil"/>
            </w:tcBorders>
            <w:vAlign w:val="bottom"/>
          </w:tcPr>
          <w:p w:rsidR="002A73E4" w:rsidRPr="00C66550" w:rsidRDefault="002A73E4" w:rsidP="0040747C">
            <w:pPr>
              <w:jc w:val="right"/>
              <w:cnfStyle w:val="000000000000"/>
              <w:rPr>
                <w:rFonts w:asciiTheme="minorHAnsi" w:hAnsiTheme="minorHAnsi" w:cs="Calibri"/>
                <w:color w:val="000000"/>
                <w:szCs w:val="20"/>
              </w:rPr>
            </w:pPr>
            <w:r w:rsidRPr="00C66550">
              <w:rPr>
                <w:rFonts w:cs="Times New Roman"/>
                <w:color w:val="000000"/>
                <w:lang w:eastAsia="en-GB"/>
              </w:rPr>
              <w:t>2,17</w:t>
            </w:r>
            <w:r w:rsidR="00BE35F1" w:rsidRPr="00C66550">
              <w:rPr>
                <w:rFonts w:cs="Times New Roman"/>
                <w:color w:val="000000"/>
                <w:lang w:eastAsia="en-GB"/>
              </w:rPr>
              <w:t>3</w:t>
            </w:r>
          </w:p>
        </w:tc>
        <w:tc>
          <w:tcPr>
            <w:tcW w:w="554" w:type="pct"/>
            <w:tcBorders>
              <w:top w:val="nil"/>
              <w:bottom w:val="nil"/>
            </w:tcBorders>
            <w:vAlign w:val="bottom"/>
          </w:tcPr>
          <w:p w:rsidR="002A73E4" w:rsidRPr="00C66550" w:rsidRDefault="002A73E4" w:rsidP="00BE35F1">
            <w:pPr>
              <w:jc w:val="right"/>
              <w:cnfStyle w:val="000000000000"/>
              <w:rPr>
                <w:rFonts w:asciiTheme="minorHAnsi" w:hAnsiTheme="minorHAnsi" w:cs="Calibri"/>
                <w:color w:val="000000"/>
                <w:szCs w:val="20"/>
              </w:rPr>
            </w:pPr>
            <w:r w:rsidRPr="00C66550">
              <w:rPr>
                <w:rFonts w:cs="Times New Roman"/>
                <w:color w:val="000000"/>
                <w:lang w:eastAsia="en-GB"/>
              </w:rPr>
              <w:t>84%</w:t>
            </w:r>
          </w:p>
        </w:tc>
      </w:tr>
      <w:tr w:rsidR="00BE35F1" w:rsidRPr="00C66550" w:rsidTr="00BE35F1">
        <w:tc>
          <w:tcPr>
            <w:cnfStyle w:val="001000000000"/>
            <w:tcW w:w="1379" w:type="pct"/>
            <w:tcBorders>
              <w:top w:val="nil"/>
              <w:bottom w:val="nil"/>
            </w:tcBorders>
          </w:tcPr>
          <w:p w:rsidR="002A73E4" w:rsidRPr="00C66550" w:rsidRDefault="002A73E4" w:rsidP="002A73E4">
            <w:pPr>
              <w:rPr>
                <w:rFonts w:asciiTheme="minorHAnsi" w:hAnsiTheme="minorHAnsi" w:cs="Calibri"/>
                <w:szCs w:val="20"/>
              </w:rPr>
            </w:pPr>
            <w:r w:rsidRPr="00C66550">
              <w:rPr>
                <w:rFonts w:asciiTheme="minorHAnsi" w:hAnsiTheme="minorHAnsi" w:cs="Calibri"/>
                <w:color w:val="000000"/>
                <w:szCs w:val="20"/>
              </w:rPr>
              <w:t>SA</w:t>
            </w:r>
          </w:p>
        </w:tc>
        <w:tc>
          <w:tcPr>
            <w:tcW w:w="517"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566</w:t>
            </w:r>
          </w:p>
        </w:tc>
        <w:tc>
          <w:tcPr>
            <w:tcW w:w="605"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62</w:t>
            </w:r>
            <w:r w:rsidR="00BE35F1" w:rsidRPr="00C66550">
              <w:rPr>
                <w:rFonts w:cs="Times New Roman"/>
                <w:color w:val="000000"/>
                <w:lang w:eastAsia="en-GB"/>
              </w:rPr>
              <w:t>8</w:t>
            </w:r>
          </w:p>
        </w:tc>
        <w:tc>
          <w:tcPr>
            <w:tcW w:w="430"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62</w:t>
            </w:r>
            <w:r w:rsidR="00BE35F1" w:rsidRPr="00C66550">
              <w:rPr>
                <w:rFonts w:cs="Times New Roman"/>
                <w:color w:val="000000"/>
                <w:lang w:eastAsia="en-GB"/>
              </w:rPr>
              <w:t>8</w:t>
            </w:r>
          </w:p>
        </w:tc>
        <w:tc>
          <w:tcPr>
            <w:tcW w:w="517" w:type="pct"/>
            <w:gridSpan w:val="2"/>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633</w:t>
            </w:r>
          </w:p>
        </w:tc>
        <w:tc>
          <w:tcPr>
            <w:tcW w:w="517"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szCs w:val="20"/>
                <w:lang w:eastAsia="en-GB"/>
              </w:rPr>
              <w:t>67</w:t>
            </w:r>
            <w:r w:rsidR="00BE35F1" w:rsidRPr="00C66550">
              <w:rPr>
                <w:rFonts w:cs="Times New Roman"/>
                <w:color w:val="000000"/>
                <w:szCs w:val="20"/>
                <w:lang w:eastAsia="en-GB"/>
              </w:rPr>
              <w:t>9</w:t>
            </w:r>
          </w:p>
        </w:tc>
        <w:tc>
          <w:tcPr>
            <w:tcW w:w="481" w:type="pct"/>
            <w:tcBorders>
              <w:top w:val="nil"/>
              <w:bottom w:val="nil"/>
            </w:tcBorders>
            <w:vAlign w:val="bottom"/>
          </w:tcPr>
          <w:p w:rsidR="002A73E4" w:rsidRPr="00C66550" w:rsidRDefault="002A73E4" w:rsidP="0040747C">
            <w:pPr>
              <w:jc w:val="right"/>
              <w:cnfStyle w:val="000000000000"/>
              <w:rPr>
                <w:rFonts w:asciiTheme="minorHAnsi" w:hAnsiTheme="minorHAnsi" w:cs="Calibri"/>
                <w:color w:val="000000"/>
                <w:szCs w:val="20"/>
              </w:rPr>
            </w:pPr>
            <w:r w:rsidRPr="00C66550">
              <w:rPr>
                <w:rFonts w:cs="Times New Roman"/>
                <w:color w:val="000000"/>
                <w:lang w:eastAsia="en-GB"/>
              </w:rPr>
              <w:t>637</w:t>
            </w:r>
          </w:p>
        </w:tc>
        <w:tc>
          <w:tcPr>
            <w:tcW w:w="554" w:type="pct"/>
            <w:tcBorders>
              <w:top w:val="nil"/>
              <w:bottom w:val="nil"/>
            </w:tcBorders>
            <w:vAlign w:val="bottom"/>
          </w:tcPr>
          <w:p w:rsidR="002A73E4" w:rsidRPr="00C66550" w:rsidRDefault="002A73E4" w:rsidP="00BE35F1">
            <w:pPr>
              <w:jc w:val="right"/>
              <w:cnfStyle w:val="000000000000"/>
              <w:rPr>
                <w:rFonts w:asciiTheme="minorHAnsi" w:hAnsiTheme="minorHAnsi" w:cs="Calibri"/>
                <w:color w:val="000000"/>
                <w:szCs w:val="20"/>
              </w:rPr>
            </w:pPr>
            <w:r w:rsidRPr="00C66550">
              <w:rPr>
                <w:rFonts w:cs="Times New Roman"/>
                <w:color w:val="000000"/>
                <w:lang w:eastAsia="en-GB"/>
              </w:rPr>
              <w:t>13%</w:t>
            </w:r>
          </w:p>
        </w:tc>
      </w:tr>
      <w:tr w:rsidR="00BE35F1" w:rsidRPr="00C66550" w:rsidTr="00BE35F1">
        <w:tc>
          <w:tcPr>
            <w:cnfStyle w:val="001000000000"/>
            <w:tcW w:w="1379" w:type="pct"/>
            <w:tcBorders>
              <w:top w:val="nil"/>
              <w:bottom w:val="nil"/>
            </w:tcBorders>
          </w:tcPr>
          <w:p w:rsidR="002A73E4" w:rsidRPr="00C66550" w:rsidRDefault="002A73E4" w:rsidP="002A73E4">
            <w:pPr>
              <w:rPr>
                <w:rFonts w:asciiTheme="minorHAnsi" w:hAnsiTheme="minorHAnsi" w:cs="Calibri"/>
                <w:szCs w:val="20"/>
              </w:rPr>
            </w:pPr>
            <w:r w:rsidRPr="00C66550">
              <w:rPr>
                <w:rFonts w:asciiTheme="minorHAnsi" w:hAnsiTheme="minorHAnsi" w:cs="Calibri"/>
                <w:color w:val="000000"/>
                <w:szCs w:val="20"/>
              </w:rPr>
              <w:t>VIC</w:t>
            </w:r>
          </w:p>
        </w:tc>
        <w:tc>
          <w:tcPr>
            <w:tcW w:w="517"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37</w:t>
            </w:r>
            <w:r w:rsidR="00BE35F1" w:rsidRPr="00C66550">
              <w:rPr>
                <w:rFonts w:cs="Times New Roman"/>
                <w:color w:val="000000"/>
                <w:lang w:eastAsia="en-GB"/>
              </w:rPr>
              <w:t>9</w:t>
            </w:r>
          </w:p>
        </w:tc>
        <w:tc>
          <w:tcPr>
            <w:tcW w:w="605"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37</w:t>
            </w:r>
            <w:r w:rsidR="00BE35F1" w:rsidRPr="00C66550">
              <w:rPr>
                <w:rFonts w:cs="Times New Roman"/>
                <w:color w:val="000000"/>
                <w:lang w:eastAsia="en-GB"/>
              </w:rPr>
              <w:t>9</w:t>
            </w:r>
          </w:p>
        </w:tc>
        <w:tc>
          <w:tcPr>
            <w:tcW w:w="430"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C0C0C" w:themeColor="text1"/>
                <w:lang w:eastAsia="en-GB"/>
              </w:rPr>
              <w:t>n/a</w:t>
            </w:r>
          </w:p>
        </w:tc>
        <w:tc>
          <w:tcPr>
            <w:tcW w:w="517" w:type="pct"/>
            <w:gridSpan w:val="2"/>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728</w:t>
            </w:r>
          </w:p>
        </w:tc>
        <w:tc>
          <w:tcPr>
            <w:tcW w:w="517" w:type="pct"/>
            <w:tcBorders>
              <w:top w:val="nil"/>
              <w:bottom w:val="nil"/>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628</w:t>
            </w:r>
          </w:p>
        </w:tc>
        <w:tc>
          <w:tcPr>
            <w:tcW w:w="481" w:type="pct"/>
            <w:tcBorders>
              <w:top w:val="nil"/>
              <w:bottom w:val="nil"/>
            </w:tcBorders>
            <w:vAlign w:val="bottom"/>
          </w:tcPr>
          <w:p w:rsidR="002A73E4" w:rsidRPr="00C66550" w:rsidRDefault="002A73E4" w:rsidP="0040747C">
            <w:pPr>
              <w:jc w:val="right"/>
              <w:cnfStyle w:val="000000000000"/>
              <w:rPr>
                <w:rFonts w:asciiTheme="minorHAnsi" w:hAnsiTheme="minorHAnsi" w:cs="Calibri"/>
                <w:color w:val="000000"/>
                <w:szCs w:val="20"/>
              </w:rPr>
            </w:pPr>
            <w:r w:rsidRPr="00C66550">
              <w:rPr>
                <w:rFonts w:cs="Times New Roman"/>
                <w:color w:val="000000"/>
                <w:lang w:eastAsia="en-GB"/>
              </w:rPr>
              <w:t>999</w:t>
            </w:r>
          </w:p>
        </w:tc>
        <w:tc>
          <w:tcPr>
            <w:tcW w:w="554" w:type="pct"/>
            <w:tcBorders>
              <w:top w:val="nil"/>
              <w:bottom w:val="nil"/>
            </w:tcBorders>
            <w:vAlign w:val="bottom"/>
          </w:tcPr>
          <w:p w:rsidR="002A73E4" w:rsidRPr="00C66550" w:rsidRDefault="002A73E4" w:rsidP="00BE35F1">
            <w:pPr>
              <w:jc w:val="right"/>
              <w:cnfStyle w:val="000000000000"/>
              <w:rPr>
                <w:rFonts w:asciiTheme="minorHAnsi" w:hAnsiTheme="minorHAnsi" w:cs="Calibri"/>
                <w:color w:val="000000"/>
                <w:szCs w:val="20"/>
              </w:rPr>
            </w:pPr>
            <w:r w:rsidRPr="00C66550">
              <w:rPr>
                <w:rFonts w:cs="Times New Roman"/>
                <w:color w:val="000000"/>
                <w:lang w:eastAsia="en-GB"/>
              </w:rPr>
              <w:t>164%</w:t>
            </w:r>
          </w:p>
        </w:tc>
      </w:tr>
      <w:tr w:rsidR="00BE35F1" w:rsidRPr="00C66550" w:rsidTr="00BE35F1">
        <w:tc>
          <w:tcPr>
            <w:cnfStyle w:val="001000000000"/>
            <w:tcW w:w="1379" w:type="pct"/>
            <w:tcBorders>
              <w:top w:val="nil"/>
              <w:bottom w:val="single" w:sz="4" w:space="0" w:color="7F7F7F" w:themeColor="background2"/>
            </w:tcBorders>
          </w:tcPr>
          <w:p w:rsidR="002A73E4" w:rsidRPr="00C66550" w:rsidRDefault="002A73E4" w:rsidP="002A73E4">
            <w:pPr>
              <w:rPr>
                <w:rFonts w:asciiTheme="minorHAnsi" w:hAnsiTheme="minorHAnsi" w:cs="Calibri"/>
                <w:szCs w:val="20"/>
              </w:rPr>
            </w:pPr>
            <w:r w:rsidRPr="00C66550">
              <w:rPr>
                <w:rFonts w:asciiTheme="minorHAnsi" w:hAnsiTheme="minorHAnsi" w:cs="Calibri"/>
                <w:color w:val="000000"/>
                <w:szCs w:val="20"/>
              </w:rPr>
              <w:t>WA</w:t>
            </w:r>
          </w:p>
        </w:tc>
        <w:tc>
          <w:tcPr>
            <w:tcW w:w="517" w:type="pct"/>
            <w:tcBorders>
              <w:top w:val="nil"/>
              <w:bottom w:val="single" w:sz="4" w:space="0" w:color="7F7F7F" w:themeColor="background2"/>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57</w:t>
            </w:r>
            <w:r w:rsidR="00BE35F1" w:rsidRPr="00C66550">
              <w:rPr>
                <w:rFonts w:cs="Times New Roman"/>
                <w:color w:val="000000"/>
                <w:lang w:eastAsia="en-GB"/>
              </w:rPr>
              <w:t>9</w:t>
            </w:r>
          </w:p>
        </w:tc>
        <w:tc>
          <w:tcPr>
            <w:tcW w:w="605" w:type="pct"/>
            <w:tcBorders>
              <w:top w:val="nil"/>
              <w:bottom w:val="single" w:sz="4" w:space="0" w:color="7F7F7F" w:themeColor="background2"/>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542</w:t>
            </w:r>
          </w:p>
        </w:tc>
        <w:tc>
          <w:tcPr>
            <w:tcW w:w="430" w:type="pct"/>
            <w:tcBorders>
              <w:top w:val="nil"/>
              <w:bottom w:val="single" w:sz="4" w:space="0" w:color="7F7F7F" w:themeColor="background2"/>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598</w:t>
            </w:r>
          </w:p>
        </w:tc>
        <w:tc>
          <w:tcPr>
            <w:tcW w:w="517" w:type="pct"/>
            <w:gridSpan w:val="2"/>
            <w:tcBorders>
              <w:top w:val="nil"/>
              <w:bottom w:val="single" w:sz="4" w:space="0" w:color="7F7F7F" w:themeColor="background2"/>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621</w:t>
            </w:r>
          </w:p>
        </w:tc>
        <w:tc>
          <w:tcPr>
            <w:tcW w:w="517" w:type="pct"/>
            <w:tcBorders>
              <w:top w:val="nil"/>
              <w:bottom w:val="single" w:sz="4" w:space="0" w:color="7F7F7F" w:themeColor="background2"/>
            </w:tcBorders>
            <w:vAlign w:val="bottom"/>
          </w:tcPr>
          <w:p w:rsidR="002A73E4" w:rsidRPr="00C66550" w:rsidRDefault="002A73E4" w:rsidP="0040747C">
            <w:pPr>
              <w:jc w:val="right"/>
              <w:cnfStyle w:val="000000000000"/>
              <w:rPr>
                <w:rFonts w:asciiTheme="minorHAnsi" w:hAnsiTheme="minorHAnsi" w:cs="Calibri"/>
                <w:szCs w:val="20"/>
              </w:rPr>
            </w:pPr>
            <w:r w:rsidRPr="00C66550">
              <w:rPr>
                <w:rFonts w:cs="Times New Roman"/>
                <w:color w:val="000000"/>
                <w:lang w:eastAsia="en-GB"/>
              </w:rPr>
              <w:t>696</w:t>
            </w:r>
          </w:p>
        </w:tc>
        <w:tc>
          <w:tcPr>
            <w:tcW w:w="481" w:type="pct"/>
            <w:tcBorders>
              <w:top w:val="nil"/>
              <w:bottom w:val="single" w:sz="4" w:space="0" w:color="7F7F7F" w:themeColor="background2"/>
            </w:tcBorders>
            <w:vAlign w:val="bottom"/>
          </w:tcPr>
          <w:p w:rsidR="002A73E4" w:rsidRPr="00C66550" w:rsidRDefault="002A73E4" w:rsidP="0040747C">
            <w:pPr>
              <w:jc w:val="right"/>
              <w:cnfStyle w:val="000000000000"/>
              <w:rPr>
                <w:rFonts w:asciiTheme="minorHAnsi" w:hAnsiTheme="minorHAnsi" w:cs="Calibri"/>
                <w:color w:val="000000"/>
                <w:szCs w:val="20"/>
              </w:rPr>
            </w:pPr>
            <w:r w:rsidRPr="00C66550">
              <w:rPr>
                <w:rFonts w:cs="Times New Roman"/>
                <w:color w:val="000000"/>
                <w:lang w:eastAsia="en-GB"/>
              </w:rPr>
              <w:t>73</w:t>
            </w:r>
            <w:r w:rsidR="00BE35F1" w:rsidRPr="00C66550">
              <w:rPr>
                <w:rFonts w:cs="Times New Roman"/>
                <w:color w:val="000000"/>
                <w:lang w:eastAsia="en-GB"/>
              </w:rPr>
              <w:t>3</w:t>
            </w:r>
          </w:p>
        </w:tc>
        <w:tc>
          <w:tcPr>
            <w:tcW w:w="554" w:type="pct"/>
            <w:tcBorders>
              <w:top w:val="nil"/>
              <w:bottom w:val="single" w:sz="4" w:space="0" w:color="7F7F7F" w:themeColor="background2"/>
            </w:tcBorders>
            <w:vAlign w:val="bottom"/>
          </w:tcPr>
          <w:p w:rsidR="002A73E4" w:rsidRPr="00C66550" w:rsidRDefault="002A73E4" w:rsidP="00BE35F1">
            <w:pPr>
              <w:jc w:val="right"/>
              <w:cnfStyle w:val="000000000000"/>
              <w:rPr>
                <w:rFonts w:asciiTheme="minorHAnsi" w:hAnsiTheme="minorHAnsi" w:cs="Calibri"/>
                <w:color w:val="000000"/>
                <w:szCs w:val="20"/>
              </w:rPr>
            </w:pPr>
            <w:r w:rsidRPr="00C66550">
              <w:rPr>
                <w:rFonts w:cs="Times New Roman"/>
                <w:color w:val="000000"/>
                <w:lang w:eastAsia="en-GB"/>
              </w:rPr>
              <w:t>27%</w:t>
            </w:r>
          </w:p>
        </w:tc>
      </w:tr>
      <w:tr w:rsidR="00BE35F1" w:rsidRPr="00C66550" w:rsidTr="00642B3C">
        <w:tc>
          <w:tcPr>
            <w:cnfStyle w:val="001000000000"/>
            <w:tcW w:w="1379" w:type="pct"/>
            <w:tcBorders>
              <w:top w:val="single" w:sz="4" w:space="0" w:color="7F7F7F" w:themeColor="background2"/>
              <w:bottom w:val="single" w:sz="4" w:space="0" w:color="7F7F7F" w:themeColor="background2"/>
            </w:tcBorders>
            <w:vAlign w:val="bottom"/>
          </w:tcPr>
          <w:p w:rsidR="002A73E4" w:rsidRPr="00C66550" w:rsidRDefault="002A73E4" w:rsidP="002A73E4">
            <w:pPr>
              <w:rPr>
                <w:rFonts w:cs="Calibri"/>
                <w:bCs/>
                <w:color w:val="000000"/>
                <w:szCs w:val="20"/>
              </w:rPr>
            </w:pPr>
            <w:r w:rsidRPr="00C66550">
              <w:rPr>
                <w:rFonts w:cs="Calibri"/>
                <w:bCs/>
                <w:color w:val="000000"/>
                <w:szCs w:val="20"/>
              </w:rPr>
              <w:t>TOTAL</w:t>
            </w:r>
          </w:p>
        </w:tc>
        <w:tc>
          <w:tcPr>
            <w:tcW w:w="517" w:type="pct"/>
            <w:tcBorders>
              <w:top w:val="single" w:sz="4" w:space="0" w:color="7F7F7F" w:themeColor="background2"/>
              <w:bottom w:val="single" w:sz="4" w:space="0" w:color="7F7F7F" w:themeColor="background2"/>
            </w:tcBorders>
            <w:vAlign w:val="bottom"/>
          </w:tcPr>
          <w:p w:rsidR="002A73E4" w:rsidRPr="00C66550" w:rsidRDefault="002A73E4" w:rsidP="0040747C">
            <w:pPr>
              <w:jc w:val="right"/>
              <w:cnfStyle w:val="000000000000"/>
              <w:rPr>
                <w:rFonts w:cs="Calibri"/>
                <w:bCs/>
                <w:color w:val="000000"/>
                <w:szCs w:val="20"/>
              </w:rPr>
            </w:pPr>
            <w:r w:rsidRPr="00C66550">
              <w:rPr>
                <w:rFonts w:cs="Times New Roman"/>
                <w:bCs/>
                <w:color w:val="000000"/>
                <w:lang w:eastAsia="en-GB"/>
              </w:rPr>
              <w:t>4,36</w:t>
            </w:r>
            <w:r w:rsidR="00BE35F1" w:rsidRPr="00C66550">
              <w:rPr>
                <w:rFonts w:cs="Times New Roman"/>
                <w:bCs/>
                <w:color w:val="000000"/>
                <w:lang w:eastAsia="en-GB"/>
              </w:rPr>
              <w:t>3</w:t>
            </w:r>
          </w:p>
        </w:tc>
        <w:tc>
          <w:tcPr>
            <w:tcW w:w="605" w:type="pct"/>
            <w:tcBorders>
              <w:top w:val="single" w:sz="4" w:space="0" w:color="7F7F7F" w:themeColor="background2"/>
              <w:bottom w:val="single" w:sz="4" w:space="0" w:color="7F7F7F" w:themeColor="background2"/>
            </w:tcBorders>
            <w:vAlign w:val="bottom"/>
          </w:tcPr>
          <w:p w:rsidR="002A73E4" w:rsidRPr="00C66550" w:rsidRDefault="002A73E4" w:rsidP="0040747C">
            <w:pPr>
              <w:jc w:val="right"/>
              <w:cnfStyle w:val="000000000000"/>
              <w:rPr>
                <w:rFonts w:cs="Calibri"/>
                <w:bCs/>
                <w:color w:val="000000"/>
                <w:szCs w:val="20"/>
              </w:rPr>
            </w:pPr>
            <w:r w:rsidRPr="00C66550">
              <w:rPr>
                <w:rFonts w:cs="Times New Roman"/>
                <w:bCs/>
                <w:color w:val="000000"/>
                <w:lang w:eastAsia="en-GB"/>
              </w:rPr>
              <w:t>5,170</w:t>
            </w:r>
          </w:p>
        </w:tc>
        <w:tc>
          <w:tcPr>
            <w:tcW w:w="430" w:type="pct"/>
            <w:tcBorders>
              <w:top w:val="single" w:sz="4" w:space="0" w:color="7F7F7F" w:themeColor="background2"/>
              <w:bottom w:val="single" w:sz="4" w:space="0" w:color="7F7F7F" w:themeColor="background2"/>
            </w:tcBorders>
            <w:vAlign w:val="bottom"/>
          </w:tcPr>
          <w:p w:rsidR="002A73E4" w:rsidRPr="00C66550" w:rsidRDefault="002A73E4" w:rsidP="0040747C">
            <w:pPr>
              <w:jc w:val="right"/>
              <w:cnfStyle w:val="000000000000"/>
              <w:rPr>
                <w:rFonts w:cs="Calibri"/>
                <w:bCs/>
                <w:color w:val="000000"/>
                <w:szCs w:val="20"/>
                <w:vertAlign w:val="superscript"/>
              </w:rPr>
            </w:pPr>
            <w:r w:rsidRPr="00C66550">
              <w:rPr>
                <w:rFonts w:cs="Times New Roman"/>
                <w:bCs/>
                <w:color w:val="000000"/>
                <w:lang w:eastAsia="en-GB"/>
              </w:rPr>
              <w:t>4,48</w:t>
            </w:r>
            <w:r w:rsidR="00BE35F1" w:rsidRPr="00C66550">
              <w:rPr>
                <w:rFonts w:cs="Times New Roman"/>
                <w:bCs/>
                <w:color w:val="000000"/>
                <w:lang w:eastAsia="en-GB"/>
              </w:rPr>
              <w:t>5</w:t>
            </w:r>
          </w:p>
        </w:tc>
        <w:tc>
          <w:tcPr>
            <w:tcW w:w="517" w:type="pct"/>
            <w:gridSpan w:val="2"/>
            <w:tcBorders>
              <w:top w:val="single" w:sz="4" w:space="0" w:color="7F7F7F" w:themeColor="background2"/>
              <w:bottom w:val="single" w:sz="4" w:space="0" w:color="7F7F7F" w:themeColor="background2"/>
            </w:tcBorders>
            <w:vAlign w:val="bottom"/>
          </w:tcPr>
          <w:p w:rsidR="002A73E4" w:rsidRPr="00C66550" w:rsidRDefault="002A73E4" w:rsidP="0040747C">
            <w:pPr>
              <w:jc w:val="right"/>
              <w:cnfStyle w:val="000000000000"/>
              <w:rPr>
                <w:rFonts w:cs="Calibri"/>
                <w:bCs/>
                <w:color w:val="000000"/>
                <w:szCs w:val="20"/>
              </w:rPr>
            </w:pPr>
            <w:r w:rsidRPr="00C66550">
              <w:rPr>
                <w:rFonts w:cs="Times New Roman"/>
                <w:bCs/>
                <w:color w:val="000000"/>
                <w:lang w:eastAsia="en-GB"/>
              </w:rPr>
              <w:t>5,279</w:t>
            </w:r>
          </w:p>
        </w:tc>
        <w:tc>
          <w:tcPr>
            <w:tcW w:w="517" w:type="pct"/>
            <w:tcBorders>
              <w:top w:val="single" w:sz="4" w:space="0" w:color="7F7F7F" w:themeColor="background2"/>
              <w:bottom w:val="single" w:sz="4" w:space="0" w:color="7F7F7F" w:themeColor="background2"/>
            </w:tcBorders>
            <w:vAlign w:val="bottom"/>
          </w:tcPr>
          <w:p w:rsidR="002A73E4" w:rsidRPr="00C66550" w:rsidRDefault="002A73E4" w:rsidP="0040747C">
            <w:pPr>
              <w:jc w:val="right"/>
              <w:cnfStyle w:val="000000000000"/>
              <w:rPr>
                <w:rFonts w:cs="Calibri"/>
                <w:bCs/>
                <w:color w:val="000000"/>
                <w:szCs w:val="20"/>
              </w:rPr>
            </w:pPr>
            <w:r w:rsidRPr="00C66550">
              <w:rPr>
                <w:rFonts w:cs="Times New Roman"/>
                <w:bCs/>
                <w:color w:val="000000"/>
                <w:lang w:eastAsia="en-GB"/>
              </w:rPr>
              <w:t>5,80</w:t>
            </w:r>
            <w:r w:rsidR="00BE35F1" w:rsidRPr="00C66550">
              <w:rPr>
                <w:rFonts w:cs="Times New Roman"/>
                <w:bCs/>
                <w:color w:val="000000"/>
                <w:lang w:eastAsia="en-GB"/>
              </w:rPr>
              <w:t>9</w:t>
            </w:r>
          </w:p>
        </w:tc>
        <w:tc>
          <w:tcPr>
            <w:tcW w:w="481" w:type="pct"/>
            <w:tcBorders>
              <w:top w:val="single" w:sz="4" w:space="0" w:color="7F7F7F" w:themeColor="background2"/>
              <w:bottom w:val="single" w:sz="4" w:space="0" w:color="7F7F7F" w:themeColor="background2"/>
            </w:tcBorders>
            <w:vAlign w:val="bottom"/>
          </w:tcPr>
          <w:p w:rsidR="002A73E4" w:rsidRPr="00C66550" w:rsidRDefault="002A73E4" w:rsidP="0040747C">
            <w:pPr>
              <w:jc w:val="right"/>
              <w:cnfStyle w:val="000000000000"/>
              <w:rPr>
                <w:rFonts w:cs="Calibri"/>
                <w:bCs/>
                <w:color w:val="000000"/>
                <w:szCs w:val="20"/>
              </w:rPr>
            </w:pPr>
            <w:r w:rsidRPr="00C66550">
              <w:rPr>
                <w:rFonts w:cs="Times New Roman"/>
                <w:bCs/>
                <w:color w:val="000000"/>
                <w:lang w:eastAsia="en-GB"/>
              </w:rPr>
              <w:t>6,33</w:t>
            </w:r>
            <w:r w:rsidR="00BE35F1" w:rsidRPr="00C66550">
              <w:rPr>
                <w:rFonts w:cs="Times New Roman"/>
                <w:bCs/>
                <w:color w:val="000000"/>
                <w:lang w:eastAsia="en-GB"/>
              </w:rPr>
              <w:t>1</w:t>
            </w:r>
          </w:p>
        </w:tc>
        <w:tc>
          <w:tcPr>
            <w:tcW w:w="554" w:type="pct"/>
            <w:tcBorders>
              <w:top w:val="single" w:sz="4" w:space="0" w:color="7F7F7F" w:themeColor="background2"/>
              <w:bottom w:val="single" w:sz="4" w:space="0" w:color="7F7F7F" w:themeColor="background2"/>
            </w:tcBorders>
            <w:vAlign w:val="bottom"/>
          </w:tcPr>
          <w:p w:rsidR="002A73E4" w:rsidRPr="00C66550" w:rsidRDefault="002A73E4" w:rsidP="00BE35F1">
            <w:pPr>
              <w:jc w:val="right"/>
              <w:cnfStyle w:val="000000000000"/>
              <w:rPr>
                <w:rFonts w:cs="Calibri"/>
                <w:color w:val="000000"/>
                <w:szCs w:val="20"/>
              </w:rPr>
            </w:pPr>
            <w:r w:rsidRPr="00C66550">
              <w:rPr>
                <w:rFonts w:cs="Times New Roman"/>
                <w:color w:val="000000"/>
                <w:lang w:eastAsia="en-GB"/>
              </w:rPr>
              <w:t>45%</w:t>
            </w:r>
          </w:p>
        </w:tc>
      </w:tr>
      <w:tr w:rsidR="00BE35F1" w:rsidRPr="00C66550" w:rsidTr="00642B3C">
        <w:tc>
          <w:tcPr>
            <w:cnfStyle w:val="001000000000"/>
            <w:tcW w:w="1379" w:type="pct"/>
            <w:tcBorders>
              <w:bottom w:val="nil"/>
            </w:tcBorders>
          </w:tcPr>
          <w:p w:rsidR="002A73E4" w:rsidRPr="00C66550" w:rsidRDefault="002A73E4" w:rsidP="006F00D4">
            <w:pPr>
              <w:rPr>
                <w:rFonts w:asciiTheme="minorHAnsi" w:hAnsiTheme="minorHAnsi" w:cs="Calibri"/>
                <w:color w:val="000000"/>
                <w:szCs w:val="20"/>
              </w:rPr>
            </w:pPr>
            <w:r w:rsidRPr="00C66550">
              <w:rPr>
                <w:rFonts w:cs="Calibri"/>
                <w:bCs/>
                <w:color w:val="000000"/>
                <w:szCs w:val="20"/>
              </w:rPr>
              <w:t xml:space="preserve">% </w:t>
            </w:r>
            <w:r w:rsidR="006F00D4" w:rsidRPr="00C66550">
              <w:rPr>
                <w:rFonts w:cs="Calibri"/>
                <w:bCs/>
                <w:color w:val="000000"/>
                <w:szCs w:val="20"/>
              </w:rPr>
              <w:t xml:space="preserve">increase </w:t>
            </w:r>
            <w:r w:rsidRPr="00C66550">
              <w:rPr>
                <w:rFonts w:cs="Calibri"/>
                <w:bCs/>
                <w:color w:val="000000"/>
                <w:szCs w:val="20"/>
              </w:rPr>
              <w:t>from 2005/06</w:t>
            </w:r>
          </w:p>
        </w:tc>
        <w:tc>
          <w:tcPr>
            <w:tcW w:w="517" w:type="pct"/>
            <w:tcBorders>
              <w:bottom w:val="nil"/>
            </w:tcBorders>
          </w:tcPr>
          <w:p w:rsidR="002A73E4" w:rsidRPr="00C66550" w:rsidRDefault="002A73E4" w:rsidP="002A73E4">
            <w:pPr>
              <w:jc w:val="center"/>
              <w:cnfStyle w:val="000000000000"/>
              <w:rPr>
                <w:rFonts w:asciiTheme="minorHAnsi" w:hAnsiTheme="minorHAnsi" w:cs="Calibri"/>
                <w:color w:val="000000"/>
                <w:szCs w:val="20"/>
              </w:rPr>
            </w:pPr>
            <w:r w:rsidRPr="00C66550">
              <w:rPr>
                <w:rFonts w:cs="Calibri"/>
                <w:bCs/>
                <w:color w:val="000000"/>
                <w:szCs w:val="20"/>
              </w:rPr>
              <w:t xml:space="preserve"> </w:t>
            </w:r>
          </w:p>
        </w:tc>
        <w:tc>
          <w:tcPr>
            <w:tcW w:w="605" w:type="pct"/>
            <w:tcBorders>
              <w:bottom w:val="nil"/>
            </w:tcBorders>
          </w:tcPr>
          <w:p w:rsidR="002A73E4" w:rsidRPr="00C66550" w:rsidRDefault="002A73E4" w:rsidP="001630A2">
            <w:pPr>
              <w:jc w:val="right"/>
              <w:cnfStyle w:val="000000000000"/>
              <w:rPr>
                <w:rFonts w:asciiTheme="minorHAnsi" w:hAnsiTheme="minorHAnsi" w:cs="Calibri"/>
                <w:color w:val="000000"/>
                <w:szCs w:val="20"/>
              </w:rPr>
            </w:pPr>
            <w:r w:rsidRPr="00C66550">
              <w:rPr>
                <w:rFonts w:cs="Calibri"/>
                <w:bCs/>
                <w:color w:val="000000"/>
                <w:szCs w:val="20"/>
              </w:rPr>
              <w:t>19%</w:t>
            </w:r>
          </w:p>
        </w:tc>
        <w:tc>
          <w:tcPr>
            <w:tcW w:w="430" w:type="pct"/>
            <w:tcBorders>
              <w:bottom w:val="nil"/>
            </w:tcBorders>
          </w:tcPr>
          <w:p w:rsidR="002A73E4" w:rsidRPr="00C66550" w:rsidRDefault="002A73E4" w:rsidP="001630A2">
            <w:pPr>
              <w:jc w:val="right"/>
              <w:cnfStyle w:val="000000000000"/>
              <w:rPr>
                <w:rFonts w:asciiTheme="minorHAnsi" w:hAnsiTheme="minorHAnsi" w:cs="Calibri"/>
                <w:color w:val="000000"/>
                <w:szCs w:val="20"/>
                <w:vertAlign w:val="superscript"/>
              </w:rPr>
            </w:pPr>
            <w:r w:rsidRPr="00C66550">
              <w:rPr>
                <w:rFonts w:cs="Calibri"/>
                <w:bCs/>
                <w:color w:val="000000"/>
                <w:szCs w:val="20"/>
              </w:rPr>
              <w:t>n/a</w:t>
            </w:r>
          </w:p>
        </w:tc>
        <w:tc>
          <w:tcPr>
            <w:tcW w:w="517" w:type="pct"/>
            <w:gridSpan w:val="2"/>
            <w:tcBorders>
              <w:bottom w:val="nil"/>
            </w:tcBorders>
          </w:tcPr>
          <w:p w:rsidR="002A73E4" w:rsidRPr="00C66550" w:rsidRDefault="002A73E4" w:rsidP="001630A2">
            <w:pPr>
              <w:jc w:val="right"/>
              <w:cnfStyle w:val="000000000000"/>
              <w:rPr>
                <w:rFonts w:asciiTheme="minorHAnsi" w:hAnsiTheme="minorHAnsi" w:cs="Calibri"/>
                <w:color w:val="000000"/>
                <w:szCs w:val="20"/>
              </w:rPr>
            </w:pPr>
            <w:r w:rsidRPr="00C66550">
              <w:rPr>
                <w:rFonts w:cs="Calibri"/>
                <w:bCs/>
                <w:color w:val="000000"/>
                <w:szCs w:val="20"/>
              </w:rPr>
              <w:t>21%</w:t>
            </w:r>
          </w:p>
        </w:tc>
        <w:tc>
          <w:tcPr>
            <w:tcW w:w="517" w:type="pct"/>
            <w:tcBorders>
              <w:bottom w:val="nil"/>
            </w:tcBorders>
          </w:tcPr>
          <w:p w:rsidR="002A73E4" w:rsidRPr="00C66550" w:rsidRDefault="002A73E4" w:rsidP="001630A2">
            <w:pPr>
              <w:jc w:val="right"/>
              <w:cnfStyle w:val="000000000000"/>
              <w:rPr>
                <w:rFonts w:asciiTheme="minorHAnsi" w:hAnsiTheme="minorHAnsi" w:cs="Calibri"/>
                <w:color w:val="000000"/>
                <w:szCs w:val="20"/>
              </w:rPr>
            </w:pPr>
            <w:r w:rsidRPr="00C66550">
              <w:rPr>
                <w:rFonts w:cs="Calibri"/>
                <w:bCs/>
                <w:color w:val="000000"/>
                <w:szCs w:val="20"/>
              </w:rPr>
              <w:t>33%</w:t>
            </w:r>
          </w:p>
        </w:tc>
        <w:tc>
          <w:tcPr>
            <w:tcW w:w="481" w:type="pct"/>
            <w:tcBorders>
              <w:bottom w:val="nil"/>
            </w:tcBorders>
          </w:tcPr>
          <w:p w:rsidR="002A73E4" w:rsidRPr="00C66550" w:rsidRDefault="002A73E4" w:rsidP="001630A2">
            <w:pPr>
              <w:jc w:val="right"/>
              <w:cnfStyle w:val="000000000000"/>
              <w:rPr>
                <w:rFonts w:asciiTheme="minorHAnsi" w:hAnsiTheme="minorHAnsi" w:cs="Calibri"/>
                <w:color w:val="000000"/>
                <w:szCs w:val="20"/>
              </w:rPr>
            </w:pPr>
            <w:r w:rsidRPr="00C66550">
              <w:rPr>
                <w:rFonts w:cs="Calibri"/>
                <w:bCs/>
                <w:color w:val="000000"/>
                <w:szCs w:val="20"/>
              </w:rPr>
              <w:t>45%</w:t>
            </w:r>
          </w:p>
        </w:tc>
        <w:tc>
          <w:tcPr>
            <w:tcW w:w="554" w:type="pct"/>
            <w:tcBorders>
              <w:bottom w:val="nil"/>
            </w:tcBorders>
          </w:tcPr>
          <w:p w:rsidR="002A73E4" w:rsidRPr="00C66550" w:rsidRDefault="002A73E4" w:rsidP="002A73E4">
            <w:pPr>
              <w:jc w:val="center"/>
              <w:cnfStyle w:val="000000000000"/>
              <w:rPr>
                <w:rFonts w:cs="Calibri"/>
                <w:color w:val="000000"/>
                <w:szCs w:val="20"/>
              </w:rPr>
            </w:pPr>
          </w:p>
        </w:tc>
      </w:tr>
      <w:tr w:rsidR="00BE35F1" w:rsidRPr="00C66550" w:rsidTr="00642B3C">
        <w:tc>
          <w:tcPr>
            <w:cnfStyle w:val="001000000000"/>
            <w:tcW w:w="1379" w:type="pct"/>
            <w:tcBorders>
              <w:top w:val="nil"/>
              <w:bottom w:val="single" w:sz="4" w:space="0" w:color="7F7F7F" w:themeColor="background2"/>
            </w:tcBorders>
          </w:tcPr>
          <w:p w:rsidR="002A73E4" w:rsidRPr="00C66550" w:rsidRDefault="002A73E4" w:rsidP="006F00D4">
            <w:pPr>
              <w:rPr>
                <w:rFonts w:asciiTheme="minorHAnsi" w:hAnsiTheme="minorHAnsi" w:cs="Calibri"/>
                <w:color w:val="000000"/>
                <w:szCs w:val="20"/>
              </w:rPr>
            </w:pPr>
            <w:r w:rsidRPr="00C66550">
              <w:rPr>
                <w:rFonts w:cs="Calibri"/>
                <w:color w:val="000000"/>
                <w:szCs w:val="20"/>
              </w:rPr>
              <w:t xml:space="preserve">% </w:t>
            </w:r>
            <w:r w:rsidR="006F00D4" w:rsidRPr="00C66550">
              <w:rPr>
                <w:rFonts w:cs="Calibri"/>
                <w:color w:val="000000"/>
                <w:szCs w:val="20"/>
              </w:rPr>
              <w:t xml:space="preserve">increase </w:t>
            </w:r>
            <w:r w:rsidRPr="00C66550">
              <w:rPr>
                <w:rFonts w:cs="Calibri"/>
                <w:color w:val="000000"/>
                <w:szCs w:val="20"/>
              </w:rPr>
              <w:t>from previous year</w:t>
            </w:r>
          </w:p>
        </w:tc>
        <w:tc>
          <w:tcPr>
            <w:tcW w:w="517" w:type="pct"/>
            <w:tcBorders>
              <w:top w:val="nil"/>
              <w:bottom w:val="single" w:sz="4" w:space="0" w:color="7F7F7F" w:themeColor="background2"/>
            </w:tcBorders>
          </w:tcPr>
          <w:p w:rsidR="002A73E4" w:rsidRPr="00C66550" w:rsidRDefault="002A73E4" w:rsidP="002A73E4">
            <w:pPr>
              <w:jc w:val="center"/>
              <w:cnfStyle w:val="000000000000"/>
              <w:rPr>
                <w:rFonts w:asciiTheme="minorHAnsi" w:hAnsiTheme="minorHAnsi" w:cs="Calibri"/>
                <w:color w:val="000000"/>
                <w:szCs w:val="20"/>
              </w:rPr>
            </w:pPr>
            <w:r w:rsidRPr="00C66550">
              <w:rPr>
                <w:rFonts w:cs="Calibri"/>
                <w:color w:val="000000"/>
                <w:szCs w:val="20"/>
              </w:rPr>
              <w:t> </w:t>
            </w:r>
          </w:p>
        </w:tc>
        <w:tc>
          <w:tcPr>
            <w:tcW w:w="605" w:type="pct"/>
            <w:tcBorders>
              <w:top w:val="nil"/>
              <w:bottom w:val="single" w:sz="4" w:space="0" w:color="7F7F7F" w:themeColor="background2"/>
            </w:tcBorders>
          </w:tcPr>
          <w:p w:rsidR="002A73E4" w:rsidRPr="00C66550" w:rsidRDefault="002A73E4" w:rsidP="001630A2">
            <w:pPr>
              <w:jc w:val="right"/>
              <w:cnfStyle w:val="000000000000"/>
              <w:rPr>
                <w:rFonts w:asciiTheme="minorHAnsi" w:hAnsiTheme="minorHAnsi" w:cs="Calibri"/>
                <w:color w:val="000000"/>
                <w:szCs w:val="20"/>
              </w:rPr>
            </w:pPr>
            <w:r w:rsidRPr="00C66550">
              <w:rPr>
                <w:rFonts w:cs="Calibri"/>
                <w:color w:val="000000"/>
                <w:szCs w:val="20"/>
              </w:rPr>
              <w:t>19%</w:t>
            </w:r>
          </w:p>
        </w:tc>
        <w:tc>
          <w:tcPr>
            <w:tcW w:w="430" w:type="pct"/>
            <w:tcBorders>
              <w:top w:val="nil"/>
              <w:bottom w:val="single" w:sz="4" w:space="0" w:color="7F7F7F" w:themeColor="background2"/>
            </w:tcBorders>
          </w:tcPr>
          <w:p w:rsidR="002A73E4" w:rsidRPr="00C66550" w:rsidRDefault="002A73E4" w:rsidP="001630A2">
            <w:pPr>
              <w:jc w:val="right"/>
              <w:cnfStyle w:val="000000000000"/>
              <w:rPr>
                <w:rFonts w:asciiTheme="minorHAnsi" w:hAnsiTheme="minorHAnsi" w:cs="Calibri"/>
                <w:color w:val="000000"/>
                <w:szCs w:val="20"/>
                <w:vertAlign w:val="superscript"/>
              </w:rPr>
            </w:pPr>
            <w:r w:rsidRPr="00C66550">
              <w:rPr>
                <w:rFonts w:cs="Calibri"/>
                <w:bCs/>
                <w:color w:val="000000"/>
                <w:szCs w:val="20"/>
              </w:rPr>
              <w:t>n/a</w:t>
            </w:r>
          </w:p>
        </w:tc>
        <w:tc>
          <w:tcPr>
            <w:tcW w:w="517" w:type="pct"/>
            <w:gridSpan w:val="2"/>
            <w:tcBorders>
              <w:top w:val="nil"/>
              <w:bottom w:val="single" w:sz="4" w:space="0" w:color="7F7F7F" w:themeColor="background2"/>
            </w:tcBorders>
          </w:tcPr>
          <w:p w:rsidR="002A73E4" w:rsidRPr="00C66550" w:rsidRDefault="002A73E4" w:rsidP="001630A2">
            <w:pPr>
              <w:jc w:val="right"/>
              <w:cnfStyle w:val="000000000000"/>
              <w:rPr>
                <w:rFonts w:asciiTheme="minorHAnsi" w:hAnsiTheme="minorHAnsi" w:cs="Calibri"/>
                <w:color w:val="000000"/>
                <w:szCs w:val="20"/>
                <w:vertAlign w:val="superscript"/>
              </w:rPr>
            </w:pPr>
          </w:p>
        </w:tc>
        <w:tc>
          <w:tcPr>
            <w:tcW w:w="517" w:type="pct"/>
            <w:tcBorders>
              <w:top w:val="nil"/>
              <w:bottom w:val="single" w:sz="4" w:space="0" w:color="7F7F7F" w:themeColor="background2"/>
            </w:tcBorders>
          </w:tcPr>
          <w:p w:rsidR="002A73E4" w:rsidRPr="00C66550" w:rsidRDefault="002A73E4" w:rsidP="001630A2">
            <w:pPr>
              <w:jc w:val="right"/>
              <w:cnfStyle w:val="000000000000"/>
              <w:rPr>
                <w:rFonts w:asciiTheme="minorHAnsi" w:hAnsiTheme="minorHAnsi" w:cs="Calibri"/>
                <w:color w:val="000000"/>
                <w:szCs w:val="20"/>
              </w:rPr>
            </w:pPr>
            <w:r w:rsidRPr="00C66550">
              <w:rPr>
                <w:rFonts w:cs="Calibri"/>
                <w:color w:val="000000"/>
                <w:szCs w:val="20"/>
              </w:rPr>
              <w:t>10%</w:t>
            </w:r>
          </w:p>
        </w:tc>
        <w:tc>
          <w:tcPr>
            <w:tcW w:w="481" w:type="pct"/>
            <w:tcBorders>
              <w:top w:val="nil"/>
              <w:bottom w:val="single" w:sz="4" w:space="0" w:color="7F7F7F" w:themeColor="background2"/>
            </w:tcBorders>
          </w:tcPr>
          <w:p w:rsidR="002A73E4" w:rsidRPr="00C66550" w:rsidRDefault="002A73E4" w:rsidP="001630A2">
            <w:pPr>
              <w:jc w:val="right"/>
              <w:cnfStyle w:val="000000000000"/>
              <w:rPr>
                <w:rFonts w:asciiTheme="minorHAnsi" w:hAnsiTheme="minorHAnsi" w:cs="Calibri"/>
                <w:color w:val="000000"/>
                <w:szCs w:val="20"/>
              </w:rPr>
            </w:pPr>
            <w:r w:rsidRPr="00C66550">
              <w:rPr>
                <w:rFonts w:cs="Calibri"/>
                <w:color w:val="000000"/>
                <w:szCs w:val="20"/>
              </w:rPr>
              <w:t>9%</w:t>
            </w:r>
          </w:p>
        </w:tc>
        <w:tc>
          <w:tcPr>
            <w:tcW w:w="554" w:type="pct"/>
            <w:tcBorders>
              <w:top w:val="nil"/>
              <w:bottom w:val="single" w:sz="4" w:space="0" w:color="7F7F7F" w:themeColor="background2"/>
            </w:tcBorders>
          </w:tcPr>
          <w:p w:rsidR="002A73E4" w:rsidRPr="00C66550" w:rsidRDefault="002A73E4" w:rsidP="002A73E4">
            <w:pPr>
              <w:jc w:val="center"/>
              <w:cnfStyle w:val="000000000000"/>
              <w:rPr>
                <w:rFonts w:cs="Calibri"/>
                <w:color w:val="000000"/>
                <w:szCs w:val="20"/>
              </w:rPr>
            </w:pPr>
          </w:p>
        </w:tc>
      </w:tr>
    </w:tbl>
    <w:p w:rsidR="002A73E4" w:rsidRPr="00C66550" w:rsidRDefault="002A73E4" w:rsidP="00EA5341">
      <w:pPr>
        <w:pStyle w:val="FigureTableinfo"/>
        <w:spacing w:before="0"/>
        <w:rPr>
          <w:i w:val="0"/>
          <w:sz w:val="18"/>
          <w:szCs w:val="18"/>
        </w:rPr>
      </w:pPr>
      <w:r w:rsidRPr="00C66550">
        <w:rPr>
          <w:i w:val="0"/>
          <w:sz w:val="18"/>
          <w:szCs w:val="18"/>
        </w:rPr>
        <w:t xml:space="preserve">n/a = Not available. Data for </w:t>
      </w:r>
      <w:r w:rsidR="00BB3966">
        <w:rPr>
          <w:i w:val="0"/>
          <w:sz w:val="18"/>
          <w:szCs w:val="18"/>
        </w:rPr>
        <w:t>Vic</w:t>
      </w:r>
      <w:r w:rsidRPr="00C66550">
        <w:rPr>
          <w:i w:val="0"/>
          <w:sz w:val="18"/>
          <w:szCs w:val="18"/>
        </w:rPr>
        <w:t xml:space="preserve"> were not reported for the 2007/2008 year. </w:t>
      </w:r>
    </w:p>
    <w:p w:rsidR="002A73E4" w:rsidRPr="00C66550" w:rsidRDefault="002A73E4" w:rsidP="002A73E4">
      <w:pPr>
        <w:pStyle w:val="BodyText"/>
      </w:pPr>
    </w:p>
    <w:p w:rsidR="002A73E4" w:rsidRPr="00C66550" w:rsidRDefault="002A73E4" w:rsidP="002A73E4">
      <w:pPr>
        <w:pStyle w:val="BodyText"/>
      </w:pPr>
      <w:r w:rsidRPr="00C66550">
        <w:t>This shows</w:t>
      </w:r>
      <w:r w:rsidR="00FA1D8E" w:rsidRPr="00C66550">
        <w:t xml:space="preserve"> that, over the six-year period from 2005/06</w:t>
      </w:r>
      <w:r w:rsidR="00081CFB" w:rsidRPr="00C66550">
        <w:t xml:space="preserve"> to 2</w:t>
      </w:r>
      <w:r w:rsidR="00FA1D8E" w:rsidRPr="00C66550">
        <w:t>010/11</w:t>
      </w:r>
      <w:r w:rsidRPr="00C66550">
        <w:t>:</w:t>
      </w:r>
    </w:p>
    <w:p w:rsidR="002A73E4" w:rsidRPr="00C66550" w:rsidRDefault="00FA1D8E" w:rsidP="00BF5F0E">
      <w:pPr>
        <w:pStyle w:val="Bullet1"/>
      </w:pPr>
      <w:r w:rsidRPr="00C66550">
        <w:t>There ha</w:t>
      </w:r>
      <w:r w:rsidR="00555A50" w:rsidRPr="00C66550">
        <w:t>ve</w:t>
      </w:r>
      <w:r w:rsidRPr="00C66550">
        <w:t xml:space="preserve"> been f</w:t>
      </w:r>
      <w:r w:rsidR="002A73E4" w:rsidRPr="00C66550">
        <w:t xml:space="preserve">airly consistent organics recovery in </w:t>
      </w:r>
      <w:r w:rsidR="00555A50" w:rsidRPr="00C66550">
        <w:t xml:space="preserve">the </w:t>
      </w:r>
      <w:r w:rsidR="002A73E4" w:rsidRPr="00C66550">
        <w:t>ACT</w:t>
      </w:r>
      <w:r w:rsidR="00555A50" w:rsidRPr="00C66550">
        <w:t xml:space="preserve"> and </w:t>
      </w:r>
      <w:r w:rsidR="002A73E4" w:rsidRPr="00C66550">
        <w:t xml:space="preserve">NSW and modest increases in WA and SA. </w:t>
      </w:r>
      <w:r w:rsidR="00555A50" w:rsidRPr="00C66550">
        <w:t>E</w:t>
      </w:r>
      <w:r w:rsidR="002A73E4" w:rsidRPr="00C66550">
        <w:t>ffective recovery systems were well established prior to 2005/06, and the major recovery operations were included in surveys from that period onwards.</w:t>
      </w:r>
    </w:p>
    <w:p w:rsidR="002A73E4" w:rsidRPr="00C66550" w:rsidRDefault="00FA1D8E" w:rsidP="00BF5F0E">
      <w:pPr>
        <w:pStyle w:val="Bullet1"/>
      </w:pPr>
      <w:r w:rsidRPr="00C66550">
        <w:t>There have been significant</w:t>
      </w:r>
      <w:r w:rsidR="002A73E4" w:rsidRPr="00C66550">
        <w:t xml:space="preserve"> increases in recovery in </w:t>
      </w:r>
      <w:r w:rsidR="00DF4FB7">
        <w:t>Qld</w:t>
      </w:r>
      <w:r w:rsidR="002A73E4" w:rsidRPr="00C66550">
        <w:t xml:space="preserve"> and </w:t>
      </w:r>
      <w:r w:rsidR="00DF4FB7">
        <w:t>Vic</w:t>
      </w:r>
      <w:r w:rsidR="002A73E4" w:rsidRPr="00C66550">
        <w:t xml:space="preserve">. </w:t>
      </w:r>
      <w:r w:rsidR="00555A50" w:rsidRPr="00C66550">
        <w:t>To some extent, t</w:t>
      </w:r>
      <w:r w:rsidR="002A73E4" w:rsidRPr="00C66550">
        <w:t>his reflects improved performance of recovery systems, but</w:t>
      </w:r>
      <w:r w:rsidR="00555A50" w:rsidRPr="00C66550">
        <w:t xml:space="preserve"> it</w:t>
      </w:r>
      <w:r w:rsidR="002A73E4" w:rsidRPr="00C66550">
        <w:t xml:space="preserve"> may </w:t>
      </w:r>
      <w:r w:rsidR="00555A50" w:rsidRPr="00C66550">
        <w:t>be partly due to improved data capture.</w:t>
      </w:r>
      <w:r w:rsidR="002A73E4" w:rsidRPr="00C66550">
        <w:t xml:space="preserve"> </w:t>
      </w:r>
    </w:p>
    <w:p w:rsidR="002A73E4" w:rsidRPr="00C66550" w:rsidRDefault="002A73E4" w:rsidP="00BF5F0E">
      <w:pPr>
        <w:pStyle w:val="Bullet1"/>
      </w:pPr>
      <w:r w:rsidRPr="00C66550">
        <w:t xml:space="preserve">Nationally, the reported levels of recovered organics increased by 45%. </w:t>
      </w:r>
    </w:p>
    <w:p w:rsidR="00174E8A" w:rsidRPr="00C66550" w:rsidRDefault="00174E8A">
      <w:pPr>
        <w:spacing w:line="240" w:lineRule="auto"/>
        <w:rPr>
          <w:color w:val="080808"/>
          <w:sz w:val="22"/>
        </w:rPr>
      </w:pPr>
      <w:r w:rsidRPr="00C66550">
        <w:br w:type="page"/>
      </w:r>
    </w:p>
    <w:p w:rsidR="002A73E4" w:rsidRPr="00C66550" w:rsidRDefault="002A73E4" w:rsidP="006D25F9">
      <w:pPr>
        <w:pStyle w:val="Heading2"/>
      </w:pPr>
      <w:bookmarkStart w:id="199" w:name="_Toc379466391"/>
      <w:r w:rsidRPr="00C66550">
        <w:lastRenderedPageBreak/>
        <w:t>Products and markets</w:t>
      </w:r>
      <w:bookmarkEnd w:id="199"/>
    </w:p>
    <w:p w:rsidR="00D96003" w:rsidRPr="00C66550" w:rsidRDefault="002A73E4" w:rsidP="00EA5341">
      <w:pPr>
        <w:pStyle w:val="BodyText"/>
      </w:pPr>
      <w:r w:rsidRPr="00C66550">
        <w:t>The R</w:t>
      </w:r>
      <w:r w:rsidR="00834B0C" w:rsidRPr="00C66550">
        <w:t>O</w:t>
      </w:r>
      <w:r w:rsidRPr="00C66550">
        <w:t>U surveys gather information about the products made from recovered organics and the markets into which these are sold. Data are aggregated, so it is not possible to differentiate between products made from</w:t>
      </w:r>
      <w:r w:rsidR="00EA5341" w:rsidRPr="00C66550">
        <w:t xml:space="preserve"> organic wastes from</w:t>
      </w:r>
      <w:r w:rsidRPr="00C66550">
        <w:t xml:space="preserve"> </w:t>
      </w:r>
      <w:r w:rsidR="00EA5341" w:rsidRPr="00C66550">
        <w:t>MSW, C&amp;I and C&amp;D</w:t>
      </w:r>
      <w:r w:rsidRPr="00C66550">
        <w:t xml:space="preserve"> </w:t>
      </w:r>
      <w:r w:rsidR="00EA5341" w:rsidRPr="00C66550">
        <w:t xml:space="preserve">sources </w:t>
      </w:r>
      <w:r w:rsidRPr="00C66550">
        <w:t>and those from primary industry. The market data collected are measured by volume (m</w:t>
      </w:r>
      <w:r w:rsidRPr="00C66550">
        <w:rPr>
          <w:vertAlign w:val="superscript"/>
        </w:rPr>
        <w:t>3</w:t>
      </w:r>
      <w:r w:rsidRPr="00C66550">
        <w:t>) rather than by tonne.</w:t>
      </w:r>
      <w:r w:rsidR="00AA5A77" w:rsidRPr="00C66550">
        <w:t xml:space="preserve"> </w:t>
      </w:r>
      <w:r w:rsidR="0062001A" w:rsidRPr="00C66550">
        <w:fldChar w:fldCharType="begin"/>
      </w:r>
      <w:r w:rsidR="00AA5A77" w:rsidRPr="00C66550">
        <w:instrText xml:space="preserve"> REF _Ref355078268 \h </w:instrText>
      </w:r>
      <w:r w:rsidR="00EA5341" w:rsidRPr="00C66550">
        <w:instrText xml:space="preserve"> \* MERGEFORMAT </w:instrText>
      </w:r>
      <w:r w:rsidR="0062001A" w:rsidRPr="00C66550">
        <w:fldChar w:fldCharType="separate"/>
      </w:r>
    </w:p>
    <w:p w:rsidR="00D96003" w:rsidRPr="00C66550" w:rsidRDefault="00D96003" w:rsidP="00EA5341">
      <w:pPr>
        <w:pStyle w:val="BodyText"/>
      </w:pPr>
    </w:p>
    <w:p w:rsidR="00AA5A77" w:rsidRPr="00C66550" w:rsidRDefault="00D96003" w:rsidP="00EA5341">
      <w:pPr>
        <w:pStyle w:val="BodyText"/>
      </w:pPr>
      <w:r w:rsidRPr="00C66550">
        <w:rPr>
          <w:noProof/>
        </w:rPr>
        <w:t>Figure</w:t>
      </w:r>
      <w:r w:rsidRPr="00C66550">
        <w:t xml:space="preserve"> </w:t>
      </w:r>
      <w:r>
        <w:rPr>
          <w:noProof/>
        </w:rPr>
        <w:t>41</w:t>
      </w:r>
      <w:r w:rsidR="0062001A" w:rsidRPr="00C66550">
        <w:fldChar w:fldCharType="end"/>
      </w:r>
      <w:r w:rsidR="00AA5A77" w:rsidRPr="00C66550">
        <w:t xml:space="preserve"> </w:t>
      </w:r>
      <w:r w:rsidR="00A96588" w:rsidRPr="00C66550">
        <w:t xml:space="preserve">summarises production and sales of materials </w:t>
      </w:r>
      <w:r w:rsidR="00AA5A77" w:rsidRPr="00C66550">
        <w:t>from the ROU Survey for 2009/10</w:t>
      </w:r>
      <w:r w:rsidR="00A96588" w:rsidRPr="00C66550">
        <w:t>,</w:t>
      </w:r>
      <w:r w:rsidR="00AA5A77" w:rsidRPr="00C66550">
        <w:t xml:space="preserve"> the last year for which this </w:t>
      </w:r>
      <w:r w:rsidR="00A96588" w:rsidRPr="00C66550">
        <w:t>detailed information wa</w:t>
      </w:r>
      <w:r w:rsidR="00AA5A77" w:rsidRPr="00C66550">
        <w:t>s available</w:t>
      </w:r>
      <w:r w:rsidR="00A96588" w:rsidRPr="00C66550">
        <w:t xml:space="preserve"> at the time of writing</w:t>
      </w:r>
      <w:r w:rsidR="00AA5A77" w:rsidRPr="00C66550">
        <w:t>.</w:t>
      </w:r>
      <w:bookmarkStart w:id="200" w:name="_Ref348208635"/>
      <w:bookmarkStart w:id="201" w:name="_Ref355078268"/>
      <w:bookmarkStart w:id="202" w:name="_Ref348208672"/>
    </w:p>
    <w:p w:rsidR="00EA5341" w:rsidRPr="00C66550" w:rsidRDefault="00EA5341" w:rsidP="00EA5341">
      <w:pPr>
        <w:pStyle w:val="BodyText"/>
      </w:pPr>
    </w:p>
    <w:p w:rsidR="002A73E4" w:rsidRPr="00C66550" w:rsidRDefault="000D51CD" w:rsidP="00FB4820">
      <w:pPr>
        <w:pStyle w:val="Figures"/>
      </w:pPr>
      <w:bookmarkStart w:id="203" w:name="_Toc365385050"/>
      <w:r w:rsidRPr="00C66550">
        <w:rPr>
          <w:noProof/>
          <w:lang w:eastAsia="en-AU"/>
        </w:rPr>
        <w:drawing>
          <wp:anchor distT="0" distB="0" distL="114300" distR="114300" simplePos="0" relativeHeight="251754496" behindDoc="0" locked="0" layoutInCell="1" allowOverlap="1">
            <wp:simplePos x="0" y="0"/>
            <wp:positionH relativeFrom="column">
              <wp:posOffset>-439420</wp:posOffset>
            </wp:positionH>
            <wp:positionV relativeFrom="paragraph">
              <wp:posOffset>200025</wp:posOffset>
            </wp:positionV>
            <wp:extent cx="6520815" cy="6973570"/>
            <wp:effectExtent l="0" t="0" r="0" b="0"/>
            <wp:wrapSquare wrapText="bothSides"/>
            <wp:docPr id="151" name="Picture 151"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76"/>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0815" cy="6973570"/>
                    </a:xfrm>
                    <a:prstGeom prst="rect">
                      <a:avLst/>
                    </a:prstGeom>
                    <a:noFill/>
                    <a:ln>
                      <a:noFill/>
                    </a:ln>
                  </pic:spPr>
                </pic:pic>
              </a:graphicData>
            </a:graphic>
          </wp:anchor>
        </w:drawing>
      </w:r>
      <w:r w:rsidR="002A73E4" w:rsidRPr="00C66550">
        <w:t xml:space="preserve">Figure </w:t>
      </w:r>
      <w:r w:rsidR="0062001A" w:rsidRPr="00C66550">
        <w:fldChar w:fldCharType="begin"/>
      </w:r>
      <w:r w:rsidR="002A73E4" w:rsidRPr="00C66550">
        <w:instrText xml:space="preserve"> SEQ Figure \* ARABIC </w:instrText>
      </w:r>
      <w:r w:rsidR="0062001A" w:rsidRPr="00C66550">
        <w:fldChar w:fldCharType="separate"/>
      </w:r>
      <w:r w:rsidR="00D96003">
        <w:rPr>
          <w:noProof/>
        </w:rPr>
        <w:t>41</w:t>
      </w:r>
      <w:r w:rsidR="0062001A" w:rsidRPr="00C66550">
        <w:fldChar w:fldCharType="end"/>
      </w:r>
      <w:bookmarkEnd w:id="200"/>
      <w:bookmarkEnd w:id="201"/>
      <w:r w:rsidR="002A73E4" w:rsidRPr="00C66550">
        <w:t xml:space="preserve">: </w:t>
      </w:r>
      <w:r w:rsidR="002A73E4" w:rsidRPr="00C66550">
        <w:tab/>
        <w:t>Production and sales of recycled organics products (2009/10)</w:t>
      </w:r>
      <w:bookmarkEnd w:id="202"/>
      <w:bookmarkEnd w:id="203"/>
    </w:p>
    <w:p w:rsidR="002A73E4" w:rsidRPr="00C548DF" w:rsidRDefault="000D51CD" w:rsidP="000B335A">
      <w:pPr>
        <w:pStyle w:val="FigureTableinfo"/>
        <w:rPr>
          <w:sz w:val="20"/>
        </w:rPr>
      </w:pPr>
      <w:r w:rsidRPr="00C548DF">
        <w:rPr>
          <w:noProof/>
          <w:sz w:val="20"/>
          <w:lang w:eastAsia="en-AU"/>
        </w:rPr>
        <w:lastRenderedPageBreak/>
        <w:drawing>
          <wp:anchor distT="0" distB="0" distL="114300" distR="114300" simplePos="0" relativeHeight="251755520" behindDoc="0" locked="0" layoutInCell="1" allowOverlap="1">
            <wp:simplePos x="0" y="0"/>
            <wp:positionH relativeFrom="column">
              <wp:posOffset>-508635</wp:posOffset>
            </wp:positionH>
            <wp:positionV relativeFrom="paragraph">
              <wp:posOffset>0</wp:posOffset>
            </wp:positionV>
            <wp:extent cx="6697345" cy="6793865"/>
            <wp:effectExtent l="0" t="0" r="0" b="0"/>
            <wp:wrapSquare wrapText="bothSides"/>
            <wp:docPr id="150" name="Picture 150" descr="_Pi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79"/>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7345" cy="6793865"/>
                    </a:xfrm>
                    <a:prstGeom prst="rect">
                      <a:avLst/>
                    </a:prstGeom>
                    <a:noFill/>
                    <a:ln>
                      <a:noFill/>
                    </a:ln>
                  </pic:spPr>
                </pic:pic>
              </a:graphicData>
            </a:graphic>
          </wp:anchor>
        </w:drawing>
      </w:r>
      <w:r w:rsidR="002A73E4" w:rsidRPr="00C548DF">
        <w:rPr>
          <w:sz w:val="20"/>
        </w:rPr>
        <w:t>Source: R</w:t>
      </w:r>
      <w:r w:rsidR="009F2F42" w:rsidRPr="00C548DF">
        <w:rPr>
          <w:sz w:val="20"/>
        </w:rPr>
        <w:t>O</w:t>
      </w:r>
      <w:r w:rsidR="002A73E4" w:rsidRPr="00C548DF">
        <w:rPr>
          <w:sz w:val="20"/>
        </w:rPr>
        <w:t>U 2010</w:t>
      </w:r>
    </w:p>
    <w:p w:rsidR="002A73E4" w:rsidRPr="00C66550" w:rsidRDefault="002A73E4" w:rsidP="002A73E4">
      <w:pPr>
        <w:pStyle w:val="BodyText"/>
      </w:pPr>
    </w:p>
    <w:p w:rsidR="00AA5A77" w:rsidRPr="00642B3C" w:rsidRDefault="0062001A" w:rsidP="00AA5A77">
      <w:pPr>
        <w:spacing w:line="240" w:lineRule="auto"/>
        <w:rPr>
          <w:color w:val="080808"/>
          <w:sz w:val="22"/>
        </w:rPr>
      </w:pPr>
      <w:fldSimple w:instr=" REF _Ref355085966 \h  \* MERGEFORMAT ">
        <w:r w:rsidR="00D96003" w:rsidRPr="00D96003">
          <w:rPr>
            <w:sz w:val="22"/>
          </w:rPr>
          <w:t xml:space="preserve">Figure </w:t>
        </w:r>
        <w:r w:rsidR="00D96003" w:rsidRPr="00D96003">
          <w:rPr>
            <w:noProof/>
            <w:sz w:val="22"/>
          </w:rPr>
          <w:t>42</w:t>
        </w:r>
      </w:fldSimple>
      <w:r w:rsidR="00A96588" w:rsidRPr="00642B3C">
        <w:rPr>
          <w:color w:val="080808"/>
          <w:sz w:val="22"/>
        </w:rPr>
        <w:t xml:space="preserve"> </w:t>
      </w:r>
      <w:r w:rsidR="00AA5A77" w:rsidRPr="00642B3C">
        <w:rPr>
          <w:color w:val="080808"/>
          <w:sz w:val="22"/>
        </w:rPr>
        <w:t xml:space="preserve">and </w:t>
      </w:r>
      <w:fldSimple w:instr=" REF _Ref355085975 \h  \* MERGEFORMAT ">
        <w:r w:rsidR="00D96003" w:rsidRPr="00D96003">
          <w:rPr>
            <w:sz w:val="22"/>
          </w:rPr>
          <w:t xml:space="preserve">Figure </w:t>
        </w:r>
        <w:r w:rsidR="00D96003" w:rsidRPr="00D96003">
          <w:rPr>
            <w:noProof/>
            <w:sz w:val="22"/>
          </w:rPr>
          <w:t>43</w:t>
        </w:r>
      </w:fldSimple>
      <w:r w:rsidR="00AA5A77" w:rsidRPr="00642B3C">
        <w:rPr>
          <w:color w:val="080808"/>
          <w:sz w:val="22"/>
        </w:rPr>
        <w:t xml:space="preserve"> show the breakdown of products made from recovered organics (excluding manures and direct application to land) and the markets into which the products are sold.</w:t>
      </w:r>
    </w:p>
    <w:p w:rsidR="00AA5A77" w:rsidRPr="00C66550" w:rsidRDefault="00AA5A77" w:rsidP="00AA5A77">
      <w:pPr>
        <w:spacing w:line="240" w:lineRule="auto"/>
        <w:rPr>
          <w:color w:val="080808"/>
          <w:sz w:val="22"/>
        </w:rPr>
      </w:pPr>
    </w:p>
    <w:p w:rsidR="00AA5A77" w:rsidRPr="00C66550" w:rsidRDefault="00AA5A77" w:rsidP="00AA5A77">
      <w:pPr>
        <w:spacing w:line="240" w:lineRule="auto"/>
        <w:rPr>
          <w:color w:val="080808"/>
          <w:sz w:val="22"/>
        </w:rPr>
      </w:pPr>
    </w:p>
    <w:p w:rsidR="00AA5A77" w:rsidRPr="00C66550" w:rsidRDefault="00AA5A77" w:rsidP="00AA5A77">
      <w:pPr>
        <w:spacing w:line="240" w:lineRule="auto"/>
        <w:rPr>
          <w:color w:val="080808"/>
          <w:sz w:val="22"/>
        </w:rPr>
      </w:pPr>
    </w:p>
    <w:p w:rsidR="00AA5A77" w:rsidRPr="00C66550" w:rsidRDefault="00AA5A77" w:rsidP="00AA5A77">
      <w:pPr>
        <w:spacing w:line="240" w:lineRule="auto"/>
        <w:rPr>
          <w:color w:val="080808"/>
          <w:sz w:val="22"/>
        </w:rPr>
      </w:pPr>
    </w:p>
    <w:p w:rsidR="00AA5A77" w:rsidRPr="00C66550" w:rsidRDefault="00AA5A77" w:rsidP="00AA5A77">
      <w:pPr>
        <w:spacing w:line="240" w:lineRule="auto"/>
        <w:rPr>
          <w:color w:val="080808"/>
          <w:sz w:val="22"/>
        </w:rPr>
      </w:pPr>
    </w:p>
    <w:p w:rsidR="00AA5A77" w:rsidRPr="00C66550" w:rsidRDefault="00AA5A77" w:rsidP="00AA5A77">
      <w:pPr>
        <w:spacing w:line="240" w:lineRule="auto"/>
        <w:rPr>
          <w:color w:val="080808"/>
          <w:sz w:val="22"/>
        </w:rPr>
      </w:pPr>
    </w:p>
    <w:p w:rsidR="00AA5A77" w:rsidRPr="00C66550" w:rsidRDefault="00AA5A77" w:rsidP="00AA5A77">
      <w:pPr>
        <w:pStyle w:val="BodyText"/>
      </w:pPr>
    </w:p>
    <w:p w:rsidR="002A73E4" w:rsidRPr="00C66550" w:rsidRDefault="002A73E4" w:rsidP="00FB4820">
      <w:pPr>
        <w:pStyle w:val="Figures"/>
      </w:pPr>
      <w:bookmarkStart w:id="204" w:name="_Ref355085966"/>
      <w:bookmarkStart w:id="205" w:name="_Toc365385051"/>
      <w:r w:rsidRPr="00C66550">
        <w:lastRenderedPageBreak/>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42</w:t>
      </w:r>
      <w:r w:rsidR="0062001A" w:rsidRPr="00C66550">
        <w:fldChar w:fldCharType="end"/>
      </w:r>
      <w:bookmarkEnd w:id="204"/>
      <w:r w:rsidR="00216969" w:rsidRPr="00C66550">
        <w:t>:</w:t>
      </w:r>
      <w:r w:rsidR="00216969" w:rsidRPr="00C66550">
        <w:tab/>
      </w:r>
      <w:r w:rsidRPr="00C66550">
        <w:t>Breakdown of products made from recovered organics (excluding manures and direct application to land)</w:t>
      </w:r>
      <w:bookmarkEnd w:id="205"/>
    </w:p>
    <w:p w:rsidR="002A73E4" w:rsidRPr="00C66550" w:rsidRDefault="002D39AB" w:rsidP="002A73E4">
      <w:pPr>
        <w:spacing w:line="240" w:lineRule="auto"/>
        <w:rPr>
          <w:color w:val="080808"/>
          <w:sz w:val="22"/>
        </w:rPr>
      </w:pPr>
      <w:r w:rsidRPr="00C66550">
        <w:rPr>
          <w:noProof/>
          <w:lang w:eastAsia="en-AU"/>
        </w:rPr>
        <w:drawing>
          <wp:anchor distT="0" distB="0" distL="114300" distR="114300" simplePos="0" relativeHeight="251796480" behindDoc="0" locked="0" layoutInCell="1" allowOverlap="1">
            <wp:simplePos x="0" y="0"/>
            <wp:positionH relativeFrom="column">
              <wp:posOffset>530860</wp:posOffset>
            </wp:positionH>
            <wp:positionV relativeFrom="paragraph">
              <wp:posOffset>150495</wp:posOffset>
            </wp:positionV>
            <wp:extent cx="4533900" cy="36861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686175"/>
                    </a:xfrm>
                    <a:prstGeom prst="rect">
                      <a:avLst/>
                    </a:prstGeom>
                    <a:noFill/>
                    <a:ln>
                      <a:noFill/>
                    </a:ln>
                  </pic:spPr>
                </pic:pic>
              </a:graphicData>
            </a:graphic>
          </wp:anchor>
        </w:drawing>
      </w:r>
    </w:p>
    <w:p w:rsidR="002A73E4" w:rsidRPr="00C66550" w:rsidRDefault="002A73E4" w:rsidP="002A73E4">
      <w:pPr>
        <w:pStyle w:val="BodyText"/>
      </w:pPr>
    </w:p>
    <w:p w:rsidR="002A73E4" w:rsidRPr="00C66550" w:rsidRDefault="002A73E4" w:rsidP="002A73E4">
      <w:pPr>
        <w:pStyle w:val="BodyText"/>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E84D74" w:rsidRPr="00C66550" w:rsidRDefault="00E84D74" w:rsidP="00FB4820">
      <w:pPr>
        <w:pStyle w:val="Figures"/>
      </w:pPr>
    </w:p>
    <w:p w:rsidR="002A73E4" w:rsidRPr="00C66550" w:rsidRDefault="002A73E4" w:rsidP="00FB4820">
      <w:pPr>
        <w:pStyle w:val="Figures"/>
      </w:pPr>
      <w:bookmarkStart w:id="206" w:name="_Ref355085975"/>
      <w:bookmarkStart w:id="207" w:name="_Toc365385052"/>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43</w:t>
      </w:r>
      <w:r w:rsidR="0062001A" w:rsidRPr="00C66550">
        <w:fldChar w:fldCharType="end"/>
      </w:r>
      <w:bookmarkEnd w:id="206"/>
      <w:r w:rsidR="00216969" w:rsidRPr="00C66550">
        <w:t>:</w:t>
      </w:r>
      <w:r w:rsidR="00216969" w:rsidRPr="00C66550">
        <w:tab/>
      </w:r>
      <w:r w:rsidR="00132749">
        <w:t>Break</w:t>
      </w:r>
      <w:r w:rsidRPr="00C66550">
        <w:t>down of markets for recycled organic products (excluding manures and direct application to land)</w:t>
      </w:r>
      <w:bookmarkEnd w:id="207"/>
    </w:p>
    <w:p w:rsidR="002A73E4" w:rsidRPr="00C66550" w:rsidRDefault="002D39AB" w:rsidP="00FB4820">
      <w:pPr>
        <w:pStyle w:val="Figures"/>
      </w:pPr>
      <w:r w:rsidRPr="00C66550">
        <w:rPr>
          <w:noProof/>
          <w:lang w:eastAsia="en-AU"/>
        </w:rPr>
        <w:drawing>
          <wp:anchor distT="0" distB="0" distL="114300" distR="114300" simplePos="0" relativeHeight="251797504" behindDoc="0" locked="0" layoutInCell="1" allowOverlap="1">
            <wp:simplePos x="0" y="0"/>
            <wp:positionH relativeFrom="column">
              <wp:posOffset>207010</wp:posOffset>
            </wp:positionH>
            <wp:positionV relativeFrom="paragraph">
              <wp:posOffset>173990</wp:posOffset>
            </wp:positionV>
            <wp:extent cx="5429250" cy="34766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3476625"/>
                    </a:xfrm>
                    <a:prstGeom prst="rect">
                      <a:avLst/>
                    </a:prstGeom>
                    <a:noFill/>
                    <a:ln>
                      <a:noFill/>
                    </a:ln>
                  </pic:spPr>
                </pic:pic>
              </a:graphicData>
            </a:graphic>
          </wp:anchor>
        </w:drawing>
      </w:r>
    </w:p>
    <w:p w:rsidR="00AA5A77" w:rsidRPr="00C66550" w:rsidRDefault="00AA5A77" w:rsidP="00824B68">
      <w:pPr>
        <w:pStyle w:val="BodyText"/>
      </w:pPr>
      <w:r w:rsidRPr="00C66550">
        <w:t xml:space="preserve">The </w:t>
      </w:r>
      <w:r w:rsidR="00824B68" w:rsidRPr="00C66550">
        <w:t xml:space="preserve">figures </w:t>
      </w:r>
      <w:r w:rsidR="00A34B63" w:rsidRPr="00C66550">
        <w:t xml:space="preserve">above </w:t>
      </w:r>
      <w:r w:rsidRPr="00C66550">
        <w:t>show:</w:t>
      </w:r>
    </w:p>
    <w:p w:rsidR="00A96588" w:rsidRPr="00C66550" w:rsidRDefault="00A96588" w:rsidP="00824B68">
      <w:pPr>
        <w:pStyle w:val="Bullet1"/>
      </w:pPr>
      <w:r w:rsidRPr="00C66550">
        <w:lastRenderedPageBreak/>
        <w:t>O</w:t>
      </w:r>
      <w:r w:rsidR="00AA5A77" w:rsidRPr="00C66550">
        <w:t>ther than paper products and organics in landfill from which biogas energy is recovered</w:t>
      </w:r>
      <w:r w:rsidRPr="00C66550">
        <w:t>, most recovered organics</w:t>
      </w:r>
      <w:r w:rsidR="00AA5A77" w:rsidRPr="00C66550">
        <w:t xml:space="preserve"> are converted into</w:t>
      </w:r>
      <w:r w:rsidRPr="00C66550">
        <w:t>:</w:t>
      </w:r>
    </w:p>
    <w:p w:rsidR="00A96588" w:rsidRPr="00C66550" w:rsidRDefault="00AA5A77" w:rsidP="00A96588">
      <w:pPr>
        <w:pStyle w:val="Bullet2"/>
      </w:pPr>
      <w:r w:rsidRPr="00C66550">
        <w:t>mulch (sales of 2.6 million m</w:t>
      </w:r>
      <w:r w:rsidRPr="00C66550">
        <w:rPr>
          <w:vertAlign w:val="superscript"/>
        </w:rPr>
        <w:t>3</w:t>
      </w:r>
      <w:r w:rsidRPr="00C66550">
        <w:t>/yr</w:t>
      </w:r>
      <w:r w:rsidR="00A96588" w:rsidRPr="00C66550">
        <w:t xml:space="preserve">), mostly </w:t>
      </w:r>
      <w:r w:rsidRPr="00C66550">
        <w:t>‘raw’ mulch</w:t>
      </w:r>
      <w:r w:rsidR="00A96588" w:rsidRPr="00C66550">
        <w:t xml:space="preserve"> </w:t>
      </w:r>
      <w:r w:rsidRPr="00C66550">
        <w:t xml:space="preserve">in the form of timber and bark-derived landscaping </w:t>
      </w:r>
      <w:r w:rsidR="00A96588" w:rsidRPr="00C66550">
        <w:t>product</w:t>
      </w:r>
    </w:p>
    <w:p w:rsidR="00AA5A77" w:rsidRPr="00C66550" w:rsidRDefault="00AA5A77" w:rsidP="00A96588">
      <w:pPr>
        <w:pStyle w:val="Bullet2"/>
      </w:pPr>
      <w:r w:rsidRPr="00C66550">
        <w:t>soil conditioner (sales of 1.4 million m</w:t>
      </w:r>
      <w:r w:rsidRPr="00C66550">
        <w:rPr>
          <w:vertAlign w:val="superscript"/>
        </w:rPr>
        <w:t>3</w:t>
      </w:r>
      <w:r w:rsidRPr="00C66550">
        <w:t>/yr.</w:t>
      </w:r>
      <w:r w:rsidR="00F66D47" w:rsidRPr="00C66550">
        <w:t>)</w:t>
      </w:r>
      <w:r w:rsidRPr="00C66550">
        <w:t xml:space="preserve"> </w:t>
      </w:r>
    </w:p>
    <w:p w:rsidR="00AA5A77" w:rsidRPr="00C66550" w:rsidRDefault="00AA5A77" w:rsidP="00824B68">
      <w:pPr>
        <w:pStyle w:val="Bullet1"/>
      </w:pPr>
      <w:r w:rsidRPr="00C66550">
        <w:t>Almost 700,000 m</w:t>
      </w:r>
      <w:r w:rsidRPr="00C66550">
        <w:rPr>
          <w:vertAlign w:val="superscript"/>
        </w:rPr>
        <w:t xml:space="preserve">3 </w:t>
      </w:r>
      <w:r w:rsidRPr="00C66550">
        <w:t>/yr of processed recycled organics are used in the produ</w:t>
      </w:r>
      <w:r w:rsidR="00A96588" w:rsidRPr="00C66550">
        <w:t>ction of manufactured soils and a further and over 600,000 m</w:t>
      </w:r>
      <w:r w:rsidR="00A96588" w:rsidRPr="00C66550">
        <w:rPr>
          <w:vertAlign w:val="superscript"/>
        </w:rPr>
        <w:t>3</w:t>
      </w:r>
      <w:r w:rsidR="00A96588" w:rsidRPr="00C66550">
        <w:t xml:space="preserve">/yr is used in </w:t>
      </w:r>
      <w:r w:rsidRPr="00C66550">
        <w:t>potting mixes.</w:t>
      </w:r>
    </w:p>
    <w:p w:rsidR="00AA5A77" w:rsidRPr="00C66550" w:rsidRDefault="00AA5A77" w:rsidP="00824B68">
      <w:pPr>
        <w:pStyle w:val="Bullet1"/>
      </w:pPr>
      <w:r w:rsidRPr="00C66550">
        <w:t xml:space="preserve">Manure-derived products, organic fertilisers and direct land application of organics account for </w:t>
      </w:r>
      <w:r w:rsidR="00A96588" w:rsidRPr="00C66550">
        <w:t>about</w:t>
      </w:r>
      <w:r w:rsidRPr="00C66550">
        <w:t xml:space="preserve"> 1.</w:t>
      </w:r>
      <w:r w:rsidR="00A96588" w:rsidRPr="00C66550">
        <w:t>4</w:t>
      </w:r>
      <w:r w:rsidRPr="00C66550">
        <w:t xml:space="preserve"> million m</w:t>
      </w:r>
      <w:r w:rsidRPr="00C66550">
        <w:rPr>
          <w:vertAlign w:val="superscript"/>
        </w:rPr>
        <w:t>3</w:t>
      </w:r>
      <w:r w:rsidRPr="00C66550">
        <w:t xml:space="preserve">/yr </w:t>
      </w:r>
      <w:r w:rsidR="00A96588" w:rsidRPr="00C66550">
        <w:t xml:space="preserve">out </w:t>
      </w:r>
      <w:r w:rsidRPr="00C66550">
        <w:t>of a total of 7.1 million m</w:t>
      </w:r>
      <w:r w:rsidRPr="00C66550">
        <w:rPr>
          <w:vertAlign w:val="superscript"/>
        </w:rPr>
        <w:t>3</w:t>
      </w:r>
      <w:r w:rsidRPr="00C66550">
        <w:t>/yr of recycled organic products.</w:t>
      </w:r>
    </w:p>
    <w:p w:rsidR="00AA5A77" w:rsidRPr="00C66550" w:rsidRDefault="00AA5A77" w:rsidP="00824B68">
      <w:pPr>
        <w:pStyle w:val="Bullet1"/>
      </w:pPr>
      <w:r w:rsidRPr="00C66550">
        <w:t xml:space="preserve">Urban amenity markets are the main market for products, </w:t>
      </w:r>
      <w:r w:rsidR="000B226F" w:rsidRPr="00C66550">
        <w:t>absorbing</w:t>
      </w:r>
      <w:r w:rsidRPr="00C66550">
        <w:t xml:space="preserve"> 56% or 3.</w:t>
      </w:r>
      <w:r w:rsidR="000B226F" w:rsidRPr="00C66550">
        <w:t>2</w:t>
      </w:r>
      <w:r w:rsidRPr="00C66550">
        <w:t xml:space="preserve"> million m</w:t>
      </w:r>
      <w:r w:rsidRPr="00C66550">
        <w:rPr>
          <w:vertAlign w:val="superscript"/>
        </w:rPr>
        <w:t>3</w:t>
      </w:r>
      <w:r w:rsidRPr="00C66550">
        <w:t>/yr of the total 5.7 million m</w:t>
      </w:r>
      <w:r w:rsidRPr="00C66550">
        <w:rPr>
          <w:vertAlign w:val="superscript"/>
        </w:rPr>
        <w:t>3</w:t>
      </w:r>
      <w:r w:rsidRPr="00C66550">
        <w:t>/yr of recycled organic products (excluding manure-derived products and direct application to land).</w:t>
      </w:r>
      <w:r w:rsidR="000B226F" w:rsidRPr="00C66550">
        <w:t xml:space="preserve"> </w:t>
      </w:r>
      <w:r w:rsidRPr="00C66550">
        <w:t>Other markets for products are intensive agriculture (4</w:t>
      </w:r>
      <w:r w:rsidR="000B226F" w:rsidRPr="00C66550">
        <w:t>80</w:t>
      </w:r>
      <w:r w:rsidRPr="00C66550">
        <w:t>,</w:t>
      </w:r>
      <w:r w:rsidR="000B226F" w:rsidRPr="00C66550">
        <w:t>0</w:t>
      </w:r>
      <w:r w:rsidRPr="00C66550">
        <w:t>00 m</w:t>
      </w:r>
      <w:r w:rsidRPr="00C66550">
        <w:rPr>
          <w:vertAlign w:val="superscript"/>
        </w:rPr>
        <w:t>3</w:t>
      </w:r>
      <w:r w:rsidRPr="00C66550">
        <w:t>/yr or 8%), extensive agriculture (18</w:t>
      </w:r>
      <w:r w:rsidR="000B226F" w:rsidRPr="00C66550">
        <w:t>0</w:t>
      </w:r>
      <w:r w:rsidRPr="00C66550">
        <w:t>,</w:t>
      </w:r>
      <w:r w:rsidR="000B226F" w:rsidRPr="00C66550">
        <w:t>0</w:t>
      </w:r>
      <w:r w:rsidRPr="00C66550">
        <w:t>00 m3/yr or 3%) and rehabilitation and eco-remediation (280,</w:t>
      </w:r>
      <w:r w:rsidR="000B226F" w:rsidRPr="00C66550">
        <w:t>0</w:t>
      </w:r>
      <w:r w:rsidRPr="00C66550">
        <w:t>00m</w:t>
      </w:r>
      <w:r w:rsidRPr="00C66550">
        <w:rPr>
          <w:vertAlign w:val="superscript"/>
        </w:rPr>
        <w:t>3</w:t>
      </w:r>
      <w:r w:rsidRPr="00C66550">
        <w:t xml:space="preserve"> or 5%). </w:t>
      </w:r>
    </w:p>
    <w:p w:rsidR="00AA5A77" w:rsidRPr="00C66550" w:rsidRDefault="00AA5A77" w:rsidP="00824B68">
      <w:pPr>
        <w:pStyle w:val="Bullet1"/>
      </w:pPr>
      <w:r w:rsidRPr="00C66550">
        <w:t xml:space="preserve">About 28% of sales are of products not allocated to a specific market. It is likely most of these sales are to the urban amenity market, with a lesser amount to intensive agriculture. </w:t>
      </w:r>
      <w:r w:rsidR="000B226F" w:rsidRPr="00C66550">
        <w:t>U</w:t>
      </w:r>
      <w:r w:rsidRPr="00C66550">
        <w:t xml:space="preserve">rban amenity market </w:t>
      </w:r>
      <w:r w:rsidR="000B226F" w:rsidRPr="00C66550">
        <w:t xml:space="preserve">probably </w:t>
      </w:r>
      <w:r w:rsidRPr="00C66550">
        <w:t>account for 65–70% of annual sales of recycled organic products by volume.</w:t>
      </w:r>
    </w:p>
    <w:p w:rsidR="00AA5A77" w:rsidRPr="00C66550" w:rsidRDefault="00AA5A77" w:rsidP="00824B68">
      <w:pPr>
        <w:pStyle w:val="Bullet1"/>
      </w:pPr>
      <w:r w:rsidRPr="00C66550">
        <w:t>At the time of the ROU survey, respondents had in the order of 3.3 million m</w:t>
      </w:r>
      <w:r w:rsidRPr="00C66550">
        <w:rPr>
          <w:vertAlign w:val="superscript"/>
        </w:rPr>
        <w:t xml:space="preserve">3 </w:t>
      </w:r>
      <w:r w:rsidRPr="00C66550">
        <w:t>on site. This is not surprising because many processes (such as composting) require materials to be processed for weeks. In addition, sales are typically seasonal and it is possible for sites to hold up to 50% annual inputs on site at some times of the year.</w:t>
      </w:r>
    </w:p>
    <w:p w:rsidR="00AA5A77" w:rsidRPr="00C66550" w:rsidRDefault="00AA5A77" w:rsidP="00AA5A77">
      <w:pPr>
        <w:spacing w:line="240" w:lineRule="auto"/>
        <w:rPr>
          <w:color w:val="080808"/>
          <w:sz w:val="22"/>
        </w:rPr>
      </w:pPr>
    </w:p>
    <w:p w:rsidR="00CC57E2" w:rsidRPr="00C66550" w:rsidRDefault="00CC57E2" w:rsidP="00CC57E2">
      <w:pPr>
        <w:pStyle w:val="BodyText"/>
      </w:pPr>
    </w:p>
    <w:p w:rsidR="00CC57E2" w:rsidRPr="00C66550" w:rsidRDefault="00CC57E2" w:rsidP="00CC57E2">
      <w:pPr>
        <w:spacing w:line="240" w:lineRule="auto"/>
      </w:pPr>
      <w:r w:rsidRPr="00C66550">
        <w:br w:type="page"/>
      </w:r>
    </w:p>
    <w:p w:rsidR="00CC57E2" w:rsidRPr="00C66550" w:rsidRDefault="00CC57E2" w:rsidP="006D25F9">
      <w:pPr>
        <w:pStyle w:val="Heading1"/>
      </w:pPr>
      <w:bookmarkStart w:id="208" w:name="_Toc379466392"/>
      <w:r w:rsidRPr="00C66550">
        <w:lastRenderedPageBreak/>
        <w:t>Product-specific</w:t>
      </w:r>
      <w:r w:rsidR="003D55FB" w:rsidRPr="00C66550">
        <w:t xml:space="preserve"> (product stewardship)</w:t>
      </w:r>
      <w:r w:rsidRPr="00C66550">
        <w:t xml:space="preserve"> data</w:t>
      </w:r>
      <w:bookmarkEnd w:id="208"/>
    </w:p>
    <w:p w:rsidR="0047541A" w:rsidRPr="00C66550" w:rsidRDefault="00BE2A3B" w:rsidP="0047541A">
      <w:pPr>
        <w:pStyle w:val="BodyText"/>
      </w:pPr>
      <w:r w:rsidRPr="00C66550">
        <w:t xml:space="preserve">This </w:t>
      </w:r>
      <w:r w:rsidR="00912151" w:rsidRPr="00C66550">
        <w:t>section</w:t>
      </w:r>
      <w:r w:rsidRPr="00C66550">
        <w:t xml:space="preserve"> provides a summary of the available </w:t>
      </w:r>
      <w:r w:rsidR="00DA10CD" w:rsidRPr="00C66550">
        <w:t xml:space="preserve">data on </w:t>
      </w:r>
      <w:r w:rsidRPr="00C66550">
        <w:t>products covered by a</w:t>
      </w:r>
      <w:r w:rsidR="004C6BE2" w:rsidRPr="00C66550">
        <w:t xml:space="preserve"> product stewardship scheme in Australia</w:t>
      </w:r>
      <w:r w:rsidR="007B7273" w:rsidRPr="00C66550">
        <w:t>,</w:t>
      </w:r>
      <w:r w:rsidR="004C6BE2" w:rsidRPr="00C66550">
        <w:t xml:space="preserve"> </w:t>
      </w:r>
      <w:r w:rsidR="007B7273" w:rsidRPr="00C66550">
        <w:t xml:space="preserve">either </w:t>
      </w:r>
      <w:r w:rsidR="004C6BE2" w:rsidRPr="00C66550">
        <w:t xml:space="preserve">under the </w:t>
      </w:r>
      <w:r w:rsidR="0047541A" w:rsidRPr="00C66550">
        <w:rPr>
          <w:i/>
        </w:rPr>
        <w:t>Product Stewardship Act 2011</w:t>
      </w:r>
      <w:r w:rsidR="007B7273" w:rsidRPr="00C66550">
        <w:rPr>
          <w:i/>
        </w:rPr>
        <w:t xml:space="preserve"> </w:t>
      </w:r>
      <w:r w:rsidR="007B7273" w:rsidRPr="00C66550">
        <w:t xml:space="preserve">or industry schemes. </w:t>
      </w:r>
      <w:r w:rsidR="0047541A" w:rsidRPr="00C66550">
        <w:t xml:space="preserve">The </w:t>
      </w:r>
      <w:r w:rsidR="0047541A" w:rsidRPr="00C66550">
        <w:rPr>
          <w:i/>
        </w:rPr>
        <w:t>Product Stewardship Act 2011</w:t>
      </w:r>
      <w:r w:rsidR="0047541A" w:rsidRPr="00C66550">
        <w:t xml:space="preserve"> (page 3) provides the following definition of product stewardship:</w:t>
      </w:r>
    </w:p>
    <w:p w:rsidR="00FF0C93" w:rsidRPr="00C66550" w:rsidRDefault="00207FD3" w:rsidP="00DA10CD">
      <w:pPr>
        <w:pStyle w:val="BodyText"/>
        <w:spacing w:before="120"/>
        <w:ind w:left="720" w:right="992"/>
        <w:rPr>
          <w:i/>
        </w:rPr>
      </w:pPr>
      <w:r w:rsidRPr="00C66550">
        <w:rPr>
          <w:i/>
        </w:rPr>
        <w:t>“Product stewardship is an approach to reducing the environmental and other impacts of products by encouraging or requiring manufacturers, importers, distributors and other persons to take responsibility for those products.”</w:t>
      </w:r>
    </w:p>
    <w:p w:rsidR="007B7273" w:rsidRPr="00C66550" w:rsidRDefault="007B7273" w:rsidP="0047541A">
      <w:pPr>
        <w:pStyle w:val="BodyText"/>
      </w:pPr>
    </w:p>
    <w:p w:rsidR="0047541A" w:rsidRPr="00C66550" w:rsidRDefault="00DA10CD" w:rsidP="0047541A">
      <w:pPr>
        <w:pStyle w:val="BodyText"/>
      </w:pPr>
      <w:r w:rsidRPr="00C66550">
        <w:t xml:space="preserve">This responsibility extends to involvement in management of products at the end of their life. </w:t>
      </w:r>
      <w:r w:rsidR="0047541A" w:rsidRPr="00C66550">
        <w:t xml:space="preserve">The Act </w:t>
      </w:r>
      <w:r w:rsidRPr="00C66550">
        <w:t>lists</w:t>
      </w:r>
      <w:r w:rsidR="0047541A" w:rsidRPr="00C66550">
        <w:t xml:space="preserve"> the following types of product stewardship:</w:t>
      </w:r>
    </w:p>
    <w:p w:rsidR="00FF0C93" w:rsidRPr="00C66550" w:rsidRDefault="00207FD3" w:rsidP="004D6DB0">
      <w:pPr>
        <w:pStyle w:val="Bullet1"/>
      </w:pPr>
      <w:r w:rsidRPr="00C66550">
        <w:rPr>
          <w:b/>
        </w:rPr>
        <w:t>Voluntary product stewardship</w:t>
      </w:r>
      <w:r w:rsidR="00BC3408" w:rsidRPr="00C66550">
        <w:t xml:space="preserve">: </w:t>
      </w:r>
      <w:r w:rsidR="0047541A" w:rsidRPr="00C66550">
        <w:t xml:space="preserve">This involves accrediting voluntary arrangements to further the objects of </w:t>
      </w:r>
      <w:r w:rsidR="00DA10CD" w:rsidRPr="00C66550">
        <w:t>the</w:t>
      </w:r>
      <w:r w:rsidR="0047541A" w:rsidRPr="00C66550">
        <w:t xml:space="preserve"> Act, and authorising the use of product stewardship logos in connection with such arrangements. </w:t>
      </w:r>
    </w:p>
    <w:p w:rsidR="00FF0C93" w:rsidRPr="00C66550" w:rsidRDefault="00207FD3" w:rsidP="004D6DB0">
      <w:pPr>
        <w:pStyle w:val="Bullet1"/>
      </w:pPr>
      <w:r w:rsidRPr="00C66550">
        <w:rPr>
          <w:b/>
        </w:rPr>
        <w:t>Co</w:t>
      </w:r>
      <w:r w:rsidR="004D6DB0" w:rsidRPr="00C66550">
        <w:rPr>
          <w:b/>
        </w:rPr>
        <w:t>-</w:t>
      </w:r>
      <w:r w:rsidRPr="00C66550">
        <w:rPr>
          <w:b/>
        </w:rPr>
        <w:t>regulatory product stewardship</w:t>
      </w:r>
      <w:r w:rsidR="00BC3408" w:rsidRPr="00C66550">
        <w:t xml:space="preserve">: </w:t>
      </w:r>
      <w:r w:rsidR="0047541A" w:rsidRPr="00C66550">
        <w:t xml:space="preserve">This involves requiring some manufacturers, importers, distributors and users of products </w:t>
      </w:r>
      <w:r w:rsidR="00DA10CD" w:rsidRPr="00C66550">
        <w:t xml:space="preserve">to be members of co </w:t>
      </w:r>
      <w:r w:rsidR="0047541A" w:rsidRPr="00C66550">
        <w:t xml:space="preserve">regulatory arrangements designed to further the objects of </w:t>
      </w:r>
      <w:r w:rsidR="00DA10CD" w:rsidRPr="00C66550">
        <w:t>the</w:t>
      </w:r>
      <w:r w:rsidR="0047541A" w:rsidRPr="00C66550">
        <w:t xml:space="preserve"> Act.</w:t>
      </w:r>
    </w:p>
    <w:p w:rsidR="00FF0C93" w:rsidRPr="00C66550" w:rsidRDefault="00207FD3" w:rsidP="004D6DB0">
      <w:pPr>
        <w:pStyle w:val="Bullet1"/>
      </w:pPr>
      <w:r w:rsidRPr="00C66550">
        <w:rPr>
          <w:b/>
        </w:rPr>
        <w:t>Mandatory product stewardship</w:t>
      </w:r>
      <w:r w:rsidR="00BC3408" w:rsidRPr="00C66550">
        <w:t xml:space="preserve">: </w:t>
      </w:r>
      <w:r w:rsidR="0047541A" w:rsidRPr="00C66550">
        <w:t>This involves enabling regulations that require some persons to take specified action in relation to products.</w:t>
      </w:r>
    </w:p>
    <w:p w:rsidR="0047541A" w:rsidRPr="00C66550" w:rsidRDefault="0047541A" w:rsidP="003D55FB">
      <w:pPr>
        <w:pStyle w:val="BodyText"/>
      </w:pPr>
    </w:p>
    <w:p w:rsidR="00CC57E2" w:rsidRPr="00C66550" w:rsidRDefault="00DA10CD" w:rsidP="003D55FB">
      <w:pPr>
        <w:pStyle w:val="BodyText"/>
      </w:pPr>
      <w:r w:rsidRPr="00C66550">
        <w:t>S</w:t>
      </w:r>
      <w:r w:rsidR="003D55FB" w:rsidRPr="00C66550">
        <w:t xml:space="preserve">everal product stewardship schemes </w:t>
      </w:r>
      <w:r w:rsidRPr="00C66550">
        <w:t xml:space="preserve">that are </w:t>
      </w:r>
      <w:r w:rsidR="00BD6D33" w:rsidRPr="00C66550">
        <w:t xml:space="preserve">currently </w:t>
      </w:r>
      <w:r w:rsidRPr="00C66550">
        <w:t>established in Australia</w:t>
      </w:r>
      <w:r w:rsidR="003D55FB" w:rsidRPr="00C66550">
        <w:t xml:space="preserve"> or</w:t>
      </w:r>
      <w:r w:rsidRPr="00C66550">
        <w:t xml:space="preserve"> are</w:t>
      </w:r>
      <w:r w:rsidR="003D55FB" w:rsidRPr="00C66550">
        <w:t xml:space="preserve"> coming into effect </w:t>
      </w:r>
      <w:r w:rsidR="00BD6D33" w:rsidRPr="00C66550">
        <w:t>in the near future</w:t>
      </w:r>
      <w:r w:rsidRPr="00C66550">
        <w:t xml:space="preserve"> aim to</w:t>
      </w:r>
      <w:r w:rsidR="00BE2A3B" w:rsidRPr="00C66550">
        <w:t xml:space="preserve"> improv</w:t>
      </w:r>
      <w:r w:rsidRPr="00C66550">
        <w:t>e</w:t>
      </w:r>
      <w:r w:rsidR="00BE2A3B" w:rsidRPr="00C66550">
        <w:t xml:space="preserve"> resource recovery rates</w:t>
      </w:r>
      <w:r w:rsidRPr="00C66550">
        <w:t>. These are</w:t>
      </w:r>
      <w:r w:rsidR="003D55FB" w:rsidRPr="00C66550">
        <w:t>:</w:t>
      </w:r>
    </w:p>
    <w:p w:rsidR="003D55FB" w:rsidRPr="00C66550" w:rsidRDefault="00BD6D33" w:rsidP="00CE6A9A">
      <w:pPr>
        <w:pStyle w:val="Bullet1"/>
      </w:pPr>
      <w:r w:rsidRPr="00C66550">
        <w:t xml:space="preserve">National Television and Computer Recycling Scheme </w:t>
      </w:r>
      <w:r w:rsidR="00771989" w:rsidRPr="00C66550">
        <w:t>(co</w:t>
      </w:r>
      <w:r w:rsidR="004D6DB0" w:rsidRPr="00C66550">
        <w:t>-</w:t>
      </w:r>
      <w:r w:rsidR="00771989" w:rsidRPr="00C66550">
        <w:t>regulatory)</w:t>
      </w:r>
    </w:p>
    <w:p w:rsidR="009F45CD" w:rsidRPr="00C66550" w:rsidRDefault="003242F9" w:rsidP="00CE6A9A">
      <w:pPr>
        <w:pStyle w:val="Bullet1"/>
      </w:pPr>
      <w:r w:rsidRPr="00C66550">
        <w:t>MobileMuster</w:t>
      </w:r>
      <w:r w:rsidR="009F45CD" w:rsidRPr="00C66550">
        <w:t xml:space="preserve"> (mobile phones) (industry scheme)</w:t>
      </w:r>
    </w:p>
    <w:p w:rsidR="00BE2A3B" w:rsidRPr="00C66550" w:rsidRDefault="00FC0736" w:rsidP="00CE6A9A">
      <w:pPr>
        <w:pStyle w:val="Bullet1"/>
      </w:pPr>
      <w:r w:rsidRPr="00C66550">
        <w:t>FluoroCycle</w:t>
      </w:r>
      <w:r w:rsidR="00FD5DD9" w:rsidRPr="00C66550">
        <w:t xml:space="preserve"> (mercury containing lamps)</w:t>
      </w:r>
      <w:r w:rsidR="00771989" w:rsidRPr="00C66550">
        <w:t xml:space="preserve"> (voluntary)</w:t>
      </w:r>
    </w:p>
    <w:p w:rsidR="00FD5DD9" w:rsidRPr="00C66550" w:rsidRDefault="00FD5DD9" w:rsidP="00CE6A9A">
      <w:pPr>
        <w:pStyle w:val="Bullet1"/>
      </w:pPr>
      <w:r w:rsidRPr="00C66550">
        <w:t>Australian Packaging Covenant</w:t>
      </w:r>
      <w:r w:rsidR="00771989" w:rsidRPr="00C66550">
        <w:t xml:space="preserve"> (co</w:t>
      </w:r>
      <w:r w:rsidR="004D6DB0" w:rsidRPr="00C66550">
        <w:t>-</w:t>
      </w:r>
      <w:r w:rsidR="00771989" w:rsidRPr="00C66550">
        <w:t>regulatory)</w:t>
      </w:r>
    </w:p>
    <w:p w:rsidR="007B7273" w:rsidRPr="00C66550" w:rsidRDefault="00FD5DD9" w:rsidP="00CE6A9A">
      <w:pPr>
        <w:pStyle w:val="Bullet1"/>
      </w:pPr>
      <w:r w:rsidRPr="00C66550">
        <w:t>Product stewardship for end-of-life tyres</w:t>
      </w:r>
      <w:r w:rsidR="00771989" w:rsidRPr="00C66550">
        <w:t xml:space="preserve"> (voluntary)</w:t>
      </w:r>
    </w:p>
    <w:p w:rsidR="009F45CD" w:rsidRPr="00C66550" w:rsidRDefault="009F45CD" w:rsidP="009F45CD">
      <w:pPr>
        <w:pStyle w:val="Bullet2"/>
        <w:numPr>
          <w:ilvl w:val="0"/>
          <w:numId w:val="0"/>
        </w:numPr>
        <w:ind w:left="907"/>
      </w:pPr>
    </w:p>
    <w:p w:rsidR="002F0140" w:rsidRPr="00C66550" w:rsidRDefault="002F0140" w:rsidP="002F0140">
      <w:pPr>
        <w:pStyle w:val="Bullet2"/>
        <w:numPr>
          <w:ilvl w:val="0"/>
          <w:numId w:val="0"/>
        </w:numPr>
      </w:pPr>
      <w:r w:rsidRPr="00C66550">
        <w:t>Available data for each of these schemes is discussed below.</w:t>
      </w:r>
    </w:p>
    <w:p w:rsidR="00FD5DD9" w:rsidRPr="00C66550" w:rsidRDefault="002F0140" w:rsidP="006D25F9">
      <w:pPr>
        <w:pStyle w:val="Heading2"/>
      </w:pPr>
      <w:bookmarkStart w:id="209" w:name="_Ref360653028"/>
      <w:bookmarkStart w:id="210" w:name="_Toc379466393"/>
      <w:r w:rsidRPr="00C66550">
        <w:t>TVs and computers recycling scheme</w:t>
      </w:r>
      <w:bookmarkEnd w:id="209"/>
      <w:bookmarkEnd w:id="210"/>
    </w:p>
    <w:p w:rsidR="006E2017" w:rsidRPr="00C66550" w:rsidRDefault="00DA10CD" w:rsidP="00261AB9">
      <w:pPr>
        <w:pStyle w:val="BodyText"/>
      </w:pPr>
      <w:r w:rsidRPr="00C66550">
        <w:t>The</w:t>
      </w:r>
      <w:r w:rsidR="006D3ED4" w:rsidRPr="00C66550">
        <w:t xml:space="preserve"> </w:t>
      </w:r>
      <w:r w:rsidR="00261AB9" w:rsidRPr="00C66550">
        <w:t xml:space="preserve">Environment Protection and Heritage Council completed a </w:t>
      </w:r>
      <w:r w:rsidR="006D3ED4" w:rsidRPr="00C66550">
        <w:t>R</w:t>
      </w:r>
      <w:r w:rsidR="00261AB9" w:rsidRPr="00C66550">
        <w:t xml:space="preserve">egulatory </w:t>
      </w:r>
      <w:r w:rsidR="006D3ED4" w:rsidRPr="00C66550">
        <w:t>I</w:t>
      </w:r>
      <w:r w:rsidR="00261AB9" w:rsidRPr="00C66550">
        <w:t xml:space="preserve">mpact </w:t>
      </w:r>
      <w:r w:rsidR="006D3ED4" w:rsidRPr="00C66550">
        <w:t>S</w:t>
      </w:r>
      <w:r w:rsidR="00261AB9" w:rsidRPr="00C66550">
        <w:t>tatement that provided data on the scale of the TV and computer waste issue</w:t>
      </w:r>
      <w:r w:rsidRPr="00C66550">
        <w:t xml:space="preserve"> (EPHC 2009 p.3):</w:t>
      </w:r>
      <w:r w:rsidR="00261AB9" w:rsidRPr="00C66550">
        <w:t xml:space="preserve"> </w:t>
      </w:r>
    </w:p>
    <w:p w:rsidR="00FF0C93" w:rsidRPr="00C66550" w:rsidRDefault="00261AB9" w:rsidP="00DA10CD">
      <w:pPr>
        <w:pStyle w:val="BodyText"/>
        <w:spacing w:before="120"/>
        <w:ind w:left="720" w:right="992"/>
      </w:pPr>
      <w:r w:rsidRPr="00C66550">
        <w:t>“</w:t>
      </w:r>
      <w:r w:rsidR="00207FD3" w:rsidRPr="00C66550">
        <w:rPr>
          <w:i/>
        </w:rPr>
        <w:t>In 2007/08, 138,000 tonnes (31.7 million units) of new televisions, computers and computer products were sold in Australia, which is equivalent to 6.5 kg (1.5 new units) per person. In the same year 106,000 tonnes (16.8 million units) reached their end of life, which is close to 5 kg (one unit) per Australian. It is estimated that 84% (by weight) were sent to landfill, with only 10% (by weight) being recycled. Waste volumes are increasing with shorter life spans of product and increasing ownership of electrical products, with the volume of televisions, computers and computer products reaching their end of life expected to grow to 181,000 tonnes (44.0 million units) by 2027/28</w:t>
      </w:r>
      <w:r w:rsidR="007B3E6C" w:rsidRPr="00C66550">
        <w:rPr>
          <w:i/>
        </w:rPr>
        <w:t>.</w:t>
      </w:r>
      <w:r w:rsidR="00207FD3" w:rsidRPr="00C66550">
        <w:rPr>
          <w:i/>
        </w:rPr>
        <w:t>”</w:t>
      </w:r>
    </w:p>
    <w:p w:rsidR="00261AB9" w:rsidRPr="00C66550" w:rsidRDefault="00261AB9" w:rsidP="00261AB9">
      <w:pPr>
        <w:pStyle w:val="BodyText"/>
      </w:pPr>
    </w:p>
    <w:p w:rsidR="00CB75B8" w:rsidRPr="00C66550" w:rsidRDefault="00800A99" w:rsidP="003D55FB">
      <w:pPr>
        <w:pStyle w:val="BodyText"/>
      </w:pPr>
      <w:r w:rsidRPr="00C66550">
        <w:t>DSEWPaC’s website provides the following information and data on the scheme</w:t>
      </w:r>
      <w:r w:rsidR="00CB75B8" w:rsidRPr="00C66550">
        <w:t xml:space="preserve">. </w:t>
      </w:r>
    </w:p>
    <w:p w:rsidR="00FF0C93" w:rsidRPr="00C66550" w:rsidRDefault="00207FD3" w:rsidP="00FB4820">
      <w:pPr>
        <w:pStyle w:val="BodyText"/>
        <w:spacing w:before="120"/>
        <w:ind w:left="720" w:right="992"/>
        <w:rPr>
          <w:i/>
        </w:rPr>
      </w:pPr>
      <w:r w:rsidRPr="00C66550">
        <w:rPr>
          <w:i/>
        </w:rPr>
        <w:lastRenderedPageBreak/>
        <w:t>“The National Television and Computer Recycling Scheme is intended to provide ’Australian householders and small business with access to free recycling services for televisions and computers, printers and computer products (such as keyboards, mice and hard drives) regardless of their brand and age. The Scheme does not cover other e-waste products. The Scheme will also allow other organisations, such as large business enterprises and government departments, to enter into agreements with industry arrangements to have television</w:t>
      </w:r>
      <w:r w:rsidR="007D48D9" w:rsidRPr="00C66550">
        <w:rPr>
          <w:i/>
        </w:rPr>
        <w:t>s</w:t>
      </w:r>
      <w:r w:rsidRPr="00C66550">
        <w:rPr>
          <w:i/>
        </w:rPr>
        <w:t xml:space="preserve"> and computer products recycled under the Scheme. These agreements may be subject to costs and other conditions. The Scheme will be funded and run by industry and regulated by the Australian Government under the </w:t>
      </w:r>
      <w:r w:rsidR="00261AB9" w:rsidRPr="00C66550">
        <w:rPr>
          <w:i/>
        </w:rPr>
        <w:t>Product Stewardship Act 2011</w:t>
      </w:r>
      <w:r w:rsidRPr="00C66550">
        <w:rPr>
          <w:i/>
        </w:rPr>
        <w:t xml:space="preserve"> and the </w:t>
      </w:r>
      <w:r w:rsidR="00261AB9" w:rsidRPr="00C66550">
        <w:rPr>
          <w:i/>
        </w:rPr>
        <w:t>Product Stewardship (Televisions and Computers) Regulations 2011</w:t>
      </w:r>
      <w:r w:rsidRPr="00C66550">
        <w:rPr>
          <w:i/>
        </w:rPr>
        <w:t xml:space="preserve">. Recycling services are expected to commence in mid-2012 and expand across Australia by the end on 2013. To provide flexibility to suit local circumstances, services could take a number of forms, including a permanent collection site, take back events or mail back... Electronic waste, including televisions and computers, is growing three times faster than any other type of waste in Australia. The Scheme will boost the recycling of televisions and computers from an estimated 17 per cent of waste generated in 2010 to a target of 30 per cent in 2012–13. The Scheme recycling targets will then progressively increase each year, reaching 80 per cent of waste generated by 2021–22. The Scheme will also increase the amount of valuable materials recovered from waste televisions and computers, as well as reducing the amount of materials (including hazardous substances) entering the environment’”. </w:t>
      </w:r>
    </w:p>
    <w:p w:rsidR="00FF0C93" w:rsidRPr="00C66550" w:rsidRDefault="00800A99" w:rsidP="0015706B">
      <w:pPr>
        <w:pStyle w:val="BodyText"/>
        <w:spacing w:before="120"/>
        <w:ind w:left="720" w:right="992"/>
      </w:pPr>
      <w:r w:rsidRPr="00C66550">
        <w:t xml:space="preserve"> Source: </w:t>
      </w:r>
      <w:hyperlink r:id="rId122" w:history="1">
        <w:r w:rsidRPr="00C66550">
          <w:rPr>
            <w:rStyle w:val="Hyperlink"/>
          </w:rPr>
          <w:t>http://www.environment.gov.au/settlements/waste/ewaste/about.html</w:t>
        </w:r>
      </w:hyperlink>
      <w:r w:rsidRPr="00C66550">
        <w:t xml:space="preserve"> (January 2013).</w:t>
      </w:r>
    </w:p>
    <w:p w:rsidR="00785D7D" w:rsidRPr="00C66550" w:rsidRDefault="00785D7D" w:rsidP="004D6DB0">
      <w:pPr>
        <w:pStyle w:val="BodyText"/>
        <w:ind w:left="720" w:right="992"/>
      </w:pPr>
    </w:p>
    <w:p w:rsidR="005906F8" w:rsidRPr="00C66550" w:rsidRDefault="0066185F" w:rsidP="003D55FB">
      <w:pPr>
        <w:pStyle w:val="BodyText"/>
      </w:pPr>
      <w:r w:rsidRPr="00C66550">
        <w:t>During c</w:t>
      </w:r>
      <w:r w:rsidR="00800A99" w:rsidRPr="00C66550">
        <w:t>onsultation</w:t>
      </w:r>
      <w:r w:rsidRPr="00C66550">
        <w:t>,</w:t>
      </w:r>
      <w:r w:rsidR="00FF12A8" w:rsidRPr="00C66550">
        <w:t xml:space="preserve"> </w:t>
      </w:r>
      <w:r w:rsidR="00800A99" w:rsidRPr="00C66550">
        <w:t xml:space="preserve">DSEWPaC staff commented that the first year of reporting for TVs and computers is likely to be in 2013 so there </w:t>
      </w:r>
      <w:r w:rsidR="00FB4820" w:rsidRPr="00C66550">
        <w:t>are</w:t>
      </w:r>
      <w:r w:rsidR="00800A99" w:rsidRPr="00C66550">
        <w:t xml:space="preserve"> </w:t>
      </w:r>
      <w:r w:rsidR="0024525A" w:rsidRPr="00C66550">
        <w:t>no</w:t>
      </w:r>
      <w:r w:rsidR="00800A99" w:rsidRPr="00C66550">
        <w:t xml:space="preserve"> publically available resource recovery data available for this report. DSEWPaC staff estimated </w:t>
      </w:r>
      <w:r w:rsidR="00FB4820" w:rsidRPr="00C66550">
        <w:t xml:space="preserve">that </w:t>
      </w:r>
      <w:r w:rsidR="00800A99" w:rsidRPr="00C66550">
        <w:t>25</w:t>
      </w:r>
      <w:r w:rsidR="007D48D9" w:rsidRPr="00C66550">
        <w:t>,</w:t>
      </w:r>
      <w:r w:rsidR="00800A99" w:rsidRPr="00C66550">
        <w:t>000</w:t>
      </w:r>
      <w:r w:rsidR="00FB4820" w:rsidRPr="00C66550">
        <w:t xml:space="preserve"> tonnes of</w:t>
      </w:r>
      <w:r w:rsidR="00800A99" w:rsidRPr="00C66550">
        <w:t xml:space="preserve"> TV</w:t>
      </w:r>
      <w:r w:rsidR="00FB4820" w:rsidRPr="00C66550">
        <w:t>s</w:t>
      </w:r>
      <w:r w:rsidR="00800A99" w:rsidRPr="00C66550">
        <w:t xml:space="preserve"> and 20</w:t>
      </w:r>
      <w:r w:rsidR="007D48D9" w:rsidRPr="00C66550">
        <w:t>,</w:t>
      </w:r>
      <w:r w:rsidR="00800A99" w:rsidRPr="00C66550">
        <w:t xml:space="preserve">000 </w:t>
      </w:r>
      <w:r w:rsidR="00FB4820" w:rsidRPr="00C66550">
        <w:t xml:space="preserve">tonnes of </w:t>
      </w:r>
      <w:r w:rsidR="00800A99" w:rsidRPr="00C66550">
        <w:t>computers</w:t>
      </w:r>
      <w:r w:rsidR="0024525A" w:rsidRPr="00C66550">
        <w:t xml:space="preserve"> had been recovered by December 2012</w:t>
      </w:r>
      <w:r w:rsidR="00800A99" w:rsidRPr="00C66550">
        <w:t>.</w:t>
      </w:r>
    </w:p>
    <w:p w:rsidR="00FB4820" w:rsidRPr="00C66550" w:rsidRDefault="00FB4820" w:rsidP="005906F8"/>
    <w:p w:rsidR="00D31E72" w:rsidRPr="00C66550" w:rsidRDefault="003242F9" w:rsidP="006D25F9">
      <w:pPr>
        <w:pStyle w:val="Heading2"/>
      </w:pPr>
      <w:bookmarkStart w:id="211" w:name="_Toc379466394"/>
      <w:r w:rsidRPr="00C66550">
        <w:t>MobileMuster</w:t>
      </w:r>
      <w:r w:rsidR="00D31E72" w:rsidRPr="00C66550">
        <w:t xml:space="preserve"> (mobile phones)</w:t>
      </w:r>
      <w:bookmarkEnd w:id="211"/>
    </w:p>
    <w:p w:rsidR="009F45CD" w:rsidRPr="00C66550" w:rsidRDefault="009F45CD" w:rsidP="002D0910">
      <w:pPr>
        <w:pStyle w:val="BodyText"/>
      </w:pPr>
      <w:r w:rsidRPr="00C66550">
        <w:t>MobileMuster is the mobile phone industry</w:t>
      </w:r>
      <w:r w:rsidR="007D48D9" w:rsidRPr="00C66550">
        <w:t>-</w:t>
      </w:r>
      <w:r w:rsidRPr="00C66550">
        <w:t>funded recycling program</w:t>
      </w:r>
      <w:r w:rsidR="007D48D9" w:rsidRPr="00C66550">
        <w:t xml:space="preserve">, </w:t>
      </w:r>
      <w:r w:rsidRPr="00C66550">
        <w:t>led by the Australian Mobile Telecommunications Association.</w:t>
      </w:r>
      <w:r w:rsidR="002D0910" w:rsidRPr="00C66550">
        <w:t xml:space="preserve"> </w:t>
      </w:r>
      <w:r w:rsidR="00650663" w:rsidRPr="00C66550">
        <w:t xml:space="preserve">Data from </w:t>
      </w:r>
      <w:r w:rsidR="00FB4820" w:rsidRPr="00C66550">
        <w:t>this organisation’s</w:t>
      </w:r>
      <w:r w:rsidR="00650663" w:rsidRPr="00C66550">
        <w:t xml:space="preserve"> 2010</w:t>
      </w:r>
      <w:r w:rsidR="00FB4820" w:rsidRPr="00C66550">
        <w:t>/</w:t>
      </w:r>
      <w:r w:rsidR="00650663" w:rsidRPr="00C66550">
        <w:t xml:space="preserve">11 annual report are tabulated </w:t>
      </w:r>
      <w:r w:rsidR="002D0910" w:rsidRPr="00C66550">
        <w:t>below.</w:t>
      </w:r>
    </w:p>
    <w:p w:rsidR="005906F8" w:rsidRPr="00C66550" w:rsidRDefault="005906F8" w:rsidP="002D0910">
      <w:pPr>
        <w:pStyle w:val="BodyText"/>
      </w:pPr>
    </w:p>
    <w:p w:rsidR="002D0910" w:rsidRPr="00C66550" w:rsidRDefault="00A17FEF" w:rsidP="00FB4820">
      <w:pPr>
        <w:pStyle w:val="Figures"/>
      </w:pPr>
      <w:bookmarkStart w:id="212" w:name="_Toc365038856"/>
      <w:r w:rsidRPr="00C66550">
        <w:t>T</w:t>
      </w:r>
      <w:r w:rsidR="002D0910" w:rsidRPr="00C66550">
        <w:t xml:space="preserve">able </w:t>
      </w:r>
      <w:r w:rsidR="0062001A" w:rsidRPr="00C66550">
        <w:fldChar w:fldCharType="begin"/>
      </w:r>
      <w:r w:rsidR="00C324A1" w:rsidRPr="00C66550">
        <w:instrText xml:space="preserve"> SEQ Table \* ARABIC </w:instrText>
      </w:r>
      <w:r w:rsidR="0062001A" w:rsidRPr="00C66550">
        <w:fldChar w:fldCharType="separate"/>
      </w:r>
      <w:r w:rsidR="00D96003">
        <w:rPr>
          <w:noProof/>
        </w:rPr>
        <w:t>12</w:t>
      </w:r>
      <w:r w:rsidR="0062001A" w:rsidRPr="00C66550">
        <w:rPr>
          <w:noProof/>
        </w:rPr>
        <w:fldChar w:fldCharType="end"/>
      </w:r>
      <w:r w:rsidR="00216969" w:rsidRPr="00C66550">
        <w:t>:</w:t>
      </w:r>
      <w:r w:rsidR="00216969" w:rsidRPr="00C66550">
        <w:tab/>
      </w:r>
      <w:r w:rsidR="003242F9" w:rsidRPr="00C66550">
        <w:t>MobileMuster</w:t>
      </w:r>
      <w:r w:rsidR="002D0910" w:rsidRPr="00C66550">
        <w:t xml:space="preserve"> data</w:t>
      </w:r>
      <w:r w:rsidR="005E17AE">
        <w:t xml:space="preserve">, 2005/06 to </w:t>
      </w:r>
      <w:r w:rsidR="005E17AE" w:rsidRPr="00C66550">
        <w:t>2010/11</w:t>
      </w:r>
      <w:bookmarkEnd w:id="212"/>
    </w:p>
    <w:tbl>
      <w:tblPr>
        <w:tblStyle w:val="BETable1"/>
        <w:tblW w:w="0" w:type="auto"/>
        <w:tblInd w:w="0" w:type="dxa"/>
        <w:tblLook w:val="04A0"/>
      </w:tblPr>
      <w:tblGrid>
        <w:gridCol w:w="4297"/>
        <w:gridCol w:w="739"/>
        <w:gridCol w:w="739"/>
        <w:gridCol w:w="739"/>
        <w:gridCol w:w="739"/>
        <w:gridCol w:w="739"/>
        <w:gridCol w:w="739"/>
        <w:gridCol w:w="739"/>
      </w:tblGrid>
      <w:tr w:rsidR="00D43E0D" w:rsidRPr="00C66550" w:rsidTr="00216969">
        <w:trPr>
          <w:cnfStyle w:val="100000000000"/>
        </w:trPr>
        <w:tc>
          <w:tcPr>
            <w:cnfStyle w:val="001000000000"/>
            <w:tcW w:w="0" w:type="auto"/>
            <w:tcBorders>
              <w:bottom w:val="single" w:sz="4" w:space="0" w:color="7F7F7F" w:themeColor="background2"/>
            </w:tcBorders>
            <w:vAlign w:val="center"/>
          </w:tcPr>
          <w:p w:rsidR="00D43E0D" w:rsidRPr="00C66550" w:rsidRDefault="00D43E0D">
            <w:pPr>
              <w:rPr>
                <w:rFonts w:asciiTheme="minorHAnsi" w:hAnsiTheme="minorHAnsi" w:cs="Arial"/>
                <w:color w:val="000000"/>
                <w:sz w:val="18"/>
                <w:szCs w:val="18"/>
              </w:rPr>
            </w:pPr>
          </w:p>
        </w:tc>
        <w:tc>
          <w:tcPr>
            <w:tcW w:w="0" w:type="auto"/>
            <w:tcBorders>
              <w:bottom w:val="single" w:sz="4" w:space="0" w:color="7F7F7F" w:themeColor="background2"/>
            </w:tcBorders>
            <w:vAlign w:val="center"/>
          </w:tcPr>
          <w:p w:rsidR="00D43E0D" w:rsidRPr="00C66550" w:rsidRDefault="00D43E0D">
            <w:pPr>
              <w:jc w:val="right"/>
              <w:cnfStyle w:val="100000000000"/>
              <w:rPr>
                <w:rFonts w:asciiTheme="minorHAnsi" w:hAnsiTheme="minorHAnsi" w:cs="Arial"/>
                <w:color w:val="000000"/>
                <w:sz w:val="18"/>
                <w:szCs w:val="18"/>
              </w:rPr>
            </w:pPr>
            <w:r w:rsidRPr="00C66550">
              <w:rPr>
                <w:rFonts w:asciiTheme="minorHAnsi" w:hAnsiTheme="minorHAnsi" w:cs="Arial"/>
                <w:color w:val="000000"/>
                <w:sz w:val="18"/>
                <w:szCs w:val="18"/>
              </w:rPr>
              <w:t>2010/11</w:t>
            </w:r>
          </w:p>
        </w:tc>
        <w:tc>
          <w:tcPr>
            <w:tcW w:w="0" w:type="auto"/>
            <w:tcBorders>
              <w:bottom w:val="single" w:sz="4" w:space="0" w:color="7F7F7F" w:themeColor="background2"/>
            </w:tcBorders>
            <w:vAlign w:val="center"/>
          </w:tcPr>
          <w:p w:rsidR="00D43E0D" w:rsidRPr="00C66550" w:rsidRDefault="00D43E0D">
            <w:pPr>
              <w:jc w:val="right"/>
              <w:cnfStyle w:val="100000000000"/>
              <w:rPr>
                <w:rFonts w:asciiTheme="minorHAnsi" w:hAnsiTheme="minorHAnsi" w:cs="Arial"/>
                <w:color w:val="000000"/>
                <w:sz w:val="18"/>
                <w:szCs w:val="18"/>
              </w:rPr>
            </w:pPr>
            <w:r w:rsidRPr="00C66550">
              <w:rPr>
                <w:rFonts w:asciiTheme="minorHAnsi" w:hAnsiTheme="minorHAnsi" w:cs="Arial"/>
                <w:color w:val="000000"/>
                <w:sz w:val="18"/>
                <w:szCs w:val="18"/>
              </w:rPr>
              <w:t>2010/11</w:t>
            </w:r>
          </w:p>
        </w:tc>
        <w:tc>
          <w:tcPr>
            <w:tcW w:w="0" w:type="auto"/>
            <w:tcBorders>
              <w:bottom w:val="single" w:sz="4" w:space="0" w:color="7F7F7F" w:themeColor="background2"/>
            </w:tcBorders>
            <w:vAlign w:val="center"/>
          </w:tcPr>
          <w:p w:rsidR="00D43E0D" w:rsidRPr="00C66550" w:rsidRDefault="00D43E0D">
            <w:pPr>
              <w:jc w:val="right"/>
              <w:cnfStyle w:val="100000000000"/>
              <w:rPr>
                <w:rFonts w:asciiTheme="minorHAnsi" w:hAnsiTheme="minorHAnsi" w:cs="Arial"/>
                <w:color w:val="000000"/>
                <w:sz w:val="18"/>
                <w:szCs w:val="18"/>
              </w:rPr>
            </w:pPr>
            <w:r w:rsidRPr="00C66550">
              <w:rPr>
                <w:rFonts w:asciiTheme="minorHAnsi" w:hAnsiTheme="minorHAnsi" w:cs="Arial"/>
                <w:color w:val="000000"/>
                <w:sz w:val="18"/>
                <w:szCs w:val="18"/>
              </w:rPr>
              <w:t>2009/10</w:t>
            </w:r>
          </w:p>
        </w:tc>
        <w:tc>
          <w:tcPr>
            <w:tcW w:w="0" w:type="auto"/>
            <w:tcBorders>
              <w:bottom w:val="single" w:sz="4" w:space="0" w:color="7F7F7F" w:themeColor="background2"/>
            </w:tcBorders>
            <w:vAlign w:val="center"/>
          </w:tcPr>
          <w:p w:rsidR="00D43E0D" w:rsidRPr="00C66550" w:rsidRDefault="00D43E0D">
            <w:pPr>
              <w:jc w:val="right"/>
              <w:cnfStyle w:val="100000000000"/>
              <w:rPr>
                <w:rFonts w:asciiTheme="minorHAnsi" w:hAnsiTheme="minorHAnsi" w:cs="Arial"/>
                <w:color w:val="000000"/>
                <w:sz w:val="18"/>
                <w:szCs w:val="18"/>
              </w:rPr>
            </w:pPr>
            <w:r w:rsidRPr="00C66550">
              <w:rPr>
                <w:rFonts w:asciiTheme="minorHAnsi" w:hAnsiTheme="minorHAnsi" w:cs="Arial"/>
                <w:color w:val="000000"/>
                <w:sz w:val="18"/>
                <w:szCs w:val="18"/>
              </w:rPr>
              <w:t>2008/09</w:t>
            </w:r>
          </w:p>
        </w:tc>
        <w:tc>
          <w:tcPr>
            <w:tcW w:w="0" w:type="auto"/>
            <w:tcBorders>
              <w:bottom w:val="single" w:sz="4" w:space="0" w:color="7F7F7F" w:themeColor="background2"/>
            </w:tcBorders>
            <w:vAlign w:val="center"/>
          </w:tcPr>
          <w:p w:rsidR="00D43E0D" w:rsidRPr="00C66550" w:rsidRDefault="00D43E0D">
            <w:pPr>
              <w:jc w:val="right"/>
              <w:cnfStyle w:val="100000000000"/>
              <w:rPr>
                <w:rFonts w:asciiTheme="minorHAnsi" w:hAnsiTheme="minorHAnsi" w:cs="Arial"/>
                <w:color w:val="000000"/>
                <w:sz w:val="18"/>
                <w:szCs w:val="18"/>
              </w:rPr>
            </w:pPr>
            <w:r w:rsidRPr="00C66550">
              <w:rPr>
                <w:rFonts w:asciiTheme="minorHAnsi" w:hAnsiTheme="minorHAnsi" w:cs="Arial"/>
                <w:color w:val="000000"/>
                <w:sz w:val="18"/>
                <w:szCs w:val="18"/>
              </w:rPr>
              <w:t>2007/08</w:t>
            </w:r>
          </w:p>
        </w:tc>
        <w:tc>
          <w:tcPr>
            <w:tcW w:w="0" w:type="auto"/>
            <w:tcBorders>
              <w:bottom w:val="single" w:sz="4" w:space="0" w:color="7F7F7F" w:themeColor="background2"/>
            </w:tcBorders>
            <w:vAlign w:val="center"/>
          </w:tcPr>
          <w:p w:rsidR="00D43E0D" w:rsidRPr="00C66550" w:rsidRDefault="00D43E0D">
            <w:pPr>
              <w:jc w:val="right"/>
              <w:cnfStyle w:val="100000000000"/>
              <w:rPr>
                <w:rFonts w:asciiTheme="minorHAnsi" w:hAnsiTheme="minorHAnsi" w:cs="Arial"/>
                <w:color w:val="000000"/>
                <w:sz w:val="18"/>
                <w:szCs w:val="18"/>
              </w:rPr>
            </w:pPr>
            <w:r w:rsidRPr="00C66550">
              <w:rPr>
                <w:rFonts w:asciiTheme="minorHAnsi" w:hAnsiTheme="minorHAnsi" w:cs="Arial"/>
                <w:color w:val="000000"/>
                <w:sz w:val="18"/>
                <w:szCs w:val="18"/>
              </w:rPr>
              <w:t>2006/07</w:t>
            </w:r>
          </w:p>
        </w:tc>
        <w:tc>
          <w:tcPr>
            <w:tcW w:w="0" w:type="auto"/>
            <w:tcBorders>
              <w:bottom w:val="single" w:sz="4" w:space="0" w:color="7F7F7F" w:themeColor="background2"/>
            </w:tcBorders>
            <w:vAlign w:val="center"/>
          </w:tcPr>
          <w:p w:rsidR="00D43E0D" w:rsidRPr="00C66550" w:rsidRDefault="00D43E0D">
            <w:pPr>
              <w:jc w:val="right"/>
              <w:cnfStyle w:val="100000000000"/>
              <w:rPr>
                <w:rFonts w:asciiTheme="minorHAnsi" w:hAnsiTheme="minorHAnsi" w:cs="Arial"/>
                <w:color w:val="000000"/>
                <w:sz w:val="18"/>
                <w:szCs w:val="18"/>
              </w:rPr>
            </w:pPr>
            <w:r w:rsidRPr="00C66550">
              <w:rPr>
                <w:rFonts w:asciiTheme="minorHAnsi" w:hAnsiTheme="minorHAnsi" w:cs="Arial"/>
                <w:color w:val="000000"/>
                <w:sz w:val="18"/>
                <w:szCs w:val="18"/>
              </w:rPr>
              <w:t>2005/06</w:t>
            </w:r>
          </w:p>
        </w:tc>
      </w:tr>
      <w:tr w:rsidR="00D43E0D" w:rsidRPr="00C66550" w:rsidTr="00216969">
        <w:tc>
          <w:tcPr>
            <w:cnfStyle w:val="001000000000"/>
            <w:tcW w:w="0" w:type="auto"/>
            <w:tcBorders>
              <w:bottom w:val="nil"/>
            </w:tcBorders>
            <w:vAlign w:val="center"/>
          </w:tcPr>
          <w:p w:rsidR="00D43E0D" w:rsidRPr="00C66550" w:rsidRDefault="00D43E0D">
            <w:pPr>
              <w:rPr>
                <w:rFonts w:asciiTheme="minorHAnsi" w:hAnsiTheme="minorHAnsi" w:cs="Arial"/>
                <w:color w:val="000000"/>
                <w:sz w:val="18"/>
                <w:szCs w:val="18"/>
              </w:rPr>
            </w:pPr>
            <w:r w:rsidRPr="00C66550">
              <w:rPr>
                <w:rFonts w:asciiTheme="minorHAnsi" w:hAnsiTheme="minorHAnsi" w:cs="Arial"/>
                <w:color w:val="000000"/>
                <w:sz w:val="18"/>
                <w:szCs w:val="18"/>
              </w:rPr>
              <w:t>Imports (estimated tonnes)</w:t>
            </w:r>
          </w:p>
        </w:tc>
        <w:tc>
          <w:tcPr>
            <w:tcW w:w="0" w:type="auto"/>
            <w:tcBorders>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1,232</w:t>
            </w:r>
          </w:p>
        </w:tc>
        <w:tc>
          <w:tcPr>
            <w:tcW w:w="0" w:type="auto"/>
            <w:tcBorders>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1,123</w:t>
            </w:r>
          </w:p>
        </w:tc>
        <w:tc>
          <w:tcPr>
            <w:tcW w:w="0" w:type="auto"/>
            <w:tcBorders>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1,297</w:t>
            </w:r>
          </w:p>
        </w:tc>
        <w:tc>
          <w:tcPr>
            <w:tcW w:w="0" w:type="auto"/>
            <w:tcBorders>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1,581</w:t>
            </w:r>
          </w:p>
        </w:tc>
        <w:tc>
          <w:tcPr>
            <w:tcW w:w="0" w:type="auto"/>
            <w:tcBorders>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1,775</w:t>
            </w:r>
          </w:p>
        </w:tc>
        <w:tc>
          <w:tcPr>
            <w:tcW w:w="0" w:type="auto"/>
            <w:tcBorders>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1,478</w:t>
            </w:r>
          </w:p>
        </w:tc>
        <w:tc>
          <w:tcPr>
            <w:tcW w:w="0" w:type="auto"/>
            <w:tcBorders>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1,446</w:t>
            </w:r>
          </w:p>
        </w:tc>
      </w:tr>
      <w:tr w:rsidR="00D43E0D" w:rsidRPr="00C66550" w:rsidTr="00216969">
        <w:tc>
          <w:tcPr>
            <w:cnfStyle w:val="001000000000"/>
            <w:tcW w:w="0" w:type="auto"/>
            <w:tcBorders>
              <w:top w:val="nil"/>
              <w:bottom w:val="nil"/>
            </w:tcBorders>
            <w:vAlign w:val="center"/>
          </w:tcPr>
          <w:p w:rsidR="00D43E0D" w:rsidRPr="00C66550" w:rsidRDefault="00D43E0D">
            <w:pPr>
              <w:rPr>
                <w:rFonts w:asciiTheme="minorHAnsi" w:hAnsiTheme="minorHAnsi" w:cs="Arial"/>
                <w:color w:val="000000"/>
                <w:sz w:val="18"/>
                <w:szCs w:val="18"/>
              </w:rPr>
            </w:pPr>
            <w:r w:rsidRPr="00C66550">
              <w:rPr>
                <w:rFonts w:asciiTheme="minorHAnsi" w:hAnsiTheme="minorHAnsi" w:cs="Arial"/>
                <w:color w:val="000000"/>
                <w:sz w:val="18"/>
                <w:szCs w:val="18"/>
              </w:rPr>
              <w:t xml:space="preserve">Mobile phone </w:t>
            </w:r>
            <w:r w:rsidR="008E3211" w:rsidRPr="00C66550">
              <w:rPr>
                <w:rFonts w:asciiTheme="minorHAnsi" w:hAnsiTheme="minorHAnsi" w:cs="Arial"/>
                <w:color w:val="000000"/>
                <w:sz w:val="18"/>
                <w:szCs w:val="18"/>
              </w:rPr>
              <w:t xml:space="preserve">recovery </w:t>
            </w:r>
            <w:r w:rsidRPr="00C66550">
              <w:rPr>
                <w:rFonts w:asciiTheme="minorHAnsi" w:hAnsiTheme="minorHAnsi" w:cs="Arial"/>
                <w:color w:val="000000"/>
                <w:sz w:val="18"/>
                <w:szCs w:val="18"/>
              </w:rPr>
              <w:t>collections (tonnes)</w:t>
            </w:r>
          </w:p>
        </w:tc>
        <w:tc>
          <w:tcPr>
            <w:tcW w:w="0" w:type="auto"/>
            <w:tcBorders>
              <w:top w:val="nil"/>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106</w:t>
            </w:r>
          </w:p>
        </w:tc>
        <w:tc>
          <w:tcPr>
            <w:tcW w:w="0" w:type="auto"/>
            <w:tcBorders>
              <w:top w:val="nil"/>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100</w:t>
            </w:r>
          </w:p>
        </w:tc>
        <w:tc>
          <w:tcPr>
            <w:tcW w:w="0" w:type="auto"/>
            <w:tcBorders>
              <w:top w:val="nil"/>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103</w:t>
            </w:r>
          </w:p>
        </w:tc>
        <w:tc>
          <w:tcPr>
            <w:tcW w:w="0" w:type="auto"/>
            <w:tcBorders>
              <w:top w:val="nil"/>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122</w:t>
            </w:r>
          </w:p>
        </w:tc>
        <w:tc>
          <w:tcPr>
            <w:tcW w:w="0" w:type="auto"/>
            <w:tcBorders>
              <w:top w:val="nil"/>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97</w:t>
            </w:r>
          </w:p>
        </w:tc>
        <w:tc>
          <w:tcPr>
            <w:tcW w:w="0" w:type="auto"/>
            <w:tcBorders>
              <w:top w:val="nil"/>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78</w:t>
            </w:r>
          </w:p>
        </w:tc>
        <w:tc>
          <w:tcPr>
            <w:tcW w:w="0" w:type="auto"/>
            <w:tcBorders>
              <w:top w:val="nil"/>
              <w:bottom w:val="nil"/>
            </w:tcBorders>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42</w:t>
            </w:r>
          </w:p>
        </w:tc>
      </w:tr>
      <w:tr w:rsidR="00D43E0D" w:rsidRPr="00C66550" w:rsidTr="00216969">
        <w:tc>
          <w:tcPr>
            <w:cnfStyle w:val="001000000000"/>
            <w:tcW w:w="0" w:type="auto"/>
            <w:tcBorders>
              <w:top w:val="nil"/>
              <w:bottom w:val="nil"/>
            </w:tcBorders>
            <w:shd w:val="clear" w:color="auto" w:fill="FFFFFF" w:themeFill="background1"/>
            <w:vAlign w:val="center"/>
          </w:tcPr>
          <w:p w:rsidR="00D43E0D" w:rsidRPr="00C66550" w:rsidRDefault="00D43E0D">
            <w:pPr>
              <w:rPr>
                <w:rFonts w:asciiTheme="minorHAnsi" w:hAnsiTheme="minorHAnsi" w:cs="Arial"/>
                <w:color w:val="000000"/>
                <w:sz w:val="18"/>
                <w:szCs w:val="18"/>
              </w:rPr>
            </w:pPr>
            <w:r w:rsidRPr="00C66550">
              <w:rPr>
                <w:rFonts w:asciiTheme="minorHAnsi" w:hAnsiTheme="minorHAnsi" w:cs="Arial"/>
                <w:color w:val="000000"/>
                <w:sz w:val="18"/>
                <w:szCs w:val="18"/>
              </w:rPr>
              <w:t>Estimated number handsets and batteries collected</w:t>
            </w:r>
            <w:r w:rsidR="00A17FEF" w:rsidRPr="00C66550">
              <w:rPr>
                <w:rFonts w:asciiTheme="minorHAnsi" w:hAnsiTheme="minorHAnsi" w:cs="Arial"/>
                <w:color w:val="000000"/>
                <w:sz w:val="18"/>
                <w:szCs w:val="18"/>
              </w:rPr>
              <w:t xml:space="preserve"> </w:t>
            </w:r>
          </w:p>
        </w:tc>
        <w:tc>
          <w:tcPr>
            <w:tcW w:w="0" w:type="auto"/>
            <w:tcBorders>
              <w:top w:val="nil"/>
              <w:bottom w:val="nil"/>
            </w:tcBorders>
            <w:shd w:val="clear" w:color="auto" w:fill="FFFFFF" w:themeFill="background1"/>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797,105</w:t>
            </w:r>
          </w:p>
        </w:tc>
        <w:tc>
          <w:tcPr>
            <w:tcW w:w="0" w:type="auto"/>
            <w:tcBorders>
              <w:top w:val="nil"/>
              <w:bottom w:val="nil"/>
            </w:tcBorders>
            <w:shd w:val="clear" w:color="auto" w:fill="FFFFFF" w:themeFill="background1"/>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744,816</w:t>
            </w:r>
          </w:p>
        </w:tc>
        <w:tc>
          <w:tcPr>
            <w:tcW w:w="0" w:type="auto"/>
            <w:tcBorders>
              <w:top w:val="nil"/>
              <w:bottom w:val="nil"/>
            </w:tcBorders>
            <w:shd w:val="clear" w:color="auto" w:fill="FFFFFF" w:themeFill="background1"/>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845,919</w:t>
            </w:r>
          </w:p>
        </w:tc>
        <w:tc>
          <w:tcPr>
            <w:tcW w:w="0" w:type="auto"/>
            <w:tcBorders>
              <w:top w:val="nil"/>
              <w:bottom w:val="nil"/>
            </w:tcBorders>
            <w:shd w:val="clear" w:color="auto" w:fill="FFFFFF" w:themeFill="background1"/>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806,812</w:t>
            </w:r>
          </w:p>
        </w:tc>
        <w:tc>
          <w:tcPr>
            <w:tcW w:w="0" w:type="auto"/>
            <w:tcBorders>
              <w:top w:val="nil"/>
              <w:bottom w:val="nil"/>
            </w:tcBorders>
            <w:shd w:val="clear" w:color="auto" w:fill="FFFFFF" w:themeFill="background1"/>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755,196</w:t>
            </w:r>
          </w:p>
        </w:tc>
        <w:tc>
          <w:tcPr>
            <w:tcW w:w="0" w:type="auto"/>
            <w:tcBorders>
              <w:top w:val="nil"/>
              <w:bottom w:val="nil"/>
            </w:tcBorders>
            <w:shd w:val="clear" w:color="auto" w:fill="FFFFFF" w:themeFill="background1"/>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576,640</w:t>
            </w:r>
          </w:p>
        </w:tc>
        <w:tc>
          <w:tcPr>
            <w:tcW w:w="0" w:type="auto"/>
            <w:tcBorders>
              <w:top w:val="nil"/>
              <w:bottom w:val="nil"/>
            </w:tcBorders>
            <w:shd w:val="clear" w:color="auto" w:fill="FFFFFF" w:themeFill="background1"/>
            <w:vAlign w:val="center"/>
          </w:tcPr>
          <w:p w:rsidR="00D43E0D" w:rsidRPr="00C66550" w:rsidRDefault="00D43E0D">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391,074</w:t>
            </w:r>
          </w:p>
        </w:tc>
      </w:tr>
      <w:tr w:rsidR="008E3211" w:rsidRPr="00C66550" w:rsidTr="00216969">
        <w:tc>
          <w:tcPr>
            <w:cnfStyle w:val="001000000000"/>
            <w:tcW w:w="0" w:type="auto"/>
            <w:tcBorders>
              <w:top w:val="nil"/>
              <w:bottom w:val="nil"/>
            </w:tcBorders>
            <w:shd w:val="clear" w:color="auto" w:fill="FFFFFF" w:themeFill="background1"/>
            <w:vAlign w:val="center"/>
          </w:tcPr>
          <w:p w:rsidR="008E3211" w:rsidRPr="00C66550" w:rsidRDefault="008E3211" w:rsidP="008E3211">
            <w:pPr>
              <w:rPr>
                <w:rFonts w:asciiTheme="minorHAnsi" w:hAnsiTheme="minorHAnsi" w:cs="Arial"/>
                <w:color w:val="000000"/>
                <w:sz w:val="18"/>
                <w:szCs w:val="18"/>
              </w:rPr>
            </w:pPr>
            <w:r w:rsidRPr="00C66550">
              <w:rPr>
                <w:rFonts w:asciiTheme="minorHAnsi" w:eastAsia="Arial" w:hAnsiTheme="minorHAnsi" w:cs="Arial"/>
                <w:color w:val="000000"/>
                <w:sz w:val="18"/>
                <w:szCs w:val="18"/>
              </w:rPr>
              <w:t>Recovery rate of imports (%)</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8.6%</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8.9%</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7.9%</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7.8%</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5.5%</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5.3%</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3%</w:t>
            </w:r>
          </w:p>
        </w:tc>
      </w:tr>
      <w:tr w:rsidR="008E3211" w:rsidRPr="00C66550" w:rsidTr="00216969">
        <w:tc>
          <w:tcPr>
            <w:cnfStyle w:val="001000000000"/>
            <w:tcW w:w="0" w:type="auto"/>
            <w:tcBorders>
              <w:top w:val="nil"/>
              <w:bottom w:val="nil"/>
            </w:tcBorders>
            <w:shd w:val="clear" w:color="auto" w:fill="FFFFFF" w:themeFill="background1"/>
            <w:vAlign w:val="center"/>
          </w:tcPr>
          <w:p w:rsidR="008E3211" w:rsidRPr="00C66550" w:rsidRDefault="008E3211" w:rsidP="008E3211">
            <w:pPr>
              <w:rPr>
                <w:rFonts w:asciiTheme="minorHAnsi" w:hAnsiTheme="minorHAnsi" w:cs="Arial"/>
                <w:color w:val="000000"/>
                <w:sz w:val="18"/>
                <w:szCs w:val="18"/>
              </w:rPr>
            </w:pPr>
            <w:r w:rsidRPr="00C66550">
              <w:rPr>
                <w:rFonts w:asciiTheme="minorHAnsi" w:eastAsia="Arial" w:hAnsiTheme="minorHAnsi" w:cs="Arial"/>
                <w:color w:val="000000"/>
                <w:sz w:val="18"/>
                <w:szCs w:val="18"/>
              </w:rPr>
              <w:t>Estimated recovery rate (based on estimation of the number of phones actually discarded) (%)</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48%</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52.3%</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50.6%</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35</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18.9</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18%</w:t>
            </w:r>
          </w:p>
        </w:tc>
        <w:tc>
          <w:tcPr>
            <w:tcW w:w="0" w:type="auto"/>
            <w:tcBorders>
              <w:top w:val="nil"/>
              <w:bottom w:val="nil"/>
            </w:tcBorders>
            <w:shd w:val="clear" w:color="auto" w:fill="FFFFFF" w:themeFill="background1"/>
            <w:vAlign w:val="center"/>
          </w:tcPr>
          <w:p w:rsidR="008E3211" w:rsidRPr="00C66550" w:rsidRDefault="008E3211" w:rsidP="001D2FA7">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15%</w:t>
            </w:r>
          </w:p>
        </w:tc>
      </w:tr>
      <w:tr w:rsidR="008E3211" w:rsidRPr="00C66550" w:rsidTr="00216969">
        <w:tc>
          <w:tcPr>
            <w:cnfStyle w:val="001000000000"/>
            <w:tcW w:w="0" w:type="auto"/>
            <w:tcBorders>
              <w:top w:val="nil"/>
              <w:bottom w:val="single" w:sz="4" w:space="0" w:color="808080" w:themeColor="background1" w:themeShade="80"/>
            </w:tcBorders>
            <w:vAlign w:val="center"/>
          </w:tcPr>
          <w:p w:rsidR="008E3211" w:rsidRPr="00C66550" w:rsidRDefault="008E3211" w:rsidP="008E3211">
            <w:pPr>
              <w:rPr>
                <w:rFonts w:asciiTheme="minorHAnsi" w:hAnsiTheme="minorHAnsi" w:cs="Arial"/>
                <w:color w:val="000000"/>
                <w:sz w:val="18"/>
                <w:szCs w:val="18"/>
              </w:rPr>
            </w:pPr>
            <w:r w:rsidRPr="00C66550">
              <w:rPr>
                <w:rFonts w:asciiTheme="minorHAnsi" w:hAnsiTheme="minorHAnsi" w:cs="Arial"/>
                <w:color w:val="000000"/>
                <w:sz w:val="18"/>
                <w:szCs w:val="18"/>
              </w:rPr>
              <w:t>Estimated disposal to landfill of discarded phones (%)</w:t>
            </w:r>
          </w:p>
        </w:tc>
        <w:tc>
          <w:tcPr>
            <w:tcW w:w="0" w:type="auto"/>
            <w:tcBorders>
              <w:top w:val="nil"/>
              <w:bottom w:val="single" w:sz="4" w:space="0" w:color="808080" w:themeColor="background1" w:themeShade="80"/>
            </w:tcBorders>
            <w:vAlign w:val="center"/>
          </w:tcPr>
          <w:p w:rsidR="008E3211" w:rsidRPr="00C66550" w:rsidRDefault="008E3211">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4%</w:t>
            </w:r>
          </w:p>
        </w:tc>
        <w:tc>
          <w:tcPr>
            <w:tcW w:w="0" w:type="auto"/>
            <w:tcBorders>
              <w:top w:val="nil"/>
              <w:bottom w:val="single" w:sz="4" w:space="0" w:color="808080" w:themeColor="background1" w:themeShade="80"/>
            </w:tcBorders>
            <w:vAlign w:val="center"/>
          </w:tcPr>
          <w:p w:rsidR="008E3211" w:rsidRPr="00C66550" w:rsidRDefault="008E3211">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4%</w:t>
            </w:r>
          </w:p>
        </w:tc>
        <w:tc>
          <w:tcPr>
            <w:tcW w:w="0" w:type="auto"/>
            <w:tcBorders>
              <w:top w:val="nil"/>
              <w:bottom w:val="single" w:sz="4" w:space="0" w:color="808080" w:themeColor="background1" w:themeShade="80"/>
            </w:tcBorders>
            <w:vAlign w:val="center"/>
          </w:tcPr>
          <w:p w:rsidR="008E3211" w:rsidRPr="00C66550" w:rsidRDefault="008E3211">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3%</w:t>
            </w:r>
          </w:p>
        </w:tc>
        <w:tc>
          <w:tcPr>
            <w:tcW w:w="0" w:type="auto"/>
            <w:tcBorders>
              <w:top w:val="nil"/>
              <w:bottom w:val="single" w:sz="4" w:space="0" w:color="808080" w:themeColor="background1" w:themeShade="80"/>
            </w:tcBorders>
            <w:vAlign w:val="center"/>
          </w:tcPr>
          <w:p w:rsidR="008E3211" w:rsidRPr="00C66550" w:rsidRDefault="008E3211">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2%</w:t>
            </w:r>
          </w:p>
        </w:tc>
        <w:tc>
          <w:tcPr>
            <w:tcW w:w="0" w:type="auto"/>
            <w:tcBorders>
              <w:top w:val="nil"/>
              <w:bottom w:val="single" w:sz="4" w:space="0" w:color="808080" w:themeColor="background1" w:themeShade="80"/>
            </w:tcBorders>
            <w:vAlign w:val="center"/>
          </w:tcPr>
          <w:p w:rsidR="008E3211" w:rsidRPr="00C66550" w:rsidRDefault="008E3211">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4%</w:t>
            </w:r>
          </w:p>
        </w:tc>
        <w:tc>
          <w:tcPr>
            <w:tcW w:w="0" w:type="auto"/>
            <w:tcBorders>
              <w:top w:val="nil"/>
              <w:bottom w:val="single" w:sz="4" w:space="0" w:color="808080" w:themeColor="background1" w:themeShade="80"/>
            </w:tcBorders>
            <w:vAlign w:val="center"/>
          </w:tcPr>
          <w:p w:rsidR="008E3211" w:rsidRPr="00C66550" w:rsidRDefault="008E3211">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5%</w:t>
            </w:r>
          </w:p>
        </w:tc>
        <w:tc>
          <w:tcPr>
            <w:tcW w:w="0" w:type="auto"/>
            <w:tcBorders>
              <w:top w:val="nil"/>
              <w:bottom w:val="single" w:sz="4" w:space="0" w:color="808080" w:themeColor="background1" w:themeShade="80"/>
            </w:tcBorders>
            <w:vAlign w:val="center"/>
          </w:tcPr>
          <w:p w:rsidR="008E3211" w:rsidRPr="00C66550" w:rsidRDefault="008E3211">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9%</w:t>
            </w:r>
          </w:p>
        </w:tc>
      </w:tr>
    </w:tbl>
    <w:p w:rsidR="002D0910" w:rsidRPr="00C66550" w:rsidRDefault="002D0910" w:rsidP="005906F8">
      <w:pPr>
        <w:pStyle w:val="FigureTableinfo"/>
        <w:keepNext/>
        <w:spacing w:before="0"/>
        <w:rPr>
          <w:sz w:val="20"/>
        </w:rPr>
      </w:pPr>
      <w:r w:rsidRPr="00C66550">
        <w:rPr>
          <w:sz w:val="20"/>
        </w:rPr>
        <w:t xml:space="preserve">Source: </w:t>
      </w:r>
      <w:r w:rsidR="00650663" w:rsidRPr="00C66550">
        <w:rPr>
          <w:sz w:val="20"/>
        </w:rPr>
        <w:t>AMTA (2012)</w:t>
      </w:r>
    </w:p>
    <w:p w:rsidR="00FB4820" w:rsidRPr="00C66550" w:rsidRDefault="00FB4820" w:rsidP="00FB4820">
      <w:pPr>
        <w:pStyle w:val="BodyText"/>
      </w:pPr>
    </w:p>
    <w:p w:rsidR="00545ACE" w:rsidRPr="00C66550" w:rsidRDefault="00FC0736" w:rsidP="006D25F9">
      <w:pPr>
        <w:pStyle w:val="Heading2"/>
      </w:pPr>
      <w:bookmarkStart w:id="213" w:name="_Toc379466395"/>
      <w:r w:rsidRPr="00C66550">
        <w:lastRenderedPageBreak/>
        <w:t>FluoroCycle</w:t>
      </w:r>
      <w:r w:rsidR="00545ACE" w:rsidRPr="00C66550">
        <w:t xml:space="preserve"> (mercury</w:t>
      </w:r>
      <w:r w:rsidRPr="00C66550">
        <w:t>-</w:t>
      </w:r>
      <w:r w:rsidR="00545ACE" w:rsidRPr="00C66550">
        <w:t>containing lamps)</w:t>
      </w:r>
      <w:bookmarkEnd w:id="213"/>
    </w:p>
    <w:p w:rsidR="003442E4" w:rsidRPr="00C66550" w:rsidRDefault="0093154F" w:rsidP="00545ACE">
      <w:pPr>
        <w:pStyle w:val="BodyText"/>
      </w:pPr>
      <w:r w:rsidRPr="00C66550">
        <w:t xml:space="preserve">DSEWPaC’s website provides the following overview of the </w:t>
      </w:r>
      <w:r w:rsidR="00FC0736" w:rsidRPr="00C66550">
        <w:t>FluoroCycle</w:t>
      </w:r>
      <w:r w:rsidRPr="00C66550">
        <w:t xml:space="preserve"> scheme:</w:t>
      </w:r>
    </w:p>
    <w:p w:rsidR="00FF0C93" w:rsidRPr="00C66550" w:rsidRDefault="00207FD3" w:rsidP="00C241F6">
      <w:pPr>
        <w:pStyle w:val="BodyText"/>
        <w:spacing w:before="120"/>
        <w:ind w:left="567" w:right="567"/>
        <w:rPr>
          <w:i/>
        </w:rPr>
      </w:pPr>
      <w:r w:rsidRPr="00C66550">
        <w:rPr>
          <w:i/>
        </w:rPr>
        <w:t>“FluoroCycle (www.FluoroCycle.org.au) is a voluntary, national scheme that aims to increase recycling of mercury-containing lamps. It commenced operations on 21 July 2010. The initial focus of the scheme is on those sectors that account for the largest consumption of mercury</w:t>
      </w:r>
      <w:r w:rsidR="00DE7DC8" w:rsidRPr="00C66550">
        <w:rPr>
          <w:i/>
        </w:rPr>
        <w:t>-</w:t>
      </w:r>
      <w:r w:rsidRPr="00C66550">
        <w:rPr>
          <w:i/>
        </w:rPr>
        <w:t>containing lamps, the commercial and public lighting sectors. FluoroCycle is based on collaboration between industry and government. It is administered by</w:t>
      </w:r>
      <w:r w:rsidR="00DE7DC8" w:rsidRPr="00C66550">
        <w:rPr>
          <w:i/>
        </w:rPr>
        <w:t xml:space="preserve"> the</w:t>
      </w:r>
      <w:r w:rsidRPr="00C66550">
        <w:rPr>
          <w:i/>
        </w:rPr>
        <w:t xml:space="preserve"> Lighting Council Australia and sponsored by the EPHC. It has been investigating the issues associated with the end-of-life management (disposal methods) for compact fluorescent lamps </w:t>
      </w:r>
      <w:r w:rsidR="00650663" w:rsidRPr="00C66550">
        <w:rPr>
          <w:i/>
        </w:rPr>
        <w:t>…</w:t>
      </w:r>
      <w:r w:rsidRPr="00C66550">
        <w:rPr>
          <w:i/>
        </w:rPr>
        <w:t xml:space="preserve"> and other mercury-containing lamps and, in May 2009, announced its support for FluoroCycle.</w:t>
      </w:r>
    </w:p>
    <w:p w:rsidR="00FF0C93" w:rsidRPr="00C66550" w:rsidRDefault="00207FD3" w:rsidP="00C241F6">
      <w:pPr>
        <w:pStyle w:val="BodyText"/>
        <w:spacing w:before="120"/>
        <w:ind w:left="567" w:right="567"/>
      </w:pPr>
      <w:r w:rsidRPr="00C66550">
        <w:rPr>
          <w:i/>
        </w:rPr>
        <w:t>FluoroCycle is also supported by key industry bodies including the Australian Council of Recyclers, the Facility Management Association of Australia, the Australian Local Government Association, the Property Council of Australia and the National Electrical and Communications Association.”</w:t>
      </w:r>
    </w:p>
    <w:p w:rsidR="00FF0C93" w:rsidRPr="00C66550" w:rsidRDefault="0093154F" w:rsidP="00C241F6">
      <w:pPr>
        <w:pStyle w:val="BodyText"/>
        <w:spacing w:before="120"/>
        <w:ind w:left="567" w:right="425"/>
      </w:pPr>
      <w:r w:rsidRPr="00C66550">
        <w:t xml:space="preserve">Source: </w:t>
      </w:r>
      <w:hyperlink r:id="rId123" w:history="1">
        <w:r w:rsidRPr="00C66550">
          <w:rPr>
            <w:rStyle w:val="Hyperlink"/>
          </w:rPr>
          <w:t>http://www.environment.gov.au/settlements/waste/lamp-mercury.html</w:t>
        </w:r>
      </w:hyperlink>
      <w:r w:rsidRPr="00C66550">
        <w:t xml:space="preserve"> (Jan</w:t>
      </w:r>
      <w:r w:rsidR="00C241F6">
        <w:t>. 2</w:t>
      </w:r>
      <w:r w:rsidRPr="00C66550">
        <w:t>013).</w:t>
      </w:r>
    </w:p>
    <w:p w:rsidR="0093154F" w:rsidRPr="00C66550" w:rsidRDefault="0093154F" w:rsidP="00256C74">
      <w:pPr>
        <w:pStyle w:val="BodyText"/>
      </w:pPr>
    </w:p>
    <w:p w:rsidR="00DE7DC8" w:rsidRPr="00C66550" w:rsidRDefault="0093154F" w:rsidP="00256C74">
      <w:pPr>
        <w:pStyle w:val="BodyText"/>
      </w:pPr>
      <w:r w:rsidRPr="00C66550">
        <w:t xml:space="preserve">The </w:t>
      </w:r>
      <w:r w:rsidR="00C66550" w:rsidRPr="00C66550">
        <w:t>FluoroCycle</w:t>
      </w:r>
      <w:r w:rsidRPr="00C66550">
        <w:t xml:space="preserve"> website states</w:t>
      </w:r>
      <w:r w:rsidR="006934CD" w:rsidRPr="00C66550">
        <w:t xml:space="preserve"> that</w:t>
      </w:r>
      <w:r w:rsidR="00DE7DC8" w:rsidRPr="00C66550">
        <w:t>:</w:t>
      </w:r>
    </w:p>
    <w:p w:rsidR="00FF0C93" w:rsidRPr="00C66550" w:rsidRDefault="00207FD3" w:rsidP="00C241F6">
      <w:pPr>
        <w:pStyle w:val="BodyText"/>
        <w:spacing w:before="120"/>
        <w:ind w:left="567" w:right="567"/>
        <w:rPr>
          <w:i/>
        </w:rPr>
      </w:pPr>
      <w:r w:rsidRPr="00C66550">
        <w:rPr>
          <w:i/>
        </w:rPr>
        <w:t xml:space="preserve">“Currently it is estimated that 95% of mercury-containing lamps are sent to landfill in Australia. Mercury in landfill converts to the toxic methyl mercury and spreads through the wider environment through air, water and soil”. </w:t>
      </w:r>
    </w:p>
    <w:p w:rsidR="00FF0C93" w:rsidRPr="00C66550" w:rsidRDefault="0093154F" w:rsidP="00C241F6">
      <w:pPr>
        <w:pStyle w:val="BodyText"/>
        <w:spacing w:before="120"/>
        <w:ind w:left="567" w:right="992"/>
      </w:pPr>
      <w:r w:rsidRPr="00C66550">
        <w:t xml:space="preserve">Source: </w:t>
      </w:r>
      <w:hyperlink r:id="rId124" w:history="1">
        <w:r w:rsidRPr="00C66550">
          <w:rPr>
            <w:rStyle w:val="Hyperlink"/>
          </w:rPr>
          <w:t>http://www.</w:t>
        </w:r>
        <w:r w:rsidR="00FC0736" w:rsidRPr="00C66550">
          <w:rPr>
            <w:rStyle w:val="Hyperlink"/>
          </w:rPr>
          <w:t>FluoroCycle</w:t>
        </w:r>
        <w:r w:rsidRPr="00C66550">
          <w:rPr>
            <w:rStyle w:val="Hyperlink"/>
          </w:rPr>
          <w:t>.org.au/why-recycle.php</w:t>
        </w:r>
      </w:hyperlink>
      <w:r w:rsidRPr="00C66550">
        <w:t xml:space="preserve"> (January 2013).</w:t>
      </w:r>
    </w:p>
    <w:p w:rsidR="0093154F" w:rsidRPr="00C66550" w:rsidRDefault="0093154F" w:rsidP="00256C74">
      <w:pPr>
        <w:pStyle w:val="BodyText"/>
      </w:pPr>
    </w:p>
    <w:p w:rsidR="0093154F" w:rsidRPr="00C66550" w:rsidRDefault="0093154F" w:rsidP="00256C74">
      <w:pPr>
        <w:pStyle w:val="BodyText"/>
      </w:pPr>
      <w:r w:rsidRPr="00C66550">
        <w:t xml:space="preserve">No publically available reporting of the recovery rates of mercury containing lamps was identified. </w:t>
      </w:r>
      <w:r w:rsidR="00FB4820" w:rsidRPr="00C66550">
        <w:t>At the time of writing</w:t>
      </w:r>
      <w:r w:rsidRPr="00C66550">
        <w:t xml:space="preserve"> </w:t>
      </w:r>
      <w:r w:rsidR="00DE7DC8" w:rsidRPr="00C66550">
        <w:t xml:space="preserve">no </w:t>
      </w:r>
      <w:r w:rsidRPr="00C66550">
        <w:t>annual reporting</w:t>
      </w:r>
      <w:r w:rsidR="00DE7DC8" w:rsidRPr="00C66550">
        <w:t xml:space="preserve"> </w:t>
      </w:r>
      <w:r w:rsidR="00FB4820" w:rsidRPr="00C66550">
        <w:t xml:space="preserve">is </w:t>
      </w:r>
      <w:r w:rsidR="00DE7DC8" w:rsidRPr="00C66550">
        <w:t>available</w:t>
      </w:r>
      <w:r w:rsidRPr="00C66550">
        <w:t xml:space="preserve"> for </w:t>
      </w:r>
      <w:r w:rsidR="00DE7DC8" w:rsidRPr="00C66550">
        <w:t xml:space="preserve">this </w:t>
      </w:r>
      <w:r w:rsidRPr="00C66550">
        <w:t>scheme.</w:t>
      </w:r>
    </w:p>
    <w:p w:rsidR="0093154F" w:rsidRPr="00C66550" w:rsidRDefault="0093154F" w:rsidP="00256C74">
      <w:pPr>
        <w:pStyle w:val="BodyText"/>
      </w:pPr>
    </w:p>
    <w:p w:rsidR="003442E4" w:rsidRPr="00C66550" w:rsidRDefault="003442E4" w:rsidP="006D25F9">
      <w:pPr>
        <w:pStyle w:val="Heading2"/>
      </w:pPr>
      <w:bookmarkStart w:id="214" w:name="_Toc379466396"/>
      <w:r w:rsidRPr="00C66550">
        <w:t>Australian Packaging Covenant</w:t>
      </w:r>
      <w:bookmarkEnd w:id="214"/>
      <w:r w:rsidR="0061016A" w:rsidRPr="00C66550">
        <w:t xml:space="preserve"> </w:t>
      </w:r>
    </w:p>
    <w:p w:rsidR="003442E4" w:rsidRPr="00C66550" w:rsidRDefault="00FB4820" w:rsidP="003442E4">
      <w:pPr>
        <w:pStyle w:val="BodyText"/>
      </w:pPr>
      <w:r w:rsidRPr="00C66550">
        <w:t>W</w:t>
      </w:r>
      <w:r w:rsidR="003239BD" w:rsidRPr="00C66550">
        <w:t xml:space="preserve">hilst packaging </w:t>
      </w:r>
      <w:r w:rsidRPr="00C66550">
        <w:t>is not a true</w:t>
      </w:r>
      <w:r w:rsidR="003239BD" w:rsidRPr="00C66550">
        <w:t xml:space="preserve"> product category</w:t>
      </w:r>
      <w:r w:rsidRPr="00C66550">
        <w:t>,</w:t>
      </w:r>
      <w:r w:rsidR="003239BD" w:rsidRPr="00C66550">
        <w:t xml:space="preserve"> it </w:t>
      </w:r>
      <w:r w:rsidRPr="00C66550">
        <w:t>forms</w:t>
      </w:r>
      <w:r w:rsidR="003239BD" w:rsidRPr="00C66550">
        <w:t xml:space="preserve"> a significant part of </w:t>
      </w:r>
      <w:r w:rsidRPr="00C66550">
        <w:t>the solid waste generated by</w:t>
      </w:r>
      <w:r w:rsidR="003239BD" w:rsidRPr="00C66550">
        <w:t xml:space="preserve"> the consumption of a huge range of products</w:t>
      </w:r>
      <w:r w:rsidRPr="00C66550">
        <w:t>,</w:t>
      </w:r>
      <w:r w:rsidR="003239BD" w:rsidRPr="00C66550">
        <w:t xml:space="preserve"> and</w:t>
      </w:r>
      <w:r w:rsidRPr="00C66550">
        <w:t xml:space="preserve"> therefore</w:t>
      </w:r>
      <w:r w:rsidR="003239BD" w:rsidRPr="00C66550">
        <w:t xml:space="preserve"> warrants consideration in this </w:t>
      </w:r>
      <w:r w:rsidR="00912151" w:rsidRPr="00C66550">
        <w:t>section</w:t>
      </w:r>
      <w:r w:rsidR="003239BD" w:rsidRPr="00C66550">
        <w:t>.</w:t>
      </w:r>
      <w:r w:rsidR="0015706B" w:rsidRPr="00C66550">
        <w:t xml:space="preserve"> </w:t>
      </w:r>
      <w:r w:rsidR="008A3E5E" w:rsidRPr="00C66550">
        <w:t xml:space="preserve">The </w:t>
      </w:r>
      <w:r w:rsidR="0061016A" w:rsidRPr="00C66550">
        <w:t>DSEWPaC website provides the following overview of the APC</w:t>
      </w:r>
      <w:r w:rsidR="001224AB" w:rsidRPr="00C66550">
        <w:t>:</w:t>
      </w:r>
    </w:p>
    <w:p w:rsidR="00FF0C93" w:rsidRPr="00C66550" w:rsidRDefault="00207FD3" w:rsidP="00C241F6">
      <w:pPr>
        <w:pStyle w:val="BodyText"/>
        <w:spacing w:before="120"/>
        <w:ind w:left="567" w:right="567"/>
        <w:rPr>
          <w:i/>
        </w:rPr>
      </w:pPr>
      <w:r w:rsidRPr="00C66550">
        <w:rPr>
          <w:i/>
        </w:rPr>
        <w:t>“(The APC) is the third iteration of the National Packaging Covenant, which has been the leading instrument for managing the environmental impacts of consumer packaging in Australia since 1999. It is the voluntary component of a co regulatory arrangement based on the principles of shared responsibility through product stewardship, between key stakeholders in the packaging supply chain</w:t>
      </w:r>
      <w:r w:rsidR="00C241F6">
        <w:rPr>
          <w:i/>
        </w:rPr>
        <w:t xml:space="preserve"> and all spheres of government…</w:t>
      </w:r>
    </w:p>
    <w:p w:rsidR="00FF0C93" w:rsidRPr="00C66550" w:rsidRDefault="00207FD3" w:rsidP="00C241F6">
      <w:pPr>
        <w:pStyle w:val="BodyText"/>
        <w:spacing w:before="120"/>
        <w:ind w:left="567" w:right="567"/>
        <w:rPr>
          <w:i/>
        </w:rPr>
      </w:pPr>
      <w:r w:rsidRPr="00C66550">
        <w:rPr>
          <w:i/>
        </w:rPr>
        <w:t>The Covenant is designed to minimise the environmental impacts arising from the disposal of used packaging, conserve resources through better design and production processes and facilitate the re-use and recycling of used packaging materials.</w:t>
      </w:r>
    </w:p>
    <w:p w:rsidR="00FF0C93" w:rsidRPr="00C66550" w:rsidRDefault="00207FD3" w:rsidP="00C241F6">
      <w:pPr>
        <w:pStyle w:val="BodyText"/>
        <w:spacing w:before="120"/>
        <w:ind w:left="567" w:right="567"/>
        <w:rPr>
          <w:i/>
        </w:rPr>
      </w:pPr>
      <w:r w:rsidRPr="00C66550">
        <w:rPr>
          <w:i/>
        </w:rPr>
        <w:t>The Covenant establishes a framework for the effective life cycle management of consumer packaging and paper products that will be delivered through a collaborative approach between all sectors of the packaging supply chain, consumers, collectors, reprocessors and all spheres of government”.</w:t>
      </w:r>
    </w:p>
    <w:p w:rsidR="00FF0C93" w:rsidRPr="00C66550" w:rsidRDefault="0061016A" w:rsidP="00C241F6">
      <w:pPr>
        <w:pStyle w:val="BodyText"/>
        <w:spacing w:before="120"/>
        <w:ind w:left="567" w:right="284"/>
      </w:pPr>
      <w:r w:rsidRPr="00C66550">
        <w:t xml:space="preserve">Source: </w:t>
      </w:r>
      <w:hyperlink r:id="rId125" w:history="1">
        <w:r w:rsidRPr="00C66550">
          <w:rPr>
            <w:rStyle w:val="Hyperlink"/>
          </w:rPr>
          <w:t>http://www.environment.gov.au/settlements/waste/covenant/index.html</w:t>
        </w:r>
      </w:hyperlink>
      <w:r w:rsidR="00E274E7" w:rsidRPr="00C66550">
        <w:t xml:space="preserve"> (Jan</w:t>
      </w:r>
      <w:r w:rsidR="00C241F6">
        <w:t>.</w:t>
      </w:r>
      <w:r w:rsidR="00E274E7" w:rsidRPr="00C66550">
        <w:t xml:space="preserve"> 2013)</w:t>
      </w:r>
    </w:p>
    <w:p w:rsidR="00B47B3A" w:rsidRPr="00C66550" w:rsidRDefault="00B47B3A" w:rsidP="00B47B3A">
      <w:pPr>
        <w:pStyle w:val="BodyText"/>
      </w:pPr>
    </w:p>
    <w:p w:rsidR="00B47B3A" w:rsidRPr="00C66550" w:rsidRDefault="00B47B3A" w:rsidP="00B47B3A">
      <w:pPr>
        <w:pStyle w:val="BodyText"/>
      </w:pPr>
      <w:r w:rsidRPr="00C66550">
        <w:lastRenderedPageBreak/>
        <w:t>The A</w:t>
      </w:r>
      <w:r w:rsidR="00FC2D1C">
        <w:t xml:space="preserve">ustralian </w:t>
      </w:r>
      <w:r w:rsidRPr="00C66550">
        <w:t>P</w:t>
      </w:r>
      <w:r w:rsidR="00FC2D1C">
        <w:t xml:space="preserve">ackaging </w:t>
      </w:r>
      <w:r w:rsidRPr="00C66550">
        <w:t>C</w:t>
      </w:r>
      <w:r w:rsidR="00FC2D1C">
        <w:t>ovenant Council</w:t>
      </w:r>
      <w:r w:rsidRPr="00C66550">
        <w:t xml:space="preserve"> publishes an annual report that includes data on the recovery rates of the broad grouping of packaging types (grouped by material type), namely: paper/cardboard, glass, plastics, steel cans, aluminium cans. The most relevant data for this report is included below.</w:t>
      </w:r>
    </w:p>
    <w:p w:rsidR="00B47B3A" w:rsidRPr="00C66550" w:rsidRDefault="00B47B3A" w:rsidP="00B47B3A">
      <w:pPr>
        <w:pStyle w:val="BodyText"/>
        <w:ind w:right="992"/>
      </w:pPr>
    </w:p>
    <w:p w:rsidR="005B7769" w:rsidRPr="00C66550" w:rsidRDefault="005B7769" w:rsidP="00FB4820">
      <w:pPr>
        <w:pStyle w:val="Figures"/>
      </w:pPr>
      <w:bookmarkStart w:id="215" w:name="_Toc365038857"/>
      <w:r w:rsidRPr="00C66550">
        <w:t xml:space="preserve">Table </w:t>
      </w:r>
      <w:r w:rsidR="0062001A" w:rsidRPr="00C66550">
        <w:fldChar w:fldCharType="begin"/>
      </w:r>
      <w:r w:rsidR="00C324A1" w:rsidRPr="00C66550">
        <w:instrText xml:space="preserve"> SEQ Table \* ARABIC </w:instrText>
      </w:r>
      <w:r w:rsidR="0062001A" w:rsidRPr="00C66550">
        <w:fldChar w:fldCharType="separate"/>
      </w:r>
      <w:r w:rsidR="00D96003">
        <w:rPr>
          <w:noProof/>
        </w:rPr>
        <w:t>13</w:t>
      </w:r>
      <w:r w:rsidR="0062001A" w:rsidRPr="00C66550">
        <w:rPr>
          <w:noProof/>
        </w:rPr>
        <w:fldChar w:fldCharType="end"/>
      </w:r>
      <w:r w:rsidR="00216969" w:rsidRPr="00C66550">
        <w:t>:</w:t>
      </w:r>
      <w:r w:rsidR="00216969" w:rsidRPr="00C66550">
        <w:tab/>
      </w:r>
      <w:r w:rsidR="00D86863">
        <w:t>P</w:t>
      </w:r>
      <w:r w:rsidRPr="00C66550">
        <w:t>ackaging consumption and recycling rates</w:t>
      </w:r>
      <w:r w:rsidR="00D86863">
        <w:t xml:space="preserve">, </w:t>
      </w:r>
      <w:r w:rsidRPr="00C66550">
        <w:t>2011</w:t>
      </w:r>
      <w:bookmarkEnd w:id="215"/>
    </w:p>
    <w:tbl>
      <w:tblPr>
        <w:tblStyle w:val="BETable1"/>
        <w:tblW w:w="5000" w:type="pct"/>
        <w:tblInd w:w="0" w:type="dxa"/>
        <w:tblLook w:val="04A0"/>
      </w:tblPr>
      <w:tblGrid>
        <w:gridCol w:w="2253"/>
        <w:gridCol w:w="2260"/>
        <w:gridCol w:w="2254"/>
        <w:gridCol w:w="2703"/>
      </w:tblGrid>
      <w:tr w:rsidR="005B7769" w:rsidRPr="00C66550" w:rsidTr="005B7769">
        <w:trPr>
          <w:cnfStyle w:val="100000000000"/>
        </w:trPr>
        <w:tc>
          <w:tcPr>
            <w:cnfStyle w:val="001000000000"/>
            <w:tcW w:w="5000" w:type="pct"/>
            <w:gridSpan w:val="4"/>
          </w:tcPr>
          <w:p w:rsidR="005B7769" w:rsidRPr="00C66550" w:rsidRDefault="005B7769" w:rsidP="005B7769">
            <w:pPr>
              <w:jc w:val="center"/>
              <w:rPr>
                <w:sz w:val="18"/>
                <w:szCs w:val="18"/>
              </w:rPr>
            </w:pPr>
            <w:r w:rsidRPr="00C66550">
              <w:rPr>
                <w:bCs/>
                <w:sz w:val="18"/>
                <w:szCs w:val="18"/>
              </w:rPr>
              <w:t>Covenant Performance Data for 2011</w:t>
            </w:r>
          </w:p>
        </w:tc>
      </w:tr>
      <w:tr w:rsidR="005B7769" w:rsidRPr="00C66550" w:rsidTr="00216969">
        <w:tc>
          <w:tcPr>
            <w:cnfStyle w:val="001000000000"/>
            <w:tcW w:w="1190" w:type="pct"/>
            <w:tcBorders>
              <w:bottom w:val="single" w:sz="4" w:space="0" w:color="7F7F7F" w:themeColor="background2"/>
            </w:tcBorders>
            <w:vAlign w:val="center"/>
          </w:tcPr>
          <w:p w:rsidR="005B7769" w:rsidRPr="00C66550" w:rsidRDefault="005B7769">
            <w:pPr>
              <w:rPr>
                <w:b/>
                <w:bCs/>
                <w:sz w:val="18"/>
                <w:szCs w:val="18"/>
              </w:rPr>
            </w:pPr>
            <w:r w:rsidRPr="00C66550">
              <w:rPr>
                <w:b/>
                <w:bCs/>
                <w:sz w:val="18"/>
                <w:szCs w:val="18"/>
              </w:rPr>
              <w:t>Material Type</w:t>
            </w:r>
          </w:p>
        </w:tc>
        <w:tc>
          <w:tcPr>
            <w:tcW w:w="1193" w:type="pct"/>
            <w:tcBorders>
              <w:bottom w:val="single" w:sz="4" w:space="0" w:color="7F7F7F" w:themeColor="background2"/>
            </w:tcBorders>
            <w:vAlign w:val="center"/>
          </w:tcPr>
          <w:p w:rsidR="005B7769" w:rsidRPr="00C66550" w:rsidRDefault="005B7769" w:rsidP="007B3E6C">
            <w:pPr>
              <w:jc w:val="right"/>
              <w:cnfStyle w:val="000000000000"/>
              <w:rPr>
                <w:b/>
                <w:bCs/>
                <w:sz w:val="18"/>
                <w:szCs w:val="18"/>
              </w:rPr>
            </w:pPr>
            <w:r w:rsidRPr="00C66550">
              <w:rPr>
                <w:b/>
                <w:bCs/>
                <w:sz w:val="18"/>
                <w:szCs w:val="18"/>
              </w:rPr>
              <w:t xml:space="preserve">Total Consumption </w:t>
            </w:r>
            <w:r w:rsidRPr="00C66550">
              <w:rPr>
                <w:bCs/>
                <w:i/>
                <w:sz w:val="18"/>
                <w:szCs w:val="18"/>
              </w:rPr>
              <w:t>(tonnes)</w:t>
            </w:r>
          </w:p>
        </w:tc>
        <w:tc>
          <w:tcPr>
            <w:tcW w:w="1190" w:type="pct"/>
            <w:tcBorders>
              <w:bottom w:val="single" w:sz="4" w:space="0" w:color="7F7F7F" w:themeColor="background2"/>
            </w:tcBorders>
            <w:vAlign w:val="center"/>
          </w:tcPr>
          <w:p w:rsidR="005B7769" w:rsidRPr="00C66550" w:rsidRDefault="005B7769" w:rsidP="007B3E6C">
            <w:pPr>
              <w:jc w:val="right"/>
              <w:cnfStyle w:val="000000000000"/>
              <w:rPr>
                <w:b/>
                <w:bCs/>
                <w:sz w:val="18"/>
                <w:szCs w:val="18"/>
              </w:rPr>
            </w:pPr>
            <w:r w:rsidRPr="00C66550">
              <w:rPr>
                <w:b/>
                <w:bCs/>
                <w:sz w:val="18"/>
                <w:szCs w:val="18"/>
              </w:rPr>
              <w:t xml:space="preserve">Total Recycling </w:t>
            </w:r>
            <w:r w:rsidRPr="00C66550">
              <w:rPr>
                <w:bCs/>
                <w:i/>
                <w:sz w:val="18"/>
                <w:szCs w:val="18"/>
              </w:rPr>
              <w:t>(tonnes)</w:t>
            </w:r>
          </w:p>
        </w:tc>
        <w:tc>
          <w:tcPr>
            <w:tcW w:w="1427" w:type="pct"/>
            <w:tcBorders>
              <w:bottom w:val="single" w:sz="4" w:space="0" w:color="7F7F7F" w:themeColor="background2"/>
            </w:tcBorders>
            <w:vAlign w:val="center"/>
          </w:tcPr>
          <w:p w:rsidR="005B7769" w:rsidRPr="00C66550" w:rsidRDefault="005B7769" w:rsidP="007B3E6C">
            <w:pPr>
              <w:jc w:val="right"/>
              <w:cnfStyle w:val="000000000000"/>
              <w:rPr>
                <w:b/>
                <w:bCs/>
                <w:sz w:val="18"/>
                <w:szCs w:val="18"/>
              </w:rPr>
            </w:pPr>
            <w:r w:rsidRPr="00C66550">
              <w:rPr>
                <w:b/>
                <w:bCs/>
                <w:sz w:val="18"/>
                <w:szCs w:val="18"/>
              </w:rPr>
              <w:t>Recycling Rate</w:t>
            </w:r>
          </w:p>
        </w:tc>
      </w:tr>
      <w:tr w:rsidR="005B7769" w:rsidRPr="00C66550" w:rsidTr="00216969">
        <w:tc>
          <w:tcPr>
            <w:cnfStyle w:val="001000000000"/>
            <w:tcW w:w="1190" w:type="pct"/>
            <w:tcBorders>
              <w:bottom w:val="nil"/>
            </w:tcBorders>
            <w:vAlign w:val="center"/>
          </w:tcPr>
          <w:p w:rsidR="005B7769" w:rsidRPr="00C66550" w:rsidRDefault="005B7769">
            <w:pPr>
              <w:rPr>
                <w:bCs/>
                <w:sz w:val="18"/>
                <w:szCs w:val="18"/>
              </w:rPr>
            </w:pPr>
            <w:r w:rsidRPr="00C66550">
              <w:rPr>
                <w:bCs/>
                <w:sz w:val="18"/>
                <w:szCs w:val="18"/>
              </w:rPr>
              <w:t>Paper/Cardboard</w:t>
            </w:r>
          </w:p>
        </w:tc>
        <w:tc>
          <w:tcPr>
            <w:tcW w:w="1193" w:type="pct"/>
            <w:tcBorders>
              <w:bottom w:val="nil"/>
            </w:tcBorders>
            <w:vAlign w:val="center"/>
          </w:tcPr>
          <w:p w:rsidR="005B7769" w:rsidRPr="00C66550" w:rsidRDefault="005B7769">
            <w:pPr>
              <w:jc w:val="right"/>
              <w:cnfStyle w:val="000000000000"/>
              <w:rPr>
                <w:bCs/>
                <w:sz w:val="18"/>
                <w:szCs w:val="18"/>
              </w:rPr>
            </w:pPr>
            <w:r w:rsidRPr="00C66550">
              <w:rPr>
                <w:bCs/>
                <w:sz w:val="18"/>
                <w:szCs w:val="18"/>
              </w:rPr>
              <w:t>2,602,000</w:t>
            </w:r>
          </w:p>
        </w:tc>
        <w:tc>
          <w:tcPr>
            <w:tcW w:w="1190" w:type="pct"/>
            <w:tcBorders>
              <w:bottom w:val="nil"/>
            </w:tcBorders>
            <w:vAlign w:val="center"/>
          </w:tcPr>
          <w:p w:rsidR="005B7769" w:rsidRPr="00C66550" w:rsidRDefault="005B7769">
            <w:pPr>
              <w:jc w:val="right"/>
              <w:cnfStyle w:val="000000000000"/>
              <w:rPr>
                <w:bCs/>
                <w:sz w:val="18"/>
                <w:szCs w:val="18"/>
              </w:rPr>
            </w:pPr>
            <w:r w:rsidRPr="00C66550">
              <w:rPr>
                <w:bCs/>
                <w:sz w:val="18"/>
                <w:szCs w:val="18"/>
              </w:rPr>
              <w:t>1,960,000</w:t>
            </w:r>
          </w:p>
        </w:tc>
        <w:tc>
          <w:tcPr>
            <w:tcW w:w="1427" w:type="pct"/>
            <w:tcBorders>
              <w:bottom w:val="nil"/>
            </w:tcBorders>
            <w:vAlign w:val="center"/>
          </w:tcPr>
          <w:p w:rsidR="005B7769" w:rsidRPr="00C66550" w:rsidRDefault="005B7769">
            <w:pPr>
              <w:jc w:val="right"/>
              <w:cnfStyle w:val="000000000000"/>
              <w:rPr>
                <w:bCs/>
                <w:sz w:val="18"/>
                <w:szCs w:val="18"/>
              </w:rPr>
            </w:pPr>
            <w:r w:rsidRPr="00C66550">
              <w:rPr>
                <w:bCs/>
                <w:sz w:val="18"/>
                <w:szCs w:val="18"/>
              </w:rPr>
              <w:t>75.30%</w:t>
            </w:r>
          </w:p>
        </w:tc>
      </w:tr>
      <w:tr w:rsidR="005B7769" w:rsidRPr="00C66550" w:rsidTr="00216969">
        <w:tc>
          <w:tcPr>
            <w:cnfStyle w:val="001000000000"/>
            <w:tcW w:w="1190" w:type="pct"/>
            <w:tcBorders>
              <w:top w:val="nil"/>
              <w:bottom w:val="nil"/>
            </w:tcBorders>
            <w:vAlign w:val="center"/>
          </w:tcPr>
          <w:p w:rsidR="005B7769" w:rsidRPr="00C66550" w:rsidRDefault="005B7769">
            <w:pPr>
              <w:rPr>
                <w:bCs/>
                <w:sz w:val="18"/>
                <w:szCs w:val="18"/>
              </w:rPr>
            </w:pPr>
            <w:r w:rsidRPr="00C66550">
              <w:rPr>
                <w:bCs/>
                <w:sz w:val="18"/>
                <w:szCs w:val="18"/>
              </w:rPr>
              <w:t>Glass</w:t>
            </w:r>
          </w:p>
        </w:tc>
        <w:tc>
          <w:tcPr>
            <w:tcW w:w="1193"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1,053,808</w:t>
            </w:r>
          </w:p>
        </w:tc>
        <w:tc>
          <w:tcPr>
            <w:tcW w:w="1190"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519,600</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49.30%</w:t>
            </w:r>
          </w:p>
        </w:tc>
      </w:tr>
      <w:tr w:rsidR="005B7769" w:rsidRPr="00C66550" w:rsidTr="00216969">
        <w:tc>
          <w:tcPr>
            <w:cnfStyle w:val="001000000000"/>
            <w:tcW w:w="1190" w:type="pct"/>
            <w:tcBorders>
              <w:top w:val="nil"/>
              <w:bottom w:val="nil"/>
            </w:tcBorders>
            <w:vAlign w:val="center"/>
          </w:tcPr>
          <w:p w:rsidR="005B7769" w:rsidRPr="00C66550" w:rsidRDefault="005B7769">
            <w:pPr>
              <w:rPr>
                <w:bCs/>
                <w:sz w:val="18"/>
                <w:szCs w:val="18"/>
              </w:rPr>
            </w:pPr>
            <w:r w:rsidRPr="00C66550">
              <w:rPr>
                <w:bCs/>
                <w:sz w:val="18"/>
                <w:szCs w:val="18"/>
              </w:rPr>
              <w:t>Plastics</w:t>
            </w:r>
          </w:p>
        </w:tc>
        <w:tc>
          <w:tcPr>
            <w:tcW w:w="1193" w:type="pct"/>
            <w:tcBorders>
              <w:top w:val="nil"/>
              <w:bottom w:val="nil"/>
            </w:tcBorders>
            <w:vAlign w:val="center"/>
          </w:tcPr>
          <w:p w:rsidR="005B7769" w:rsidRPr="00C66550" w:rsidRDefault="005B7769">
            <w:pPr>
              <w:jc w:val="right"/>
              <w:cnfStyle w:val="000000000000"/>
              <w:rPr>
                <w:bCs/>
                <w:spacing w:val="-1"/>
                <w:sz w:val="18"/>
                <w:szCs w:val="18"/>
              </w:rPr>
            </w:pPr>
            <w:r w:rsidRPr="00C66550">
              <w:rPr>
                <w:bCs/>
                <w:spacing w:val="-1"/>
                <w:sz w:val="18"/>
                <w:szCs w:val="18"/>
              </w:rPr>
              <w:t>532,251</w:t>
            </w:r>
          </w:p>
        </w:tc>
        <w:tc>
          <w:tcPr>
            <w:tcW w:w="1190"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199,812</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37.50%</w:t>
            </w:r>
          </w:p>
        </w:tc>
      </w:tr>
      <w:tr w:rsidR="005B7769" w:rsidRPr="00C66550" w:rsidTr="00216969">
        <w:tc>
          <w:tcPr>
            <w:cnfStyle w:val="001000000000"/>
            <w:tcW w:w="1190" w:type="pct"/>
            <w:tcBorders>
              <w:top w:val="nil"/>
              <w:bottom w:val="nil"/>
            </w:tcBorders>
            <w:vAlign w:val="center"/>
          </w:tcPr>
          <w:p w:rsidR="005B7769" w:rsidRPr="00C66550" w:rsidRDefault="005B7769">
            <w:pPr>
              <w:rPr>
                <w:bCs/>
                <w:sz w:val="18"/>
                <w:szCs w:val="18"/>
              </w:rPr>
            </w:pPr>
            <w:r w:rsidRPr="00C66550">
              <w:rPr>
                <w:bCs/>
                <w:sz w:val="18"/>
                <w:szCs w:val="18"/>
              </w:rPr>
              <w:t>Steel cans</w:t>
            </w:r>
          </w:p>
        </w:tc>
        <w:tc>
          <w:tcPr>
            <w:tcW w:w="1193" w:type="pct"/>
            <w:tcBorders>
              <w:top w:val="nil"/>
              <w:bottom w:val="nil"/>
            </w:tcBorders>
            <w:vAlign w:val="center"/>
          </w:tcPr>
          <w:p w:rsidR="005B7769" w:rsidRPr="00C66550" w:rsidRDefault="005B7769">
            <w:pPr>
              <w:jc w:val="right"/>
              <w:cnfStyle w:val="000000000000"/>
              <w:rPr>
                <w:bCs/>
                <w:spacing w:val="-1"/>
                <w:sz w:val="18"/>
                <w:szCs w:val="18"/>
              </w:rPr>
            </w:pPr>
            <w:r w:rsidRPr="00C66550">
              <w:rPr>
                <w:bCs/>
                <w:spacing w:val="-1"/>
                <w:sz w:val="18"/>
                <w:szCs w:val="18"/>
              </w:rPr>
              <w:t>127,601</w:t>
            </w:r>
          </w:p>
        </w:tc>
        <w:tc>
          <w:tcPr>
            <w:tcW w:w="1190"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43,583</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34.20%</w:t>
            </w:r>
          </w:p>
        </w:tc>
      </w:tr>
      <w:tr w:rsidR="005B7769" w:rsidRPr="00C66550" w:rsidTr="00216969">
        <w:tc>
          <w:tcPr>
            <w:cnfStyle w:val="001000000000"/>
            <w:tcW w:w="1190" w:type="pct"/>
            <w:tcBorders>
              <w:top w:val="nil"/>
              <w:bottom w:val="nil"/>
            </w:tcBorders>
          </w:tcPr>
          <w:p w:rsidR="005B7769" w:rsidRPr="00C66550" w:rsidRDefault="00C66550">
            <w:pPr>
              <w:rPr>
                <w:bCs/>
                <w:sz w:val="18"/>
                <w:szCs w:val="18"/>
              </w:rPr>
            </w:pPr>
            <w:r w:rsidRPr="00C66550">
              <w:rPr>
                <w:bCs/>
                <w:sz w:val="18"/>
                <w:szCs w:val="18"/>
              </w:rPr>
              <w:t>Aluminium</w:t>
            </w:r>
            <w:r w:rsidR="005B7769" w:rsidRPr="00C66550">
              <w:rPr>
                <w:bCs/>
                <w:sz w:val="18"/>
                <w:szCs w:val="18"/>
              </w:rPr>
              <w:t xml:space="preserve"> cans</w:t>
            </w:r>
          </w:p>
        </w:tc>
        <w:tc>
          <w:tcPr>
            <w:tcW w:w="1193" w:type="pct"/>
            <w:tcBorders>
              <w:top w:val="nil"/>
              <w:bottom w:val="nil"/>
            </w:tcBorders>
            <w:vAlign w:val="center"/>
          </w:tcPr>
          <w:p w:rsidR="005B7769" w:rsidRPr="00C66550" w:rsidRDefault="005B7769">
            <w:pPr>
              <w:jc w:val="right"/>
              <w:cnfStyle w:val="000000000000"/>
              <w:rPr>
                <w:bCs/>
                <w:sz w:val="18"/>
                <w:szCs w:val="18"/>
              </w:rPr>
            </w:pPr>
            <w:r w:rsidRPr="00C66550">
              <w:rPr>
                <w:bCs/>
                <w:spacing w:val="-1"/>
                <w:sz w:val="18"/>
                <w:szCs w:val="18"/>
              </w:rPr>
              <w:t>57,196</w:t>
            </w:r>
          </w:p>
        </w:tc>
        <w:tc>
          <w:tcPr>
            <w:tcW w:w="1190"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36,600</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64.00%</w:t>
            </w:r>
          </w:p>
        </w:tc>
      </w:tr>
      <w:tr w:rsidR="005B7769" w:rsidRPr="00C66550" w:rsidTr="00216969">
        <w:tc>
          <w:tcPr>
            <w:cnfStyle w:val="001000000000"/>
            <w:tcW w:w="1190" w:type="pct"/>
            <w:tcBorders>
              <w:top w:val="nil"/>
              <w:bottom w:val="single" w:sz="4" w:space="0" w:color="7F7F7F" w:themeColor="background2"/>
            </w:tcBorders>
            <w:vAlign w:val="center"/>
          </w:tcPr>
          <w:p w:rsidR="005B7769" w:rsidRPr="00C66550" w:rsidRDefault="00FF12A8">
            <w:pPr>
              <w:rPr>
                <w:bCs/>
                <w:sz w:val="18"/>
                <w:szCs w:val="18"/>
              </w:rPr>
            </w:pPr>
            <w:r w:rsidRPr="00C66550">
              <w:rPr>
                <w:bCs/>
                <w:sz w:val="18"/>
                <w:szCs w:val="18"/>
              </w:rPr>
              <w:t xml:space="preserve"> </w:t>
            </w:r>
            <w:r w:rsidR="005B7769" w:rsidRPr="00C66550">
              <w:rPr>
                <w:bCs/>
                <w:sz w:val="18"/>
                <w:szCs w:val="18"/>
              </w:rPr>
              <w:t>TOTAL</w:t>
            </w:r>
          </w:p>
        </w:tc>
        <w:tc>
          <w:tcPr>
            <w:tcW w:w="1193" w:type="pct"/>
            <w:tcBorders>
              <w:top w:val="nil"/>
              <w:bottom w:val="single" w:sz="4" w:space="0" w:color="7F7F7F" w:themeColor="background2"/>
            </w:tcBorders>
            <w:vAlign w:val="center"/>
          </w:tcPr>
          <w:p w:rsidR="005B7769" w:rsidRPr="00C66550" w:rsidRDefault="005B7769">
            <w:pPr>
              <w:jc w:val="right"/>
              <w:cnfStyle w:val="000000000000"/>
              <w:rPr>
                <w:bCs/>
                <w:sz w:val="18"/>
                <w:szCs w:val="18"/>
              </w:rPr>
            </w:pPr>
            <w:r w:rsidRPr="00C66550">
              <w:rPr>
                <w:bCs/>
                <w:sz w:val="18"/>
                <w:szCs w:val="18"/>
              </w:rPr>
              <w:t>4,372,856</w:t>
            </w:r>
          </w:p>
        </w:tc>
        <w:tc>
          <w:tcPr>
            <w:tcW w:w="1190" w:type="pct"/>
            <w:tcBorders>
              <w:top w:val="nil"/>
              <w:bottom w:val="single" w:sz="4" w:space="0" w:color="7F7F7F" w:themeColor="background2"/>
            </w:tcBorders>
            <w:vAlign w:val="center"/>
          </w:tcPr>
          <w:p w:rsidR="005B7769" w:rsidRPr="00C66550" w:rsidRDefault="005B7769">
            <w:pPr>
              <w:jc w:val="right"/>
              <w:cnfStyle w:val="000000000000"/>
              <w:rPr>
                <w:bCs/>
                <w:sz w:val="18"/>
                <w:szCs w:val="18"/>
              </w:rPr>
            </w:pPr>
            <w:r w:rsidRPr="00C66550">
              <w:rPr>
                <w:bCs/>
                <w:sz w:val="18"/>
                <w:szCs w:val="18"/>
              </w:rPr>
              <w:t>2,759,595</w:t>
            </w:r>
          </w:p>
        </w:tc>
        <w:tc>
          <w:tcPr>
            <w:tcW w:w="1427" w:type="pct"/>
            <w:tcBorders>
              <w:top w:val="nil"/>
              <w:bottom w:val="single" w:sz="4" w:space="0" w:color="7F7F7F" w:themeColor="background2"/>
            </w:tcBorders>
            <w:vAlign w:val="center"/>
          </w:tcPr>
          <w:p w:rsidR="005B7769" w:rsidRPr="00C66550" w:rsidRDefault="005B7769">
            <w:pPr>
              <w:jc w:val="right"/>
              <w:cnfStyle w:val="000000000000"/>
              <w:rPr>
                <w:bCs/>
                <w:sz w:val="18"/>
                <w:szCs w:val="18"/>
              </w:rPr>
            </w:pPr>
            <w:r w:rsidRPr="00C66550">
              <w:rPr>
                <w:bCs/>
                <w:sz w:val="18"/>
                <w:szCs w:val="18"/>
              </w:rPr>
              <w:t>63.10%</w:t>
            </w:r>
          </w:p>
        </w:tc>
      </w:tr>
      <w:tr w:rsidR="005B7769" w:rsidRPr="00C66550" w:rsidTr="00216969">
        <w:trPr>
          <w:trHeight w:val="433"/>
        </w:trPr>
        <w:tc>
          <w:tcPr>
            <w:cnfStyle w:val="001000000000"/>
            <w:tcW w:w="5000" w:type="pct"/>
            <w:gridSpan w:val="4"/>
            <w:tcBorders>
              <w:top w:val="single" w:sz="4" w:space="0" w:color="7F7F7F" w:themeColor="background2"/>
              <w:bottom w:val="single" w:sz="4" w:space="0" w:color="7F7F7F" w:themeColor="background2"/>
            </w:tcBorders>
            <w:vAlign w:val="center"/>
          </w:tcPr>
          <w:p w:rsidR="005B7769" w:rsidRPr="00C66550" w:rsidRDefault="005B7769" w:rsidP="003C30B4">
            <w:pPr>
              <w:jc w:val="center"/>
              <w:rPr>
                <w:sz w:val="18"/>
                <w:szCs w:val="18"/>
              </w:rPr>
            </w:pPr>
            <w:r w:rsidRPr="00C66550">
              <w:rPr>
                <w:b/>
                <w:bCs/>
                <w:spacing w:val="-1"/>
                <w:sz w:val="18"/>
                <w:szCs w:val="18"/>
              </w:rPr>
              <w:t>Change in Packaging Recycling (by type, in tonnes), base year to current year</w:t>
            </w:r>
          </w:p>
        </w:tc>
      </w:tr>
      <w:tr w:rsidR="005B7769" w:rsidRPr="00C66550" w:rsidTr="00216969">
        <w:tc>
          <w:tcPr>
            <w:cnfStyle w:val="001000000000"/>
            <w:tcW w:w="1190" w:type="pct"/>
            <w:tcBorders>
              <w:bottom w:val="nil"/>
            </w:tcBorders>
            <w:vAlign w:val="center"/>
          </w:tcPr>
          <w:p w:rsidR="005B7769" w:rsidRPr="00C66550" w:rsidRDefault="005B7769">
            <w:pPr>
              <w:rPr>
                <w:b/>
                <w:bCs/>
                <w:sz w:val="18"/>
                <w:szCs w:val="18"/>
              </w:rPr>
            </w:pPr>
            <w:r w:rsidRPr="00C66550">
              <w:rPr>
                <w:b/>
                <w:bCs/>
                <w:sz w:val="18"/>
                <w:szCs w:val="18"/>
              </w:rPr>
              <w:t>Material Type</w:t>
            </w:r>
          </w:p>
        </w:tc>
        <w:tc>
          <w:tcPr>
            <w:tcW w:w="1193" w:type="pct"/>
            <w:tcBorders>
              <w:bottom w:val="nil"/>
            </w:tcBorders>
            <w:vAlign w:val="center"/>
          </w:tcPr>
          <w:p w:rsidR="005B7769" w:rsidRPr="00C66550" w:rsidRDefault="005B7769" w:rsidP="003C30B4">
            <w:pPr>
              <w:jc w:val="right"/>
              <w:cnfStyle w:val="000000000000"/>
              <w:rPr>
                <w:b/>
                <w:bCs/>
                <w:sz w:val="18"/>
                <w:szCs w:val="18"/>
              </w:rPr>
            </w:pPr>
            <w:r w:rsidRPr="00C66550">
              <w:rPr>
                <w:b/>
                <w:bCs/>
                <w:sz w:val="18"/>
                <w:szCs w:val="18"/>
              </w:rPr>
              <w:t>2003</w:t>
            </w:r>
          </w:p>
        </w:tc>
        <w:tc>
          <w:tcPr>
            <w:tcW w:w="1190" w:type="pct"/>
            <w:tcBorders>
              <w:bottom w:val="nil"/>
            </w:tcBorders>
            <w:vAlign w:val="center"/>
          </w:tcPr>
          <w:p w:rsidR="005B7769" w:rsidRPr="00C66550" w:rsidRDefault="005B7769" w:rsidP="003C30B4">
            <w:pPr>
              <w:jc w:val="right"/>
              <w:cnfStyle w:val="000000000000"/>
              <w:rPr>
                <w:b/>
                <w:bCs/>
                <w:sz w:val="18"/>
                <w:szCs w:val="18"/>
              </w:rPr>
            </w:pPr>
            <w:r w:rsidRPr="00C66550">
              <w:rPr>
                <w:b/>
                <w:bCs/>
                <w:sz w:val="18"/>
                <w:szCs w:val="18"/>
              </w:rPr>
              <w:t>2011</w:t>
            </w:r>
          </w:p>
        </w:tc>
        <w:tc>
          <w:tcPr>
            <w:tcW w:w="1427" w:type="pct"/>
            <w:tcBorders>
              <w:bottom w:val="nil"/>
            </w:tcBorders>
            <w:vAlign w:val="center"/>
          </w:tcPr>
          <w:p w:rsidR="005B7769" w:rsidRPr="00C66550" w:rsidRDefault="005B7769" w:rsidP="003C30B4">
            <w:pPr>
              <w:jc w:val="right"/>
              <w:cnfStyle w:val="000000000000"/>
              <w:rPr>
                <w:b/>
                <w:bCs/>
                <w:sz w:val="18"/>
                <w:szCs w:val="18"/>
              </w:rPr>
            </w:pPr>
            <w:r w:rsidRPr="00C66550">
              <w:rPr>
                <w:b/>
                <w:bCs/>
                <w:sz w:val="18"/>
                <w:szCs w:val="18"/>
              </w:rPr>
              <w:t>Change %</w:t>
            </w:r>
          </w:p>
        </w:tc>
      </w:tr>
      <w:tr w:rsidR="005B7769" w:rsidRPr="00C66550" w:rsidTr="00216969">
        <w:tc>
          <w:tcPr>
            <w:cnfStyle w:val="001000000000"/>
            <w:tcW w:w="1190" w:type="pct"/>
            <w:tcBorders>
              <w:top w:val="nil"/>
              <w:bottom w:val="nil"/>
            </w:tcBorders>
            <w:vAlign w:val="center"/>
          </w:tcPr>
          <w:p w:rsidR="005B7769" w:rsidRPr="00C66550" w:rsidRDefault="005B7769">
            <w:pPr>
              <w:rPr>
                <w:bCs/>
                <w:sz w:val="18"/>
                <w:szCs w:val="18"/>
              </w:rPr>
            </w:pPr>
            <w:r w:rsidRPr="00C66550">
              <w:rPr>
                <w:bCs/>
                <w:sz w:val="18"/>
                <w:szCs w:val="18"/>
              </w:rPr>
              <w:t>Paper/Cardboard</w:t>
            </w:r>
          </w:p>
        </w:tc>
        <w:tc>
          <w:tcPr>
            <w:tcW w:w="1193" w:type="pct"/>
            <w:tcBorders>
              <w:top w:val="nil"/>
              <w:bottom w:val="nil"/>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5B7769" w:rsidRPr="00C66550">
              <w:rPr>
                <w:bCs/>
                <w:sz w:val="18"/>
                <w:szCs w:val="18"/>
              </w:rPr>
              <w:t xml:space="preserve"> 1,211,000 </w:t>
            </w:r>
          </w:p>
        </w:tc>
        <w:tc>
          <w:tcPr>
            <w:tcW w:w="1190" w:type="pct"/>
            <w:tcBorders>
              <w:top w:val="nil"/>
              <w:bottom w:val="nil"/>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5B7769" w:rsidRPr="00C66550">
              <w:rPr>
                <w:bCs/>
                <w:sz w:val="18"/>
                <w:szCs w:val="18"/>
              </w:rPr>
              <w:t xml:space="preserve"> 1,960,000 </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62%</w:t>
            </w:r>
          </w:p>
        </w:tc>
      </w:tr>
      <w:tr w:rsidR="005B7769" w:rsidRPr="00C66550" w:rsidTr="00216969">
        <w:tc>
          <w:tcPr>
            <w:cnfStyle w:val="001000000000"/>
            <w:tcW w:w="1190" w:type="pct"/>
            <w:tcBorders>
              <w:top w:val="nil"/>
              <w:bottom w:val="nil"/>
            </w:tcBorders>
            <w:vAlign w:val="center"/>
          </w:tcPr>
          <w:p w:rsidR="005B7769" w:rsidRPr="00C66550" w:rsidRDefault="00FF12A8" w:rsidP="003C30B4">
            <w:pPr>
              <w:rPr>
                <w:bCs/>
                <w:sz w:val="18"/>
                <w:szCs w:val="18"/>
              </w:rPr>
            </w:pPr>
            <w:r w:rsidRPr="00C66550">
              <w:rPr>
                <w:bCs/>
                <w:sz w:val="18"/>
                <w:szCs w:val="18"/>
              </w:rPr>
              <w:t xml:space="preserve"> </w:t>
            </w:r>
            <w:r w:rsidR="005B7769" w:rsidRPr="00C66550">
              <w:rPr>
                <w:bCs/>
                <w:sz w:val="18"/>
                <w:szCs w:val="18"/>
              </w:rPr>
              <w:t>Glass</w:t>
            </w:r>
          </w:p>
        </w:tc>
        <w:tc>
          <w:tcPr>
            <w:tcW w:w="1193" w:type="pct"/>
            <w:tcBorders>
              <w:top w:val="nil"/>
              <w:bottom w:val="nil"/>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6F2CE3" w:rsidRPr="00C66550">
              <w:rPr>
                <w:bCs/>
                <w:sz w:val="18"/>
                <w:szCs w:val="18"/>
              </w:rPr>
              <w:t xml:space="preserve"> </w:t>
            </w:r>
            <w:r w:rsidR="005B7769" w:rsidRPr="00C66550">
              <w:rPr>
                <w:bCs/>
                <w:sz w:val="18"/>
                <w:szCs w:val="18"/>
              </w:rPr>
              <w:t xml:space="preserve">238,500 </w:t>
            </w:r>
          </w:p>
        </w:tc>
        <w:tc>
          <w:tcPr>
            <w:tcW w:w="1190" w:type="pct"/>
            <w:tcBorders>
              <w:top w:val="nil"/>
              <w:bottom w:val="nil"/>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6F2CE3" w:rsidRPr="00C66550">
              <w:rPr>
                <w:bCs/>
                <w:sz w:val="18"/>
                <w:szCs w:val="18"/>
              </w:rPr>
              <w:t xml:space="preserve"> </w:t>
            </w:r>
            <w:r w:rsidR="005B7769" w:rsidRPr="00C66550">
              <w:rPr>
                <w:bCs/>
                <w:sz w:val="18"/>
                <w:szCs w:val="18"/>
              </w:rPr>
              <w:t xml:space="preserve">519,600 </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218%</w:t>
            </w:r>
          </w:p>
        </w:tc>
      </w:tr>
      <w:tr w:rsidR="005B7769" w:rsidRPr="00C66550" w:rsidTr="00216969">
        <w:tc>
          <w:tcPr>
            <w:cnfStyle w:val="001000000000"/>
            <w:tcW w:w="1190" w:type="pct"/>
            <w:tcBorders>
              <w:top w:val="nil"/>
              <w:bottom w:val="nil"/>
            </w:tcBorders>
            <w:vAlign w:val="center"/>
          </w:tcPr>
          <w:p w:rsidR="005B7769" w:rsidRPr="00C66550" w:rsidRDefault="00FF12A8" w:rsidP="003C30B4">
            <w:pPr>
              <w:rPr>
                <w:bCs/>
                <w:sz w:val="18"/>
                <w:szCs w:val="18"/>
              </w:rPr>
            </w:pPr>
            <w:r w:rsidRPr="00C66550">
              <w:rPr>
                <w:bCs/>
                <w:sz w:val="18"/>
                <w:szCs w:val="18"/>
              </w:rPr>
              <w:t xml:space="preserve"> </w:t>
            </w:r>
            <w:r w:rsidR="005B7769" w:rsidRPr="00C66550">
              <w:rPr>
                <w:bCs/>
                <w:sz w:val="18"/>
                <w:szCs w:val="18"/>
              </w:rPr>
              <w:t>Plastics</w:t>
            </w:r>
          </w:p>
        </w:tc>
        <w:tc>
          <w:tcPr>
            <w:tcW w:w="1193" w:type="pct"/>
            <w:tcBorders>
              <w:top w:val="nil"/>
              <w:bottom w:val="nil"/>
            </w:tcBorders>
            <w:vAlign w:val="center"/>
          </w:tcPr>
          <w:p w:rsidR="005B7769" w:rsidRPr="00C66550" w:rsidRDefault="00E5424C">
            <w:pPr>
              <w:jc w:val="right"/>
              <w:cnfStyle w:val="000000000000"/>
              <w:rPr>
                <w:bCs/>
                <w:sz w:val="18"/>
                <w:szCs w:val="18"/>
              </w:rPr>
            </w:pPr>
            <w:r w:rsidRPr="00C66550">
              <w:rPr>
                <w:bCs/>
                <w:spacing w:val="-1"/>
                <w:sz w:val="18"/>
                <w:szCs w:val="18"/>
              </w:rPr>
              <w:t xml:space="preserve">    </w:t>
            </w:r>
            <w:r w:rsidR="006F2CE3" w:rsidRPr="00C66550">
              <w:rPr>
                <w:bCs/>
                <w:spacing w:val="-1"/>
                <w:sz w:val="18"/>
                <w:szCs w:val="18"/>
              </w:rPr>
              <w:t xml:space="preserve"> </w:t>
            </w:r>
            <w:r w:rsidR="005B7769" w:rsidRPr="00C66550">
              <w:rPr>
                <w:bCs/>
                <w:spacing w:val="-1"/>
                <w:sz w:val="18"/>
                <w:szCs w:val="18"/>
              </w:rPr>
              <w:t xml:space="preserve">127,397 </w:t>
            </w:r>
          </w:p>
        </w:tc>
        <w:tc>
          <w:tcPr>
            <w:tcW w:w="1190" w:type="pct"/>
            <w:tcBorders>
              <w:top w:val="nil"/>
              <w:bottom w:val="nil"/>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6F2CE3" w:rsidRPr="00C66550">
              <w:rPr>
                <w:bCs/>
                <w:sz w:val="18"/>
                <w:szCs w:val="18"/>
              </w:rPr>
              <w:t xml:space="preserve"> </w:t>
            </w:r>
            <w:r w:rsidR="005B7769" w:rsidRPr="00C66550">
              <w:rPr>
                <w:bCs/>
                <w:sz w:val="18"/>
                <w:szCs w:val="18"/>
              </w:rPr>
              <w:t xml:space="preserve">199,812 </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57%</w:t>
            </w:r>
          </w:p>
        </w:tc>
      </w:tr>
      <w:tr w:rsidR="005B7769" w:rsidRPr="00C66550" w:rsidTr="00216969">
        <w:tc>
          <w:tcPr>
            <w:cnfStyle w:val="001000000000"/>
            <w:tcW w:w="1190" w:type="pct"/>
            <w:tcBorders>
              <w:top w:val="nil"/>
              <w:bottom w:val="nil"/>
            </w:tcBorders>
            <w:vAlign w:val="center"/>
          </w:tcPr>
          <w:p w:rsidR="005B7769" w:rsidRPr="00C66550" w:rsidRDefault="00FF12A8" w:rsidP="003C30B4">
            <w:pPr>
              <w:rPr>
                <w:bCs/>
                <w:sz w:val="18"/>
                <w:szCs w:val="18"/>
              </w:rPr>
            </w:pPr>
            <w:r w:rsidRPr="00C66550">
              <w:rPr>
                <w:bCs/>
                <w:sz w:val="18"/>
                <w:szCs w:val="18"/>
              </w:rPr>
              <w:t xml:space="preserve"> </w:t>
            </w:r>
            <w:r w:rsidR="005B7769" w:rsidRPr="00C66550">
              <w:rPr>
                <w:bCs/>
                <w:sz w:val="18"/>
                <w:szCs w:val="18"/>
              </w:rPr>
              <w:t>Steel cans</w:t>
            </w:r>
          </w:p>
        </w:tc>
        <w:tc>
          <w:tcPr>
            <w:tcW w:w="1193" w:type="pct"/>
            <w:tcBorders>
              <w:top w:val="nil"/>
              <w:bottom w:val="nil"/>
            </w:tcBorders>
            <w:vAlign w:val="center"/>
          </w:tcPr>
          <w:p w:rsidR="005B7769" w:rsidRPr="00C66550" w:rsidRDefault="00E5424C">
            <w:pPr>
              <w:jc w:val="right"/>
              <w:cnfStyle w:val="000000000000"/>
              <w:rPr>
                <w:bCs/>
                <w:sz w:val="18"/>
                <w:szCs w:val="18"/>
              </w:rPr>
            </w:pPr>
            <w:r w:rsidRPr="00C66550">
              <w:rPr>
                <w:bCs/>
                <w:spacing w:val="-1"/>
                <w:sz w:val="18"/>
                <w:szCs w:val="18"/>
              </w:rPr>
              <w:t xml:space="preserve">     </w:t>
            </w:r>
            <w:r w:rsidR="005B7769" w:rsidRPr="00C66550">
              <w:rPr>
                <w:bCs/>
                <w:spacing w:val="-1"/>
                <w:sz w:val="18"/>
                <w:szCs w:val="18"/>
              </w:rPr>
              <w:t xml:space="preserve">29,871 </w:t>
            </w:r>
          </w:p>
        </w:tc>
        <w:tc>
          <w:tcPr>
            <w:tcW w:w="1190" w:type="pct"/>
            <w:tcBorders>
              <w:top w:val="nil"/>
              <w:bottom w:val="nil"/>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5B7769" w:rsidRPr="00C66550">
              <w:rPr>
                <w:bCs/>
                <w:sz w:val="18"/>
                <w:szCs w:val="18"/>
              </w:rPr>
              <w:t xml:space="preserve">43,583 </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46%</w:t>
            </w:r>
          </w:p>
        </w:tc>
      </w:tr>
      <w:tr w:rsidR="005B7769" w:rsidRPr="00C66550" w:rsidTr="00216969">
        <w:tc>
          <w:tcPr>
            <w:cnfStyle w:val="001000000000"/>
            <w:tcW w:w="1190" w:type="pct"/>
            <w:tcBorders>
              <w:top w:val="nil"/>
              <w:bottom w:val="nil"/>
            </w:tcBorders>
            <w:vAlign w:val="center"/>
          </w:tcPr>
          <w:p w:rsidR="005B7769" w:rsidRPr="00C66550" w:rsidRDefault="00FF12A8" w:rsidP="003C30B4">
            <w:pPr>
              <w:rPr>
                <w:bCs/>
                <w:sz w:val="18"/>
                <w:szCs w:val="18"/>
              </w:rPr>
            </w:pPr>
            <w:r w:rsidRPr="00C66550">
              <w:rPr>
                <w:bCs/>
                <w:sz w:val="18"/>
                <w:szCs w:val="18"/>
              </w:rPr>
              <w:t xml:space="preserve"> </w:t>
            </w:r>
            <w:r w:rsidR="00C66550" w:rsidRPr="00C66550">
              <w:rPr>
                <w:bCs/>
                <w:sz w:val="18"/>
                <w:szCs w:val="18"/>
              </w:rPr>
              <w:t>Aluminium</w:t>
            </w:r>
            <w:r w:rsidR="005B7769" w:rsidRPr="00C66550">
              <w:rPr>
                <w:bCs/>
                <w:sz w:val="18"/>
                <w:szCs w:val="18"/>
              </w:rPr>
              <w:t xml:space="preserve"> cans</w:t>
            </w:r>
          </w:p>
        </w:tc>
        <w:tc>
          <w:tcPr>
            <w:tcW w:w="1193" w:type="pct"/>
            <w:tcBorders>
              <w:top w:val="nil"/>
              <w:bottom w:val="nil"/>
            </w:tcBorders>
            <w:vAlign w:val="center"/>
          </w:tcPr>
          <w:p w:rsidR="005B7769" w:rsidRPr="00C66550" w:rsidRDefault="00E5424C">
            <w:pPr>
              <w:jc w:val="right"/>
              <w:cnfStyle w:val="000000000000"/>
              <w:rPr>
                <w:bCs/>
                <w:sz w:val="18"/>
                <w:szCs w:val="18"/>
              </w:rPr>
            </w:pPr>
            <w:r w:rsidRPr="00C66550">
              <w:rPr>
                <w:bCs/>
                <w:spacing w:val="-1"/>
                <w:sz w:val="18"/>
                <w:szCs w:val="18"/>
              </w:rPr>
              <w:t xml:space="preserve">     </w:t>
            </w:r>
            <w:r w:rsidR="005B7769" w:rsidRPr="00C66550">
              <w:rPr>
                <w:bCs/>
                <w:spacing w:val="-1"/>
                <w:sz w:val="18"/>
                <w:szCs w:val="18"/>
              </w:rPr>
              <w:t xml:space="preserve">28,500 </w:t>
            </w:r>
          </w:p>
        </w:tc>
        <w:tc>
          <w:tcPr>
            <w:tcW w:w="1190" w:type="pct"/>
            <w:tcBorders>
              <w:top w:val="nil"/>
              <w:bottom w:val="nil"/>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5B7769" w:rsidRPr="00C66550">
              <w:rPr>
                <w:bCs/>
                <w:sz w:val="18"/>
                <w:szCs w:val="18"/>
              </w:rPr>
              <w:t xml:space="preserve">36,600 </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28%</w:t>
            </w:r>
          </w:p>
        </w:tc>
      </w:tr>
      <w:tr w:rsidR="005B7769" w:rsidRPr="00C66550" w:rsidTr="00216969">
        <w:tc>
          <w:tcPr>
            <w:cnfStyle w:val="001000000000"/>
            <w:tcW w:w="1190" w:type="pct"/>
            <w:tcBorders>
              <w:top w:val="nil"/>
              <w:bottom w:val="single" w:sz="4" w:space="0" w:color="7F7F7F" w:themeColor="background2"/>
            </w:tcBorders>
            <w:vAlign w:val="center"/>
          </w:tcPr>
          <w:p w:rsidR="005B7769" w:rsidRPr="00C66550" w:rsidRDefault="00FF12A8" w:rsidP="003C30B4">
            <w:pPr>
              <w:rPr>
                <w:bCs/>
                <w:sz w:val="18"/>
                <w:szCs w:val="18"/>
              </w:rPr>
            </w:pPr>
            <w:r w:rsidRPr="00C66550">
              <w:rPr>
                <w:bCs/>
                <w:sz w:val="18"/>
                <w:szCs w:val="18"/>
              </w:rPr>
              <w:t xml:space="preserve"> </w:t>
            </w:r>
            <w:r w:rsidR="005B7769" w:rsidRPr="00C66550">
              <w:rPr>
                <w:bCs/>
                <w:sz w:val="18"/>
                <w:szCs w:val="18"/>
              </w:rPr>
              <w:t>TOTAL</w:t>
            </w:r>
          </w:p>
        </w:tc>
        <w:tc>
          <w:tcPr>
            <w:tcW w:w="1193" w:type="pct"/>
            <w:tcBorders>
              <w:top w:val="nil"/>
              <w:bottom w:val="single" w:sz="4" w:space="0" w:color="7F7F7F" w:themeColor="background2"/>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5B7769" w:rsidRPr="00C66550">
              <w:rPr>
                <w:bCs/>
                <w:sz w:val="18"/>
                <w:szCs w:val="18"/>
              </w:rPr>
              <w:t xml:space="preserve"> 1,635,268 </w:t>
            </w:r>
          </w:p>
        </w:tc>
        <w:tc>
          <w:tcPr>
            <w:tcW w:w="1190" w:type="pct"/>
            <w:tcBorders>
              <w:top w:val="nil"/>
              <w:bottom w:val="single" w:sz="4" w:space="0" w:color="7F7F7F" w:themeColor="background2"/>
            </w:tcBorders>
            <w:vAlign w:val="center"/>
          </w:tcPr>
          <w:p w:rsidR="005B7769" w:rsidRPr="00C66550" w:rsidRDefault="00E5424C">
            <w:pPr>
              <w:jc w:val="right"/>
              <w:cnfStyle w:val="000000000000"/>
              <w:rPr>
                <w:bCs/>
                <w:sz w:val="18"/>
                <w:szCs w:val="18"/>
              </w:rPr>
            </w:pPr>
            <w:r w:rsidRPr="00C66550">
              <w:rPr>
                <w:bCs/>
                <w:sz w:val="18"/>
                <w:szCs w:val="18"/>
              </w:rPr>
              <w:t xml:space="preserve">    </w:t>
            </w:r>
            <w:r w:rsidR="005B7769" w:rsidRPr="00C66550">
              <w:rPr>
                <w:bCs/>
                <w:sz w:val="18"/>
                <w:szCs w:val="18"/>
              </w:rPr>
              <w:t xml:space="preserve"> 2,759,595 </w:t>
            </w:r>
          </w:p>
        </w:tc>
        <w:tc>
          <w:tcPr>
            <w:tcW w:w="1427" w:type="pct"/>
            <w:tcBorders>
              <w:top w:val="nil"/>
              <w:bottom w:val="single" w:sz="4" w:space="0" w:color="7F7F7F" w:themeColor="background2"/>
            </w:tcBorders>
            <w:vAlign w:val="center"/>
          </w:tcPr>
          <w:p w:rsidR="005B7769" w:rsidRPr="00C66550" w:rsidRDefault="005B7769">
            <w:pPr>
              <w:jc w:val="right"/>
              <w:cnfStyle w:val="000000000000"/>
              <w:rPr>
                <w:bCs/>
                <w:sz w:val="18"/>
                <w:szCs w:val="18"/>
              </w:rPr>
            </w:pPr>
            <w:r w:rsidRPr="00C66550">
              <w:rPr>
                <w:bCs/>
                <w:sz w:val="18"/>
                <w:szCs w:val="18"/>
              </w:rPr>
              <w:t>69%</w:t>
            </w:r>
          </w:p>
        </w:tc>
      </w:tr>
      <w:tr w:rsidR="005B7769" w:rsidRPr="00C66550" w:rsidTr="00216969">
        <w:tc>
          <w:tcPr>
            <w:cnfStyle w:val="001000000000"/>
            <w:tcW w:w="5000" w:type="pct"/>
            <w:gridSpan w:val="4"/>
            <w:tcBorders>
              <w:top w:val="single" w:sz="4" w:space="0" w:color="7F7F7F" w:themeColor="background2"/>
              <w:bottom w:val="single" w:sz="4" w:space="0" w:color="7F7F7F" w:themeColor="background2"/>
            </w:tcBorders>
            <w:vAlign w:val="center"/>
          </w:tcPr>
          <w:p w:rsidR="005B7769" w:rsidRPr="00C66550" w:rsidRDefault="005B7769" w:rsidP="005B7769">
            <w:pPr>
              <w:jc w:val="center"/>
              <w:rPr>
                <w:sz w:val="18"/>
                <w:szCs w:val="18"/>
              </w:rPr>
            </w:pPr>
            <w:r w:rsidRPr="00C66550">
              <w:rPr>
                <w:b/>
                <w:bCs/>
                <w:spacing w:val="-1"/>
                <w:sz w:val="18"/>
                <w:szCs w:val="18"/>
              </w:rPr>
              <w:t xml:space="preserve">Total Packaging Consumption and Recycling </w:t>
            </w:r>
            <w:r w:rsidRPr="00C66550">
              <w:rPr>
                <w:bCs/>
                <w:i/>
                <w:spacing w:val="-1"/>
                <w:sz w:val="18"/>
                <w:szCs w:val="18"/>
              </w:rPr>
              <w:t>(in tonnes)</w:t>
            </w:r>
            <w:r w:rsidRPr="00C66550">
              <w:rPr>
                <w:b/>
                <w:bCs/>
                <w:spacing w:val="-1"/>
                <w:sz w:val="18"/>
                <w:szCs w:val="18"/>
              </w:rPr>
              <w:t>, base year to current year</w:t>
            </w:r>
          </w:p>
        </w:tc>
      </w:tr>
      <w:tr w:rsidR="005B7769" w:rsidRPr="00C66550" w:rsidTr="00216969">
        <w:tc>
          <w:tcPr>
            <w:cnfStyle w:val="001000000000"/>
            <w:tcW w:w="1190" w:type="pct"/>
            <w:tcBorders>
              <w:bottom w:val="nil"/>
            </w:tcBorders>
            <w:vAlign w:val="bottom"/>
          </w:tcPr>
          <w:p w:rsidR="005B7769" w:rsidRPr="00C66550" w:rsidRDefault="005B7769">
            <w:pPr>
              <w:jc w:val="right"/>
              <w:rPr>
                <w:sz w:val="18"/>
                <w:szCs w:val="18"/>
              </w:rPr>
            </w:pPr>
            <w:r w:rsidRPr="00C66550">
              <w:rPr>
                <w:sz w:val="18"/>
                <w:szCs w:val="18"/>
              </w:rPr>
              <w:t> </w:t>
            </w:r>
          </w:p>
        </w:tc>
        <w:tc>
          <w:tcPr>
            <w:tcW w:w="1193" w:type="pct"/>
            <w:tcBorders>
              <w:bottom w:val="nil"/>
            </w:tcBorders>
            <w:vAlign w:val="center"/>
          </w:tcPr>
          <w:p w:rsidR="005B7769" w:rsidRPr="00C66550" w:rsidRDefault="005B7769">
            <w:pPr>
              <w:jc w:val="right"/>
              <w:cnfStyle w:val="000000000000"/>
              <w:rPr>
                <w:b/>
                <w:bCs/>
                <w:sz w:val="18"/>
                <w:szCs w:val="18"/>
              </w:rPr>
            </w:pPr>
            <w:r w:rsidRPr="00C66550">
              <w:rPr>
                <w:b/>
                <w:bCs/>
                <w:sz w:val="18"/>
                <w:szCs w:val="18"/>
              </w:rPr>
              <w:t>2003</w:t>
            </w:r>
          </w:p>
        </w:tc>
        <w:tc>
          <w:tcPr>
            <w:tcW w:w="1190" w:type="pct"/>
            <w:tcBorders>
              <w:bottom w:val="nil"/>
            </w:tcBorders>
            <w:vAlign w:val="center"/>
          </w:tcPr>
          <w:p w:rsidR="005B7769" w:rsidRPr="00C66550" w:rsidRDefault="005B7769">
            <w:pPr>
              <w:jc w:val="right"/>
              <w:cnfStyle w:val="000000000000"/>
              <w:rPr>
                <w:b/>
                <w:bCs/>
                <w:sz w:val="18"/>
                <w:szCs w:val="18"/>
              </w:rPr>
            </w:pPr>
            <w:r w:rsidRPr="00C66550">
              <w:rPr>
                <w:b/>
                <w:bCs/>
                <w:sz w:val="18"/>
                <w:szCs w:val="18"/>
              </w:rPr>
              <w:t>2011</w:t>
            </w:r>
          </w:p>
        </w:tc>
        <w:tc>
          <w:tcPr>
            <w:tcW w:w="1427" w:type="pct"/>
            <w:tcBorders>
              <w:bottom w:val="nil"/>
            </w:tcBorders>
            <w:vAlign w:val="center"/>
          </w:tcPr>
          <w:p w:rsidR="005B7769" w:rsidRPr="00C66550" w:rsidRDefault="005B7769">
            <w:pPr>
              <w:jc w:val="right"/>
              <w:cnfStyle w:val="000000000000"/>
              <w:rPr>
                <w:b/>
                <w:bCs/>
                <w:sz w:val="18"/>
                <w:szCs w:val="18"/>
              </w:rPr>
            </w:pPr>
            <w:r w:rsidRPr="00C66550">
              <w:rPr>
                <w:b/>
                <w:bCs/>
                <w:sz w:val="18"/>
                <w:szCs w:val="18"/>
              </w:rPr>
              <w:t>Change %</w:t>
            </w:r>
          </w:p>
        </w:tc>
      </w:tr>
      <w:tr w:rsidR="005B7769" w:rsidRPr="00C66550" w:rsidTr="00216969">
        <w:tc>
          <w:tcPr>
            <w:cnfStyle w:val="001000000000"/>
            <w:tcW w:w="1190" w:type="pct"/>
            <w:tcBorders>
              <w:top w:val="nil"/>
              <w:bottom w:val="nil"/>
            </w:tcBorders>
            <w:vAlign w:val="center"/>
          </w:tcPr>
          <w:p w:rsidR="005B7769" w:rsidRPr="00C66550" w:rsidRDefault="00FF12A8" w:rsidP="003C30B4">
            <w:pPr>
              <w:rPr>
                <w:bCs/>
                <w:sz w:val="18"/>
                <w:szCs w:val="18"/>
              </w:rPr>
            </w:pPr>
            <w:r w:rsidRPr="00C66550">
              <w:rPr>
                <w:bCs/>
                <w:sz w:val="18"/>
                <w:szCs w:val="18"/>
              </w:rPr>
              <w:t xml:space="preserve"> </w:t>
            </w:r>
            <w:r w:rsidR="005B7769" w:rsidRPr="00C66550">
              <w:rPr>
                <w:bCs/>
                <w:sz w:val="18"/>
                <w:szCs w:val="18"/>
              </w:rPr>
              <w:t>Consumption</w:t>
            </w:r>
          </w:p>
        </w:tc>
        <w:tc>
          <w:tcPr>
            <w:tcW w:w="1193"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4,172,433</w:t>
            </w:r>
          </w:p>
        </w:tc>
        <w:tc>
          <w:tcPr>
            <w:tcW w:w="1190"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4,372,856</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4.80%</w:t>
            </w:r>
          </w:p>
        </w:tc>
      </w:tr>
      <w:tr w:rsidR="005B7769" w:rsidRPr="00C66550" w:rsidTr="00216969">
        <w:tc>
          <w:tcPr>
            <w:cnfStyle w:val="001000000000"/>
            <w:tcW w:w="1190" w:type="pct"/>
            <w:tcBorders>
              <w:top w:val="nil"/>
              <w:bottom w:val="nil"/>
            </w:tcBorders>
            <w:vAlign w:val="center"/>
          </w:tcPr>
          <w:p w:rsidR="005B7769" w:rsidRPr="00C66550" w:rsidRDefault="00FF12A8" w:rsidP="003C30B4">
            <w:pPr>
              <w:rPr>
                <w:bCs/>
                <w:sz w:val="18"/>
                <w:szCs w:val="18"/>
              </w:rPr>
            </w:pPr>
            <w:r w:rsidRPr="00C66550">
              <w:rPr>
                <w:bCs/>
                <w:sz w:val="18"/>
                <w:szCs w:val="18"/>
              </w:rPr>
              <w:t xml:space="preserve"> </w:t>
            </w:r>
            <w:r w:rsidR="005B7769" w:rsidRPr="00C66550">
              <w:rPr>
                <w:bCs/>
                <w:sz w:val="18"/>
                <w:szCs w:val="18"/>
              </w:rPr>
              <w:t>Recycling</w:t>
            </w:r>
          </w:p>
        </w:tc>
        <w:tc>
          <w:tcPr>
            <w:tcW w:w="1193"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1,635,268</w:t>
            </w:r>
          </w:p>
        </w:tc>
        <w:tc>
          <w:tcPr>
            <w:tcW w:w="1190"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2,759,595</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68.70%</w:t>
            </w:r>
          </w:p>
        </w:tc>
      </w:tr>
      <w:tr w:rsidR="005B7769" w:rsidRPr="00C66550" w:rsidTr="00216969">
        <w:tc>
          <w:tcPr>
            <w:cnfStyle w:val="001000000000"/>
            <w:tcW w:w="1190" w:type="pct"/>
            <w:tcBorders>
              <w:top w:val="nil"/>
              <w:bottom w:val="nil"/>
            </w:tcBorders>
            <w:vAlign w:val="center"/>
          </w:tcPr>
          <w:p w:rsidR="005B7769" w:rsidRPr="00C66550" w:rsidRDefault="00FF12A8" w:rsidP="003C30B4">
            <w:pPr>
              <w:rPr>
                <w:bCs/>
                <w:sz w:val="18"/>
                <w:szCs w:val="18"/>
              </w:rPr>
            </w:pPr>
            <w:r w:rsidRPr="00C66550">
              <w:rPr>
                <w:bCs/>
                <w:sz w:val="18"/>
                <w:szCs w:val="18"/>
              </w:rPr>
              <w:t xml:space="preserve"> </w:t>
            </w:r>
            <w:r w:rsidR="005B7769" w:rsidRPr="00C66550">
              <w:rPr>
                <w:bCs/>
                <w:sz w:val="18"/>
                <w:szCs w:val="18"/>
              </w:rPr>
              <w:t>Disposed to Landfill</w:t>
            </w:r>
          </w:p>
        </w:tc>
        <w:tc>
          <w:tcPr>
            <w:tcW w:w="1193"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2,437,165</w:t>
            </w:r>
          </w:p>
        </w:tc>
        <w:tc>
          <w:tcPr>
            <w:tcW w:w="1190"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1,613,261</w:t>
            </w:r>
          </w:p>
        </w:tc>
        <w:tc>
          <w:tcPr>
            <w:tcW w:w="1427" w:type="pct"/>
            <w:tcBorders>
              <w:top w:val="nil"/>
              <w:bottom w:val="nil"/>
            </w:tcBorders>
            <w:vAlign w:val="center"/>
          </w:tcPr>
          <w:p w:rsidR="005B7769" w:rsidRPr="00C66550" w:rsidRDefault="005B7769">
            <w:pPr>
              <w:jc w:val="right"/>
              <w:cnfStyle w:val="000000000000"/>
              <w:rPr>
                <w:bCs/>
                <w:sz w:val="18"/>
                <w:szCs w:val="18"/>
              </w:rPr>
            </w:pPr>
            <w:r w:rsidRPr="00C66550">
              <w:rPr>
                <w:bCs/>
                <w:sz w:val="18"/>
                <w:szCs w:val="18"/>
              </w:rPr>
              <w:t>-36.40%</w:t>
            </w:r>
          </w:p>
        </w:tc>
      </w:tr>
      <w:tr w:rsidR="005B7769" w:rsidRPr="00C66550" w:rsidTr="00216969">
        <w:tc>
          <w:tcPr>
            <w:cnfStyle w:val="001000000000"/>
            <w:tcW w:w="1190" w:type="pct"/>
            <w:tcBorders>
              <w:top w:val="nil"/>
              <w:bottom w:val="single" w:sz="4" w:space="0" w:color="7F7F7F" w:themeColor="background2"/>
            </w:tcBorders>
            <w:vAlign w:val="center"/>
          </w:tcPr>
          <w:p w:rsidR="005B7769" w:rsidRPr="00C66550" w:rsidRDefault="00FF12A8" w:rsidP="003C30B4">
            <w:pPr>
              <w:rPr>
                <w:bCs/>
                <w:sz w:val="18"/>
                <w:szCs w:val="18"/>
              </w:rPr>
            </w:pPr>
            <w:r w:rsidRPr="00C66550">
              <w:rPr>
                <w:bCs/>
                <w:sz w:val="18"/>
                <w:szCs w:val="18"/>
              </w:rPr>
              <w:t xml:space="preserve"> </w:t>
            </w:r>
            <w:r w:rsidR="005B7769" w:rsidRPr="00C66550">
              <w:rPr>
                <w:bCs/>
                <w:sz w:val="18"/>
                <w:szCs w:val="18"/>
              </w:rPr>
              <w:t>Recycling Rate</w:t>
            </w:r>
          </w:p>
        </w:tc>
        <w:tc>
          <w:tcPr>
            <w:tcW w:w="1193" w:type="pct"/>
            <w:tcBorders>
              <w:top w:val="nil"/>
              <w:bottom w:val="single" w:sz="4" w:space="0" w:color="7F7F7F" w:themeColor="background2"/>
            </w:tcBorders>
            <w:vAlign w:val="center"/>
          </w:tcPr>
          <w:p w:rsidR="005B7769" w:rsidRPr="00C66550" w:rsidRDefault="005B7769">
            <w:pPr>
              <w:jc w:val="right"/>
              <w:cnfStyle w:val="000000000000"/>
              <w:rPr>
                <w:bCs/>
                <w:sz w:val="18"/>
                <w:szCs w:val="18"/>
              </w:rPr>
            </w:pPr>
            <w:r w:rsidRPr="00C66550">
              <w:rPr>
                <w:bCs/>
                <w:spacing w:val="-1"/>
                <w:sz w:val="18"/>
                <w:szCs w:val="18"/>
              </w:rPr>
              <w:t>39.20%</w:t>
            </w:r>
          </w:p>
        </w:tc>
        <w:tc>
          <w:tcPr>
            <w:tcW w:w="1190" w:type="pct"/>
            <w:tcBorders>
              <w:top w:val="nil"/>
              <w:bottom w:val="single" w:sz="4" w:space="0" w:color="7F7F7F" w:themeColor="background2"/>
            </w:tcBorders>
            <w:vAlign w:val="center"/>
          </w:tcPr>
          <w:p w:rsidR="005B7769" w:rsidRPr="00C66550" w:rsidRDefault="005B7769">
            <w:pPr>
              <w:jc w:val="right"/>
              <w:cnfStyle w:val="000000000000"/>
              <w:rPr>
                <w:bCs/>
                <w:sz w:val="18"/>
                <w:szCs w:val="18"/>
              </w:rPr>
            </w:pPr>
            <w:r w:rsidRPr="00C66550">
              <w:rPr>
                <w:bCs/>
                <w:sz w:val="18"/>
                <w:szCs w:val="18"/>
              </w:rPr>
              <w:t>63.10%</w:t>
            </w:r>
          </w:p>
        </w:tc>
        <w:tc>
          <w:tcPr>
            <w:tcW w:w="1427" w:type="pct"/>
            <w:tcBorders>
              <w:top w:val="nil"/>
              <w:bottom w:val="single" w:sz="4" w:space="0" w:color="7F7F7F" w:themeColor="background2"/>
            </w:tcBorders>
            <w:vAlign w:val="bottom"/>
          </w:tcPr>
          <w:p w:rsidR="005B7769" w:rsidRPr="00C66550" w:rsidRDefault="005B7769">
            <w:pPr>
              <w:jc w:val="right"/>
              <w:cnfStyle w:val="000000000000"/>
              <w:rPr>
                <w:sz w:val="18"/>
                <w:szCs w:val="18"/>
              </w:rPr>
            </w:pPr>
            <w:r w:rsidRPr="00C66550">
              <w:rPr>
                <w:sz w:val="18"/>
                <w:szCs w:val="18"/>
              </w:rPr>
              <w:t> </w:t>
            </w:r>
          </w:p>
        </w:tc>
      </w:tr>
    </w:tbl>
    <w:p w:rsidR="003C30B4" w:rsidRPr="00C548DF" w:rsidRDefault="003C30B4" w:rsidP="003C30B4">
      <w:pPr>
        <w:pStyle w:val="FigureTableinfo"/>
        <w:keepNext/>
        <w:rPr>
          <w:sz w:val="20"/>
        </w:rPr>
      </w:pPr>
      <w:r w:rsidRPr="00C548DF">
        <w:rPr>
          <w:sz w:val="20"/>
        </w:rPr>
        <w:t>Source:</w:t>
      </w:r>
      <w:r w:rsidR="00801BDB" w:rsidRPr="00C548DF">
        <w:rPr>
          <w:sz w:val="20"/>
        </w:rPr>
        <w:t xml:space="preserve"> A</w:t>
      </w:r>
      <w:r w:rsidR="00FC2D1C" w:rsidRPr="00C548DF">
        <w:rPr>
          <w:sz w:val="20"/>
        </w:rPr>
        <w:t xml:space="preserve">ustralian </w:t>
      </w:r>
      <w:r w:rsidR="00801BDB" w:rsidRPr="00C548DF">
        <w:rPr>
          <w:sz w:val="20"/>
        </w:rPr>
        <w:t>P</w:t>
      </w:r>
      <w:r w:rsidR="00FC2D1C" w:rsidRPr="00C548DF">
        <w:rPr>
          <w:sz w:val="20"/>
        </w:rPr>
        <w:t xml:space="preserve">ackaging </w:t>
      </w:r>
      <w:r w:rsidR="00801BDB" w:rsidRPr="00C548DF">
        <w:rPr>
          <w:sz w:val="20"/>
        </w:rPr>
        <w:t>C</w:t>
      </w:r>
      <w:r w:rsidR="00FC2D1C" w:rsidRPr="00C548DF">
        <w:rPr>
          <w:sz w:val="20"/>
        </w:rPr>
        <w:t>ovenant Council</w:t>
      </w:r>
      <w:r w:rsidR="00801BDB" w:rsidRPr="00C548DF">
        <w:rPr>
          <w:sz w:val="20"/>
        </w:rPr>
        <w:t xml:space="preserve"> (2012)</w:t>
      </w:r>
    </w:p>
    <w:p w:rsidR="00B129A6" w:rsidRPr="00C66550" w:rsidRDefault="000575D6" w:rsidP="006D25F9">
      <w:pPr>
        <w:pStyle w:val="Heading2"/>
      </w:pPr>
      <w:bookmarkStart w:id="216" w:name="_Toc379466397"/>
      <w:r w:rsidRPr="00C66550">
        <w:t>Product stewardship for end-of-life tyres</w:t>
      </w:r>
      <w:bookmarkEnd w:id="216"/>
    </w:p>
    <w:p w:rsidR="00B47B3A" w:rsidRPr="00C66550" w:rsidRDefault="005B578E" w:rsidP="00FB7F4A">
      <w:pPr>
        <w:pStyle w:val="BodyText"/>
      </w:pPr>
      <w:r w:rsidRPr="00C66550">
        <w:t>DSEWPaC’s website provides the following overview of the</w:t>
      </w:r>
      <w:r w:rsidR="0066185F" w:rsidRPr="00C66550">
        <w:t xml:space="preserve"> </w:t>
      </w:r>
      <w:r w:rsidR="008A3E5E" w:rsidRPr="00C66550">
        <w:t xml:space="preserve">Product Stewardship for Tyres Scheme </w:t>
      </w:r>
      <w:r w:rsidRPr="00C66550">
        <w:t>:</w:t>
      </w:r>
    </w:p>
    <w:p w:rsidR="00FF0C93" w:rsidRPr="00C66550" w:rsidRDefault="00207FD3" w:rsidP="00FB4820">
      <w:pPr>
        <w:pStyle w:val="BodyText"/>
        <w:spacing w:before="120"/>
        <w:ind w:left="720" w:right="992"/>
        <w:rPr>
          <w:i/>
        </w:rPr>
      </w:pPr>
      <w:r w:rsidRPr="00C66550">
        <w:rPr>
          <w:i/>
        </w:rPr>
        <w:t>“In November 2009, the EPHC agreed to work with the tyre industry on the establishment of a voluntary industry-led approach to product stewardship for tyres. The development of a product stewardship initiative was to assist in overcoming the impediments to markets for end-of-life tyres and tyre derived products and to gain more value from end-of-life tyres generated in Australia”.</w:t>
      </w:r>
    </w:p>
    <w:p w:rsidR="005B578E" w:rsidRPr="00C66550" w:rsidRDefault="005B578E" w:rsidP="00FB7F4A">
      <w:pPr>
        <w:pStyle w:val="BodyText"/>
      </w:pPr>
    </w:p>
    <w:p w:rsidR="00E274E7" w:rsidRPr="00C66550" w:rsidRDefault="00807EF5" w:rsidP="00807EF5">
      <w:pPr>
        <w:pStyle w:val="BodyText"/>
      </w:pPr>
      <w:r w:rsidRPr="00C66550">
        <w:t>In 2012</w:t>
      </w:r>
      <w:r w:rsidR="00E274E7" w:rsidRPr="00C66550">
        <w:t>,</w:t>
      </w:r>
      <w:r w:rsidRPr="00C66550">
        <w:t xml:space="preserve"> </w:t>
      </w:r>
      <w:r w:rsidR="00E274E7" w:rsidRPr="00C66550">
        <w:t xml:space="preserve">Hyder Consulting prepared a report </w:t>
      </w:r>
      <w:r w:rsidR="008A3E5E" w:rsidRPr="00C66550">
        <w:t xml:space="preserve">for </w:t>
      </w:r>
      <w:r w:rsidRPr="00C66550">
        <w:t xml:space="preserve">the </w:t>
      </w:r>
      <w:r w:rsidR="00F66D47" w:rsidRPr="00C66550">
        <w:t xml:space="preserve">Council of Australian Governments </w:t>
      </w:r>
      <w:r w:rsidRPr="00C66550">
        <w:rPr>
          <w:i/>
        </w:rPr>
        <w:t>Standing Council on Environment and Water Study into domestic and international fate of end- of-life tyres</w:t>
      </w:r>
      <w:r w:rsidRPr="00C66550">
        <w:t>. The report included data on waste tyres that is relevant to this report (included in the table below).</w:t>
      </w:r>
      <w:r w:rsidR="0066185F" w:rsidRPr="00C66550">
        <w:t xml:space="preserve"> </w:t>
      </w:r>
      <w:r w:rsidR="00FB4820" w:rsidRPr="00C66550">
        <w:t>At the time of writing no annual reporting is available for this scheme.</w:t>
      </w:r>
    </w:p>
    <w:p w:rsidR="00C0346C" w:rsidRPr="00C66550" w:rsidRDefault="00C0346C" w:rsidP="00807EF5">
      <w:pPr>
        <w:pStyle w:val="BodyText"/>
        <w:sectPr w:rsidR="00C0346C" w:rsidRPr="00C66550" w:rsidSect="00ED7231">
          <w:headerReference w:type="default" r:id="rId126"/>
          <w:footerReference w:type="default" r:id="rId127"/>
          <w:pgSz w:w="11907" w:h="16840" w:code="9"/>
          <w:pgMar w:top="1701" w:right="1077" w:bottom="1418" w:left="1474" w:header="709" w:footer="709" w:gutter="0"/>
          <w:cols w:space="708"/>
          <w:docGrid w:linePitch="360"/>
        </w:sectPr>
      </w:pPr>
    </w:p>
    <w:p w:rsidR="00C0346C" w:rsidRPr="00C66550" w:rsidRDefault="00C0346C" w:rsidP="00FB7F4A">
      <w:pPr>
        <w:pStyle w:val="BodyText"/>
      </w:pPr>
    </w:p>
    <w:p w:rsidR="00E274E7" w:rsidRPr="00C66550" w:rsidRDefault="00E274E7" w:rsidP="00FB4820">
      <w:pPr>
        <w:pStyle w:val="Figures"/>
      </w:pPr>
      <w:bookmarkStart w:id="217" w:name="_Toc365038858"/>
      <w:r w:rsidRPr="00C66550">
        <w:t xml:space="preserve">Table </w:t>
      </w:r>
      <w:r w:rsidR="0062001A" w:rsidRPr="00C66550">
        <w:fldChar w:fldCharType="begin"/>
      </w:r>
      <w:r w:rsidR="00C324A1" w:rsidRPr="00C66550">
        <w:instrText xml:space="preserve"> SEQ Table \* ARABIC </w:instrText>
      </w:r>
      <w:r w:rsidR="0062001A" w:rsidRPr="00C66550">
        <w:fldChar w:fldCharType="separate"/>
      </w:r>
      <w:r w:rsidR="00D96003">
        <w:rPr>
          <w:noProof/>
        </w:rPr>
        <w:t>14</w:t>
      </w:r>
      <w:r w:rsidR="0062001A" w:rsidRPr="00C66550">
        <w:rPr>
          <w:noProof/>
        </w:rPr>
        <w:fldChar w:fldCharType="end"/>
      </w:r>
      <w:r w:rsidR="00216969" w:rsidRPr="00C66550">
        <w:t>:</w:t>
      </w:r>
      <w:r w:rsidR="00216969" w:rsidRPr="00C66550">
        <w:tab/>
      </w:r>
      <w:r w:rsidR="005E17AE">
        <w:t>F</w:t>
      </w:r>
      <w:r w:rsidR="00063C5E" w:rsidRPr="00C66550">
        <w:t xml:space="preserve">ate of </w:t>
      </w:r>
      <w:r w:rsidR="00D86863">
        <w:t>end-of-life</w:t>
      </w:r>
      <w:r w:rsidR="00063C5E" w:rsidRPr="00C66550">
        <w:t xml:space="preserve"> </w:t>
      </w:r>
      <w:r w:rsidR="00E60331" w:rsidRPr="00C66550">
        <w:t xml:space="preserve">tyres by </w:t>
      </w:r>
      <w:r w:rsidR="00F66D47" w:rsidRPr="00C66550">
        <w:t>equivalent passenger units</w:t>
      </w:r>
      <w:r w:rsidR="005E17AE">
        <w:t xml:space="preserve">, </w:t>
      </w:r>
      <w:r w:rsidR="005E17AE" w:rsidRPr="00C66550">
        <w:t>2009/10</w:t>
      </w:r>
      <w:bookmarkEnd w:id="217"/>
    </w:p>
    <w:tbl>
      <w:tblPr>
        <w:tblStyle w:val="BETable1"/>
        <w:tblW w:w="5000" w:type="pct"/>
        <w:tblInd w:w="0" w:type="dxa"/>
        <w:tblLayout w:type="fixed"/>
        <w:tblLook w:val="04A0"/>
      </w:tblPr>
      <w:tblGrid>
        <w:gridCol w:w="1197"/>
        <w:gridCol w:w="1840"/>
        <w:gridCol w:w="1098"/>
        <w:gridCol w:w="1098"/>
        <w:gridCol w:w="1098"/>
        <w:gridCol w:w="1098"/>
        <w:gridCol w:w="1098"/>
        <w:gridCol w:w="1098"/>
        <w:gridCol w:w="1098"/>
        <w:gridCol w:w="1098"/>
        <w:gridCol w:w="1098"/>
        <w:gridCol w:w="1087"/>
      </w:tblGrid>
      <w:tr w:rsidR="0015706B" w:rsidRPr="00C66550" w:rsidTr="0015706B">
        <w:trPr>
          <w:cnfStyle w:val="100000000000"/>
        </w:trPr>
        <w:tc>
          <w:tcPr>
            <w:cnfStyle w:val="001000000000"/>
            <w:tcW w:w="427" w:type="pct"/>
            <w:vAlign w:val="center"/>
          </w:tcPr>
          <w:p w:rsidR="0026043B" w:rsidRPr="00C66550" w:rsidRDefault="0026043B" w:rsidP="0026043B">
            <w:pPr>
              <w:jc w:val="right"/>
              <w:rPr>
                <w:color w:val="000000"/>
                <w:sz w:val="18"/>
                <w:szCs w:val="18"/>
              </w:rPr>
            </w:pPr>
            <w:r w:rsidRPr="00C66550">
              <w:rPr>
                <w:color w:val="000000"/>
                <w:sz w:val="18"/>
                <w:szCs w:val="18"/>
              </w:rPr>
              <w:t> </w:t>
            </w:r>
          </w:p>
        </w:tc>
        <w:tc>
          <w:tcPr>
            <w:tcW w:w="657" w:type="pct"/>
            <w:tcBorders>
              <w:right w:val="single" w:sz="4" w:space="0" w:color="808080" w:themeColor="background1" w:themeShade="80"/>
            </w:tcBorders>
            <w:vAlign w:val="center"/>
          </w:tcPr>
          <w:p w:rsidR="0026043B" w:rsidRPr="00C66550" w:rsidRDefault="0026043B" w:rsidP="0026043B">
            <w:pPr>
              <w:jc w:val="right"/>
              <w:cnfStyle w:val="100000000000"/>
              <w:rPr>
                <w:rFonts w:asciiTheme="minorHAnsi" w:hAnsiTheme="minorHAnsi"/>
                <w:color w:val="000000"/>
                <w:sz w:val="18"/>
                <w:szCs w:val="18"/>
              </w:rPr>
            </w:pPr>
            <w:r w:rsidRPr="00C66550">
              <w:rPr>
                <w:rFonts w:asciiTheme="minorHAnsi" w:hAnsiTheme="minorHAnsi"/>
                <w:color w:val="000000"/>
                <w:sz w:val="18"/>
                <w:szCs w:val="18"/>
              </w:rPr>
              <w:t> </w:t>
            </w:r>
          </w:p>
        </w:tc>
        <w:tc>
          <w:tcPr>
            <w:tcW w:w="784" w:type="pct"/>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26043B" w:rsidRPr="00C66550" w:rsidRDefault="0026043B" w:rsidP="0026043B">
            <w:pPr>
              <w:jc w:val="center"/>
              <w:cnfStyle w:val="100000000000"/>
              <w:rPr>
                <w:rFonts w:asciiTheme="minorHAnsi" w:hAnsiTheme="minorHAnsi" w:cs="Arial"/>
                <w:bCs/>
                <w:color w:val="000000"/>
                <w:sz w:val="18"/>
                <w:szCs w:val="18"/>
              </w:rPr>
            </w:pPr>
            <w:r w:rsidRPr="00C66550">
              <w:rPr>
                <w:rFonts w:asciiTheme="minorHAnsi" w:hAnsiTheme="minorHAnsi" w:cs="Arial"/>
                <w:bCs/>
                <w:color w:val="000000"/>
                <w:sz w:val="18"/>
                <w:szCs w:val="18"/>
              </w:rPr>
              <w:t>Passenger tyres</w:t>
            </w:r>
          </w:p>
          <w:p w:rsidR="0026043B" w:rsidRPr="00C66550" w:rsidRDefault="0026043B" w:rsidP="0026043B">
            <w:pPr>
              <w:jc w:val="center"/>
              <w:cnfStyle w:val="100000000000"/>
              <w:rPr>
                <w:rFonts w:asciiTheme="minorHAnsi" w:hAnsiTheme="minorHAnsi" w:cs="Arial"/>
                <w:bCs/>
                <w:color w:val="000000"/>
                <w:sz w:val="18"/>
                <w:szCs w:val="18"/>
              </w:rPr>
            </w:pPr>
          </w:p>
        </w:tc>
        <w:tc>
          <w:tcPr>
            <w:tcW w:w="784" w:type="pct"/>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26043B" w:rsidRPr="00C66550" w:rsidRDefault="0026043B" w:rsidP="0026043B">
            <w:pPr>
              <w:jc w:val="center"/>
              <w:cnfStyle w:val="1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Truck tyres</w:t>
            </w:r>
          </w:p>
          <w:p w:rsidR="0026043B" w:rsidRPr="00C66550" w:rsidRDefault="0026043B" w:rsidP="0026043B">
            <w:pPr>
              <w:jc w:val="center"/>
              <w:cnfStyle w:val="100000000000"/>
              <w:rPr>
                <w:rFonts w:asciiTheme="minorHAnsi" w:hAnsiTheme="minorHAnsi"/>
                <w:color w:val="000000"/>
                <w:sz w:val="18"/>
                <w:szCs w:val="18"/>
              </w:rPr>
            </w:pPr>
          </w:p>
        </w:tc>
        <w:tc>
          <w:tcPr>
            <w:tcW w:w="784" w:type="pct"/>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26043B" w:rsidRPr="00C66550" w:rsidRDefault="0026043B" w:rsidP="0026043B">
            <w:pPr>
              <w:jc w:val="center"/>
              <w:cnfStyle w:val="100000000000"/>
              <w:rPr>
                <w:rFonts w:asciiTheme="minorHAnsi" w:hAnsiTheme="minorHAnsi" w:cs="Arial"/>
                <w:bCs/>
                <w:color w:val="000000"/>
                <w:sz w:val="18"/>
                <w:szCs w:val="18"/>
              </w:rPr>
            </w:pPr>
            <w:r w:rsidRPr="00C66550">
              <w:rPr>
                <w:rFonts w:asciiTheme="minorHAnsi" w:hAnsiTheme="minorHAnsi" w:cs="Arial"/>
                <w:bCs/>
                <w:color w:val="000000"/>
                <w:sz w:val="18"/>
                <w:szCs w:val="18"/>
              </w:rPr>
              <w:t xml:space="preserve">Passenger </w:t>
            </w:r>
            <w:r w:rsidR="00F14141" w:rsidRPr="00C66550">
              <w:rPr>
                <w:rFonts w:asciiTheme="minorHAnsi" w:hAnsiTheme="minorHAnsi" w:cs="Arial"/>
                <w:bCs/>
                <w:color w:val="000000"/>
                <w:sz w:val="18"/>
                <w:szCs w:val="18"/>
              </w:rPr>
              <w:t>and</w:t>
            </w:r>
            <w:r w:rsidRPr="00C66550">
              <w:rPr>
                <w:rFonts w:asciiTheme="minorHAnsi" w:hAnsiTheme="minorHAnsi" w:cs="Arial"/>
                <w:bCs/>
                <w:color w:val="000000"/>
                <w:sz w:val="18"/>
                <w:szCs w:val="18"/>
              </w:rPr>
              <w:t xml:space="preserve"> </w:t>
            </w:r>
            <w:r w:rsidR="00F14141" w:rsidRPr="00C66550">
              <w:rPr>
                <w:rFonts w:asciiTheme="minorHAnsi" w:hAnsiTheme="minorHAnsi" w:cs="Arial"/>
                <w:bCs/>
                <w:color w:val="000000"/>
                <w:sz w:val="18"/>
                <w:szCs w:val="18"/>
              </w:rPr>
              <w:t xml:space="preserve">truck </w:t>
            </w:r>
            <w:r w:rsidRPr="00C66550">
              <w:rPr>
                <w:rFonts w:asciiTheme="minorHAnsi" w:hAnsiTheme="minorHAnsi" w:cs="Arial"/>
                <w:bCs/>
                <w:color w:val="000000"/>
                <w:sz w:val="18"/>
                <w:szCs w:val="18"/>
              </w:rPr>
              <w:t>tyres</w:t>
            </w:r>
          </w:p>
          <w:p w:rsidR="0026043B" w:rsidRPr="00C66550" w:rsidRDefault="0026043B" w:rsidP="0026043B">
            <w:pPr>
              <w:jc w:val="center"/>
              <w:cnfStyle w:val="100000000000"/>
              <w:rPr>
                <w:rFonts w:asciiTheme="minorHAnsi" w:hAnsiTheme="minorHAnsi" w:cs="Arial"/>
                <w:bCs/>
                <w:color w:val="000000"/>
                <w:sz w:val="18"/>
                <w:szCs w:val="18"/>
              </w:rPr>
            </w:pPr>
          </w:p>
        </w:tc>
        <w:tc>
          <w:tcPr>
            <w:tcW w:w="784" w:type="pct"/>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26043B" w:rsidRPr="00C66550" w:rsidRDefault="00F14141" w:rsidP="0026043B">
            <w:pPr>
              <w:jc w:val="center"/>
              <w:cnfStyle w:val="100000000000"/>
              <w:rPr>
                <w:rFonts w:asciiTheme="minorHAnsi" w:hAnsiTheme="minorHAnsi" w:cs="Arial"/>
                <w:bCs/>
                <w:color w:val="000000"/>
                <w:sz w:val="18"/>
                <w:szCs w:val="18"/>
              </w:rPr>
            </w:pPr>
            <w:r w:rsidRPr="00C66550">
              <w:rPr>
                <w:rFonts w:asciiTheme="minorHAnsi" w:hAnsiTheme="minorHAnsi" w:cs="Arial"/>
                <w:bCs/>
                <w:color w:val="000000"/>
                <w:sz w:val="18"/>
                <w:szCs w:val="18"/>
              </w:rPr>
              <w:t>‘</w:t>
            </w:r>
            <w:r w:rsidR="0026043B" w:rsidRPr="00C66550">
              <w:rPr>
                <w:rFonts w:asciiTheme="minorHAnsi" w:hAnsiTheme="minorHAnsi" w:cs="Arial"/>
                <w:bCs/>
                <w:color w:val="000000"/>
                <w:sz w:val="18"/>
                <w:szCs w:val="18"/>
              </w:rPr>
              <w:t>Off the road' (e.g. tractor or mining truck)</w:t>
            </w:r>
          </w:p>
        </w:tc>
        <w:tc>
          <w:tcPr>
            <w:tcW w:w="780" w:type="pct"/>
            <w:gridSpan w:val="2"/>
            <w:tcBorders>
              <w:top w:val="single" w:sz="4" w:space="0" w:color="808080" w:themeColor="background1" w:themeShade="80"/>
              <w:left w:val="single" w:sz="4" w:space="0" w:color="808080" w:themeColor="background1" w:themeShade="80"/>
            </w:tcBorders>
          </w:tcPr>
          <w:p w:rsidR="0026043B" w:rsidRPr="00C66550" w:rsidRDefault="0026043B" w:rsidP="0026043B">
            <w:pPr>
              <w:jc w:val="center"/>
              <w:cnfStyle w:val="1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Total</w:t>
            </w:r>
          </w:p>
          <w:p w:rsidR="0026043B" w:rsidRPr="00C66550" w:rsidRDefault="0026043B" w:rsidP="0026043B">
            <w:pPr>
              <w:jc w:val="center"/>
              <w:cnfStyle w:val="100000000000"/>
              <w:rPr>
                <w:rFonts w:asciiTheme="minorHAnsi" w:hAnsiTheme="minorHAnsi"/>
                <w:color w:val="000000"/>
                <w:sz w:val="18"/>
                <w:szCs w:val="18"/>
              </w:rPr>
            </w:pPr>
          </w:p>
        </w:tc>
      </w:tr>
      <w:tr w:rsidR="0015706B" w:rsidRPr="00C66550" w:rsidTr="0015706B">
        <w:tc>
          <w:tcPr>
            <w:cnfStyle w:val="001000000000"/>
            <w:tcW w:w="5000" w:type="pct"/>
            <w:gridSpan w:val="12"/>
            <w:vAlign w:val="center"/>
          </w:tcPr>
          <w:p w:rsidR="0015706B" w:rsidRPr="00C66550" w:rsidRDefault="0015706B" w:rsidP="00A56E17">
            <w:pPr>
              <w:jc w:val="center"/>
              <w:rPr>
                <w:rFonts w:asciiTheme="minorHAnsi" w:eastAsia="Arial" w:hAnsiTheme="minorHAnsi" w:cs="Arial"/>
                <w:bCs/>
                <w:color w:val="000000"/>
                <w:sz w:val="18"/>
                <w:szCs w:val="18"/>
              </w:rPr>
            </w:pPr>
            <w:r w:rsidRPr="00C66550">
              <w:rPr>
                <w:rFonts w:asciiTheme="minorHAnsi" w:eastAsia="Arial" w:hAnsiTheme="minorHAnsi" w:cs="Arial"/>
                <w:i/>
                <w:color w:val="000000"/>
                <w:sz w:val="18"/>
                <w:szCs w:val="18"/>
              </w:rPr>
              <w:t xml:space="preserve">All </w:t>
            </w:r>
            <w:r w:rsidR="00A56E17">
              <w:rPr>
                <w:rFonts w:asciiTheme="minorHAnsi" w:eastAsia="Arial" w:hAnsiTheme="minorHAnsi" w:cs="Arial"/>
                <w:i/>
                <w:color w:val="000000"/>
                <w:sz w:val="18"/>
                <w:szCs w:val="18"/>
              </w:rPr>
              <w:t>data</w:t>
            </w:r>
            <w:r w:rsidRPr="00C66550">
              <w:rPr>
                <w:rFonts w:asciiTheme="minorHAnsi" w:eastAsia="Arial" w:hAnsiTheme="minorHAnsi" w:cs="Arial"/>
                <w:i/>
                <w:color w:val="000000"/>
                <w:sz w:val="18"/>
                <w:szCs w:val="18"/>
              </w:rPr>
              <w:t xml:space="preserve"> are equivalent passenger units</w:t>
            </w:r>
          </w:p>
        </w:tc>
      </w:tr>
      <w:tr w:rsidR="0015706B" w:rsidRPr="00C66550" w:rsidTr="007B3E6C">
        <w:tc>
          <w:tcPr>
            <w:cnfStyle w:val="001000000000"/>
            <w:tcW w:w="427" w:type="pct"/>
            <w:vMerge w:val="restart"/>
            <w:tcBorders>
              <w:bottom w:val="nil"/>
            </w:tcBorders>
            <w:vAlign w:val="center"/>
          </w:tcPr>
          <w:p w:rsidR="0026043B" w:rsidRPr="00C66550" w:rsidRDefault="0026043B" w:rsidP="0026043B">
            <w:pPr>
              <w:jc w:val="center"/>
              <w:rPr>
                <w:rFonts w:asciiTheme="minorHAnsi" w:eastAsia="Arial" w:hAnsiTheme="minorHAnsi" w:cs="Arial"/>
                <w:b/>
                <w:color w:val="000000"/>
                <w:sz w:val="18"/>
                <w:szCs w:val="18"/>
              </w:rPr>
            </w:pPr>
          </w:p>
          <w:p w:rsidR="0026043B" w:rsidRPr="00C66550" w:rsidRDefault="0026043B" w:rsidP="0026043B">
            <w:pPr>
              <w:jc w:val="center"/>
              <w:rPr>
                <w:rFonts w:asciiTheme="minorHAnsi" w:eastAsia="Arial" w:hAnsiTheme="minorHAnsi" w:cs="Arial"/>
                <w:b/>
                <w:color w:val="000000"/>
                <w:sz w:val="18"/>
                <w:szCs w:val="18"/>
              </w:rPr>
            </w:pPr>
          </w:p>
          <w:p w:rsidR="0026043B" w:rsidRPr="00C66550" w:rsidRDefault="0026043B" w:rsidP="0026043B">
            <w:pPr>
              <w:jc w:val="center"/>
              <w:rPr>
                <w:rFonts w:asciiTheme="minorHAnsi" w:eastAsia="Arial" w:hAnsiTheme="minorHAnsi" w:cs="Arial"/>
                <w:b/>
                <w:color w:val="000000"/>
                <w:sz w:val="18"/>
                <w:szCs w:val="18"/>
              </w:rPr>
            </w:pPr>
          </w:p>
          <w:p w:rsidR="0026043B" w:rsidRPr="00C66550" w:rsidRDefault="0026043B" w:rsidP="0026043B">
            <w:pPr>
              <w:jc w:val="center"/>
              <w:rPr>
                <w:rFonts w:asciiTheme="minorHAnsi" w:hAnsiTheme="minorHAnsi" w:cs="Arial"/>
                <w:b/>
                <w:color w:val="000000"/>
                <w:sz w:val="18"/>
                <w:szCs w:val="18"/>
              </w:rPr>
            </w:pPr>
            <w:r w:rsidRPr="00C66550">
              <w:rPr>
                <w:rFonts w:asciiTheme="minorHAnsi" w:eastAsia="Arial" w:hAnsiTheme="minorHAnsi" w:cs="Arial"/>
                <w:b/>
                <w:color w:val="000000"/>
                <w:sz w:val="18"/>
                <w:szCs w:val="18"/>
              </w:rPr>
              <w:t>Domestic</w:t>
            </w:r>
          </w:p>
          <w:p w:rsidR="0026043B" w:rsidRPr="00C66550" w:rsidRDefault="0026043B" w:rsidP="0026043B">
            <w:pPr>
              <w:jc w:val="center"/>
              <w:rPr>
                <w:rFonts w:asciiTheme="minorHAnsi" w:hAnsiTheme="minorHAnsi"/>
                <w:b/>
                <w:color w:val="000000"/>
                <w:sz w:val="18"/>
                <w:szCs w:val="18"/>
              </w:rPr>
            </w:pPr>
          </w:p>
          <w:p w:rsidR="0026043B" w:rsidRPr="00C66550" w:rsidRDefault="0026043B" w:rsidP="0026043B">
            <w:pPr>
              <w:jc w:val="center"/>
              <w:rPr>
                <w:rFonts w:asciiTheme="minorHAnsi" w:hAnsiTheme="minorHAnsi"/>
                <w:b/>
                <w:color w:val="000000"/>
                <w:sz w:val="18"/>
                <w:szCs w:val="18"/>
              </w:rPr>
            </w:pPr>
          </w:p>
          <w:p w:rsidR="0026043B" w:rsidRPr="00C66550" w:rsidRDefault="0026043B" w:rsidP="0026043B">
            <w:pPr>
              <w:jc w:val="center"/>
              <w:rPr>
                <w:rFonts w:asciiTheme="minorHAnsi" w:hAnsiTheme="minorHAnsi"/>
                <w:b/>
                <w:color w:val="000000"/>
                <w:sz w:val="18"/>
                <w:szCs w:val="18"/>
              </w:rPr>
            </w:pPr>
          </w:p>
          <w:p w:rsidR="0026043B" w:rsidRPr="00C66550" w:rsidRDefault="0026043B" w:rsidP="0026043B">
            <w:pPr>
              <w:jc w:val="center"/>
              <w:rPr>
                <w:rFonts w:asciiTheme="minorHAnsi" w:hAnsiTheme="minorHAnsi"/>
                <w:b/>
                <w:color w:val="000000"/>
                <w:sz w:val="18"/>
                <w:szCs w:val="18"/>
              </w:rPr>
            </w:pPr>
          </w:p>
          <w:p w:rsidR="0026043B" w:rsidRPr="00C66550" w:rsidRDefault="0026043B" w:rsidP="0026043B">
            <w:pPr>
              <w:jc w:val="center"/>
              <w:rPr>
                <w:rFonts w:asciiTheme="minorHAnsi" w:hAnsiTheme="minorHAnsi" w:cs="Arial"/>
                <w:b/>
                <w:color w:val="000000"/>
                <w:sz w:val="18"/>
                <w:szCs w:val="18"/>
              </w:rPr>
            </w:pPr>
          </w:p>
        </w:tc>
        <w:tc>
          <w:tcPr>
            <w:tcW w:w="657" w:type="pct"/>
            <w:tcBorders>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Recycling</w:t>
            </w:r>
            <w:r w:rsidR="0015706B" w:rsidRPr="00C66550">
              <w:rPr>
                <w:rFonts w:asciiTheme="minorHAnsi" w:hAnsiTheme="minorHAnsi" w:cs="Arial"/>
                <w:color w:val="000000"/>
                <w:sz w:val="18"/>
                <w:szCs w:val="18"/>
              </w:rPr>
              <w:t xml:space="preserve"> </w:t>
            </w:r>
          </w:p>
        </w:tc>
        <w:tc>
          <w:tcPr>
            <w:tcW w:w="392" w:type="pct"/>
            <w:tcBorders>
              <w:top w:val="single" w:sz="4" w:space="0" w:color="808080" w:themeColor="background1" w:themeShade="80"/>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1,853,750</w:t>
            </w:r>
          </w:p>
        </w:tc>
        <w:tc>
          <w:tcPr>
            <w:tcW w:w="392" w:type="pct"/>
            <w:tcBorders>
              <w:top w:val="single" w:sz="4" w:space="0" w:color="808080" w:themeColor="background1" w:themeShade="80"/>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14.00%</w:t>
            </w:r>
          </w:p>
        </w:tc>
        <w:tc>
          <w:tcPr>
            <w:tcW w:w="392" w:type="pct"/>
            <w:tcBorders>
              <w:top w:val="single" w:sz="4" w:space="0" w:color="808080" w:themeColor="background1" w:themeShade="80"/>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2,999,750</w:t>
            </w:r>
          </w:p>
        </w:tc>
        <w:tc>
          <w:tcPr>
            <w:tcW w:w="392" w:type="pct"/>
            <w:tcBorders>
              <w:top w:val="single" w:sz="4" w:space="0" w:color="808080" w:themeColor="background1" w:themeShade="80"/>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20.40%</w:t>
            </w:r>
          </w:p>
        </w:tc>
        <w:tc>
          <w:tcPr>
            <w:tcW w:w="392" w:type="pct"/>
            <w:tcBorders>
              <w:top w:val="single" w:sz="4" w:space="0" w:color="808080" w:themeColor="background1" w:themeShade="80"/>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4,853,500</w:t>
            </w:r>
          </w:p>
        </w:tc>
        <w:tc>
          <w:tcPr>
            <w:tcW w:w="392" w:type="pct"/>
            <w:tcBorders>
              <w:top w:val="single" w:sz="4" w:space="0" w:color="808080" w:themeColor="background1" w:themeShade="80"/>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17.40%</w:t>
            </w:r>
          </w:p>
        </w:tc>
        <w:tc>
          <w:tcPr>
            <w:tcW w:w="392" w:type="pct"/>
            <w:tcBorders>
              <w:top w:val="single" w:sz="4" w:space="0" w:color="808080" w:themeColor="background1" w:themeShade="80"/>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75,000</w:t>
            </w:r>
          </w:p>
        </w:tc>
        <w:tc>
          <w:tcPr>
            <w:tcW w:w="392" w:type="pct"/>
            <w:tcBorders>
              <w:top w:val="single" w:sz="4" w:space="0" w:color="808080" w:themeColor="background1" w:themeShade="80"/>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0.40%</w:t>
            </w:r>
          </w:p>
        </w:tc>
        <w:tc>
          <w:tcPr>
            <w:tcW w:w="392" w:type="pct"/>
            <w:tcBorders>
              <w:top w:val="single" w:sz="4" w:space="0" w:color="808080" w:themeColor="background1" w:themeShade="80"/>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4,928,500</w:t>
            </w:r>
          </w:p>
        </w:tc>
        <w:tc>
          <w:tcPr>
            <w:tcW w:w="388" w:type="pct"/>
            <w:tcBorders>
              <w:top w:val="single" w:sz="4" w:space="0" w:color="808080" w:themeColor="background1" w:themeShade="80"/>
              <w:left w:val="nil"/>
              <w:bottom w:val="nil"/>
              <w:right w:val="nil"/>
            </w:tcBorders>
            <w:vAlign w:val="center"/>
          </w:tcPr>
          <w:p w:rsidR="0026043B" w:rsidRPr="00C66550" w:rsidRDefault="0026043B" w:rsidP="0026043B">
            <w:pPr>
              <w:jc w:val="right"/>
              <w:cnfStyle w:val="000000000000"/>
              <w:rPr>
                <w:rFonts w:asciiTheme="minorHAnsi" w:hAnsiTheme="minorHAnsi" w:cs="Arial"/>
                <w:b/>
                <w:color w:val="000000"/>
                <w:sz w:val="18"/>
                <w:szCs w:val="18"/>
              </w:rPr>
            </w:pPr>
            <w:r w:rsidRPr="00C66550">
              <w:rPr>
                <w:rFonts w:asciiTheme="minorHAnsi" w:eastAsia="Arial" w:hAnsiTheme="minorHAnsi" w:cs="Arial"/>
                <w:b/>
                <w:color w:val="000000"/>
                <w:sz w:val="18"/>
                <w:szCs w:val="18"/>
              </w:rPr>
              <w:t>10.20%</w:t>
            </w:r>
          </w:p>
        </w:tc>
      </w:tr>
      <w:tr w:rsidR="004B669F" w:rsidRPr="00C66550" w:rsidTr="007B3E6C">
        <w:tc>
          <w:tcPr>
            <w:cnfStyle w:val="001000000000"/>
            <w:tcW w:w="427" w:type="pct"/>
            <w:vMerge/>
            <w:tcBorders>
              <w:top w:val="nil"/>
              <w:bottom w:val="nil"/>
            </w:tcBorders>
            <w:textDirection w:val="btLr"/>
          </w:tcPr>
          <w:p w:rsidR="0026043B" w:rsidRPr="00C66550" w:rsidRDefault="0026043B" w:rsidP="0026043B">
            <w:pPr>
              <w:jc w:val="right"/>
              <w:rPr>
                <w:rFonts w:asciiTheme="minorHAnsi" w:hAnsiTheme="minorHAnsi"/>
                <w:b/>
                <w:color w:val="000000"/>
                <w:sz w:val="18"/>
                <w:szCs w:val="18"/>
              </w:rPr>
            </w:pPr>
          </w:p>
        </w:tc>
        <w:tc>
          <w:tcPr>
            <w:tcW w:w="657" w:type="pct"/>
            <w:tcBorders>
              <w:top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Energy recovery</w:t>
            </w:r>
            <w:r w:rsidR="0015706B" w:rsidRPr="00C66550">
              <w:rPr>
                <w:rFonts w:asciiTheme="minorHAnsi" w:eastAsia="Arial" w:hAnsiTheme="minorHAnsi" w:cs="Arial"/>
                <w:color w:val="000000"/>
                <w:sz w:val="18"/>
                <w:szCs w:val="18"/>
              </w:rPr>
              <w:t xml:space="preserve"> </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250,000</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1.90%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0.00%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250,000</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0.90%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0.00%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250,000</w:t>
            </w:r>
          </w:p>
        </w:tc>
        <w:tc>
          <w:tcPr>
            <w:tcW w:w="388" w:type="pct"/>
            <w:tcBorders>
              <w:top w:val="nil"/>
              <w:left w:val="nil"/>
              <w:bottom w:val="nil"/>
              <w:right w:val="nil"/>
            </w:tcBorders>
            <w:vAlign w:val="center"/>
          </w:tcPr>
          <w:p w:rsidR="0026043B" w:rsidRPr="00C66550" w:rsidRDefault="0026043B" w:rsidP="0026043B">
            <w:pPr>
              <w:jc w:val="right"/>
              <w:cnfStyle w:val="000000000000"/>
              <w:rPr>
                <w:rFonts w:asciiTheme="minorHAnsi" w:hAnsiTheme="minorHAnsi" w:cs="Arial"/>
                <w:b/>
                <w:color w:val="000000"/>
                <w:sz w:val="18"/>
                <w:szCs w:val="18"/>
              </w:rPr>
            </w:pPr>
            <w:r w:rsidRPr="00C66550">
              <w:rPr>
                <w:rFonts w:asciiTheme="minorHAnsi" w:eastAsia="Arial" w:hAnsiTheme="minorHAnsi" w:cs="Arial"/>
                <w:b/>
                <w:color w:val="000000"/>
                <w:sz w:val="18"/>
                <w:szCs w:val="18"/>
              </w:rPr>
              <w:t>0.50%</w:t>
            </w:r>
          </w:p>
        </w:tc>
      </w:tr>
      <w:tr w:rsidR="004B669F" w:rsidRPr="00C66550" w:rsidTr="007B3E6C">
        <w:tc>
          <w:tcPr>
            <w:cnfStyle w:val="001000000000"/>
            <w:tcW w:w="427" w:type="pct"/>
            <w:vMerge/>
            <w:tcBorders>
              <w:top w:val="nil"/>
              <w:bottom w:val="nil"/>
            </w:tcBorders>
            <w:textDirection w:val="btLr"/>
          </w:tcPr>
          <w:p w:rsidR="0026043B" w:rsidRPr="00C66550" w:rsidRDefault="0026043B" w:rsidP="0026043B">
            <w:pPr>
              <w:jc w:val="right"/>
              <w:rPr>
                <w:rFonts w:asciiTheme="minorHAnsi" w:hAnsiTheme="minorHAnsi"/>
                <w:b/>
                <w:color w:val="000000"/>
                <w:sz w:val="18"/>
                <w:szCs w:val="18"/>
              </w:rPr>
            </w:pPr>
          </w:p>
        </w:tc>
        <w:tc>
          <w:tcPr>
            <w:tcW w:w="657" w:type="pct"/>
            <w:tcBorders>
              <w:top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Civil engineering</w:t>
            </w:r>
            <w:r w:rsidR="0015706B" w:rsidRPr="00C66550">
              <w:rPr>
                <w:rFonts w:asciiTheme="minorHAnsi" w:hAnsiTheme="minorHAnsi" w:cs="Arial"/>
                <w:color w:val="000000"/>
                <w:sz w:val="18"/>
                <w:szCs w:val="18"/>
              </w:rPr>
              <w:t xml:space="preserve"> </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1,016,625</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7.70%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1,276,375</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8.70%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2,293,000</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8.20%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500,000</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2.40%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2,793,000</w:t>
            </w:r>
          </w:p>
        </w:tc>
        <w:tc>
          <w:tcPr>
            <w:tcW w:w="388" w:type="pct"/>
            <w:tcBorders>
              <w:top w:val="nil"/>
              <w:left w:val="nil"/>
              <w:bottom w:val="nil"/>
              <w:right w:val="nil"/>
            </w:tcBorders>
            <w:vAlign w:val="center"/>
          </w:tcPr>
          <w:p w:rsidR="0026043B" w:rsidRPr="00C66550" w:rsidRDefault="0026043B" w:rsidP="0026043B">
            <w:pPr>
              <w:jc w:val="right"/>
              <w:cnfStyle w:val="000000000000"/>
              <w:rPr>
                <w:rFonts w:asciiTheme="minorHAnsi" w:hAnsiTheme="minorHAnsi" w:cs="Arial"/>
                <w:b/>
                <w:color w:val="000000"/>
                <w:sz w:val="18"/>
                <w:szCs w:val="18"/>
              </w:rPr>
            </w:pPr>
            <w:r w:rsidRPr="00C66550">
              <w:rPr>
                <w:rFonts w:asciiTheme="minorHAnsi" w:eastAsia="Arial" w:hAnsiTheme="minorHAnsi" w:cs="Arial"/>
                <w:b/>
                <w:color w:val="000000"/>
                <w:sz w:val="18"/>
                <w:szCs w:val="18"/>
              </w:rPr>
              <w:t>5.80%</w:t>
            </w:r>
          </w:p>
        </w:tc>
      </w:tr>
      <w:tr w:rsidR="004B669F" w:rsidRPr="00C66550" w:rsidTr="007B3E6C">
        <w:tc>
          <w:tcPr>
            <w:cnfStyle w:val="001000000000"/>
            <w:tcW w:w="427" w:type="pct"/>
            <w:vMerge/>
            <w:tcBorders>
              <w:top w:val="nil"/>
              <w:bottom w:val="nil"/>
            </w:tcBorders>
            <w:textDirection w:val="btLr"/>
          </w:tcPr>
          <w:p w:rsidR="0026043B" w:rsidRPr="00C66550" w:rsidRDefault="0026043B" w:rsidP="0026043B">
            <w:pPr>
              <w:jc w:val="right"/>
              <w:rPr>
                <w:rFonts w:asciiTheme="minorHAnsi" w:hAnsiTheme="minorHAnsi"/>
                <w:b/>
                <w:color w:val="000000"/>
                <w:sz w:val="18"/>
                <w:szCs w:val="18"/>
              </w:rPr>
            </w:pPr>
          </w:p>
        </w:tc>
        <w:tc>
          <w:tcPr>
            <w:tcW w:w="657" w:type="pct"/>
            <w:tcBorders>
              <w:top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Licensed landfill</w:t>
            </w:r>
            <w:r w:rsidR="0015706B" w:rsidRPr="00C66550">
              <w:rPr>
                <w:rFonts w:asciiTheme="minorHAnsi" w:hAnsiTheme="minorHAnsi" w:cs="Arial"/>
                <w:color w:val="000000"/>
                <w:sz w:val="18"/>
                <w:szCs w:val="18"/>
              </w:rPr>
              <w:t xml:space="preserve"> </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1,450,073</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11.00%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161,119</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1.10%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1,611,192</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5.80%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0.00%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1,611,192</w:t>
            </w:r>
          </w:p>
        </w:tc>
        <w:tc>
          <w:tcPr>
            <w:tcW w:w="388" w:type="pct"/>
            <w:tcBorders>
              <w:top w:val="nil"/>
              <w:left w:val="nil"/>
              <w:bottom w:val="nil"/>
              <w:right w:val="nil"/>
            </w:tcBorders>
            <w:vAlign w:val="center"/>
          </w:tcPr>
          <w:p w:rsidR="0026043B" w:rsidRPr="00C66550" w:rsidRDefault="0026043B" w:rsidP="0026043B">
            <w:pPr>
              <w:jc w:val="right"/>
              <w:cnfStyle w:val="000000000000"/>
              <w:rPr>
                <w:rFonts w:asciiTheme="minorHAnsi" w:hAnsiTheme="minorHAnsi" w:cs="Arial"/>
                <w:b/>
                <w:color w:val="000000"/>
                <w:sz w:val="18"/>
                <w:szCs w:val="18"/>
              </w:rPr>
            </w:pPr>
            <w:r w:rsidRPr="00C66550">
              <w:rPr>
                <w:rFonts w:asciiTheme="minorHAnsi" w:eastAsia="Arial" w:hAnsiTheme="minorHAnsi" w:cs="Arial"/>
                <w:b/>
                <w:color w:val="000000"/>
                <w:sz w:val="18"/>
                <w:szCs w:val="18"/>
              </w:rPr>
              <w:t>3.30%</w:t>
            </w:r>
          </w:p>
        </w:tc>
      </w:tr>
      <w:tr w:rsidR="004B669F" w:rsidRPr="00C66550" w:rsidTr="007B3E6C">
        <w:tc>
          <w:tcPr>
            <w:cnfStyle w:val="001000000000"/>
            <w:tcW w:w="427" w:type="pct"/>
            <w:vMerge/>
            <w:tcBorders>
              <w:top w:val="nil"/>
              <w:bottom w:val="nil"/>
            </w:tcBorders>
            <w:textDirection w:val="btLr"/>
          </w:tcPr>
          <w:p w:rsidR="0026043B" w:rsidRPr="00C66550" w:rsidRDefault="0026043B" w:rsidP="0026043B">
            <w:pPr>
              <w:jc w:val="right"/>
              <w:rPr>
                <w:rFonts w:asciiTheme="minorHAnsi" w:hAnsiTheme="minorHAnsi"/>
                <w:b/>
                <w:color w:val="000000"/>
                <w:sz w:val="18"/>
                <w:szCs w:val="18"/>
              </w:rPr>
            </w:pPr>
          </w:p>
        </w:tc>
        <w:tc>
          <w:tcPr>
            <w:tcW w:w="657" w:type="pct"/>
            <w:tcBorders>
              <w:top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Unknown</w:t>
            </w:r>
            <w:r w:rsidR="00063C5E" w:rsidRPr="00C66550">
              <w:rPr>
                <w:rFonts w:asciiTheme="minorHAnsi" w:hAnsiTheme="minorHAnsi" w:cs="Arial"/>
                <w:color w:val="000000"/>
                <w:sz w:val="18"/>
                <w:szCs w:val="18"/>
              </w:rPr>
              <w:t>*</w:t>
            </w:r>
            <w:r w:rsidR="0015706B" w:rsidRPr="00C66550">
              <w:rPr>
                <w:rFonts w:asciiTheme="minorHAnsi" w:hAnsiTheme="minorHAnsi" w:cs="Arial"/>
                <w:color w:val="000000"/>
                <w:sz w:val="18"/>
                <w:szCs w:val="18"/>
              </w:rPr>
              <w:t xml:space="preserve"> </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1,865,043</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14.10%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9,078,286</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61.90%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10,943,329</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39.30%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19,400,840</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94.20%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30,344,169</w:t>
            </w:r>
          </w:p>
        </w:tc>
        <w:tc>
          <w:tcPr>
            <w:tcW w:w="388" w:type="pct"/>
            <w:tcBorders>
              <w:top w:val="nil"/>
              <w:left w:val="nil"/>
              <w:bottom w:val="nil"/>
              <w:right w:val="nil"/>
            </w:tcBorders>
            <w:vAlign w:val="center"/>
          </w:tcPr>
          <w:p w:rsidR="0026043B" w:rsidRPr="00C66550" w:rsidRDefault="0026043B" w:rsidP="0026043B">
            <w:pPr>
              <w:jc w:val="right"/>
              <w:cnfStyle w:val="000000000000"/>
              <w:rPr>
                <w:rFonts w:asciiTheme="minorHAnsi" w:hAnsiTheme="minorHAnsi" w:cs="Arial"/>
                <w:b/>
                <w:color w:val="000000"/>
                <w:sz w:val="18"/>
                <w:szCs w:val="18"/>
              </w:rPr>
            </w:pPr>
            <w:r w:rsidRPr="00C66550">
              <w:rPr>
                <w:rFonts w:asciiTheme="minorHAnsi" w:eastAsia="Arial" w:hAnsiTheme="minorHAnsi" w:cs="Arial"/>
                <w:b/>
                <w:color w:val="000000"/>
                <w:sz w:val="18"/>
                <w:szCs w:val="18"/>
              </w:rPr>
              <w:t>62.60%</w:t>
            </w:r>
          </w:p>
        </w:tc>
      </w:tr>
      <w:tr w:rsidR="0015706B" w:rsidRPr="00C66550" w:rsidTr="007B3E6C">
        <w:tc>
          <w:tcPr>
            <w:cnfStyle w:val="001000000000"/>
            <w:tcW w:w="427" w:type="pct"/>
            <w:vMerge/>
            <w:tcBorders>
              <w:top w:val="nil"/>
              <w:bottom w:val="single" w:sz="4" w:space="0" w:color="7F7F7F" w:themeColor="background2"/>
            </w:tcBorders>
            <w:textDirection w:val="btLr"/>
          </w:tcPr>
          <w:p w:rsidR="0026043B" w:rsidRPr="00C66550" w:rsidRDefault="0026043B" w:rsidP="0026043B">
            <w:pPr>
              <w:jc w:val="right"/>
              <w:rPr>
                <w:rFonts w:asciiTheme="minorHAnsi" w:hAnsiTheme="minorHAnsi"/>
                <w:b/>
                <w:color w:val="000000"/>
                <w:sz w:val="18"/>
                <w:szCs w:val="18"/>
              </w:rPr>
            </w:pPr>
          </w:p>
        </w:tc>
        <w:tc>
          <w:tcPr>
            <w:tcW w:w="657" w:type="pct"/>
            <w:tcBorders>
              <w:top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eastAsia="Arial" w:hAnsiTheme="minorHAnsi" w:cs="Arial"/>
                <w:b/>
                <w:bCs/>
                <w:color w:val="000000"/>
                <w:sz w:val="18"/>
                <w:szCs w:val="18"/>
              </w:rPr>
              <w:t>SUB TOTAL</w:t>
            </w:r>
            <w:r w:rsidR="0015706B" w:rsidRPr="00C66550">
              <w:rPr>
                <w:rFonts w:asciiTheme="minorHAnsi" w:eastAsia="Arial" w:hAnsiTheme="minorHAnsi" w:cs="Arial"/>
                <w:b/>
                <w:bCs/>
                <w:color w:val="000000"/>
                <w:sz w:val="18"/>
                <w:szCs w:val="18"/>
              </w:rPr>
              <w:t xml:space="preserve"> </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6,435,491</w:t>
            </w:r>
          </w:p>
        </w:tc>
        <w:tc>
          <w:tcPr>
            <w:tcW w:w="392" w:type="pct"/>
            <w:tcBorders>
              <w:top w:val="nil"/>
              <w:left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48.80%</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13,515,530</w:t>
            </w:r>
          </w:p>
        </w:tc>
        <w:tc>
          <w:tcPr>
            <w:tcW w:w="392" w:type="pct"/>
            <w:tcBorders>
              <w:top w:val="nil"/>
              <w:left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92.10%</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19,951,021</w:t>
            </w:r>
          </w:p>
        </w:tc>
        <w:tc>
          <w:tcPr>
            <w:tcW w:w="392" w:type="pct"/>
            <w:tcBorders>
              <w:top w:val="nil"/>
              <w:left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71.60%</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19,975,840</w:t>
            </w:r>
          </w:p>
        </w:tc>
        <w:tc>
          <w:tcPr>
            <w:tcW w:w="392" w:type="pct"/>
            <w:tcBorders>
              <w:top w:val="nil"/>
              <w:left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97.00%</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39,926,862</w:t>
            </w:r>
          </w:p>
        </w:tc>
        <w:tc>
          <w:tcPr>
            <w:tcW w:w="388" w:type="pct"/>
            <w:tcBorders>
              <w:top w:val="nil"/>
              <w:left w:val="nil"/>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eastAsia="Arial" w:hAnsiTheme="minorHAnsi" w:cs="Arial"/>
                <w:b/>
                <w:bCs/>
                <w:color w:val="000000"/>
                <w:sz w:val="18"/>
                <w:szCs w:val="18"/>
              </w:rPr>
              <w:t>82.40%</w:t>
            </w:r>
          </w:p>
        </w:tc>
      </w:tr>
      <w:tr w:rsidR="0015706B" w:rsidRPr="00C66550" w:rsidTr="007B3E6C">
        <w:tc>
          <w:tcPr>
            <w:cnfStyle w:val="001000000000"/>
            <w:tcW w:w="427" w:type="pct"/>
            <w:vMerge w:val="restart"/>
            <w:tcBorders>
              <w:top w:val="single" w:sz="4" w:space="0" w:color="7F7F7F" w:themeColor="background2"/>
              <w:bottom w:val="nil"/>
            </w:tcBorders>
            <w:vAlign w:val="center"/>
          </w:tcPr>
          <w:p w:rsidR="0026043B" w:rsidRPr="00C66550" w:rsidRDefault="0026043B" w:rsidP="0026043B">
            <w:pPr>
              <w:jc w:val="center"/>
              <w:rPr>
                <w:rFonts w:asciiTheme="minorHAnsi" w:hAnsiTheme="minorHAnsi" w:cs="Arial"/>
                <w:b/>
                <w:color w:val="000000"/>
                <w:sz w:val="18"/>
                <w:szCs w:val="18"/>
              </w:rPr>
            </w:pPr>
          </w:p>
          <w:p w:rsidR="0026043B" w:rsidRPr="00C66550" w:rsidRDefault="0026043B" w:rsidP="0026043B">
            <w:pPr>
              <w:jc w:val="center"/>
              <w:rPr>
                <w:rFonts w:asciiTheme="minorHAnsi" w:hAnsiTheme="minorHAnsi" w:cs="Arial"/>
                <w:b/>
                <w:color w:val="000000"/>
                <w:sz w:val="18"/>
                <w:szCs w:val="18"/>
              </w:rPr>
            </w:pPr>
          </w:p>
          <w:p w:rsidR="0026043B" w:rsidRPr="00C66550" w:rsidRDefault="0026043B" w:rsidP="0026043B">
            <w:pPr>
              <w:jc w:val="center"/>
              <w:rPr>
                <w:rFonts w:asciiTheme="minorHAnsi" w:hAnsiTheme="minorHAnsi" w:cs="Arial"/>
                <w:b/>
                <w:color w:val="000000"/>
                <w:sz w:val="18"/>
                <w:szCs w:val="18"/>
              </w:rPr>
            </w:pPr>
            <w:r w:rsidRPr="00C66550">
              <w:rPr>
                <w:rFonts w:asciiTheme="minorHAnsi" w:hAnsiTheme="minorHAnsi" w:cs="Arial"/>
                <w:b/>
                <w:color w:val="000000"/>
                <w:sz w:val="18"/>
                <w:szCs w:val="18"/>
              </w:rPr>
              <w:t>International</w:t>
            </w:r>
          </w:p>
          <w:p w:rsidR="0026043B" w:rsidRPr="00C66550" w:rsidRDefault="0026043B" w:rsidP="0026043B">
            <w:pPr>
              <w:jc w:val="center"/>
              <w:rPr>
                <w:rFonts w:asciiTheme="minorHAnsi" w:hAnsiTheme="minorHAnsi"/>
                <w:b/>
                <w:color w:val="000000"/>
                <w:sz w:val="18"/>
                <w:szCs w:val="18"/>
              </w:rPr>
            </w:pPr>
          </w:p>
          <w:p w:rsidR="0026043B" w:rsidRPr="00C66550" w:rsidRDefault="0026043B" w:rsidP="0026043B">
            <w:pPr>
              <w:jc w:val="center"/>
              <w:rPr>
                <w:rFonts w:asciiTheme="minorHAnsi" w:hAnsiTheme="minorHAnsi"/>
                <w:b/>
                <w:color w:val="000000"/>
                <w:sz w:val="18"/>
                <w:szCs w:val="18"/>
              </w:rPr>
            </w:pPr>
          </w:p>
          <w:p w:rsidR="0026043B" w:rsidRPr="00C66550" w:rsidRDefault="0026043B" w:rsidP="0026043B">
            <w:pPr>
              <w:jc w:val="center"/>
              <w:rPr>
                <w:rFonts w:asciiTheme="minorHAnsi" w:hAnsiTheme="minorHAnsi" w:cs="Arial"/>
                <w:b/>
                <w:color w:val="000000"/>
                <w:sz w:val="18"/>
                <w:szCs w:val="18"/>
              </w:rPr>
            </w:pPr>
          </w:p>
        </w:tc>
        <w:tc>
          <w:tcPr>
            <w:tcW w:w="657" w:type="pct"/>
            <w:tcBorders>
              <w:top w:val="single" w:sz="4" w:space="0" w:color="7F7F7F" w:themeColor="background2"/>
              <w:bottom w:val="nil"/>
              <w:right w:val="single" w:sz="4" w:space="0" w:color="808080" w:themeColor="background1" w:themeShade="80"/>
            </w:tcBorders>
            <w:vAlign w:val="center"/>
          </w:tcPr>
          <w:p w:rsidR="0026043B" w:rsidRPr="00C66550" w:rsidRDefault="0026043B" w:rsidP="0015706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 xml:space="preserve">Reuse </w:t>
            </w:r>
            <w:r w:rsidR="0015706B" w:rsidRPr="00C66550">
              <w:rPr>
                <w:rFonts w:asciiTheme="minorHAnsi" w:eastAsia="Arial" w:hAnsiTheme="minorHAnsi" w:cs="Arial"/>
                <w:color w:val="000000"/>
                <w:sz w:val="18"/>
                <w:szCs w:val="18"/>
              </w:rPr>
              <w:t>&amp;</w:t>
            </w:r>
            <w:r w:rsidRPr="00C66550">
              <w:rPr>
                <w:rFonts w:asciiTheme="minorHAnsi" w:eastAsia="Arial" w:hAnsiTheme="minorHAnsi" w:cs="Arial"/>
                <w:color w:val="000000"/>
                <w:sz w:val="18"/>
                <w:szCs w:val="18"/>
              </w:rPr>
              <w:t xml:space="preserve"> retreading</w:t>
            </w:r>
            <w:r w:rsidR="0015706B" w:rsidRPr="00C66550">
              <w:rPr>
                <w:rFonts w:asciiTheme="minorHAnsi" w:eastAsia="Arial" w:hAnsiTheme="minorHAnsi" w:cs="Arial"/>
                <w:color w:val="000000"/>
                <w:sz w:val="18"/>
                <w:szCs w:val="18"/>
              </w:rPr>
              <w:t xml:space="preserve"> </w:t>
            </w:r>
          </w:p>
        </w:tc>
        <w:tc>
          <w:tcPr>
            <w:tcW w:w="392" w:type="pct"/>
            <w:tcBorders>
              <w:top w:val="single" w:sz="4" w:space="0" w:color="7F7F7F" w:themeColor="background2"/>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45,758</w:t>
            </w:r>
          </w:p>
        </w:tc>
        <w:tc>
          <w:tcPr>
            <w:tcW w:w="392" w:type="pct"/>
            <w:tcBorders>
              <w:top w:val="single" w:sz="4" w:space="0" w:color="7F7F7F" w:themeColor="background2"/>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0.30%</w:t>
            </w:r>
          </w:p>
        </w:tc>
        <w:tc>
          <w:tcPr>
            <w:tcW w:w="392" w:type="pct"/>
            <w:tcBorders>
              <w:top w:val="single" w:sz="4" w:space="0" w:color="7F7F7F" w:themeColor="background2"/>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56,281</w:t>
            </w:r>
          </w:p>
        </w:tc>
        <w:tc>
          <w:tcPr>
            <w:tcW w:w="392" w:type="pct"/>
            <w:tcBorders>
              <w:top w:val="single" w:sz="4" w:space="0" w:color="7F7F7F" w:themeColor="background2"/>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0.40%</w:t>
            </w:r>
          </w:p>
        </w:tc>
        <w:tc>
          <w:tcPr>
            <w:tcW w:w="392" w:type="pct"/>
            <w:tcBorders>
              <w:top w:val="single" w:sz="4" w:space="0" w:color="7F7F7F" w:themeColor="background2"/>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102,038</w:t>
            </w:r>
          </w:p>
        </w:tc>
        <w:tc>
          <w:tcPr>
            <w:tcW w:w="392" w:type="pct"/>
            <w:tcBorders>
              <w:top w:val="single" w:sz="4" w:space="0" w:color="7F7F7F" w:themeColor="background2"/>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0.40%</w:t>
            </w:r>
          </w:p>
        </w:tc>
        <w:tc>
          <w:tcPr>
            <w:tcW w:w="392" w:type="pct"/>
            <w:tcBorders>
              <w:top w:val="single" w:sz="4" w:space="0" w:color="7F7F7F" w:themeColor="background2"/>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8,448</w:t>
            </w:r>
          </w:p>
        </w:tc>
        <w:tc>
          <w:tcPr>
            <w:tcW w:w="392" w:type="pct"/>
            <w:tcBorders>
              <w:top w:val="single" w:sz="4" w:space="0" w:color="7F7F7F" w:themeColor="background2"/>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0.00%</w:t>
            </w:r>
          </w:p>
        </w:tc>
        <w:tc>
          <w:tcPr>
            <w:tcW w:w="392" w:type="pct"/>
            <w:tcBorders>
              <w:top w:val="single" w:sz="4" w:space="0" w:color="7F7F7F" w:themeColor="background2"/>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110,486</w:t>
            </w:r>
          </w:p>
        </w:tc>
        <w:tc>
          <w:tcPr>
            <w:tcW w:w="388" w:type="pct"/>
            <w:tcBorders>
              <w:top w:val="single" w:sz="4" w:space="0" w:color="7F7F7F" w:themeColor="background2"/>
              <w:left w:val="nil"/>
              <w:bottom w:val="nil"/>
              <w:right w:val="nil"/>
            </w:tcBorders>
            <w:vAlign w:val="center"/>
          </w:tcPr>
          <w:p w:rsidR="0026043B" w:rsidRPr="00C66550" w:rsidRDefault="0026043B" w:rsidP="0026043B">
            <w:pPr>
              <w:jc w:val="right"/>
              <w:cnfStyle w:val="000000000000"/>
              <w:rPr>
                <w:rFonts w:asciiTheme="minorHAnsi" w:hAnsiTheme="minorHAnsi" w:cs="Arial"/>
                <w:b/>
                <w:color w:val="000000"/>
                <w:sz w:val="18"/>
                <w:szCs w:val="18"/>
              </w:rPr>
            </w:pPr>
            <w:r w:rsidRPr="00C66550">
              <w:rPr>
                <w:rFonts w:asciiTheme="minorHAnsi" w:eastAsia="Arial" w:hAnsiTheme="minorHAnsi" w:cs="Arial"/>
                <w:b/>
                <w:color w:val="000000"/>
                <w:sz w:val="18"/>
                <w:szCs w:val="18"/>
              </w:rPr>
              <w:t>0.20%</w:t>
            </w:r>
          </w:p>
        </w:tc>
      </w:tr>
      <w:tr w:rsidR="004B669F" w:rsidRPr="00C66550" w:rsidTr="007B3E6C">
        <w:tc>
          <w:tcPr>
            <w:cnfStyle w:val="001000000000"/>
            <w:tcW w:w="427" w:type="pct"/>
            <w:vMerge/>
            <w:tcBorders>
              <w:top w:val="nil"/>
              <w:bottom w:val="nil"/>
            </w:tcBorders>
            <w:textDirection w:val="btLr"/>
          </w:tcPr>
          <w:p w:rsidR="0026043B" w:rsidRPr="00C66550" w:rsidRDefault="0026043B" w:rsidP="0026043B">
            <w:pPr>
              <w:jc w:val="right"/>
              <w:rPr>
                <w:rFonts w:asciiTheme="minorHAnsi" w:hAnsiTheme="minorHAnsi"/>
                <w:b/>
                <w:color w:val="000000"/>
                <w:sz w:val="18"/>
                <w:szCs w:val="18"/>
              </w:rPr>
            </w:pPr>
          </w:p>
        </w:tc>
        <w:tc>
          <w:tcPr>
            <w:tcW w:w="657" w:type="pct"/>
            <w:tcBorders>
              <w:top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Recycling</w:t>
            </w:r>
            <w:r w:rsidR="0015706B" w:rsidRPr="00C66550">
              <w:rPr>
                <w:rFonts w:asciiTheme="minorHAnsi" w:hAnsiTheme="minorHAnsi" w:cs="Arial"/>
                <w:color w:val="000000"/>
                <w:sz w:val="18"/>
                <w:szCs w:val="18"/>
              </w:rPr>
              <w:t xml:space="preserve"> </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3,261,175</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24.70%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522,350</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3.60%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3,783,525</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13.60%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218,900</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1.10%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4,002,425</w:t>
            </w:r>
          </w:p>
        </w:tc>
        <w:tc>
          <w:tcPr>
            <w:tcW w:w="388" w:type="pct"/>
            <w:tcBorders>
              <w:top w:val="nil"/>
              <w:left w:val="nil"/>
              <w:bottom w:val="nil"/>
              <w:right w:val="nil"/>
            </w:tcBorders>
            <w:vAlign w:val="center"/>
          </w:tcPr>
          <w:p w:rsidR="0026043B" w:rsidRPr="00C66550" w:rsidRDefault="0026043B" w:rsidP="0026043B">
            <w:pPr>
              <w:jc w:val="right"/>
              <w:cnfStyle w:val="000000000000"/>
              <w:rPr>
                <w:rFonts w:asciiTheme="minorHAnsi" w:hAnsiTheme="minorHAnsi" w:cs="Arial"/>
                <w:b/>
                <w:color w:val="000000"/>
                <w:sz w:val="18"/>
                <w:szCs w:val="18"/>
              </w:rPr>
            </w:pPr>
            <w:r w:rsidRPr="00C66550">
              <w:rPr>
                <w:rFonts w:asciiTheme="minorHAnsi" w:eastAsia="Arial" w:hAnsiTheme="minorHAnsi" w:cs="Arial"/>
                <w:b/>
                <w:color w:val="000000"/>
                <w:sz w:val="18"/>
                <w:szCs w:val="18"/>
              </w:rPr>
              <w:t>8.30%</w:t>
            </w:r>
          </w:p>
        </w:tc>
      </w:tr>
      <w:tr w:rsidR="004B669F" w:rsidRPr="00C66550" w:rsidTr="007B3E6C">
        <w:tc>
          <w:tcPr>
            <w:cnfStyle w:val="001000000000"/>
            <w:tcW w:w="427" w:type="pct"/>
            <w:vMerge/>
            <w:tcBorders>
              <w:top w:val="nil"/>
              <w:bottom w:val="nil"/>
            </w:tcBorders>
            <w:textDirection w:val="btLr"/>
          </w:tcPr>
          <w:p w:rsidR="0026043B" w:rsidRPr="00C66550" w:rsidRDefault="0026043B" w:rsidP="0026043B">
            <w:pPr>
              <w:jc w:val="right"/>
              <w:rPr>
                <w:rFonts w:asciiTheme="minorHAnsi" w:hAnsiTheme="minorHAnsi"/>
                <w:b/>
                <w:color w:val="000000"/>
                <w:sz w:val="18"/>
                <w:szCs w:val="18"/>
              </w:rPr>
            </w:pPr>
          </w:p>
        </w:tc>
        <w:tc>
          <w:tcPr>
            <w:tcW w:w="657" w:type="pct"/>
            <w:tcBorders>
              <w:top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Energy recovery</w:t>
            </w:r>
            <w:r w:rsidR="0015706B" w:rsidRPr="00C66550">
              <w:rPr>
                <w:rFonts w:asciiTheme="minorHAnsi" w:eastAsia="Arial" w:hAnsiTheme="minorHAnsi" w:cs="Arial"/>
                <w:color w:val="000000"/>
                <w:sz w:val="18"/>
                <w:szCs w:val="18"/>
              </w:rPr>
              <w:t xml:space="preserve"> </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3,455,180</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26.20%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579,721</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4.00%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4,034,901</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14.50%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393,704</w:t>
            </w:r>
          </w:p>
        </w:tc>
        <w:tc>
          <w:tcPr>
            <w:tcW w:w="392" w:type="pct"/>
            <w:tcBorders>
              <w:top w:val="nil"/>
              <w:left w:val="nil"/>
              <w:bottom w:val="nil"/>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eastAsia="Arial" w:hAnsiTheme="minorHAnsi" w:cs="Arial"/>
                <w:color w:val="000000"/>
                <w:sz w:val="18"/>
                <w:szCs w:val="18"/>
              </w:rPr>
              <w:t>1.90%</w:t>
            </w:r>
          </w:p>
        </w:tc>
        <w:tc>
          <w:tcPr>
            <w:tcW w:w="392" w:type="pct"/>
            <w:tcBorders>
              <w:top w:val="nil"/>
              <w:left w:val="single" w:sz="4" w:space="0" w:color="808080" w:themeColor="background1" w:themeShade="80"/>
              <w:bottom w:val="nil"/>
              <w:right w:val="nil"/>
            </w:tcBorders>
            <w:vAlign w:val="center"/>
          </w:tcPr>
          <w:p w:rsidR="0026043B" w:rsidRPr="00C66550" w:rsidRDefault="0026043B" w:rsidP="0026043B">
            <w:pPr>
              <w:jc w:val="right"/>
              <w:cnfStyle w:val="000000000000"/>
              <w:rPr>
                <w:rFonts w:asciiTheme="minorHAnsi" w:hAnsiTheme="minorHAnsi" w:cs="Arial"/>
                <w:color w:val="000000"/>
                <w:sz w:val="18"/>
                <w:szCs w:val="18"/>
              </w:rPr>
            </w:pPr>
            <w:r w:rsidRPr="00C66550">
              <w:rPr>
                <w:rFonts w:asciiTheme="minorHAnsi" w:hAnsiTheme="minorHAnsi" w:cs="Arial"/>
                <w:color w:val="000000"/>
                <w:sz w:val="18"/>
                <w:szCs w:val="18"/>
              </w:rPr>
              <w:t>4,428,605</w:t>
            </w:r>
          </w:p>
        </w:tc>
        <w:tc>
          <w:tcPr>
            <w:tcW w:w="388" w:type="pct"/>
            <w:tcBorders>
              <w:top w:val="nil"/>
              <w:left w:val="nil"/>
              <w:bottom w:val="nil"/>
              <w:right w:val="nil"/>
            </w:tcBorders>
            <w:vAlign w:val="center"/>
          </w:tcPr>
          <w:p w:rsidR="0026043B" w:rsidRPr="00C66550" w:rsidRDefault="0026043B" w:rsidP="0026043B">
            <w:pPr>
              <w:jc w:val="right"/>
              <w:cnfStyle w:val="000000000000"/>
              <w:rPr>
                <w:rFonts w:asciiTheme="minorHAnsi" w:hAnsiTheme="minorHAnsi" w:cs="Arial"/>
                <w:b/>
                <w:color w:val="000000"/>
                <w:sz w:val="18"/>
                <w:szCs w:val="18"/>
              </w:rPr>
            </w:pPr>
            <w:r w:rsidRPr="00C66550">
              <w:rPr>
                <w:rFonts w:asciiTheme="minorHAnsi" w:eastAsia="Arial" w:hAnsiTheme="minorHAnsi" w:cs="Arial"/>
                <w:b/>
                <w:color w:val="000000"/>
                <w:sz w:val="18"/>
                <w:szCs w:val="18"/>
              </w:rPr>
              <w:t>9.10%</w:t>
            </w:r>
          </w:p>
        </w:tc>
      </w:tr>
      <w:tr w:rsidR="0015706B" w:rsidRPr="00C66550" w:rsidTr="007B3E6C">
        <w:tc>
          <w:tcPr>
            <w:cnfStyle w:val="001000000000"/>
            <w:tcW w:w="427" w:type="pct"/>
            <w:vMerge/>
            <w:tcBorders>
              <w:top w:val="nil"/>
              <w:bottom w:val="single" w:sz="4" w:space="0" w:color="7F7F7F" w:themeColor="background2"/>
            </w:tcBorders>
            <w:textDirection w:val="btLr"/>
          </w:tcPr>
          <w:p w:rsidR="0026043B" w:rsidRPr="00C66550" w:rsidRDefault="0026043B" w:rsidP="0026043B">
            <w:pPr>
              <w:jc w:val="right"/>
              <w:rPr>
                <w:rFonts w:asciiTheme="minorHAnsi" w:hAnsiTheme="minorHAnsi"/>
                <w:color w:val="000000"/>
                <w:sz w:val="18"/>
                <w:szCs w:val="18"/>
              </w:rPr>
            </w:pPr>
          </w:p>
        </w:tc>
        <w:tc>
          <w:tcPr>
            <w:tcW w:w="657" w:type="pct"/>
            <w:tcBorders>
              <w:top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eastAsia="Arial" w:hAnsiTheme="minorHAnsi" w:cs="Arial"/>
                <w:b/>
                <w:bCs/>
                <w:color w:val="000000"/>
                <w:sz w:val="18"/>
                <w:szCs w:val="18"/>
              </w:rPr>
              <w:t>SUB TOTAL</w:t>
            </w:r>
            <w:r w:rsidR="0015706B" w:rsidRPr="00C66550">
              <w:rPr>
                <w:rFonts w:asciiTheme="minorHAnsi" w:eastAsia="Arial" w:hAnsiTheme="minorHAnsi" w:cs="Arial"/>
                <w:b/>
                <w:bCs/>
                <w:color w:val="000000"/>
                <w:sz w:val="18"/>
                <w:szCs w:val="18"/>
              </w:rPr>
              <w:t xml:space="preserve">  </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6,762,113</w:t>
            </w:r>
          </w:p>
        </w:tc>
        <w:tc>
          <w:tcPr>
            <w:tcW w:w="392" w:type="pct"/>
            <w:tcBorders>
              <w:top w:val="nil"/>
              <w:left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51.20%</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1,158,352</w:t>
            </w:r>
          </w:p>
        </w:tc>
        <w:tc>
          <w:tcPr>
            <w:tcW w:w="392" w:type="pct"/>
            <w:tcBorders>
              <w:top w:val="nil"/>
              <w:left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7.90%</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7,920,464</w:t>
            </w:r>
          </w:p>
        </w:tc>
        <w:tc>
          <w:tcPr>
            <w:tcW w:w="392" w:type="pct"/>
            <w:tcBorders>
              <w:top w:val="nil"/>
              <w:left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28.40%</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621,052</w:t>
            </w:r>
          </w:p>
        </w:tc>
        <w:tc>
          <w:tcPr>
            <w:tcW w:w="392" w:type="pct"/>
            <w:tcBorders>
              <w:top w:val="nil"/>
              <w:left w:val="nil"/>
              <w:bottom w:val="single" w:sz="4" w:space="0" w:color="7F7F7F" w:themeColor="background2"/>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eastAsia="Arial" w:hAnsiTheme="minorHAnsi" w:cs="Arial"/>
                <w:bCs/>
                <w:color w:val="000000"/>
                <w:sz w:val="18"/>
                <w:szCs w:val="18"/>
              </w:rPr>
              <w:t>3.00%</w:t>
            </w:r>
          </w:p>
        </w:tc>
        <w:tc>
          <w:tcPr>
            <w:tcW w:w="392" w:type="pct"/>
            <w:tcBorders>
              <w:top w:val="nil"/>
              <w:left w:val="single" w:sz="4" w:space="0" w:color="808080" w:themeColor="background1" w:themeShade="80"/>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Cs/>
                <w:color w:val="000000"/>
                <w:sz w:val="18"/>
                <w:szCs w:val="18"/>
              </w:rPr>
            </w:pPr>
            <w:r w:rsidRPr="00C66550">
              <w:rPr>
                <w:rFonts w:asciiTheme="minorHAnsi" w:hAnsiTheme="minorHAnsi" w:cs="Arial"/>
                <w:bCs/>
                <w:color w:val="000000"/>
                <w:sz w:val="18"/>
                <w:szCs w:val="18"/>
              </w:rPr>
              <w:t>8,541,516</w:t>
            </w:r>
          </w:p>
        </w:tc>
        <w:tc>
          <w:tcPr>
            <w:tcW w:w="388" w:type="pct"/>
            <w:tcBorders>
              <w:top w:val="nil"/>
              <w:left w:val="nil"/>
              <w:bottom w:val="single" w:sz="4" w:space="0" w:color="7F7F7F" w:themeColor="background2"/>
              <w:right w:val="nil"/>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eastAsia="Arial" w:hAnsiTheme="minorHAnsi" w:cs="Arial"/>
                <w:b/>
                <w:bCs/>
                <w:color w:val="000000"/>
                <w:sz w:val="18"/>
                <w:szCs w:val="18"/>
              </w:rPr>
              <w:t>17.60%</w:t>
            </w:r>
          </w:p>
        </w:tc>
      </w:tr>
      <w:tr w:rsidR="0015706B" w:rsidRPr="00C66550" w:rsidTr="007B3E6C">
        <w:tc>
          <w:tcPr>
            <w:cnfStyle w:val="001000000000"/>
            <w:tcW w:w="427" w:type="pct"/>
            <w:tcBorders>
              <w:top w:val="single" w:sz="4" w:space="0" w:color="7F7F7F" w:themeColor="background2"/>
            </w:tcBorders>
            <w:vAlign w:val="center"/>
          </w:tcPr>
          <w:p w:rsidR="0026043B" w:rsidRPr="00C66550" w:rsidRDefault="0026043B" w:rsidP="0026043B">
            <w:pPr>
              <w:jc w:val="right"/>
              <w:rPr>
                <w:rFonts w:asciiTheme="minorHAnsi" w:hAnsiTheme="minorHAnsi" w:cs="Arial"/>
                <w:b/>
                <w:bCs/>
                <w:color w:val="000000"/>
                <w:sz w:val="18"/>
                <w:szCs w:val="18"/>
              </w:rPr>
            </w:pPr>
            <w:r w:rsidRPr="00C66550">
              <w:rPr>
                <w:rFonts w:asciiTheme="minorHAnsi" w:hAnsiTheme="minorHAnsi" w:cs="Arial"/>
                <w:b/>
                <w:bCs/>
                <w:color w:val="000000"/>
                <w:sz w:val="18"/>
                <w:szCs w:val="18"/>
              </w:rPr>
              <w:t>TOTAL</w:t>
            </w:r>
          </w:p>
        </w:tc>
        <w:tc>
          <w:tcPr>
            <w:tcW w:w="657" w:type="pct"/>
            <w:tcBorders>
              <w:top w:val="single" w:sz="4" w:space="0" w:color="7F7F7F" w:themeColor="background2"/>
              <w:bottom w:val="single" w:sz="4" w:space="0" w:color="808080" w:themeColor="background1" w:themeShade="80"/>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 </w:t>
            </w:r>
          </w:p>
        </w:tc>
        <w:tc>
          <w:tcPr>
            <w:tcW w:w="392" w:type="pct"/>
            <w:tcBorders>
              <w:top w:val="single" w:sz="4" w:space="0" w:color="7F7F7F" w:themeColor="background2"/>
              <w:left w:val="single" w:sz="4" w:space="0" w:color="808080" w:themeColor="background1" w:themeShade="80"/>
              <w:bottom w:val="single" w:sz="4" w:space="0" w:color="808080" w:themeColor="background1" w:themeShade="80"/>
              <w:right w:val="nil"/>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13,197,603</w:t>
            </w:r>
          </w:p>
        </w:tc>
        <w:tc>
          <w:tcPr>
            <w:tcW w:w="392" w:type="pct"/>
            <w:tcBorders>
              <w:top w:val="single" w:sz="4" w:space="0" w:color="7F7F7F" w:themeColor="background2"/>
              <w:left w:val="nil"/>
              <w:bottom w:val="single" w:sz="4" w:space="0" w:color="808080" w:themeColor="background1" w:themeShade="80"/>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 </w:t>
            </w:r>
          </w:p>
        </w:tc>
        <w:tc>
          <w:tcPr>
            <w:tcW w:w="392" w:type="pct"/>
            <w:tcBorders>
              <w:top w:val="single" w:sz="4" w:space="0" w:color="7F7F7F" w:themeColor="background2"/>
              <w:left w:val="single" w:sz="4" w:space="0" w:color="808080" w:themeColor="background1" w:themeShade="80"/>
              <w:bottom w:val="single" w:sz="4" w:space="0" w:color="808080" w:themeColor="background1" w:themeShade="80"/>
              <w:right w:val="nil"/>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14,673,882</w:t>
            </w:r>
          </w:p>
        </w:tc>
        <w:tc>
          <w:tcPr>
            <w:tcW w:w="392" w:type="pct"/>
            <w:tcBorders>
              <w:top w:val="single" w:sz="4" w:space="0" w:color="7F7F7F" w:themeColor="background2"/>
              <w:left w:val="nil"/>
              <w:bottom w:val="single" w:sz="4" w:space="0" w:color="808080" w:themeColor="background1" w:themeShade="80"/>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 </w:t>
            </w:r>
          </w:p>
        </w:tc>
        <w:tc>
          <w:tcPr>
            <w:tcW w:w="392" w:type="pct"/>
            <w:tcBorders>
              <w:top w:val="single" w:sz="4" w:space="0" w:color="7F7F7F" w:themeColor="background2"/>
              <w:left w:val="single" w:sz="4" w:space="0" w:color="808080" w:themeColor="background1" w:themeShade="80"/>
              <w:bottom w:val="single" w:sz="4" w:space="0" w:color="808080" w:themeColor="background1" w:themeShade="80"/>
              <w:right w:val="nil"/>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27,871,485</w:t>
            </w:r>
          </w:p>
        </w:tc>
        <w:tc>
          <w:tcPr>
            <w:tcW w:w="392" w:type="pct"/>
            <w:tcBorders>
              <w:top w:val="single" w:sz="4" w:space="0" w:color="7F7F7F" w:themeColor="background2"/>
              <w:left w:val="nil"/>
              <w:bottom w:val="single" w:sz="4" w:space="0" w:color="808080" w:themeColor="background1" w:themeShade="80"/>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 </w:t>
            </w:r>
          </w:p>
        </w:tc>
        <w:tc>
          <w:tcPr>
            <w:tcW w:w="392" w:type="pct"/>
            <w:tcBorders>
              <w:top w:val="single" w:sz="4" w:space="0" w:color="7F7F7F" w:themeColor="background2"/>
              <w:left w:val="single" w:sz="4" w:space="0" w:color="808080" w:themeColor="background1" w:themeShade="80"/>
              <w:bottom w:val="single" w:sz="4" w:space="0" w:color="808080" w:themeColor="background1" w:themeShade="80"/>
              <w:right w:val="nil"/>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20,596,893</w:t>
            </w:r>
          </w:p>
        </w:tc>
        <w:tc>
          <w:tcPr>
            <w:tcW w:w="392" w:type="pct"/>
            <w:tcBorders>
              <w:top w:val="single" w:sz="4" w:space="0" w:color="7F7F7F" w:themeColor="background2"/>
              <w:left w:val="nil"/>
              <w:bottom w:val="single" w:sz="4" w:space="0" w:color="808080" w:themeColor="background1" w:themeShade="80"/>
              <w:right w:val="single" w:sz="4" w:space="0" w:color="808080" w:themeColor="background1" w:themeShade="80"/>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 </w:t>
            </w:r>
          </w:p>
        </w:tc>
        <w:tc>
          <w:tcPr>
            <w:tcW w:w="392" w:type="pct"/>
            <w:tcBorders>
              <w:top w:val="single" w:sz="4" w:space="0" w:color="7F7F7F" w:themeColor="background2"/>
              <w:left w:val="single" w:sz="4" w:space="0" w:color="808080" w:themeColor="background1" w:themeShade="80"/>
              <w:bottom w:val="single" w:sz="4" w:space="0" w:color="808080" w:themeColor="background1" w:themeShade="80"/>
              <w:right w:val="nil"/>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48,468,378</w:t>
            </w:r>
          </w:p>
        </w:tc>
        <w:tc>
          <w:tcPr>
            <w:tcW w:w="388" w:type="pct"/>
            <w:tcBorders>
              <w:top w:val="single" w:sz="4" w:space="0" w:color="7F7F7F" w:themeColor="background2"/>
              <w:left w:val="nil"/>
              <w:bottom w:val="single" w:sz="4" w:space="0" w:color="808080" w:themeColor="background1" w:themeShade="80"/>
              <w:right w:val="nil"/>
            </w:tcBorders>
            <w:vAlign w:val="center"/>
          </w:tcPr>
          <w:p w:rsidR="0026043B" w:rsidRPr="00C66550" w:rsidRDefault="0026043B" w:rsidP="0026043B">
            <w:pPr>
              <w:jc w:val="right"/>
              <w:cnfStyle w:val="000000000000"/>
              <w:rPr>
                <w:rFonts w:asciiTheme="minorHAnsi" w:hAnsiTheme="minorHAnsi" w:cs="Arial"/>
                <w:b/>
                <w:bCs/>
                <w:color w:val="000000"/>
                <w:sz w:val="18"/>
                <w:szCs w:val="18"/>
              </w:rPr>
            </w:pPr>
            <w:r w:rsidRPr="00C66550">
              <w:rPr>
                <w:rFonts w:asciiTheme="minorHAnsi" w:hAnsiTheme="minorHAnsi" w:cs="Arial"/>
                <w:b/>
                <w:bCs/>
                <w:color w:val="000000"/>
                <w:sz w:val="18"/>
                <w:szCs w:val="18"/>
              </w:rPr>
              <w:t> </w:t>
            </w:r>
          </w:p>
        </w:tc>
      </w:tr>
    </w:tbl>
    <w:p w:rsidR="00E274E7" w:rsidRPr="00FC2D1C" w:rsidRDefault="00E274E7" w:rsidP="00E274E7">
      <w:pPr>
        <w:pStyle w:val="FigureTableinfo"/>
        <w:keepNext/>
        <w:rPr>
          <w:sz w:val="20"/>
        </w:rPr>
      </w:pPr>
      <w:r w:rsidRPr="00FC2D1C">
        <w:rPr>
          <w:sz w:val="20"/>
        </w:rPr>
        <w:t xml:space="preserve">Source: </w:t>
      </w:r>
      <w:r w:rsidR="00FC2D1C">
        <w:rPr>
          <w:sz w:val="20"/>
        </w:rPr>
        <w:t>Hyder</w:t>
      </w:r>
      <w:r w:rsidR="00BB3966">
        <w:rPr>
          <w:sz w:val="20"/>
        </w:rPr>
        <w:t xml:space="preserve"> Consulting</w:t>
      </w:r>
      <w:r w:rsidR="0026043B" w:rsidRPr="00FC2D1C">
        <w:rPr>
          <w:sz w:val="20"/>
        </w:rPr>
        <w:t xml:space="preserve"> </w:t>
      </w:r>
      <w:r w:rsidRPr="00FC2D1C">
        <w:rPr>
          <w:sz w:val="20"/>
        </w:rPr>
        <w:t>(2012</w:t>
      </w:r>
      <w:r w:rsidR="00FC2D1C">
        <w:rPr>
          <w:sz w:val="20"/>
        </w:rPr>
        <w:t>)</w:t>
      </w:r>
    </w:p>
    <w:p w:rsidR="00063C5E" w:rsidRPr="00FC2D1C" w:rsidRDefault="00063C5E" w:rsidP="00E274E7">
      <w:pPr>
        <w:pStyle w:val="FigureTableinfo"/>
        <w:keepNext/>
        <w:rPr>
          <w:sz w:val="20"/>
        </w:rPr>
      </w:pPr>
      <w:r w:rsidRPr="00FC2D1C">
        <w:rPr>
          <w:sz w:val="20"/>
        </w:rPr>
        <w:t xml:space="preserve">* Data categorised as </w:t>
      </w:r>
      <w:r w:rsidR="00BB3966">
        <w:rPr>
          <w:sz w:val="20"/>
        </w:rPr>
        <w:t>‘</w:t>
      </w:r>
      <w:r w:rsidRPr="00FC2D1C">
        <w:rPr>
          <w:sz w:val="20"/>
        </w:rPr>
        <w:t>Unknown</w:t>
      </w:r>
      <w:r w:rsidR="00BB3966">
        <w:rPr>
          <w:sz w:val="20"/>
        </w:rPr>
        <w:t>’</w:t>
      </w:r>
      <w:r w:rsidRPr="00FC2D1C">
        <w:rPr>
          <w:sz w:val="20"/>
        </w:rPr>
        <w:t xml:space="preserve"> represents balance of tyres which have not been recycled, recovered for energy, used in civil engineering or deposited in licensed </w:t>
      </w:r>
      <w:r w:rsidR="00E60331" w:rsidRPr="00FC2D1C">
        <w:rPr>
          <w:sz w:val="20"/>
        </w:rPr>
        <w:t>landfill.</w:t>
      </w:r>
    </w:p>
    <w:p w:rsidR="00C0346C" w:rsidRPr="00C66550" w:rsidRDefault="00C0346C" w:rsidP="00B129A6">
      <w:pPr>
        <w:pStyle w:val="BodyText"/>
      </w:pPr>
    </w:p>
    <w:p w:rsidR="00C0346C" w:rsidRPr="00C66550" w:rsidRDefault="00C0346C" w:rsidP="00B129A6">
      <w:pPr>
        <w:pStyle w:val="BodyText"/>
        <w:sectPr w:rsidR="00C0346C" w:rsidRPr="00C66550" w:rsidSect="00063C5E">
          <w:headerReference w:type="default" r:id="rId128"/>
          <w:footerReference w:type="default" r:id="rId129"/>
          <w:pgSz w:w="16840" w:h="11907" w:orient="landscape" w:code="9"/>
          <w:pgMar w:top="1077" w:right="1247" w:bottom="1474" w:left="1701" w:header="709" w:footer="709" w:gutter="0"/>
          <w:cols w:space="708"/>
          <w:docGrid w:linePitch="360"/>
        </w:sectPr>
      </w:pPr>
    </w:p>
    <w:p w:rsidR="00A744C5" w:rsidRPr="00C66550" w:rsidRDefault="00A744C5" w:rsidP="006D25F9">
      <w:pPr>
        <w:pStyle w:val="Heading1"/>
      </w:pPr>
      <w:bookmarkStart w:id="218" w:name="_Ref355361776"/>
      <w:bookmarkStart w:id="219" w:name="_Toc379466398"/>
      <w:r w:rsidRPr="00C66550">
        <w:lastRenderedPageBreak/>
        <w:t>Local government data</w:t>
      </w:r>
      <w:bookmarkEnd w:id="218"/>
      <w:bookmarkEnd w:id="219"/>
    </w:p>
    <w:p w:rsidR="00625CCB" w:rsidRPr="00C66550" w:rsidRDefault="00625CCB" w:rsidP="00625CCB">
      <w:pPr>
        <w:pStyle w:val="BodyText"/>
      </w:pPr>
      <w:r w:rsidRPr="00C66550">
        <w:t xml:space="preserve">Local governments play a critical role in waste management across Australia. They are responsible for almost all of the domestic kerbside collections and own much of the waste infrastructure, particularly in regional and rural areas. They have been integral to the development of recycling and community education on waste management. </w:t>
      </w:r>
    </w:p>
    <w:p w:rsidR="00625CCB" w:rsidRPr="00C66550" w:rsidRDefault="00625CCB" w:rsidP="00625CCB">
      <w:pPr>
        <w:pStyle w:val="BodyText"/>
      </w:pPr>
    </w:p>
    <w:p w:rsidR="00625CCB" w:rsidRPr="00C66550" w:rsidRDefault="00625CCB" w:rsidP="00625CCB">
      <w:pPr>
        <w:pStyle w:val="BodyText"/>
      </w:pPr>
      <w:r w:rsidRPr="00C66550">
        <w:t>In 2011</w:t>
      </w:r>
      <w:r w:rsidR="00DC10B9" w:rsidRPr="00C66550">
        <w:t>,</w:t>
      </w:r>
      <w:r w:rsidRPr="00C66550">
        <w:t xml:space="preserve"> DSEWPaC commissioned a report on the role and performance of Australia’s 559 local governments in relation to waste management. The following information is mostly extracted from the resulting report (Hyder Consulting 2011) and data workbook.</w:t>
      </w:r>
    </w:p>
    <w:p w:rsidR="00625CCB" w:rsidRPr="00C66550" w:rsidRDefault="00625CCB" w:rsidP="00625CCB">
      <w:pPr>
        <w:pStyle w:val="BodyText"/>
      </w:pPr>
    </w:p>
    <w:p w:rsidR="00625CCB" w:rsidRPr="00C66550" w:rsidRDefault="00625CCB" w:rsidP="00625CCB">
      <w:pPr>
        <w:pStyle w:val="BodyText"/>
      </w:pPr>
      <w:r w:rsidRPr="00C66550">
        <w:t xml:space="preserve">Comprehensive data on local government waste management are not available for most jurisdictions. NSW and </w:t>
      </w:r>
      <w:r w:rsidR="00DF4FB7">
        <w:t>Vic</w:t>
      </w:r>
      <w:r w:rsidRPr="00C66550">
        <w:t xml:space="preserve"> publish annual data on waste tonnages managed by local councils, as well as data on collection services, frequencies and bin types. More limited data are available for local governments in </w:t>
      </w:r>
      <w:r w:rsidR="00DF4FB7">
        <w:t>Qld</w:t>
      </w:r>
      <w:r w:rsidR="006F3738" w:rsidRPr="00C66550">
        <w:t>, WA</w:t>
      </w:r>
      <w:r w:rsidR="00DC10B9" w:rsidRPr="00C66550">
        <w:t xml:space="preserve"> </w:t>
      </w:r>
      <w:r w:rsidRPr="00C66550">
        <w:t xml:space="preserve">and </w:t>
      </w:r>
      <w:r w:rsidR="00DC10B9" w:rsidRPr="00C66550">
        <w:t>SA</w:t>
      </w:r>
      <w:r w:rsidRPr="00C66550">
        <w:t xml:space="preserve">. Cost data are available for all councils in </w:t>
      </w:r>
      <w:r w:rsidR="00DF4FB7">
        <w:t>Vic</w:t>
      </w:r>
      <w:r w:rsidRPr="00C66550">
        <w:t xml:space="preserve"> and most in </w:t>
      </w:r>
      <w:r w:rsidR="00DF4FB7">
        <w:t>Qld</w:t>
      </w:r>
      <w:r w:rsidRPr="00C66550">
        <w:t xml:space="preserve">, </w:t>
      </w:r>
      <w:r w:rsidR="00DC10B9" w:rsidRPr="00C66550">
        <w:t>SA</w:t>
      </w:r>
      <w:r w:rsidRPr="00C66550">
        <w:t xml:space="preserve"> and </w:t>
      </w:r>
      <w:r w:rsidR="00DF4FB7">
        <w:t>Tas</w:t>
      </w:r>
      <w:r w:rsidRPr="00C66550">
        <w:t xml:space="preserve">. </w:t>
      </w:r>
    </w:p>
    <w:p w:rsidR="006D037E" w:rsidRPr="00C66550" w:rsidRDefault="006D037E" w:rsidP="00625CCB">
      <w:pPr>
        <w:pStyle w:val="BodyText"/>
      </w:pPr>
    </w:p>
    <w:p w:rsidR="00625CCB" w:rsidRPr="00C66550" w:rsidRDefault="00625CCB" w:rsidP="00625CCB">
      <w:pPr>
        <w:pStyle w:val="BodyText"/>
      </w:pPr>
      <w:r w:rsidRPr="00C66550">
        <w:t xml:space="preserve">Most local governments now contract waste collection services to private companies, although a significant minority retain some or all collection services in-house. In 2009/10, 82% of employment in the waste sector was through private companies. </w:t>
      </w:r>
    </w:p>
    <w:p w:rsidR="00625CCB" w:rsidRPr="00C66550" w:rsidRDefault="00625CCB" w:rsidP="00625CCB">
      <w:pPr>
        <w:pStyle w:val="BodyText"/>
      </w:pPr>
    </w:p>
    <w:p w:rsidR="00625CCB" w:rsidRPr="00C66550" w:rsidRDefault="00625CCB" w:rsidP="00625CCB">
      <w:pPr>
        <w:pStyle w:val="BodyText"/>
      </w:pPr>
      <w:r w:rsidRPr="00C66550">
        <w:t>Most garbage and recyclables are collected in wheelie bins. Where there is no kerbside recycling, garbage bins are often the large 240L type, but otherwise smaller 140L, 120L or even 80L bins are usually used. These are generally collected weekly. The most common recycling bin arrangement is a 240L bin collected fortnightly. A range of other service configurations are also used, including weekly collections, bins of different sizes, use of crates rather than bins, and split bins with half for recycling and half for garbage. Garden waste collections are also most often in 240L bins, but collection frequencies vary widely.</w:t>
      </w:r>
    </w:p>
    <w:p w:rsidR="00FF0C93" w:rsidRPr="00C66550" w:rsidRDefault="0062001A" w:rsidP="0065047A">
      <w:pPr>
        <w:pStyle w:val="BodyText"/>
        <w:spacing w:before="240"/>
      </w:pPr>
      <w:r w:rsidRPr="00C66550">
        <w:fldChar w:fldCharType="begin"/>
      </w:r>
      <w:r w:rsidR="00625CCB" w:rsidRPr="00C66550">
        <w:instrText xml:space="preserve"> REF _Ref348109492 \h </w:instrText>
      </w:r>
      <w:r w:rsidRPr="00C66550">
        <w:fldChar w:fldCharType="separate"/>
      </w:r>
      <w:r w:rsidR="00D96003" w:rsidRPr="00C66550">
        <w:t xml:space="preserve">Table </w:t>
      </w:r>
      <w:r w:rsidR="00D96003">
        <w:rPr>
          <w:noProof/>
        </w:rPr>
        <w:t>15</w:t>
      </w:r>
      <w:r w:rsidRPr="00C66550">
        <w:fldChar w:fldCharType="end"/>
      </w:r>
      <w:r w:rsidR="00625CCB" w:rsidRPr="00C66550">
        <w:t xml:space="preserve"> compares some key waste management parameters across the jurisdictions for which reasonable quality data is available. </w:t>
      </w:r>
    </w:p>
    <w:p w:rsidR="00CE6A9A" w:rsidRPr="00C66550" w:rsidRDefault="00CE6A9A" w:rsidP="00625CCB">
      <w:pPr>
        <w:pStyle w:val="BodyText"/>
      </w:pPr>
    </w:p>
    <w:p w:rsidR="00625CCB" w:rsidRPr="00C66550" w:rsidRDefault="00625CCB" w:rsidP="00FB4820">
      <w:pPr>
        <w:pStyle w:val="Figures"/>
      </w:pPr>
      <w:bookmarkStart w:id="220" w:name="_Ref348109492"/>
      <w:bookmarkStart w:id="221" w:name="_Toc365038859"/>
      <w:r w:rsidRPr="00C66550">
        <w:t xml:space="preserve">Table </w:t>
      </w:r>
      <w:r w:rsidR="0062001A" w:rsidRPr="00C66550">
        <w:fldChar w:fldCharType="begin"/>
      </w:r>
      <w:r w:rsidR="00C324A1" w:rsidRPr="00C66550">
        <w:instrText xml:space="preserve"> SEQ Table \* ARABIC </w:instrText>
      </w:r>
      <w:r w:rsidR="0062001A" w:rsidRPr="00C66550">
        <w:fldChar w:fldCharType="separate"/>
      </w:r>
      <w:r w:rsidR="00D96003">
        <w:rPr>
          <w:noProof/>
        </w:rPr>
        <w:t>15</w:t>
      </w:r>
      <w:r w:rsidR="0062001A" w:rsidRPr="00C66550">
        <w:rPr>
          <w:noProof/>
        </w:rPr>
        <w:fldChar w:fldCharType="end"/>
      </w:r>
      <w:bookmarkEnd w:id="220"/>
      <w:r w:rsidR="00522DFD" w:rsidRPr="00C66550">
        <w:t>:</w:t>
      </w:r>
      <w:r w:rsidR="00522DFD" w:rsidRPr="00C66550">
        <w:tab/>
      </w:r>
      <w:r w:rsidRPr="00C66550">
        <w:t>Local government kerbside collection data by jurisdiction</w:t>
      </w:r>
      <w:bookmarkEnd w:id="221"/>
    </w:p>
    <w:tbl>
      <w:tblPr>
        <w:tblStyle w:val="BETable1"/>
        <w:tblW w:w="6237" w:type="dxa"/>
        <w:tblLayout w:type="fixed"/>
        <w:tblLook w:val="04A0"/>
      </w:tblPr>
      <w:tblGrid>
        <w:gridCol w:w="3261"/>
        <w:gridCol w:w="708"/>
        <w:gridCol w:w="710"/>
        <w:gridCol w:w="708"/>
        <w:gridCol w:w="850"/>
      </w:tblGrid>
      <w:tr w:rsidR="00625CCB" w:rsidRPr="00C66550" w:rsidTr="00625CCB">
        <w:trPr>
          <w:cnfStyle w:val="100000000000"/>
        </w:trPr>
        <w:tc>
          <w:tcPr>
            <w:cnfStyle w:val="001000000000"/>
            <w:tcW w:w="3261" w:type="dxa"/>
          </w:tcPr>
          <w:p w:rsidR="00625CCB" w:rsidRPr="00C66550" w:rsidRDefault="00625CCB" w:rsidP="007C142A">
            <w:pPr>
              <w:keepNext/>
            </w:pPr>
          </w:p>
        </w:tc>
        <w:tc>
          <w:tcPr>
            <w:tcW w:w="708" w:type="dxa"/>
          </w:tcPr>
          <w:p w:rsidR="00625CCB" w:rsidRPr="00C66550" w:rsidRDefault="00625CCB" w:rsidP="007C142A">
            <w:pPr>
              <w:keepNext/>
              <w:jc w:val="right"/>
              <w:cnfStyle w:val="100000000000"/>
            </w:pPr>
            <w:r w:rsidRPr="00C66550">
              <w:t>ACT</w:t>
            </w:r>
          </w:p>
        </w:tc>
        <w:tc>
          <w:tcPr>
            <w:tcW w:w="710" w:type="dxa"/>
          </w:tcPr>
          <w:p w:rsidR="00625CCB" w:rsidRPr="00C66550" w:rsidRDefault="00625CCB" w:rsidP="007C142A">
            <w:pPr>
              <w:keepNext/>
              <w:jc w:val="right"/>
              <w:cnfStyle w:val="100000000000"/>
              <w:rPr>
                <w:vertAlign w:val="superscript"/>
              </w:rPr>
            </w:pPr>
            <w:r w:rsidRPr="00C66550">
              <w:t>NSW</w:t>
            </w:r>
          </w:p>
        </w:tc>
        <w:tc>
          <w:tcPr>
            <w:tcW w:w="708" w:type="dxa"/>
          </w:tcPr>
          <w:p w:rsidR="00625CCB" w:rsidRPr="00C66550" w:rsidRDefault="00625CCB" w:rsidP="007C142A">
            <w:pPr>
              <w:keepNext/>
              <w:jc w:val="right"/>
              <w:cnfStyle w:val="100000000000"/>
            </w:pPr>
            <w:r w:rsidRPr="00C66550">
              <w:t xml:space="preserve">Qld </w:t>
            </w:r>
          </w:p>
        </w:tc>
        <w:tc>
          <w:tcPr>
            <w:tcW w:w="850" w:type="dxa"/>
          </w:tcPr>
          <w:p w:rsidR="00625CCB" w:rsidRPr="00C66550" w:rsidRDefault="00625CCB" w:rsidP="005F3183">
            <w:pPr>
              <w:keepNext/>
              <w:jc w:val="right"/>
              <w:cnfStyle w:val="100000000000"/>
            </w:pPr>
            <w:r w:rsidRPr="00C66550">
              <w:t>Vic</w:t>
            </w:r>
          </w:p>
        </w:tc>
      </w:tr>
      <w:tr w:rsidR="00625CCB" w:rsidRPr="00C66550" w:rsidTr="00216969">
        <w:tc>
          <w:tcPr>
            <w:cnfStyle w:val="001000000000"/>
            <w:tcW w:w="3261" w:type="dxa"/>
            <w:tcBorders>
              <w:bottom w:val="single" w:sz="4" w:space="0" w:color="7F7F7F" w:themeColor="background2"/>
            </w:tcBorders>
          </w:tcPr>
          <w:p w:rsidR="00625CCB" w:rsidRPr="00C66550" w:rsidRDefault="00625CCB" w:rsidP="007C142A">
            <w:pPr>
              <w:keepNext/>
            </w:pPr>
            <w:r w:rsidRPr="00C66550">
              <w:t>Year</w:t>
            </w:r>
          </w:p>
        </w:tc>
        <w:tc>
          <w:tcPr>
            <w:tcW w:w="708" w:type="dxa"/>
            <w:tcBorders>
              <w:bottom w:val="single" w:sz="4" w:space="0" w:color="7F7F7F" w:themeColor="background2"/>
            </w:tcBorders>
          </w:tcPr>
          <w:p w:rsidR="00625CCB" w:rsidRPr="00C66550" w:rsidRDefault="00625CCB" w:rsidP="007C142A">
            <w:pPr>
              <w:keepNext/>
              <w:jc w:val="right"/>
              <w:cnfStyle w:val="000000000000"/>
            </w:pPr>
          </w:p>
        </w:tc>
        <w:tc>
          <w:tcPr>
            <w:tcW w:w="710" w:type="dxa"/>
            <w:tcBorders>
              <w:bottom w:val="single" w:sz="4" w:space="0" w:color="7F7F7F" w:themeColor="background2"/>
            </w:tcBorders>
          </w:tcPr>
          <w:p w:rsidR="00625CCB" w:rsidRPr="00C66550" w:rsidRDefault="00625CCB" w:rsidP="007C142A">
            <w:pPr>
              <w:keepNext/>
              <w:jc w:val="right"/>
              <w:cnfStyle w:val="000000000000"/>
            </w:pPr>
            <w:r w:rsidRPr="00C66550">
              <w:t>09/10</w:t>
            </w:r>
          </w:p>
        </w:tc>
        <w:tc>
          <w:tcPr>
            <w:tcW w:w="708" w:type="dxa"/>
            <w:tcBorders>
              <w:bottom w:val="single" w:sz="4" w:space="0" w:color="7F7F7F" w:themeColor="background2"/>
            </w:tcBorders>
          </w:tcPr>
          <w:p w:rsidR="00625CCB" w:rsidRPr="00C66550" w:rsidRDefault="00625CCB" w:rsidP="007C142A">
            <w:pPr>
              <w:keepNext/>
              <w:jc w:val="right"/>
              <w:cnfStyle w:val="000000000000"/>
            </w:pPr>
            <w:r w:rsidRPr="00C66550">
              <w:t>08/09</w:t>
            </w:r>
          </w:p>
        </w:tc>
        <w:tc>
          <w:tcPr>
            <w:tcW w:w="850" w:type="dxa"/>
            <w:tcBorders>
              <w:bottom w:val="single" w:sz="4" w:space="0" w:color="7F7F7F" w:themeColor="background2"/>
            </w:tcBorders>
          </w:tcPr>
          <w:p w:rsidR="00625CCB" w:rsidRPr="00C66550" w:rsidRDefault="00625CCB" w:rsidP="007C142A">
            <w:pPr>
              <w:keepNext/>
              <w:jc w:val="right"/>
              <w:cnfStyle w:val="000000000000"/>
            </w:pPr>
            <w:r w:rsidRPr="00C66550">
              <w:t>09/10</w:t>
            </w:r>
          </w:p>
        </w:tc>
      </w:tr>
      <w:tr w:rsidR="00625CCB" w:rsidRPr="00C66550" w:rsidTr="00216969">
        <w:tc>
          <w:tcPr>
            <w:cnfStyle w:val="001000000000"/>
            <w:tcW w:w="3261" w:type="dxa"/>
            <w:tcBorders>
              <w:bottom w:val="nil"/>
            </w:tcBorders>
          </w:tcPr>
          <w:p w:rsidR="00625CCB" w:rsidRPr="00C66550" w:rsidRDefault="00625CCB" w:rsidP="007C142A">
            <w:pPr>
              <w:keepNext/>
            </w:pPr>
            <w:r w:rsidRPr="00C66550">
              <w:t>Councils providing a kerbside service:</w:t>
            </w:r>
          </w:p>
        </w:tc>
        <w:tc>
          <w:tcPr>
            <w:tcW w:w="708" w:type="dxa"/>
            <w:tcBorders>
              <w:bottom w:val="nil"/>
            </w:tcBorders>
          </w:tcPr>
          <w:p w:rsidR="00625CCB" w:rsidRPr="00C66550" w:rsidRDefault="00625CCB" w:rsidP="007C142A">
            <w:pPr>
              <w:keepNext/>
              <w:jc w:val="right"/>
              <w:cnfStyle w:val="000000000000"/>
            </w:pPr>
          </w:p>
        </w:tc>
        <w:tc>
          <w:tcPr>
            <w:tcW w:w="710" w:type="dxa"/>
            <w:tcBorders>
              <w:bottom w:val="nil"/>
            </w:tcBorders>
          </w:tcPr>
          <w:p w:rsidR="00625CCB" w:rsidRPr="00C66550" w:rsidRDefault="00625CCB" w:rsidP="007C142A">
            <w:pPr>
              <w:keepNext/>
              <w:jc w:val="right"/>
              <w:cnfStyle w:val="000000000000"/>
            </w:pPr>
          </w:p>
        </w:tc>
        <w:tc>
          <w:tcPr>
            <w:tcW w:w="708" w:type="dxa"/>
            <w:tcBorders>
              <w:bottom w:val="nil"/>
            </w:tcBorders>
          </w:tcPr>
          <w:p w:rsidR="00625CCB" w:rsidRPr="00C66550" w:rsidRDefault="00625CCB" w:rsidP="007C142A">
            <w:pPr>
              <w:keepNext/>
              <w:jc w:val="right"/>
              <w:cnfStyle w:val="000000000000"/>
            </w:pPr>
          </w:p>
        </w:tc>
        <w:tc>
          <w:tcPr>
            <w:tcW w:w="850" w:type="dxa"/>
            <w:tcBorders>
              <w:bottom w:val="nil"/>
            </w:tcBorders>
          </w:tcPr>
          <w:p w:rsidR="00625CCB" w:rsidRPr="00C66550" w:rsidRDefault="00625CCB" w:rsidP="007C142A">
            <w:pPr>
              <w:keepNext/>
              <w:jc w:val="right"/>
              <w:cnfStyle w:val="000000000000"/>
            </w:pPr>
            <w:r w:rsidRPr="00C66550">
              <w:tab/>
            </w:r>
          </w:p>
        </w:tc>
      </w:tr>
      <w:tr w:rsidR="00625CCB" w:rsidRPr="00C66550" w:rsidTr="00216969">
        <w:tc>
          <w:tcPr>
            <w:cnfStyle w:val="001000000000"/>
            <w:tcW w:w="3261" w:type="dxa"/>
            <w:tcBorders>
              <w:top w:val="nil"/>
              <w:bottom w:val="nil"/>
            </w:tcBorders>
          </w:tcPr>
          <w:p w:rsidR="00625CCB" w:rsidRPr="00C66550" w:rsidRDefault="00625CCB" w:rsidP="007C142A">
            <w:pPr>
              <w:keepNext/>
              <w:ind w:left="227"/>
            </w:pPr>
            <w:r w:rsidRPr="00C66550">
              <w:t>recycling</w:t>
            </w:r>
          </w:p>
        </w:tc>
        <w:tc>
          <w:tcPr>
            <w:tcW w:w="708" w:type="dxa"/>
            <w:tcBorders>
              <w:top w:val="nil"/>
              <w:bottom w:val="nil"/>
            </w:tcBorders>
          </w:tcPr>
          <w:p w:rsidR="00625CCB" w:rsidRPr="00C66550" w:rsidRDefault="00625CCB" w:rsidP="007C142A">
            <w:pPr>
              <w:keepNext/>
              <w:jc w:val="right"/>
              <w:cnfStyle w:val="000000000000"/>
            </w:pPr>
            <w:r w:rsidRPr="00C66550">
              <w:t>100%</w:t>
            </w:r>
          </w:p>
        </w:tc>
        <w:tc>
          <w:tcPr>
            <w:tcW w:w="710" w:type="dxa"/>
            <w:tcBorders>
              <w:top w:val="nil"/>
              <w:bottom w:val="nil"/>
            </w:tcBorders>
          </w:tcPr>
          <w:p w:rsidR="00625CCB" w:rsidRPr="00C66550" w:rsidRDefault="00625CCB" w:rsidP="007C142A">
            <w:pPr>
              <w:keepNext/>
              <w:jc w:val="right"/>
              <w:cnfStyle w:val="000000000000"/>
            </w:pPr>
            <w:r w:rsidRPr="00C66550">
              <w:t>83%</w:t>
            </w:r>
          </w:p>
        </w:tc>
        <w:tc>
          <w:tcPr>
            <w:tcW w:w="708" w:type="dxa"/>
            <w:tcBorders>
              <w:top w:val="nil"/>
              <w:bottom w:val="nil"/>
            </w:tcBorders>
          </w:tcPr>
          <w:p w:rsidR="00625CCB" w:rsidRPr="00C66550" w:rsidRDefault="00625CCB" w:rsidP="007C142A">
            <w:pPr>
              <w:keepNext/>
              <w:jc w:val="right"/>
              <w:cnfStyle w:val="000000000000"/>
            </w:pPr>
            <w:r w:rsidRPr="00C66550">
              <w:t>78%</w:t>
            </w:r>
          </w:p>
        </w:tc>
        <w:tc>
          <w:tcPr>
            <w:tcW w:w="850" w:type="dxa"/>
            <w:tcBorders>
              <w:top w:val="nil"/>
              <w:bottom w:val="nil"/>
            </w:tcBorders>
          </w:tcPr>
          <w:p w:rsidR="00625CCB" w:rsidRPr="00C66550" w:rsidRDefault="00625CCB" w:rsidP="007C142A">
            <w:pPr>
              <w:keepNext/>
              <w:jc w:val="right"/>
              <w:cnfStyle w:val="000000000000"/>
            </w:pPr>
            <w:r w:rsidRPr="00C66550">
              <w:t>100%</w:t>
            </w:r>
          </w:p>
        </w:tc>
      </w:tr>
      <w:tr w:rsidR="00625CCB" w:rsidRPr="00C66550" w:rsidTr="00216969">
        <w:tc>
          <w:tcPr>
            <w:cnfStyle w:val="001000000000"/>
            <w:tcW w:w="3261" w:type="dxa"/>
            <w:tcBorders>
              <w:top w:val="nil"/>
              <w:bottom w:val="nil"/>
            </w:tcBorders>
          </w:tcPr>
          <w:p w:rsidR="00625CCB" w:rsidRPr="00C66550" w:rsidRDefault="00625CCB" w:rsidP="007C142A">
            <w:pPr>
              <w:keepNext/>
              <w:ind w:left="227"/>
            </w:pPr>
            <w:r w:rsidRPr="00C66550">
              <w:t>garden waste</w:t>
            </w:r>
          </w:p>
        </w:tc>
        <w:tc>
          <w:tcPr>
            <w:tcW w:w="708" w:type="dxa"/>
            <w:tcBorders>
              <w:top w:val="nil"/>
              <w:bottom w:val="nil"/>
            </w:tcBorders>
          </w:tcPr>
          <w:p w:rsidR="00625CCB" w:rsidRPr="00C66550" w:rsidRDefault="00625CCB" w:rsidP="007C142A">
            <w:pPr>
              <w:keepNext/>
              <w:jc w:val="right"/>
              <w:cnfStyle w:val="000000000000"/>
            </w:pPr>
            <w:r w:rsidRPr="00C66550">
              <w:t>0%</w:t>
            </w:r>
          </w:p>
        </w:tc>
        <w:tc>
          <w:tcPr>
            <w:tcW w:w="710" w:type="dxa"/>
            <w:tcBorders>
              <w:top w:val="nil"/>
              <w:bottom w:val="nil"/>
            </w:tcBorders>
          </w:tcPr>
          <w:p w:rsidR="00625CCB" w:rsidRPr="00C66550" w:rsidRDefault="00625CCB" w:rsidP="007C142A">
            <w:pPr>
              <w:keepNext/>
              <w:jc w:val="right"/>
              <w:cnfStyle w:val="000000000000"/>
            </w:pPr>
            <w:r w:rsidRPr="00C66550">
              <w:t>42%</w:t>
            </w:r>
          </w:p>
        </w:tc>
        <w:tc>
          <w:tcPr>
            <w:tcW w:w="708" w:type="dxa"/>
            <w:tcBorders>
              <w:top w:val="nil"/>
              <w:bottom w:val="nil"/>
            </w:tcBorders>
          </w:tcPr>
          <w:p w:rsidR="00625CCB" w:rsidRPr="00C66550" w:rsidRDefault="00625CCB" w:rsidP="007C142A">
            <w:pPr>
              <w:keepNext/>
              <w:jc w:val="right"/>
              <w:cnfStyle w:val="000000000000"/>
            </w:pPr>
          </w:p>
        </w:tc>
        <w:tc>
          <w:tcPr>
            <w:tcW w:w="850" w:type="dxa"/>
            <w:tcBorders>
              <w:top w:val="nil"/>
              <w:bottom w:val="nil"/>
            </w:tcBorders>
          </w:tcPr>
          <w:p w:rsidR="00625CCB" w:rsidRPr="00C66550" w:rsidRDefault="00625CCB" w:rsidP="007C142A">
            <w:pPr>
              <w:keepNext/>
              <w:jc w:val="right"/>
              <w:cnfStyle w:val="000000000000"/>
            </w:pPr>
            <w:r w:rsidRPr="00C66550">
              <w:t>57%</w:t>
            </w:r>
          </w:p>
        </w:tc>
      </w:tr>
      <w:tr w:rsidR="00625CCB" w:rsidRPr="00C66550" w:rsidTr="00216969">
        <w:tc>
          <w:tcPr>
            <w:cnfStyle w:val="001000000000"/>
            <w:tcW w:w="3261" w:type="dxa"/>
            <w:tcBorders>
              <w:top w:val="nil"/>
              <w:bottom w:val="single" w:sz="4" w:space="0" w:color="7F7F7F" w:themeColor="background2"/>
            </w:tcBorders>
          </w:tcPr>
          <w:p w:rsidR="00625CCB" w:rsidRPr="00C66550" w:rsidRDefault="00625CCB" w:rsidP="007C142A">
            <w:pPr>
              <w:keepNext/>
              <w:ind w:left="227"/>
            </w:pPr>
            <w:r w:rsidRPr="00C66550">
              <w:t>garbage</w:t>
            </w:r>
          </w:p>
        </w:tc>
        <w:tc>
          <w:tcPr>
            <w:tcW w:w="708" w:type="dxa"/>
            <w:tcBorders>
              <w:top w:val="nil"/>
              <w:bottom w:val="single" w:sz="4" w:space="0" w:color="7F7F7F" w:themeColor="background2"/>
            </w:tcBorders>
          </w:tcPr>
          <w:p w:rsidR="00625CCB" w:rsidRPr="00C66550" w:rsidRDefault="00625CCB" w:rsidP="007C142A">
            <w:pPr>
              <w:keepNext/>
              <w:jc w:val="right"/>
              <w:cnfStyle w:val="000000000000"/>
            </w:pPr>
            <w:r w:rsidRPr="00C66550">
              <w:t>100%</w:t>
            </w:r>
          </w:p>
        </w:tc>
        <w:tc>
          <w:tcPr>
            <w:tcW w:w="710" w:type="dxa"/>
            <w:tcBorders>
              <w:top w:val="nil"/>
              <w:bottom w:val="single" w:sz="4" w:space="0" w:color="7F7F7F" w:themeColor="background2"/>
            </w:tcBorders>
          </w:tcPr>
          <w:p w:rsidR="00625CCB" w:rsidRPr="00C66550" w:rsidRDefault="00625CCB" w:rsidP="007C142A">
            <w:pPr>
              <w:keepNext/>
              <w:jc w:val="right"/>
              <w:cnfStyle w:val="000000000000"/>
            </w:pPr>
            <w:r w:rsidRPr="00C66550">
              <w:t>99%</w:t>
            </w:r>
          </w:p>
        </w:tc>
        <w:tc>
          <w:tcPr>
            <w:tcW w:w="708" w:type="dxa"/>
            <w:tcBorders>
              <w:top w:val="nil"/>
              <w:bottom w:val="single" w:sz="4" w:space="0" w:color="7F7F7F" w:themeColor="background2"/>
            </w:tcBorders>
          </w:tcPr>
          <w:p w:rsidR="00625CCB" w:rsidRPr="00C66550" w:rsidRDefault="00625CCB" w:rsidP="007C142A">
            <w:pPr>
              <w:keepNext/>
              <w:jc w:val="right"/>
              <w:cnfStyle w:val="000000000000"/>
            </w:pPr>
            <w:r w:rsidRPr="00C66550">
              <w:t>92%</w:t>
            </w:r>
          </w:p>
        </w:tc>
        <w:tc>
          <w:tcPr>
            <w:tcW w:w="850" w:type="dxa"/>
            <w:tcBorders>
              <w:top w:val="nil"/>
              <w:bottom w:val="single" w:sz="4" w:space="0" w:color="7F7F7F" w:themeColor="background2"/>
            </w:tcBorders>
          </w:tcPr>
          <w:p w:rsidR="00625CCB" w:rsidRPr="00C66550" w:rsidRDefault="00625CCB" w:rsidP="007C142A">
            <w:pPr>
              <w:keepNext/>
              <w:jc w:val="right"/>
              <w:cnfStyle w:val="000000000000"/>
            </w:pPr>
            <w:r w:rsidRPr="00C66550">
              <w:t>100%</w:t>
            </w:r>
          </w:p>
        </w:tc>
      </w:tr>
      <w:tr w:rsidR="00625CCB" w:rsidRPr="00C66550" w:rsidTr="00216969">
        <w:tc>
          <w:tcPr>
            <w:cnfStyle w:val="001000000000"/>
            <w:tcW w:w="3261" w:type="dxa"/>
            <w:tcBorders>
              <w:top w:val="single" w:sz="4" w:space="0" w:color="7F7F7F" w:themeColor="background2"/>
              <w:bottom w:val="single" w:sz="4" w:space="0" w:color="7F7F7F" w:themeColor="background2"/>
            </w:tcBorders>
          </w:tcPr>
          <w:p w:rsidR="00625CCB" w:rsidRPr="00C66550" w:rsidRDefault="00625CCB" w:rsidP="007C142A">
            <w:pPr>
              <w:keepNext/>
            </w:pPr>
            <w:r w:rsidRPr="00C66550">
              <w:t>Kerbside collections</w:t>
            </w:r>
          </w:p>
        </w:tc>
        <w:tc>
          <w:tcPr>
            <w:tcW w:w="708" w:type="dxa"/>
            <w:tcBorders>
              <w:top w:val="single" w:sz="4" w:space="0" w:color="7F7F7F" w:themeColor="background2"/>
              <w:bottom w:val="single" w:sz="4" w:space="0" w:color="7F7F7F" w:themeColor="background2"/>
            </w:tcBorders>
          </w:tcPr>
          <w:p w:rsidR="00625CCB" w:rsidRPr="00C66550" w:rsidRDefault="00625CCB" w:rsidP="007C142A">
            <w:pPr>
              <w:keepNext/>
              <w:jc w:val="right"/>
              <w:cnfStyle w:val="000000000000"/>
            </w:pPr>
          </w:p>
        </w:tc>
        <w:tc>
          <w:tcPr>
            <w:tcW w:w="710" w:type="dxa"/>
            <w:tcBorders>
              <w:top w:val="single" w:sz="4" w:space="0" w:color="7F7F7F" w:themeColor="background2"/>
              <w:bottom w:val="single" w:sz="4" w:space="0" w:color="7F7F7F" w:themeColor="background2"/>
            </w:tcBorders>
          </w:tcPr>
          <w:p w:rsidR="00625CCB" w:rsidRPr="00C66550" w:rsidRDefault="00625CCB" w:rsidP="007C142A">
            <w:pPr>
              <w:keepNext/>
              <w:jc w:val="right"/>
              <w:cnfStyle w:val="000000000000"/>
            </w:pPr>
          </w:p>
        </w:tc>
        <w:tc>
          <w:tcPr>
            <w:tcW w:w="708" w:type="dxa"/>
            <w:tcBorders>
              <w:top w:val="single" w:sz="4" w:space="0" w:color="7F7F7F" w:themeColor="background2"/>
              <w:bottom w:val="single" w:sz="4" w:space="0" w:color="7F7F7F" w:themeColor="background2"/>
            </w:tcBorders>
          </w:tcPr>
          <w:p w:rsidR="00625CCB" w:rsidRPr="00C66550" w:rsidRDefault="00625CCB" w:rsidP="007C142A">
            <w:pPr>
              <w:keepNext/>
              <w:jc w:val="right"/>
              <w:cnfStyle w:val="000000000000"/>
            </w:pPr>
          </w:p>
        </w:tc>
        <w:tc>
          <w:tcPr>
            <w:tcW w:w="850" w:type="dxa"/>
            <w:tcBorders>
              <w:top w:val="single" w:sz="4" w:space="0" w:color="7F7F7F" w:themeColor="background2"/>
              <w:bottom w:val="single" w:sz="4" w:space="0" w:color="7F7F7F" w:themeColor="background2"/>
            </w:tcBorders>
          </w:tcPr>
          <w:p w:rsidR="00625CCB" w:rsidRPr="00C66550" w:rsidRDefault="00625CCB" w:rsidP="007C142A">
            <w:pPr>
              <w:keepNext/>
              <w:jc w:val="right"/>
              <w:cnfStyle w:val="000000000000"/>
            </w:pPr>
          </w:p>
        </w:tc>
      </w:tr>
      <w:tr w:rsidR="00625CCB" w:rsidRPr="00C66550" w:rsidTr="00216969">
        <w:tc>
          <w:tcPr>
            <w:cnfStyle w:val="001000000000"/>
            <w:tcW w:w="3261" w:type="dxa"/>
            <w:tcBorders>
              <w:bottom w:val="nil"/>
            </w:tcBorders>
          </w:tcPr>
          <w:p w:rsidR="00625CCB" w:rsidRPr="00C66550" w:rsidRDefault="00625CCB" w:rsidP="007C142A">
            <w:pPr>
              <w:keepNext/>
              <w:ind w:left="227"/>
            </w:pPr>
            <w:r w:rsidRPr="00C66550">
              <w:t>quantity (kg/hh/yr)</w:t>
            </w:r>
          </w:p>
        </w:tc>
        <w:tc>
          <w:tcPr>
            <w:tcW w:w="708" w:type="dxa"/>
            <w:tcBorders>
              <w:bottom w:val="nil"/>
            </w:tcBorders>
          </w:tcPr>
          <w:p w:rsidR="00625CCB" w:rsidRPr="00C66550" w:rsidRDefault="00625CCB" w:rsidP="007C142A">
            <w:pPr>
              <w:keepNext/>
              <w:jc w:val="right"/>
              <w:cnfStyle w:val="000000000000"/>
            </w:pPr>
          </w:p>
        </w:tc>
        <w:tc>
          <w:tcPr>
            <w:tcW w:w="710" w:type="dxa"/>
            <w:tcBorders>
              <w:bottom w:val="nil"/>
            </w:tcBorders>
          </w:tcPr>
          <w:p w:rsidR="00625CCB" w:rsidRPr="00C66550" w:rsidRDefault="00625CCB" w:rsidP="007C142A">
            <w:pPr>
              <w:keepNext/>
              <w:jc w:val="right"/>
              <w:cnfStyle w:val="000000000000"/>
            </w:pPr>
            <w:r w:rsidRPr="00C66550">
              <w:t>1024</w:t>
            </w:r>
          </w:p>
        </w:tc>
        <w:tc>
          <w:tcPr>
            <w:tcW w:w="708" w:type="dxa"/>
            <w:tcBorders>
              <w:bottom w:val="nil"/>
            </w:tcBorders>
          </w:tcPr>
          <w:p w:rsidR="00625CCB" w:rsidRPr="00C66550" w:rsidRDefault="00625CCB" w:rsidP="007C142A">
            <w:pPr>
              <w:keepNext/>
              <w:jc w:val="right"/>
              <w:cnfStyle w:val="000000000000"/>
            </w:pPr>
            <w:r w:rsidRPr="00C66550">
              <w:t>916</w:t>
            </w:r>
          </w:p>
        </w:tc>
        <w:tc>
          <w:tcPr>
            <w:tcW w:w="850" w:type="dxa"/>
            <w:tcBorders>
              <w:bottom w:val="nil"/>
            </w:tcBorders>
          </w:tcPr>
          <w:p w:rsidR="00625CCB" w:rsidRPr="00C66550" w:rsidRDefault="00625CCB" w:rsidP="007C142A">
            <w:pPr>
              <w:keepNext/>
              <w:jc w:val="right"/>
              <w:cnfStyle w:val="000000000000"/>
            </w:pPr>
            <w:r w:rsidRPr="00C66550">
              <w:t>894</w:t>
            </w:r>
          </w:p>
        </w:tc>
      </w:tr>
      <w:tr w:rsidR="00625CCB" w:rsidRPr="00C66550" w:rsidTr="00216969">
        <w:tc>
          <w:tcPr>
            <w:cnfStyle w:val="001000000000"/>
            <w:tcW w:w="3261" w:type="dxa"/>
            <w:tcBorders>
              <w:top w:val="nil"/>
              <w:bottom w:val="nil"/>
            </w:tcBorders>
          </w:tcPr>
          <w:p w:rsidR="00625CCB" w:rsidRPr="00C66550" w:rsidRDefault="00625CCB" w:rsidP="007C142A">
            <w:pPr>
              <w:keepNext/>
              <w:ind w:left="227"/>
            </w:pPr>
            <w:r w:rsidRPr="00C66550">
              <w:t>recovery rate</w:t>
            </w:r>
          </w:p>
        </w:tc>
        <w:tc>
          <w:tcPr>
            <w:tcW w:w="708" w:type="dxa"/>
            <w:tcBorders>
              <w:top w:val="nil"/>
              <w:bottom w:val="nil"/>
            </w:tcBorders>
          </w:tcPr>
          <w:p w:rsidR="00625CCB" w:rsidRPr="00C66550" w:rsidRDefault="00625CCB" w:rsidP="007C142A">
            <w:pPr>
              <w:keepNext/>
              <w:jc w:val="right"/>
              <w:cnfStyle w:val="000000000000"/>
            </w:pPr>
          </w:p>
        </w:tc>
        <w:tc>
          <w:tcPr>
            <w:tcW w:w="710" w:type="dxa"/>
            <w:tcBorders>
              <w:top w:val="nil"/>
              <w:bottom w:val="nil"/>
            </w:tcBorders>
          </w:tcPr>
          <w:p w:rsidR="00625CCB" w:rsidRPr="00C66550" w:rsidRDefault="00625CCB" w:rsidP="007C142A">
            <w:pPr>
              <w:keepNext/>
              <w:jc w:val="right"/>
              <w:cnfStyle w:val="000000000000"/>
            </w:pPr>
            <w:r w:rsidRPr="00C66550">
              <w:t>46%</w:t>
            </w:r>
          </w:p>
        </w:tc>
        <w:tc>
          <w:tcPr>
            <w:tcW w:w="708" w:type="dxa"/>
            <w:tcBorders>
              <w:top w:val="nil"/>
              <w:bottom w:val="nil"/>
            </w:tcBorders>
          </w:tcPr>
          <w:p w:rsidR="00625CCB" w:rsidRPr="00C66550" w:rsidRDefault="00625CCB" w:rsidP="007C142A">
            <w:pPr>
              <w:keepNext/>
              <w:jc w:val="right"/>
              <w:cnfStyle w:val="000000000000"/>
            </w:pPr>
          </w:p>
        </w:tc>
        <w:tc>
          <w:tcPr>
            <w:tcW w:w="850" w:type="dxa"/>
            <w:tcBorders>
              <w:top w:val="nil"/>
              <w:bottom w:val="nil"/>
            </w:tcBorders>
          </w:tcPr>
          <w:p w:rsidR="00625CCB" w:rsidRPr="00C66550" w:rsidRDefault="00625CCB" w:rsidP="007C142A">
            <w:pPr>
              <w:keepNext/>
              <w:jc w:val="right"/>
              <w:cnfStyle w:val="000000000000"/>
            </w:pPr>
            <w:r w:rsidRPr="00C66550">
              <w:t>44%</w:t>
            </w:r>
          </w:p>
        </w:tc>
      </w:tr>
      <w:tr w:rsidR="00625CCB" w:rsidRPr="00C66550" w:rsidTr="00216969">
        <w:tc>
          <w:tcPr>
            <w:cnfStyle w:val="001000000000"/>
            <w:tcW w:w="3261" w:type="dxa"/>
            <w:tcBorders>
              <w:top w:val="nil"/>
              <w:bottom w:val="nil"/>
            </w:tcBorders>
          </w:tcPr>
          <w:p w:rsidR="00625CCB" w:rsidRPr="00C66550" w:rsidRDefault="00625CCB" w:rsidP="007C142A">
            <w:pPr>
              <w:keepNext/>
              <w:ind w:left="227"/>
              <w:rPr>
                <w:vertAlign w:val="superscript"/>
              </w:rPr>
            </w:pPr>
            <w:r w:rsidRPr="00C66550">
              <w:t>estimated residual waste to AWT*</w:t>
            </w:r>
          </w:p>
        </w:tc>
        <w:tc>
          <w:tcPr>
            <w:tcW w:w="708" w:type="dxa"/>
            <w:tcBorders>
              <w:top w:val="nil"/>
              <w:bottom w:val="nil"/>
            </w:tcBorders>
          </w:tcPr>
          <w:p w:rsidR="00625CCB" w:rsidRPr="00C66550" w:rsidRDefault="00625CCB" w:rsidP="007C142A">
            <w:pPr>
              <w:keepNext/>
              <w:jc w:val="right"/>
              <w:cnfStyle w:val="000000000000"/>
            </w:pPr>
            <w:r w:rsidRPr="00C66550">
              <w:t>0%</w:t>
            </w:r>
          </w:p>
        </w:tc>
        <w:tc>
          <w:tcPr>
            <w:tcW w:w="710" w:type="dxa"/>
            <w:tcBorders>
              <w:top w:val="nil"/>
              <w:bottom w:val="nil"/>
            </w:tcBorders>
          </w:tcPr>
          <w:p w:rsidR="00625CCB" w:rsidRPr="00C66550" w:rsidRDefault="00625CCB" w:rsidP="007C142A">
            <w:pPr>
              <w:keepNext/>
              <w:jc w:val="right"/>
              <w:cnfStyle w:val="000000000000"/>
            </w:pPr>
            <w:r w:rsidRPr="00C66550">
              <w:t>24%</w:t>
            </w:r>
          </w:p>
        </w:tc>
        <w:tc>
          <w:tcPr>
            <w:tcW w:w="708" w:type="dxa"/>
            <w:tcBorders>
              <w:top w:val="nil"/>
              <w:bottom w:val="nil"/>
            </w:tcBorders>
          </w:tcPr>
          <w:p w:rsidR="00625CCB" w:rsidRPr="00C66550" w:rsidRDefault="00625CCB" w:rsidP="007C142A">
            <w:pPr>
              <w:keepNext/>
              <w:jc w:val="right"/>
              <w:cnfStyle w:val="000000000000"/>
            </w:pPr>
            <w:r w:rsidRPr="00C66550">
              <w:t>4%</w:t>
            </w:r>
          </w:p>
        </w:tc>
        <w:tc>
          <w:tcPr>
            <w:tcW w:w="850" w:type="dxa"/>
            <w:tcBorders>
              <w:top w:val="nil"/>
              <w:bottom w:val="nil"/>
            </w:tcBorders>
          </w:tcPr>
          <w:p w:rsidR="00625CCB" w:rsidRPr="00C66550" w:rsidRDefault="00625CCB" w:rsidP="007C142A">
            <w:pPr>
              <w:keepNext/>
              <w:jc w:val="right"/>
              <w:cnfStyle w:val="000000000000"/>
            </w:pPr>
            <w:r w:rsidRPr="00C66550">
              <w:t>0%</w:t>
            </w:r>
          </w:p>
        </w:tc>
      </w:tr>
      <w:tr w:rsidR="00625CCB" w:rsidRPr="00C66550" w:rsidTr="00216969">
        <w:tc>
          <w:tcPr>
            <w:cnfStyle w:val="001000000000"/>
            <w:tcW w:w="3261" w:type="dxa"/>
            <w:tcBorders>
              <w:top w:val="nil"/>
              <w:bottom w:val="single" w:sz="4" w:space="0" w:color="7F7F7F" w:themeColor="background2"/>
            </w:tcBorders>
          </w:tcPr>
          <w:p w:rsidR="00625CCB" w:rsidRPr="00C66550" w:rsidRDefault="00625CCB" w:rsidP="007C142A">
            <w:pPr>
              <w:keepNext/>
              <w:ind w:left="227"/>
            </w:pPr>
            <w:r w:rsidRPr="00C66550">
              <w:t>average cost ($/household)</w:t>
            </w:r>
          </w:p>
        </w:tc>
        <w:tc>
          <w:tcPr>
            <w:tcW w:w="708" w:type="dxa"/>
            <w:tcBorders>
              <w:top w:val="nil"/>
              <w:bottom w:val="single" w:sz="4" w:space="0" w:color="7F7F7F" w:themeColor="background2"/>
            </w:tcBorders>
          </w:tcPr>
          <w:p w:rsidR="00625CCB" w:rsidRPr="00C66550" w:rsidRDefault="00625CCB" w:rsidP="007C142A">
            <w:pPr>
              <w:keepNext/>
              <w:jc w:val="right"/>
              <w:cnfStyle w:val="000000000000"/>
            </w:pPr>
          </w:p>
        </w:tc>
        <w:tc>
          <w:tcPr>
            <w:tcW w:w="710" w:type="dxa"/>
            <w:tcBorders>
              <w:top w:val="nil"/>
              <w:bottom w:val="single" w:sz="4" w:space="0" w:color="7F7F7F" w:themeColor="background2"/>
            </w:tcBorders>
          </w:tcPr>
          <w:p w:rsidR="00625CCB" w:rsidRPr="00C66550" w:rsidRDefault="00625CCB" w:rsidP="007C142A">
            <w:pPr>
              <w:keepNext/>
              <w:jc w:val="right"/>
              <w:cnfStyle w:val="000000000000"/>
            </w:pPr>
          </w:p>
        </w:tc>
        <w:tc>
          <w:tcPr>
            <w:tcW w:w="708" w:type="dxa"/>
            <w:tcBorders>
              <w:top w:val="nil"/>
              <w:bottom w:val="single" w:sz="4" w:space="0" w:color="7F7F7F" w:themeColor="background2"/>
            </w:tcBorders>
          </w:tcPr>
          <w:p w:rsidR="00625CCB" w:rsidRPr="00C66550" w:rsidRDefault="00625CCB" w:rsidP="007C142A">
            <w:pPr>
              <w:keepNext/>
              <w:jc w:val="right"/>
              <w:cnfStyle w:val="000000000000"/>
            </w:pPr>
            <w:r w:rsidRPr="00C66550">
              <w:t>$116</w:t>
            </w:r>
          </w:p>
        </w:tc>
        <w:tc>
          <w:tcPr>
            <w:tcW w:w="850" w:type="dxa"/>
            <w:tcBorders>
              <w:top w:val="nil"/>
              <w:bottom w:val="single" w:sz="4" w:space="0" w:color="7F7F7F" w:themeColor="background2"/>
            </w:tcBorders>
          </w:tcPr>
          <w:p w:rsidR="00625CCB" w:rsidRPr="00C66550" w:rsidRDefault="00625CCB" w:rsidP="007C142A">
            <w:pPr>
              <w:keepNext/>
              <w:jc w:val="right"/>
              <w:cnfStyle w:val="000000000000"/>
            </w:pPr>
            <w:r w:rsidRPr="00C66550">
              <w:t>$122</w:t>
            </w:r>
          </w:p>
        </w:tc>
      </w:tr>
    </w:tbl>
    <w:p w:rsidR="00625CCB" w:rsidRPr="00BB3966" w:rsidRDefault="00625CCB" w:rsidP="00CE6A9A">
      <w:pPr>
        <w:pStyle w:val="FigureTableinfo"/>
        <w:keepNext/>
        <w:rPr>
          <w:sz w:val="20"/>
        </w:rPr>
      </w:pPr>
      <w:r w:rsidRPr="00BB3966">
        <w:rPr>
          <w:sz w:val="20"/>
        </w:rPr>
        <w:t xml:space="preserve">* AWT = advanced waste </w:t>
      </w:r>
      <w:r w:rsidR="00C824DA" w:rsidRPr="00BB3966">
        <w:rPr>
          <w:sz w:val="20"/>
        </w:rPr>
        <w:t>treatment</w:t>
      </w:r>
      <w:r w:rsidRPr="00BB3966">
        <w:rPr>
          <w:sz w:val="20"/>
        </w:rPr>
        <w:t xml:space="preserve"> – an alternative to direct disposal in landfill. Fractions estimated with reference to the population of councils sending waste to AWTs.</w:t>
      </w:r>
      <w:r w:rsidR="00CE6A9A" w:rsidRPr="00BB3966">
        <w:rPr>
          <w:sz w:val="20"/>
        </w:rPr>
        <w:t xml:space="preserve"> </w:t>
      </w:r>
      <w:r w:rsidRPr="00BB3966">
        <w:rPr>
          <w:sz w:val="20"/>
        </w:rPr>
        <w:t>Sources: Hyder Consulting (2011) &amp; accompanying workbook, ABS (2012), Sustainability Victoria (2011).</w:t>
      </w:r>
    </w:p>
    <w:p w:rsidR="00E05D38" w:rsidRPr="00C66550" w:rsidRDefault="00E05D38">
      <w:pPr>
        <w:spacing w:line="240" w:lineRule="auto"/>
        <w:rPr>
          <w:color w:val="080808"/>
          <w:sz w:val="22"/>
        </w:rPr>
      </w:pPr>
      <w:r w:rsidRPr="00C66550">
        <w:br w:type="page"/>
      </w:r>
    </w:p>
    <w:p w:rsidR="00044249" w:rsidRPr="00C66550" w:rsidRDefault="00044249" w:rsidP="006D25F9">
      <w:pPr>
        <w:pStyle w:val="Heading1"/>
      </w:pPr>
      <w:bookmarkStart w:id="222" w:name="_Ref349636179"/>
      <w:bookmarkStart w:id="223" w:name="_Toc379466399"/>
      <w:r w:rsidRPr="00C66550">
        <w:lastRenderedPageBreak/>
        <w:t xml:space="preserve">Waste management frameworks (strategies, policies </w:t>
      </w:r>
      <w:r w:rsidR="005F3183" w:rsidRPr="00C66550">
        <w:t>and</w:t>
      </w:r>
      <w:r w:rsidRPr="00C66550">
        <w:t xml:space="preserve"> targets)</w:t>
      </w:r>
      <w:bookmarkEnd w:id="222"/>
      <w:bookmarkEnd w:id="223"/>
    </w:p>
    <w:p w:rsidR="00044249" w:rsidRPr="00C66550" w:rsidRDefault="00044249" w:rsidP="00044249">
      <w:pPr>
        <w:pStyle w:val="BodyText"/>
      </w:pPr>
      <w:r w:rsidRPr="00C66550">
        <w:t xml:space="preserve">This </w:t>
      </w:r>
      <w:r w:rsidR="00912151" w:rsidRPr="00C66550">
        <w:t>section</w:t>
      </w:r>
      <w:r w:rsidRPr="00C66550">
        <w:t xml:space="preserve"> provides a summary of each jurisdiction’s waste management framework (strategies, policies and targets) over </w:t>
      </w:r>
      <w:r w:rsidR="00F52DC7" w:rsidRPr="00C66550">
        <w:t xml:space="preserve">the data review period from 2006/07 to 2010/11 periods </w:t>
      </w:r>
      <w:r w:rsidR="006F3738" w:rsidRPr="00C66550">
        <w:rPr>
          <w:rStyle w:val="FootnoteReference"/>
        </w:rPr>
        <w:footnoteReference w:id="13"/>
      </w:r>
      <w:r w:rsidR="00191C85" w:rsidRPr="00C66550">
        <w:t>.</w:t>
      </w:r>
      <w:r w:rsidR="00F52DC7" w:rsidRPr="00C66550">
        <w:t xml:space="preserve"> </w:t>
      </w:r>
      <w:r w:rsidR="0062001A" w:rsidRPr="00C66550">
        <w:fldChar w:fldCharType="begin"/>
      </w:r>
      <w:r w:rsidR="001E4C04" w:rsidRPr="00C66550">
        <w:instrText xml:space="preserve"> REF _Ref349581655 \h </w:instrText>
      </w:r>
      <w:r w:rsidR="0062001A" w:rsidRPr="00C66550">
        <w:fldChar w:fldCharType="separate"/>
      </w:r>
      <w:r w:rsidR="00D96003" w:rsidRPr="00C66550">
        <w:t xml:space="preserve">Table </w:t>
      </w:r>
      <w:r w:rsidR="00D96003">
        <w:rPr>
          <w:noProof/>
        </w:rPr>
        <w:t>16</w:t>
      </w:r>
      <w:r w:rsidR="0062001A" w:rsidRPr="00C66550">
        <w:fldChar w:fldCharType="end"/>
      </w:r>
      <w:r w:rsidR="007A5D0F" w:rsidRPr="00C66550">
        <w:t xml:space="preserve"> </w:t>
      </w:r>
      <w:r w:rsidR="00364E41" w:rsidRPr="00C66550">
        <w:t>summari</w:t>
      </w:r>
      <w:r w:rsidR="00152034" w:rsidRPr="00C66550">
        <w:t>s</w:t>
      </w:r>
      <w:r w:rsidR="00364E41" w:rsidRPr="00C66550">
        <w:t xml:space="preserve">es </w:t>
      </w:r>
      <w:r w:rsidR="001E4C04" w:rsidRPr="00C66550">
        <w:t>several key</w:t>
      </w:r>
      <w:r w:rsidR="00364E41" w:rsidRPr="00C66550">
        <w:t xml:space="preserve"> components of </w:t>
      </w:r>
      <w:r w:rsidR="001E4C04" w:rsidRPr="00C66550">
        <w:t>each</w:t>
      </w:r>
      <w:r w:rsidR="00364E41" w:rsidRPr="00C66550">
        <w:t xml:space="preserve"> </w:t>
      </w:r>
      <w:r w:rsidR="007A5D0F" w:rsidRPr="00C66550">
        <w:t>jurisdiction’s framework</w:t>
      </w:r>
      <w:r w:rsidR="001E4C04" w:rsidRPr="00C66550">
        <w:t>s</w:t>
      </w:r>
      <w:r w:rsidR="007A5D0F" w:rsidRPr="00C66550">
        <w:t xml:space="preserve"> </w:t>
      </w:r>
      <w:r w:rsidR="00364E41" w:rsidRPr="00C66550">
        <w:t>that relate to</w:t>
      </w:r>
      <w:r w:rsidR="00152034" w:rsidRPr="00C66550">
        <w:t>,</w:t>
      </w:r>
      <w:r w:rsidR="00364E41" w:rsidRPr="00C66550">
        <w:t xml:space="preserve"> </w:t>
      </w:r>
      <w:r w:rsidR="00E349FC" w:rsidRPr="00C66550">
        <w:t>or are likely to have the most impact on</w:t>
      </w:r>
      <w:r w:rsidR="00F52DC7" w:rsidRPr="00C66550">
        <w:t xml:space="preserve"> the data presented in this report</w:t>
      </w:r>
      <w:r w:rsidR="00364E41" w:rsidRPr="00C66550">
        <w:t xml:space="preserve">. This summary table </w:t>
      </w:r>
      <w:r w:rsidR="00F52DC7" w:rsidRPr="00C66550">
        <w:t>was</w:t>
      </w:r>
      <w:r w:rsidR="00364E41" w:rsidRPr="00C66550">
        <w:t xml:space="preserve"> used in analysing </w:t>
      </w:r>
      <w:r w:rsidR="00F52DC7" w:rsidRPr="00C66550">
        <w:t xml:space="preserve">and reporting </w:t>
      </w:r>
      <w:r w:rsidR="00364E41" w:rsidRPr="00C66550">
        <w:t>each jurisdiction</w:t>
      </w:r>
      <w:r w:rsidR="00F52DC7" w:rsidRPr="00C66550">
        <w:t>’</w:t>
      </w:r>
      <w:r w:rsidR="00364E41" w:rsidRPr="00C66550">
        <w:t>s data</w:t>
      </w:r>
      <w:r w:rsidR="00F52DC7" w:rsidRPr="00C66550">
        <w:t xml:space="preserve"> in sections </w:t>
      </w:r>
      <w:r w:rsidR="0062001A" w:rsidRPr="00C66550">
        <w:fldChar w:fldCharType="begin"/>
      </w:r>
      <w:r w:rsidR="00F52DC7" w:rsidRPr="00C66550">
        <w:instrText xml:space="preserve"> REF _Ref360648950 \r \h </w:instrText>
      </w:r>
      <w:r w:rsidR="0062001A" w:rsidRPr="00C66550">
        <w:fldChar w:fldCharType="separate"/>
      </w:r>
      <w:r w:rsidR="00D96003">
        <w:t>6</w:t>
      </w:r>
      <w:r w:rsidR="0062001A" w:rsidRPr="00C66550">
        <w:fldChar w:fldCharType="end"/>
      </w:r>
      <w:r w:rsidR="00F52DC7" w:rsidRPr="00C66550">
        <w:t xml:space="preserve"> to </w:t>
      </w:r>
      <w:r w:rsidR="0062001A" w:rsidRPr="00C66550">
        <w:fldChar w:fldCharType="begin"/>
      </w:r>
      <w:r w:rsidR="00F52DC7" w:rsidRPr="00C66550">
        <w:instrText xml:space="preserve"> REF _Ref360648972 \r \h </w:instrText>
      </w:r>
      <w:r w:rsidR="0062001A" w:rsidRPr="00C66550">
        <w:fldChar w:fldCharType="separate"/>
      </w:r>
      <w:r w:rsidR="00D96003">
        <w:t>13</w:t>
      </w:r>
      <w:r w:rsidR="0062001A" w:rsidRPr="00C66550">
        <w:fldChar w:fldCharType="end"/>
      </w:r>
      <w:r w:rsidR="00364E41" w:rsidRPr="00C66550">
        <w:t>.</w:t>
      </w:r>
      <w:r w:rsidR="002F2A77" w:rsidRPr="00C66550">
        <w:t xml:space="preserve"> </w:t>
      </w:r>
      <w:r w:rsidR="0074367D" w:rsidRPr="00C66550">
        <w:t>Where policy</w:t>
      </w:r>
      <w:r w:rsidR="00F52DC7" w:rsidRPr="00C66550">
        <w:t xml:space="preserve"> or targets have</w:t>
      </w:r>
      <w:r w:rsidR="0074367D" w:rsidRPr="00C66550">
        <w:t xml:space="preserve"> been recently reviewed or updated (for example in Vic)</w:t>
      </w:r>
      <w:r w:rsidR="005223E5" w:rsidRPr="00C66550">
        <w:t>,</w:t>
      </w:r>
      <w:r w:rsidR="0074367D" w:rsidRPr="00C66550">
        <w:t xml:space="preserve"> both the previous and ‘new’ policies are included in the summary table.</w:t>
      </w:r>
      <w:r w:rsidR="00E349FC" w:rsidRPr="00C66550">
        <w:t xml:space="preserve"> </w:t>
      </w:r>
    </w:p>
    <w:p w:rsidR="00B71F1B" w:rsidRPr="00C66550" w:rsidRDefault="00B71F1B" w:rsidP="00044249">
      <w:pPr>
        <w:pStyle w:val="BodyText"/>
      </w:pPr>
    </w:p>
    <w:p w:rsidR="00B71F1B" w:rsidRPr="00C66550" w:rsidRDefault="00B71F1B" w:rsidP="00044249">
      <w:pPr>
        <w:pStyle w:val="BodyText"/>
      </w:pPr>
      <w:r w:rsidRPr="00C66550">
        <w:t xml:space="preserve">To develop </w:t>
      </w:r>
      <w:r w:rsidR="0062001A" w:rsidRPr="00C66550">
        <w:fldChar w:fldCharType="begin"/>
      </w:r>
      <w:r w:rsidRPr="00C66550">
        <w:instrText xml:space="preserve"> REF _Ref349581655 \h </w:instrText>
      </w:r>
      <w:r w:rsidR="0062001A" w:rsidRPr="00C66550">
        <w:fldChar w:fldCharType="separate"/>
      </w:r>
      <w:r w:rsidR="00D96003" w:rsidRPr="00C66550">
        <w:t xml:space="preserve">Table </w:t>
      </w:r>
      <w:r w:rsidR="00D96003">
        <w:rPr>
          <w:noProof/>
        </w:rPr>
        <w:t>16</w:t>
      </w:r>
      <w:r w:rsidR="0062001A" w:rsidRPr="00C66550">
        <w:fldChar w:fldCharType="end"/>
      </w:r>
      <w:r w:rsidR="005223E5" w:rsidRPr="00C66550">
        <w:t>,</w:t>
      </w:r>
      <w:r w:rsidRPr="00C66550">
        <w:t xml:space="preserve"> each jurisdiction’s framework was </w:t>
      </w:r>
      <w:r w:rsidR="00F52DC7" w:rsidRPr="00C66550">
        <w:t>assessed</w:t>
      </w:r>
      <w:r w:rsidRPr="00C66550">
        <w:t xml:space="preserve"> against the following </w:t>
      </w:r>
      <w:r w:rsidR="001E4C04" w:rsidRPr="00C66550">
        <w:t xml:space="preserve">key components </w:t>
      </w:r>
      <w:r w:rsidRPr="00C66550">
        <w:t xml:space="preserve">of </w:t>
      </w:r>
      <w:r w:rsidR="001E4C04" w:rsidRPr="00C66550">
        <w:t>typical state</w:t>
      </w:r>
      <w:r w:rsidR="005223E5" w:rsidRPr="00C66550">
        <w:t>-</w:t>
      </w:r>
      <w:r w:rsidR="001E4C04" w:rsidRPr="00C66550">
        <w:t xml:space="preserve">level </w:t>
      </w:r>
      <w:r w:rsidRPr="00C66550">
        <w:t xml:space="preserve">waste management frameworks: </w:t>
      </w:r>
    </w:p>
    <w:p w:rsidR="00364E41" w:rsidRPr="00C66550" w:rsidRDefault="00B3719C" w:rsidP="00B71F1B">
      <w:pPr>
        <w:pStyle w:val="Bullet1"/>
      </w:pPr>
      <w:r w:rsidRPr="00C66550">
        <w:t xml:space="preserve">the presence of a publically available waste management strategy </w:t>
      </w:r>
    </w:p>
    <w:p w:rsidR="00B3719C" w:rsidRPr="00C66550" w:rsidRDefault="001E4C04" w:rsidP="00B71F1B">
      <w:pPr>
        <w:pStyle w:val="Bullet1"/>
      </w:pPr>
      <w:r w:rsidRPr="00C66550">
        <w:t xml:space="preserve">the </w:t>
      </w:r>
      <w:r w:rsidR="00B3719C" w:rsidRPr="00C66550">
        <w:t>‘high level’ goal</w:t>
      </w:r>
      <w:r w:rsidRPr="00C66550">
        <w:t>s</w:t>
      </w:r>
      <w:r w:rsidR="00B3719C" w:rsidRPr="00C66550">
        <w:t xml:space="preserve"> or obj</w:t>
      </w:r>
      <w:r w:rsidRPr="00C66550">
        <w:t>ectives of</w:t>
      </w:r>
      <w:r w:rsidR="00B3719C" w:rsidRPr="00C66550">
        <w:t xml:space="preserve"> the strategy</w:t>
      </w:r>
    </w:p>
    <w:p w:rsidR="00B3719C" w:rsidRPr="00C66550" w:rsidRDefault="005223E5" w:rsidP="00B3719C">
      <w:pPr>
        <w:pStyle w:val="Bullet1"/>
      </w:pPr>
      <w:r w:rsidRPr="00C66550">
        <w:t xml:space="preserve">the </w:t>
      </w:r>
      <w:r w:rsidR="00B3719C" w:rsidRPr="00C66550">
        <w:t>jurisdiction’s targets for waste generation</w:t>
      </w:r>
    </w:p>
    <w:p w:rsidR="00B3719C" w:rsidRPr="00C66550" w:rsidRDefault="005223E5" w:rsidP="00B3719C">
      <w:pPr>
        <w:pStyle w:val="Bullet1"/>
      </w:pPr>
      <w:r w:rsidRPr="00C66550">
        <w:t xml:space="preserve">the </w:t>
      </w:r>
      <w:r w:rsidR="00B3719C" w:rsidRPr="00C66550">
        <w:t xml:space="preserve">jurisdiction’s targets for resource recovery </w:t>
      </w:r>
      <w:r w:rsidR="00192C44" w:rsidRPr="00C66550">
        <w:t>rates (</w:t>
      </w:r>
      <w:r w:rsidR="00B3719C" w:rsidRPr="00C66550">
        <w:t>%)</w:t>
      </w:r>
    </w:p>
    <w:p w:rsidR="00B3719C" w:rsidRPr="00C66550" w:rsidRDefault="005223E5" w:rsidP="00B3719C">
      <w:pPr>
        <w:pStyle w:val="Bullet1"/>
      </w:pPr>
      <w:r w:rsidRPr="00C66550">
        <w:t xml:space="preserve">the </w:t>
      </w:r>
      <w:r w:rsidR="00B3719C" w:rsidRPr="00C66550">
        <w:t>jurisdiction’s landfill levies where applied ($/tonne)</w:t>
      </w:r>
    </w:p>
    <w:p w:rsidR="00B3719C" w:rsidRPr="00C66550" w:rsidRDefault="00B3719C" w:rsidP="00B3719C">
      <w:pPr>
        <w:pStyle w:val="Bullet1"/>
      </w:pPr>
      <w:r w:rsidRPr="00C66550">
        <w:t xml:space="preserve">landfill disposal bans </w:t>
      </w:r>
      <w:r w:rsidR="00FE138D" w:rsidRPr="00C66550">
        <w:t xml:space="preserve">for solid wastes </w:t>
      </w:r>
      <w:r w:rsidRPr="00C66550">
        <w:t>(waste type)</w:t>
      </w:r>
      <w:r w:rsidR="00FE138D" w:rsidRPr="00C66550">
        <w:t>.</w:t>
      </w:r>
    </w:p>
    <w:p w:rsidR="00AA303D" w:rsidRPr="00C66550" w:rsidRDefault="00AA303D" w:rsidP="00044249">
      <w:pPr>
        <w:pStyle w:val="BodyText"/>
      </w:pPr>
    </w:p>
    <w:p w:rsidR="0092702E" w:rsidRPr="00C66550" w:rsidRDefault="0092702E" w:rsidP="00044249">
      <w:pPr>
        <w:pStyle w:val="BodyText"/>
        <w:sectPr w:rsidR="0092702E" w:rsidRPr="00C66550" w:rsidSect="00F52DC7">
          <w:headerReference w:type="default" r:id="rId130"/>
          <w:footerReference w:type="default" r:id="rId131"/>
          <w:pgSz w:w="11907" w:h="16840" w:code="9"/>
          <w:pgMar w:top="1701" w:right="1077" w:bottom="1134" w:left="1474" w:header="709" w:footer="709" w:gutter="0"/>
          <w:cols w:space="708"/>
          <w:docGrid w:linePitch="360"/>
        </w:sectPr>
      </w:pPr>
    </w:p>
    <w:p w:rsidR="000D6A1E" w:rsidRDefault="00AA303D" w:rsidP="00FB4820">
      <w:pPr>
        <w:pStyle w:val="Figures"/>
      </w:pPr>
      <w:bookmarkStart w:id="224" w:name="_Ref349581655"/>
      <w:bookmarkStart w:id="225" w:name="_Toc365038860"/>
      <w:r w:rsidRPr="00C66550">
        <w:lastRenderedPageBreak/>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16</w:t>
      </w:r>
      <w:r w:rsidR="0062001A" w:rsidRPr="00C66550">
        <w:rPr>
          <w:noProof/>
        </w:rPr>
        <w:fldChar w:fldCharType="end"/>
      </w:r>
      <w:bookmarkEnd w:id="224"/>
      <w:r w:rsidR="00216969" w:rsidRPr="00C66550">
        <w:t>:</w:t>
      </w:r>
      <w:r w:rsidR="00216969" w:rsidRPr="00C66550">
        <w:tab/>
      </w:r>
      <w:r w:rsidRPr="00C66550">
        <w:t>Summary table of</w:t>
      </w:r>
      <w:r w:rsidR="00027A17" w:rsidRPr="00C66550">
        <w:t xml:space="preserve"> </w:t>
      </w:r>
      <w:r w:rsidR="00B46E72" w:rsidRPr="00C66550">
        <w:t xml:space="preserve">key elements of </w:t>
      </w:r>
      <w:r w:rsidR="00027A17" w:rsidRPr="00C66550">
        <w:t xml:space="preserve">each </w:t>
      </w:r>
      <w:r w:rsidRPr="00C66550">
        <w:t>jurisdictions waste strategies, policies</w:t>
      </w:r>
      <w:bookmarkEnd w:id="225"/>
      <w:r w:rsidR="000D6A1E" w:rsidRPr="00C66550">
        <w:t xml:space="preserve"> </w:t>
      </w:r>
    </w:p>
    <w:p w:rsidR="00A56E17" w:rsidRPr="00C66550" w:rsidRDefault="00A56E17" w:rsidP="00A56E17">
      <w:pPr>
        <w:pStyle w:val="BodyText"/>
      </w:pPr>
    </w:p>
    <w:tbl>
      <w:tblPr>
        <w:tblStyle w:val="BETable1"/>
        <w:tblW w:w="14861" w:type="dxa"/>
        <w:tblInd w:w="-936" w:type="dxa"/>
        <w:tblBorders>
          <w:bottom w:val="single" w:sz="4" w:space="0" w:color="A6A6A6" w:themeColor="background1" w:themeShade="A6"/>
          <w:insideH w:val="single" w:sz="4" w:space="0" w:color="A6A6A6" w:themeColor="background1" w:themeShade="A6"/>
        </w:tblBorders>
        <w:tblLook w:val="04A0"/>
      </w:tblPr>
      <w:tblGrid>
        <w:gridCol w:w="4112"/>
        <w:gridCol w:w="1458"/>
        <w:gridCol w:w="471"/>
        <w:gridCol w:w="1060"/>
        <w:gridCol w:w="1412"/>
        <w:gridCol w:w="155"/>
        <w:gridCol w:w="155"/>
        <w:gridCol w:w="155"/>
        <w:gridCol w:w="1939"/>
        <w:gridCol w:w="155"/>
        <w:gridCol w:w="155"/>
        <w:gridCol w:w="1522"/>
        <w:gridCol w:w="155"/>
        <w:gridCol w:w="155"/>
        <w:gridCol w:w="1802"/>
      </w:tblGrid>
      <w:tr w:rsidR="00CE6A9A" w:rsidRPr="00C66550" w:rsidTr="0099792E">
        <w:trPr>
          <w:cnfStyle w:val="100000000000"/>
        </w:trPr>
        <w:tc>
          <w:tcPr>
            <w:cnfStyle w:val="001000000000"/>
            <w:tcW w:w="4112" w:type="dxa"/>
          </w:tcPr>
          <w:p w:rsidR="00027A17" w:rsidRPr="00C66550" w:rsidRDefault="00D162A7" w:rsidP="00434596">
            <w:pPr>
              <w:rPr>
                <w:bCs/>
                <w:color w:val="000000"/>
                <w:szCs w:val="18"/>
              </w:rPr>
            </w:pPr>
            <w:r w:rsidRPr="00C66550">
              <w:rPr>
                <w:bCs/>
                <w:color w:val="000000"/>
                <w:szCs w:val="18"/>
              </w:rPr>
              <w:t xml:space="preserve">ACT </w:t>
            </w:r>
            <w:r w:rsidR="00027A17" w:rsidRPr="00C66550">
              <w:rPr>
                <w:bCs/>
                <w:color w:val="000000"/>
                <w:szCs w:val="18"/>
              </w:rPr>
              <w:t>Summary of strategy, policy, targets</w:t>
            </w:r>
            <w:r w:rsidR="00D6272C" w:rsidRPr="00C66550">
              <w:rPr>
                <w:rStyle w:val="FootnoteReference"/>
                <w:bCs/>
                <w:color w:val="000000"/>
                <w:szCs w:val="18"/>
              </w:rPr>
              <w:footnoteReference w:id="14"/>
            </w:r>
          </w:p>
        </w:tc>
        <w:tc>
          <w:tcPr>
            <w:tcW w:w="0" w:type="auto"/>
            <w:vAlign w:val="bottom"/>
          </w:tcPr>
          <w:p w:rsidR="00027A17" w:rsidRPr="00C66550" w:rsidRDefault="00027A17" w:rsidP="00434596">
            <w:pPr>
              <w:jc w:val="center"/>
              <w:cnfStyle w:val="100000000000"/>
              <w:rPr>
                <w:color w:val="000000"/>
                <w:sz w:val="18"/>
                <w:szCs w:val="18"/>
              </w:rPr>
            </w:pPr>
            <w:r w:rsidRPr="00C66550">
              <w:rPr>
                <w:color w:val="000000"/>
                <w:sz w:val="18"/>
                <w:szCs w:val="18"/>
              </w:rPr>
              <w:t>2006</w:t>
            </w:r>
          </w:p>
        </w:tc>
        <w:tc>
          <w:tcPr>
            <w:tcW w:w="0" w:type="auto"/>
            <w:vAlign w:val="bottom"/>
          </w:tcPr>
          <w:p w:rsidR="00027A17" w:rsidRPr="00C66550" w:rsidRDefault="00027A17" w:rsidP="00434596">
            <w:pPr>
              <w:jc w:val="center"/>
              <w:cnfStyle w:val="100000000000"/>
              <w:rPr>
                <w:color w:val="000000"/>
                <w:sz w:val="18"/>
                <w:szCs w:val="18"/>
              </w:rPr>
            </w:pPr>
          </w:p>
        </w:tc>
        <w:tc>
          <w:tcPr>
            <w:tcW w:w="2627" w:type="dxa"/>
            <w:gridSpan w:val="3"/>
            <w:vAlign w:val="bottom"/>
          </w:tcPr>
          <w:p w:rsidR="00027A17" w:rsidRPr="00C66550" w:rsidRDefault="00027A17" w:rsidP="00434596">
            <w:pPr>
              <w:jc w:val="center"/>
              <w:cnfStyle w:val="100000000000"/>
              <w:rPr>
                <w:color w:val="000000"/>
                <w:sz w:val="18"/>
                <w:szCs w:val="18"/>
              </w:rPr>
            </w:pPr>
            <w:r w:rsidRPr="00C66550">
              <w:rPr>
                <w:color w:val="000000"/>
                <w:sz w:val="18"/>
                <w:szCs w:val="18"/>
              </w:rPr>
              <w:t>2011</w:t>
            </w:r>
          </w:p>
        </w:tc>
        <w:tc>
          <w:tcPr>
            <w:tcW w:w="2249" w:type="dxa"/>
            <w:gridSpan w:val="3"/>
            <w:vAlign w:val="bottom"/>
          </w:tcPr>
          <w:p w:rsidR="00027A17" w:rsidRPr="00C66550" w:rsidRDefault="00027A17" w:rsidP="00434596">
            <w:pPr>
              <w:jc w:val="center"/>
              <w:cnfStyle w:val="100000000000"/>
              <w:rPr>
                <w:color w:val="000000"/>
                <w:sz w:val="18"/>
                <w:szCs w:val="18"/>
              </w:rPr>
            </w:pPr>
            <w:r w:rsidRPr="00C66550">
              <w:rPr>
                <w:color w:val="000000"/>
                <w:sz w:val="18"/>
                <w:szCs w:val="18"/>
              </w:rPr>
              <w:t>2015</w:t>
            </w:r>
          </w:p>
        </w:tc>
        <w:tc>
          <w:tcPr>
            <w:tcW w:w="1832" w:type="dxa"/>
            <w:gridSpan w:val="3"/>
            <w:vAlign w:val="bottom"/>
          </w:tcPr>
          <w:p w:rsidR="00027A17" w:rsidRPr="00C66550" w:rsidRDefault="00027A17" w:rsidP="00434596">
            <w:pPr>
              <w:jc w:val="center"/>
              <w:cnfStyle w:val="100000000000"/>
              <w:rPr>
                <w:color w:val="000000"/>
                <w:sz w:val="18"/>
                <w:szCs w:val="18"/>
              </w:rPr>
            </w:pPr>
            <w:r w:rsidRPr="00C66550">
              <w:rPr>
                <w:color w:val="000000"/>
                <w:sz w:val="18"/>
                <w:szCs w:val="18"/>
              </w:rPr>
              <w:t>2020</w:t>
            </w:r>
          </w:p>
        </w:tc>
        <w:tc>
          <w:tcPr>
            <w:tcW w:w="2112" w:type="dxa"/>
            <w:gridSpan w:val="3"/>
            <w:vAlign w:val="bottom"/>
          </w:tcPr>
          <w:p w:rsidR="00027A17" w:rsidRPr="00C66550" w:rsidRDefault="00027A17" w:rsidP="00434596">
            <w:pPr>
              <w:jc w:val="center"/>
              <w:cnfStyle w:val="100000000000"/>
              <w:rPr>
                <w:color w:val="000000"/>
                <w:sz w:val="18"/>
                <w:szCs w:val="18"/>
              </w:rPr>
            </w:pPr>
            <w:r w:rsidRPr="00C66550">
              <w:rPr>
                <w:color w:val="000000"/>
                <w:sz w:val="18"/>
                <w:szCs w:val="18"/>
              </w:rPr>
              <w:t>2025</w:t>
            </w:r>
          </w:p>
        </w:tc>
      </w:tr>
      <w:tr w:rsidR="00CE6A9A" w:rsidRPr="00C66550" w:rsidTr="0099792E">
        <w:trPr>
          <w:trHeight w:val="877"/>
        </w:trPr>
        <w:tc>
          <w:tcPr>
            <w:cnfStyle w:val="001000000000"/>
            <w:tcW w:w="4112" w:type="dxa"/>
          </w:tcPr>
          <w:p w:rsidR="00027A17" w:rsidRPr="00C66550" w:rsidRDefault="00027A17" w:rsidP="00027A17">
            <w:pPr>
              <w:rPr>
                <w:color w:val="000000"/>
                <w:sz w:val="18"/>
                <w:szCs w:val="18"/>
              </w:rPr>
            </w:pPr>
            <w:r w:rsidRPr="00C66550">
              <w:rPr>
                <w:color w:val="000000"/>
                <w:sz w:val="18"/>
                <w:szCs w:val="18"/>
              </w:rPr>
              <w:t>Waste strategy/policy in place</w:t>
            </w:r>
          </w:p>
        </w:tc>
        <w:tc>
          <w:tcPr>
            <w:tcW w:w="0" w:type="auto"/>
            <w:gridSpan w:val="2"/>
          </w:tcPr>
          <w:p w:rsidR="00027A17" w:rsidRPr="00C66550" w:rsidRDefault="00027A17" w:rsidP="00D6272C">
            <w:pPr>
              <w:jc w:val="center"/>
              <w:cnfStyle w:val="000000000000"/>
              <w:rPr>
                <w:color w:val="000000"/>
                <w:sz w:val="18"/>
                <w:szCs w:val="18"/>
              </w:rPr>
            </w:pPr>
            <w:r w:rsidRPr="00C66550">
              <w:rPr>
                <w:i/>
                <w:color w:val="000000"/>
                <w:sz w:val="18"/>
                <w:szCs w:val="18"/>
              </w:rPr>
              <w:t xml:space="preserve">No Waste by 2010 Strategy </w:t>
            </w:r>
            <w:r w:rsidR="00D6272C" w:rsidRPr="00C66550">
              <w:rPr>
                <w:color w:val="000000"/>
                <w:sz w:val="18"/>
                <w:szCs w:val="18"/>
              </w:rPr>
              <w:t>(</w:t>
            </w:r>
            <w:r w:rsidRPr="00C66550">
              <w:rPr>
                <w:color w:val="000000"/>
                <w:sz w:val="18"/>
                <w:szCs w:val="18"/>
              </w:rPr>
              <w:t>1996</w:t>
            </w:r>
            <w:r w:rsidR="00D6272C" w:rsidRPr="00C66550">
              <w:rPr>
                <w:color w:val="000000"/>
                <w:sz w:val="18"/>
                <w:szCs w:val="18"/>
              </w:rPr>
              <w:t>)</w:t>
            </w:r>
          </w:p>
        </w:tc>
        <w:tc>
          <w:tcPr>
            <w:tcW w:w="8820" w:type="dxa"/>
            <w:gridSpan w:val="12"/>
          </w:tcPr>
          <w:p w:rsidR="00027A17" w:rsidRPr="00C66550" w:rsidRDefault="00027A17" w:rsidP="00CE6A9A">
            <w:pPr>
              <w:cnfStyle w:val="000000000000"/>
              <w:rPr>
                <w:i/>
                <w:color w:val="000000"/>
                <w:sz w:val="18"/>
                <w:szCs w:val="18"/>
              </w:rPr>
            </w:pPr>
            <w:r w:rsidRPr="00C66550">
              <w:rPr>
                <w:i/>
                <w:color w:val="000000"/>
                <w:sz w:val="18"/>
                <w:szCs w:val="18"/>
              </w:rPr>
              <w:t>ACT Waste Management Strategy 2011–2025</w:t>
            </w:r>
          </w:p>
        </w:tc>
      </w:tr>
      <w:tr w:rsidR="00CE6A9A" w:rsidRPr="00C66550" w:rsidTr="0099792E">
        <w:tc>
          <w:tcPr>
            <w:cnfStyle w:val="001000000000"/>
            <w:tcW w:w="4112" w:type="dxa"/>
          </w:tcPr>
          <w:p w:rsidR="00027A17" w:rsidRPr="00C66550" w:rsidRDefault="00027A17" w:rsidP="00434596">
            <w:pPr>
              <w:rPr>
                <w:color w:val="000000"/>
                <w:sz w:val="18"/>
                <w:szCs w:val="18"/>
              </w:rPr>
            </w:pPr>
            <w:r w:rsidRPr="00C66550">
              <w:rPr>
                <w:color w:val="000000"/>
                <w:sz w:val="18"/>
                <w:szCs w:val="18"/>
              </w:rPr>
              <w:t>Policy goals summary</w:t>
            </w:r>
          </w:p>
        </w:tc>
        <w:tc>
          <w:tcPr>
            <w:tcW w:w="0" w:type="auto"/>
          </w:tcPr>
          <w:p w:rsidR="00027A17" w:rsidRPr="00C66550" w:rsidRDefault="00027A17">
            <w:pPr>
              <w:cnfStyle w:val="000000000000"/>
              <w:rPr>
                <w:color w:val="000000"/>
                <w:sz w:val="18"/>
                <w:szCs w:val="18"/>
              </w:rPr>
            </w:pPr>
            <w:r w:rsidRPr="00C66550">
              <w:rPr>
                <w:color w:val="000000"/>
                <w:sz w:val="18"/>
                <w:szCs w:val="18"/>
              </w:rPr>
              <w:t> </w:t>
            </w:r>
          </w:p>
        </w:tc>
        <w:tc>
          <w:tcPr>
            <w:tcW w:w="0" w:type="auto"/>
          </w:tcPr>
          <w:p w:rsidR="00027A17" w:rsidRPr="00C66550" w:rsidRDefault="00027A17">
            <w:pPr>
              <w:cnfStyle w:val="000000000000"/>
              <w:rPr>
                <w:color w:val="000000"/>
                <w:sz w:val="18"/>
                <w:szCs w:val="18"/>
              </w:rPr>
            </w:pPr>
            <w:r w:rsidRPr="00C66550">
              <w:rPr>
                <w:color w:val="000000"/>
                <w:sz w:val="18"/>
                <w:szCs w:val="18"/>
              </w:rPr>
              <w:t> </w:t>
            </w:r>
          </w:p>
        </w:tc>
        <w:tc>
          <w:tcPr>
            <w:tcW w:w="8820" w:type="dxa"/>
            <w:gridSpan w:val="12"/>
          </w:tcPr>
          <w:p w:rsidR="00027A17" w:rsidRPr="00C66550" w:rsidRDefault="00027A17" w:rsidP="00434596">
            <w:pPr>
              <w:cnfStyle w:val="000000000000"/>
              <w:rPr>
                <w:color w:val="000000"/>
                <w:sz w:val="18"/>
                <w:szCs w:val="18"/>
              </w:rPr>
            </w:pPr>
            <w:r w:rsidRPr="00C66550">
              <w:rPr>
                <w:color w:val="000000"/>
                <w:sz w:val="18"/>
                <w:szCs w:val="18"/>
              </w:rPr>
              <w:t>• The growth in ACT waste generation is less than the rate of population growth.</w:t>
            </w:r>
            <w:r w:rsidRPr="00C66550">
              <w:rPr>
                <w:color w:val="000000"/>
                <w:sz w:val="18"/>
                <w:szCs w:val="18"/>
              </w:rPr>
              <w:br/>
              <w:t>•</w:t>
            </w:r>
            <w:r w:rsidR="006F2CE3" w:rsidRPr="00C66550">
              <w:rPr>
                <w:color w:val="000000"/>
                <w:sz w:val="18"/>
                <w:szCs w:val="18"/>
              </w:rPr>
              <w:t xml:space="preserve"> </w:t>
            </w:r>
            <w:r w:rsidRPr="00C66550">
              <w:rPr>
                <w:color w:val="000000"/>
                <w:sz w:val="18"/>
                <w:szCs w:val="18"/>
              </w:rPr>
              <w:t>Reuse of goods expands in the ACT.</w:t>
            </w:r>
            <w:r w:rsidRPr="00C66550">
              <w:rPr>
                <w:color w:val="000000"/>
                <w:sz w:val="18"/>
                <w:szCs w:val="18"/>
              </w:rPr>
              <w:br/>
              <w:t>•</w:t>
            </w:r>
            <w:r w:rsidR="006F2CE3" w:rsidRPr="00C66550">
              <w:rPr>
                <w:color w:val="000000"/>
                <w:sz w:val="18"/>
                <w:szCs w:val="18"/>
              </w:rPr>
              <w:t xml:space="preserve"> </w:t>
            </w:r>
            <w:r w:rsidRPr="00C66550">
              <w:rPr>
                <w:color w:val="000000"/>
                <w:sz w:val="18"/>
                <w:szCs w:val="18"/>
              </w:rPr>
              <w:t>ACT leads Australia in low litter and incidents of illegal dumping.</w:t>
            </w:r>
            <w:r w:rsidRPr="00C66550">
              <w:rPr>
                <w:color w:val="000000"/>
                <w:sz w:val="18"/>
                <w:szCs w:val="18"/>
              </w:rPr>
              <w:br/>
              <w:t>•</w:t>
            </w:r>
            <w:r w:rsidR="006F2CE3" w:rsidRPr="00C66550">
              <w:rPr>
                <w:color w:val="000000"/>
                <w:sz w:val="18"/>
                <w:szCs w:val="18"/>
              </w:rPr>
              <w:t xml:space="preserve"> </w:t>
            </w:r>
            <w:r w:rsidRPr="00C66550">
              <w:rPr>
                <w:color w:val="000000"/>
                <w:sz w:val="18"/>
                <w:szCs w:val="18"/>
              </w:rPr>
              <w:t>ACT’s natural resources are protected and, where feasible, enhanced through waste management.</w:t>
            </w:r>
            <w:r w:rsidRPr="00C66550">
              <w:rPr>
                <w:color w:val="000000"/>
                <w:sz w:val="18"/>
                <w:szCs w:val="18"/>
              </w:rPr>
              <w:br/>
            </w:r>
            <w:r w:rsidR="00192C44" w:rsidRPr="00C66550">
              <w:rPr>
                <w:color w:val="000000"/>
                <w:sz w:val="18"/>
                <w:szCs w:val="18"/>
              </w:rPr>
              <w:t>•</w:t>
            </w:r>
            <w:r w:rsidR="006F2CE3" w:rsidRPr="00C66550">
              <w:rPr>
                <w:color w:val="000000"/>
                <w:sz w:val="18"/>
                <w:szCs w:val="18"/>
              </w:rPr>
              <w:t xml:space="preserve"> </w:t>
            </w:r>
            <w:r w:rsidR="00192C44" w:rsidRPr="00C66550">
              <w:rPr>
                <w:color w:val="000000"/>
                <w:sz w:val="18"/>
                <w:szCs w:val="18"/>
              </w:rPr>
              <w:t>The ACT Waste Sector is carbon neutral by 2020:</w:t>
            </w:r>
            <w:r w:rsidR="00192C44" w:rsidRPr="00C66550">
              <w:rPr>
                <w:color w:val="000000"/>
                <w:sz w:val="18"/>
                <w:szCs w:val="18"/>
              </w:rPr>
              <w:br/>
              <w:t>– energy generated from waste doubling by 2020</w:t>
            </w:r>
            <w:r w:rsidR="00192C44" w:rsidRPr="00C66550">
              <w:rPr>
                <w:color w:val="000000"/>
                <w:sz w:val="18"/>
                <w:szCs w:val="18"/>
              </w:rPr>
              <w:br/>
              <w:t>– waste resources are recovered for carbon sequestration by 2020. </w:t>
            </w:r>
          </w:p>
        </w:tc>
      </w:tr>
      <w:tr w:rsidR="00CE6A9A" w:rsidRPr="00C66550" w:rsidTr="0099792E">
        <w:tc>
          <w:tcPr>
            <w:cnfStyle w:val="001000000000"/>
            <w:tcW w:w="4112" w:type="dxa"/>
          </w:tcPr>
          <w:p w:rsidR="00B86A40" w:rsidRPr="00C66550" w:rsidRDefault="00B86A40" w:rsidP="00A047F8">
            <w:pPr>
              <w:rPr>
                <w:rFonts w:asciiTheme="minorHAnsi" w:hAnsiTheme="minorHAnsi"/>
                <w:color w:val="000000"/>
                <w:sz w:val="18"/>
                <w:szCs w:val="18"/>
              </w:rPr>
            </w:pPr>
            <w:r w:rsidRPr="00C66550">
              <w:rPr>
                <w:rFonts w:asciiTheme="minorHAnsi" w:hAnsiTheme="minorHAnsi"/>
                <w:color w:val="000000"/>
                <w:sz w:val="18"/>
                <w:szCs w:val="18"/>
              </w:rPr>
              <w:t>State targets for waste generation</w:t>
            </w:r>
          </w:p>
        </w:tc>
        <w:tc>
          <w:tcPr>
            <w:tcW w:w="0" w:type="auto"/>
          </w:tcPr>
          <w:p w:rsidR="00B86A40" w:rsidRPr="00C66550" w:rsidRDefault="00B86A40">
            <w:pPr>
              <w:cnfStyle w:val="000000000000"/>
              <w:rPr>
                <w:color w:val="000000"/>
                <w:sz w:val="18"/>
                <w:szCs w:val="18"/>
              </w:rPr>
            </w:pPr>
          </w:p>
        </w:tc>
        <w:tc>
          <w:tcPr>
            <w:tcW w:w="0" w:type="auto"/>
          </w:tcPr>
          <w:p w:rsidR="00B86A40" w:rsidRPr="00C66550" w:rsidRDefault="00B86A40">
            <w:pPr>
              <w:cnfStyle w:val="000000000000"/>
              <w:rPr>
                <w:color w:val="000000"/>
                <w:sz w:val="18"/>
                <w:szCs w:val="18"/>
              </w:rPr>
            </w:pPr>
          </w:p>
        </w:tc>
        <w:tc>
          <w:tcPr>
            <w:tcW w:w="1060" w:type="dxa"/>
          </w:tcPr>
          <w:p w:rsidR="00B86A40" w:rsidRPr="00C66550" w:rsidRDefault="00B86A40">
            <w:pPr>
              <w:cnfStyle w:val="000000000000"/>
              <w:rPr>
                <w:color w:val="000000"/>
                <w:sz w:val="18"/>
                <w:szCs w:val="18"/>
              </w:rPr>
            </w:pPr>
          </w:p>
        </w:tc>
        <w:tc>
          <w:tcPr>
            <w:tcW w:w="1412" w:type="dxa"/>
          </w:tcPr>
          <w:p w:rsidR="00B86A40" w:rsidRPr="00C66550" w:rsidRDefault="00B86A40">
            <w:pPr>
              <w:cnfStyle w:val="000000000000"/>
              <w:rPr>
                <w:color w:val="000000"/>
                <w:sz w:val="18"/>
                <w:szCs w:val="18"/>
              </w:rPr>
            </w:pPr>
          </w:p>
        </w:tc>
        <w:tc>
          <w:tcPr>
            <w:tcW w:w="0" w:type="auto"/>
          </w:tcPr>
          <w:p w:rsidR="00B86A40" w:rsidRPr="00C66550" w:rsidRDefault="00B86A40">
            <w:pPr>
              <w:cnfStyle w:val="000000000000"/>
              <w:rPr>
                <w:color w:val="000000"/>
                <w:sz w:val="18"/>
                <w:szCs w:val="18"/>
              </w:rPr>
            </w:pPr>
          </w:p>
        </w:tc>
        <w:tc>
          <w:tcPr>
            <w:tcW w:w="0" w:type="auto"/>
            <w:vAlign w:val="center"/>
          </w:tcPr>
          <w:p w:rsidR="00B86A40" w:rsidRPr="00C66550" w:rsidRDefault="00B86A40" w:rsidP="00027A17">
            <w:pPr>
              <w:jc w:val="center"/>
              <w:cnfStyle w:val="000000000000"/>
              <w:rPr>
                <w:color w:val="000000"/>
                <w:sz w:val="18"/>
                <w:szCs w:val="18"/>
              </w:rPr>
            </w:pPr>
          </w:p>
        </w:tc>
        <w:tc>
          <w:tcPr>
            <w:tcW w:w="0" w:type="auto"/>
            <w:vAlign w:val="center"/>
          </w:tcPr>
          <w:p w:rsidR="00B86A40" w:rsidRPr="00C66550" w:rsidRDefault="00B86A40" w:rsidP="00027A17">
            <w:pPr>
              <w:jc w:val="center"/>
              <w:cnfStyle w:val="000000000000"/>
              <w:rPr>
                <w:color w:val="000000"/>
                <w:sz w:val="18"/>
                <w:szCs w:val="18"/>
              </w:rPr>
            </w:pPr>
          </w:p>
        </w:tc>
        <w:tc>
          <w:tcPr>
            <w:tcW w:w="1939" w:type="dxa"/>
            <w:vAlign w:val="center"/>
          </w:tcPr>
          <w:p w:rsidR="00B86A40" w:rsidRPr="00C66550" w:rsidRDefault="00B86A40" w:rsidP="00027A17">
            <w:pPr>
              <w:jc w:val="center"/>
              <w:cnfStyle w:val="000000000000"/>
              <w:rPr>
                <w:color w:val="000000"/>
                <w:sz w:val="18"/>
                <w:szCs w:val="18"/>
              </w:rPr>
            </w:pPr>
          </w:p>
        </w:tc>
        <w:tc>
          <w:tcPr>
            <w:tcW w:w="0" w:type="auto"/>
            <w:vAlign w:val="center"/>
          </w:tcPr>
          <w:p w:rsidR="00B86A40" w:rsidRPr="00C66550" w:rsidRDefault="00B86A40" w:rsidP="00027A17">
            <w:pPr>
              <w:jc w:val="center"/>
              <w:cnfStyle w:val="000000000000"/>
              <w:rPr>
                <w:color w:val="000000"/>
                <w:sz w:val="18"/>
                <w:szCs w:val="18"/>
              </w:rPr>
            </w:pPr>
          </w:p>
        </w:tc>
        <w:tc>
          <w:tcPr>
            <w:tcW w:w="0" w:type="auto"/>
            <w:vAlign w:val="center"/>
          </w:tcPr>
          <w:p w:rsidR="00B86A40" w:rsidRPr="00C66550" w:rsidRDefault="00B86A40" w:rsidP="00027A17">
            <w:pPr>
              <w:jc w:val="center"/>
              <w:cnfStyle w:val="000000000000"/>
              <w:rPr>
                <w:color w:val="000000"/>
                <w:sz w:val="18"/>
                <w:szCs w:val="18"/>
              </w:rPr>
            </w:pPr>
          </w:p>
        </w:tc>
        <w:tc>
          <w:tcPr>
            <w:tcW w:w="1522" w:type="dxa"/>
            <w:vAlign w:val="center"/>
          </w:tcPr>
          <w:p w:rsidR="00B86A40" w:rsidRPr="00C66550" w:rsidRDefault="00B86A40" w:rsidP="00027A17">
            <w:pPr>
              <w:jc w:val="center"/>
              <w:cnfStyle w:val="000000000000"/>
              <w:rPr>
                <w:color w:val="000000"/>
                <w:sz w:val="18"/>
                <w:szCs w:val="18"/>
              </w:rPr>
            </w:pPr>
          </w:p>
        </w:tc>
        <w:tc>
          <w:tcPr>
            <w:tcW w:w="2112" w:type="dxa"/>
            <w:gridSpan w:val="3"/>
            <w:vAlign w:val="center"/>
          </w:tcPr>
          <w:p w:rsidR="00B86A40" w:rsidRPr="00C66550" w:rsidRDefault="00B86A40" w:rsidP="00B86A40">
            <w:pPr>
              <w:jc w:val="center"/>
              <w:cnfStyle w:val="000000000000"/>
              <w:rPr>
                <w:color w:val="000000"/>
                <w:sz w:val="18"/>
                <w:szCs w:val="18"/>
              </w:rPr>
            </w:pPr>
            <w:r w:rsidRPr="00C66550">
              <w:rPr>
                <w:color w:val="000000"/>
                <w:sz w:val="18"/>
                <w:szCs w:val="18"/>
              </w:rPr>
              <w:t>Increase in waste generation is less than the rate of population growth.</w:t>
            </w:r>
          </w:p>
        </w:tc>
      </w:tr>
      <w:tr w:rsidR="00CE6A9A" w:rsidRPr="00C66550" w:rsidTr="0099792E">
        <w:tc>
          <w:tcPr>
            <w:cnfStyle w:val="001000000000"/>
            <w:tcW w:w="4112" w:type="dxa"/>
          </w:tcPr>
          <w:p w:rsidR="00CE6A9A" w:rsidRPr="00C66550" w:rsidRDefault="00CE6A9A" w:rsidP="00A047F8">
            <w:pPr>
              <w:rPr>
                <w:color w:val="000000"/>
                <w:sz w:val="18"/>
                <w:szCs w:val="18"/>
              </w:rPr>
            </w:pPr>
            <w:r w:rsidRPr="00C66550">
              <w:rPr>
                <w:color w:val="000000"/>
                <w:sz w:val="18"/>
                <w:szCs w:val="18"/>
              </w:rPr>
              <w:t>State targets for recovery where set (%)</w:t>
            </w:r>
          </w:p>
        </w:tc>
        <w:tc>
          <w:tcPr>
            <w:tcW w:w="0" w:type="auto"/>
          </w:tcPr>
          <w:p w:rsidR="00CE6A9A" w:rsidRPr="00C66550" w:rsidRDefault="00CE6A9A" w:rsidP="00A047F8">
            <w:pPr>
              <w:cnfStyle w:val="000000000000"/>
              <w:rPr>
                <w:color w:val="000000"/>
                <w:sz w:val="18"/>
                <w:szCs w:val="18"/>
              </w:rPr>
            </w:pPr>
            <w:r w:rsidRPr="00C66550">
              <w:rPr>
                <w:color w:val="000000"/>
                <w:sz w:val="18"/>
                <w:szCs w:val="18"/>
              </w:rPr>
              <w:t> </w:t>
            </w:r>
          </w:p>
        </w:tc>
        <w:tc>
          <w:tcPr>
            <w:tcW w:w="0" w:type="auto"/>
          </w:tcPr>
          <w:p w:rsidR="00CE6A9A" w:rsidRPr="00C66550" w:rsidRDefault="00CE6A9A" w:rsidP="00A047F8">
            <w:pPr>
              <w:cnfStyle w:val="000000000000"/>
              <w:rPr>
                <w:color w:val="000000"/>
                <w:sz w:val="18"/>
                <w:szCs w:val="18"/>
              </w:rPr>
            </w:pPr>
            <w:r w:rsidRPr="00C66550">
              <w:rPr>
                <w:color w:val="000000"/>
                <w:sz w:val="18"/>
                <w:szCs w:val="18"/>
              </w:rPr>
              <w:t> </w:t>
            </w:r>
          </w:p>
        </w:tc>
        <w:tc>
          <w:tcPr>
            <w:tcW w:w="1060" w:type="dxa"/>
          </w:tcPr>
          <w:p w:rsidR="00CE6A9A" w:rsidRPr="00C66550" w:rsidRDefault="00CE6A9A" w:rsidP="00A047F8">
            <w:pPr>
              <w:cnfStyle w:val="000000000000"/>
              <w:rPr>
                <w:color w:val="000000"/>
                <w:sz w:val="18"/>
                <w:szCs w:val="18"/>
              </w:rPr>
            </w:pPr>
            <w:r w:rsidRPr="00C66550">
              <w:rPr>
                <w:color w:val="000000"/>
                <w:sz w:val="18"/>
                <w:szCs w:val="18"/>
              </w:rPr>
              <w:t> </w:t>
            </w:r>
          </w:p>
        </w:tc>
        <w:tc>
          <w:tcPr>
            <w:tcW w:w="1412" w:type="dxa"/>
          </w:tcPr>
          <w:p w:rsidR="00CE6A9A" w:rsidRPr="00C66550" w:rsidRDefault="00CE6A9A" w:rsidP="00A047F8">
            <w:pPr>
              <w:cnfStyle w:val="000000000000"/>
              <w:rPr>
                <w:color w:val="000000"/>
                <w:sz w:val="18"/>
                <w:szCs w:val="18"/>
              </w:rPr>
            </w:pPr>
            <w:r w:rsidRPr="00C66550">
              <w:rPr>
                <w:color w:val="000000"/>
                <w:sz w:val="18"/>
                <w:szCs w:val="18"/>
              </w:rPr>
              <w:t> </w:t>
            </w:r>
          </w:p>
        </w:tc>
        <w:tc>
          <w:tcPr>
            <w:tcW w:w="0" w:type="auto"/>
          </w:tcPr>
          <w:p w:rsidR="00CE6A9A" w:rsidRPr="00C66550" w:rsidRDefault="00CE6A9A" w:rsidP="00A047F8">
            <w:pPr>
              <w:cnfStyle w:val="000000000000"/>
              <w:rPr>
                <w:color w:val="000000"/>
                <w:sz w:val="18"/>
                <w:szCs w:val="18"/>
              </w:rPr>
            </w:pPr>
            <w:r w:rsidRPr="00C66550">
              <w:rPr>
                <w:color w:val="000000"/>
                <w:sz w:val="18"/>
                <w:szCs w:val="18"/>
              </w:rPr>
              <w:t> </w:t>
            </w:r>
          </w:p>
        </w:tc>
        <w:tc>
          <w:tcPr>
            <w:tcW w:w="2249" w:type="dxa"/>
            <w:gridSpan w:val="3"/>
            <w:vAlign w:val="center"/>
          </w:tcPr>
          <w:p w:rsidR="00CE6A9A" w:rsidRPr="00C66550" w:rsidRDefault="00CE6A9A" w:rsidP="00A047F8">
            <w:pPr>
              <w:jc w:val="center"/>
              <w:cnfStyle w:val="000000000000"/>
              <w:rPr>
                <w:color w:val="000000"/>
                <w:sz w:val="18"/>
                <w:szCs w:val="18"/>
              </w:rPr>
            </w:pPr>
            <w:r w:rsidRPr="00C66550">
              <w:rPr>
                <w:color w:val="000000"/>
                <w:sz w:val="18"/>
                <w:szCs w:val="18"/>
              </w:rPr>
              <w:t>All streams 80%</w:t>
            </w:r>
          </w:p>
        </w:tc>
        <w:tc>
          <w:tcPr>
            <w:tcW w:w="1832" w:type="dxa"/>
            <w:gridSpan w:val="3"/>
            <w:vAlign w:val="center"/>
          </w:tcPr>
          <w:p w:rsidR="00CE6A9A" w:rsidRPr="00C66550" w:rsidRDefault="00CE6A9A" w:rsidP="00A047F8">
            <w:pPr>
              <w:jc w:val="center"/>
              <w:cnfStyle w:val="000000000000"/>
              <w:rPr>
                <w:color w:val="000000"/>
                <w:sz w:val="18"/>
                <w:szCs w:val="18"/>
              </w:rPr>
            </w:pPr>
            <w:r w:rsidRPr="00C66550">
              <w:rPr>
                <w:color w:val="000000"/>
                <w:sz w:val="18"/>
                <w:szCs w:val="18"/>
              </w:rPr>
              <w:t>All streams 85%</w:t>
            </w:r>
          </w:p>
        </w:tc>
        <w:tc>
          <w:tcPr>
            <w:tcW w:w="2112" w:type="dxa"/>
            <w:gridSpan w:val="3"/>
            <w:vAlign w:val="center"/>
          </w:tcPr>
          <w:p w:rsidR="00CE6A9A" w:rsidRPr="00C66550" w:rsidRDefault="00CE6A9A" w:rsidP="00A047F8">
            <w:pPr>
              <w:jc w:val="center"/>
              <w:cnfStyle w:val="000000000000"/>
              <w:rPr>
                <w:color w:val="000000"/>
                <w:sz w:val="18"/>
                <w:szCs w:val="18"/>
              </w:rPr>
            </w:pPr>
            <w:r w:rsidRPr="00C66550">
              <w:rPr>
                <w:color w:val="000000"/>
                <w:sz w:val="18"/>
                <w:szCs w:val="18"/>
              </w:rPr>
              <w:t>All streams 90%</w:t>
            </w:r>
          </w:p>
        </w:tc>
      </w:tr>
      <w:tr w:rsidR="00CE6A9A" w:rsidRPr="00C66550" w:rsidTr="000F253B">
        <w:tc>
          <w:tcPr>
            <w:cnfStyle w:val="001000000000"/>
            <w:tcW w:w="4112" w:type="dxa"/>
            <w:tcBorders>
              <w:bottom w:val="nil"/>
            </w:tcBorders>
          </w:tcPr>
          <w:p w:rsidR="009D4D68" w:rsidRPr="00C66550" w:rsidRDefault="003D15B7" w:rsidP="00103E64">
            <w:pPr>
              <w:rPr>
                <w:color w:val="000000"/>
                <w:sz w:val="18"/>
                <w:szCs w:val="18"/>
              </w:rPr>
            </w:pPr>
            <w:r w:rsidRPr="00C66550">
              <w:rPr>
                <w:color w:val="000000"/>
                <w:sz w:val="18"/>
                <w:szCs w:val="18"/>
              </w:rPr>
              <w:t xml:space="preserve">Landfill </w:t>
            </w:r>
            <w:r w:rsidR="00103E64" w:rsidRPr="00C66550">
              <w:rPr>
                <w:color w:val="000000"/>
                <w:sz w:val="18"/>
                <w:szCs w:val="18"/>
              </w:rPr>
              <w:t>fees</w:t>
            </w:r>
            <w:r w:rsidRPr="00C66550">
              <w:rPr>
                <w:color w:val="000000"/>
                <w:sz w:val="18"/>
                <w:szCs w:val="18"/>
              </w:rPr>
              <w:t xml:space="preserve"> where applied ($/tonne</w:t>
            </w:r>
            <w:r w:rsidR="009D4D68" w:rsidRPr="00C66550">
              <w:rPr>
                <w:color w:val="000000"/>
                <w:sz w:val="18"/>
                <w:szCs w:val="18"/>
              </w:rPr>
              <w:t>)</w:t>
            </w:r>
            <w:r w:rsidR="00CE6971" w:rsidRPr="00C66550">
              <w:rPr>
                <w:rStyle w:val="FootnoteReference"/>
                <w:color w:val="000000"/>
                <w:sz w:val="18"/>
                <w:szCs w:val="18"/>
              </w:rPr>
              <w:footnoteReference w:id="15"/>
            </w:r>
          </w:p>
        </w:tc>
        <w:tc>
          <w:tcPr>
            <w:tcW w:w="0" w:type="auto"/>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0" w:type="auto"/>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1060" w:type="dxa"/>
            <w:tcBorders>
              <w:bottom w:val="nil"/>
            </w:tcBorders>
          </w:tcPr>
          <w:p w:rsidR="003D15B7" w:rsidRPr="00C66550" w:rsidRDefault="00CE6A9A">
            <w:pPr>
              <w:jc w:val="right"/>
              <w:cnfStyle w:val="000000000000"/>
              <w:rPr>
                <w:color w:val="000000"/>
                <w:sz w:val="18"/>
                <w:szCs w:val="18"/>
              </w:rPr>
            </w:pPr>
            <w:r w:rsidRPr="00C66550">
              <w:rPr>
                <w:color w:val="000000"/>
                <w:sz w:val="18"/>
                <w:szCs w:val="18"/>
              </w:rPr>
              <w:t xml:space="preserve">MSW </w:t>
            </w:r>
            <w:r w:rsidR="003D15B7" w:rsidRPr="00C66550">
              <w:rPr>
                <w:color w:val="000000"/>
                <w:sz w:val="18"/>
                <w:szCs w:val="18"/>
              </w:rPr>
              <w:t>$68.67</w:t>
            </w:r>
          </w:p>
        </w:tc>
        <w:tc>
          <w:tcPr>
            <w:tcW w:w="1412" w:type="dxa"/>
            <w:tcBorders>
              <w:bottom w:val="nil"/>
            </w:tcBorders>
          </w:tcPr>
          <w:p w:rsidR="000F253B" w:rsidRPr="00C66550" w:rsidRDefault="00CE6A9A" w:rsidP="000F253B">
            <w:pPr>
              <w:jc w:val="center"/>
              <w:cnfStyle w:val="000000000000"/>
              <w:rPr>
                <w:color w:val="000000"/>
                <w:sz w:val="18"/>
                <w:szCs w:val="18"/>
              </w:rPr>
            </w:pPr>
            <w:r w:rsidRPr="00C66550">
              <w:rPr>
                <w:color w:val="000000"/>
                <w:sz w:val="18"/>
                <w:szCs w:val="18"/>
              </w:rPr>
              <w:t xml:space="preserve">C&amp;I/C&amp;D </w:t>
            </w:r>
            <w:r w:rsidR="003D15B7" w:rsidRPr="00C66550">
              <w:rPr>
                <w:color w:val="000000"/>
                <w:sz w:val="18"/>
                <w:szCs w:val="18"/>
              </w:rPr>
              <w:t>$121.90</w:t>
            </w:r>
          </w:p>
        </w:tc>
        <w:tc>
          <w:tcPr>
            <w:tcW w:w="0" w:type="auto"/>
            <w:tcBorders>
              <w:bottom w:val="nil"/>
            </w:tcBorders>
          </w:tcPr>
          <w:p w:rsidR="003D15B7" w:rsidRPr="00C66550" w:rsidRDefault="003D15B7">
            <w:pPr>
              <w:jc w:val="center"/>
              <w:cnfStyle w:val="000000000000"/>
              <w:rPr>
                <w:color w:val="000000"/>
                <w:sz w:val="18"/>
                <w:szCs w:val="18"/>
              </w:rPr>
            </w:pPr>
          </w:p>
        </w:tc>
        <w:tc>
          <w:tcPr>
            <w:tcW w:w="0" w:type="auto"/>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0" w:type="auto"/>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1939" w:type="dxa"/>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0" w:type="auto"/>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0" w:type="auto"/>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1522" w:type="dxa"/>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0" w:type="auto"/>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0" w:type="auto"/>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c>
          <w:tcPr>
            <w:tcW w:w="1802" w:type="dxa"/>
            <w:tcBorders>
              <w:bottom w:val="nil"/>
            </w:tcBorders>
          </w:tcPr>
          <w:p w:rsidR="003D15B7" w:rsidRPr="00C66550" w:rsidRDefault="003D15B7">
            <w:pPr>
              <w:cnfStyle w:val="000000000000"/>
              <w:rPr>
                <w:color w:val="000000"/>
                <w:sz w:val="18"/>
                <w:szCs w:val="18"/>
              </w:rPr>
            </w:pPr>
            <w:r w:rsidRPr="00C66550">
              <w:rPr>
                <w:color w:val="000000"/>
                <w:sz w:val="18"/>
                <w:szCs w:val="18"/>
              </w:rPr>
              <w:t> </w:t>
            </w:r>
          </w:p>
        </w:tc>
      </w:tr>
      <w:tr w:rsidR="000F253B" w:rsidRPr="00C66550" w:rsidTr="000F253B">
        <w:tc>
          <w:tcPr>
            <w:cnfStyle w:val="001000000000"/>
            <w:tcW w:w="4112" w:type="dxa"/>
            <w:tcBorders>
              <w:top w:val="nil"/>
            </w:tcBorders>
          </w:tcPr>
          <w:p w:rsidR="000F253B" w:rsidRPr="00C66550" w:rsidRDefault="000F253B" w:rsidP="00434596">
            <w:pPr>
              <w:rPr>
                <w:color w:val="000000"/>
                <w:sz w:val="18"/>
                <w:szCs w:val="18"/>
              </w:rPr>
            </w:pPr>
          </w:p>
        </w:tc>
        <w:tc>
          <w:tcPr>
            <w:tcW w:w="0" w:type="auto"/>
            <w:tcBorders>
              <w:top w:val="nil"/>
            </w:tcBorders>
          </w:tcPr>
          <w:p w:rsidR="000F253B" w:rsidRPr="00C66550" w:rsidRDefault="000F253B">
            <w:pPr>
              <w:cnfStyle w:val="000000000000"/>
              <w:rPr>
                <w:color w:val="000000"/>
                <w:sz w:val="18"/>
                <w:szCs w:val="18"/>
              </w:rPr>
            </w:pPr>
          </w:p>
        </w:tc>
        <w:tc>
          <w:tcPr>
            <w:tcW w:w="5347" w:type="dxa"/>
            <w:gridSpan w:val="7"/>
            <w:tcBorders>
              <w:top w:val="nil"/>
            </w:tcBorders>
            <w:vAlign w:val="bottom"/>
          </w:tcPr>
          <w:p w:rsidR="000F253B" w:rsidRPr="00C66550" w:rsidRDefault="000F253B" w:rsidP="00103E64">
            <w:pPr>
              <w:ind w:left="469"/>
              <w:cnfStyle w:val="000000000000"/>
              <w:rPr>
                <w:color w:val="000000"/>
                <w:sz w:val="18"/>
                <w:szCs w:val="18"/>
              </w:rPr>
            </w:pPr>
            <w:r w:rsidRPr="00C66550">
              <w:rPr>
                <w:color w:val="000000"/>
                <w:sz w:val="18"/>
                <w:szCs w:val="18"/>
              </w:rPr>
              <w:t xml:space="preserve">For a mixed C&amp;I waste load with greater than 50% recyclable material, </w:t>
            </w:r>
            <w:r w:rsidR="00103E64" w:rsidRPr="00C66550">
              <w:rPr>
                <w:color w:val="000000"/>
                <w:sz w:val="18"/>
                <w:szCs w:val="18"/>
              </w:rPr>
              <w:t xml:space="preserve">fee </w:t>
            </w:r>
            <w:r w:rsidRPr="00C66550">
              <w:rPr>
                <w:color w:val="000000"/>
                <w:sz w:val="18"/>
                <w:szCs w:val="18"/>
              </w:rPr>
              <w:t>is $166.25.</w:t>
            </w:r>
          </w:p>
        </w:tc>
        <w:tc>
          <w:tcPr>
            <w:tcW w:w="0" w:type="auto"/>
            <w:tcBorders>
              <w:top w:val="nil"/>
            </w:tcBorders>
          </w:tcPr>
          <w:p w:rsidR="000F253B" w:rsidRPr="00C66550" w:rsidRDefault="000F253B">
            <w:pPr>
              <w:cnfStyle w:val="000000000000"/>
              <w:rPr>
                <w:color w:val="000000"/>
                <w:sz w:val="18"/>
                <w:szCs w:val="18"/>
              </w:rPr>
            </w:pPr>
          </w:p>
        </w:tc>
        <w:tc>
          <w:tcPr>
            <w:tcW w:w="0" w:type="auto"/>
            <w:tcBorders>
              <w:top w:val="nil"/>
            </w:tcBorders>
          </w:tcPr>
          <w:p w:rsidR="000F253B" w:rsidRPr="00C66550" w:rsidRDefault="000F253B">
            <w:pPr>
              <w:cnfStyle w:val="000000000000"/>
              <w:rPr>
                <w:color w:val="000000"/>
                <w:sz w:val="18"/>
                <w:szCs w:val="18"/>
              </w:rPr>
            </w:pPr>
          </w:p>
        </w:tc>
        <w:tc>
          <w:tcPr>
            <w:tcW w:w="1522" w:type="dxa"/>
            <w:tcBorders>
              <w:top w:val="nil"/>
            </w:tcBorders>
          </w:tcPr>
          <w:p w:rsidR="000F253B" w:rsidRPr="00C66550" w:rsidRDefault="000F253B">
            <w:pPr>
              <w:cnfStyle w:val="000000000000"/>
              <w:rPr>
                <w:color w:val="000000"/>
                <w:sz w:val="18"/>
                <w:szCs w:val="18"/>
              </w:rPr>
            </w:pPr>
          </w:p>
        </w:tc>
        <w:tc>
          <w:tcPr>
            <w:tcW w:w="0" w:type="auto"/>
            <w:tcBorders>
              <w:top w:val="nil"/>
            </w:tcBorders>
          </w:tcPr>
          <w:p w:rsidR="000F253B" w:rsidRPr="00C66550" w:rsidRDefault="000F253B">
            <w:pPr>
              <w:cnfStyle w:val="000000000000"/>
              <w:rPr>
                <w:color w:val="000000"/>
                <w:sz w:val="18"/>
                <w:szCs w:val="18"/>
              </w:rPr>
            </w:pPr>
          </w:p>
        </w:tc>
        <w:tc>
          <w:tcPr>
            <w:tcW w:w="0" w:type="auto"/>
            <w:tcBorders>
              <w:top w:val="nil"/>
            </w:tcBorders>
          </w:tcPr>
          <w:p w:rsidR="000F253B" w:rsidRPr="00C66550" w:rsidRDefault="000F253B">
            <w:pPr>
              <w:cnfStyle w:val="000000000000"/>
              <w:rPr>
                <w:color w:val="000000"/>
                <w:sz w:val="18"/>
                <w:szCs w:val="18"/>
              </w:rPr>
            </w:pPr>
          </w:p>
        </w:tc>
        <w:tc>
          <w:tcPr>
            <w:tcW w:w="1802" w:type="dxa"/>
            <w:tcBorders>
              <w:top w:val="nil"/>
            </w:tcBorders>
          </w:tcPr>
          <w:p w:rsidR="000F253B" w:rsidRPr="00C66550" w:rsidRDefault="000F253B">
            <w:pPr>
              <w:cnfStyle w:val="000000000000"/>
              <w:rPr>
                <w:color w:val="000000"/>
                <w:sz w:val="18"/>
                <w:szCs w:val="18"/>
              </w:rPr>
            </w:pPr>
          </w:p>
        </w:tc>
      </w:tr>
    </w:tbl>
    <w:p w:rsidR="0099792E" w:rsidRPr="00C66550" w:rsidRDefault="0099792E"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p w:rsidR="003B6549" w:rsidRPr="00C66550" w:rsidRDefault="003B6549" w:rsidP="00B46E72">
      <w:pPr>
        <w:jc w:val="center"/>
        <w:rPr>
          <w:rFonts w:asciiTheme="minorHAnsi" w:hAnsiTheme="minorHAnsi"/>
          <w:b/>
          <w:color w:val="000000"/>
          <w:sz w:val="18"/>
          <w:szCs w:val="18"/>
        </w:rPr>
      </w:pPr>
    </w:p>
    <w:tbl>
      <w:tblPr>
        <w:tblStyle w:val="BETable1"/>
        <w:tblW w:w="5152" w:type="pct"/>
        <w:tblInd w:w="-936" w:type="dxa"/>
        <w:tblBorders>
          <w:bottom w:val="single" w:sz="4" w:space="0" w:color="A6A6A6" w:themeColor="background1" w:themeShade="A6"/>
          <w:insideH w:val="single" w:sz="4" w:space="0" w:color="A6A6A6" w:themeColor="background1" w:themeShade="A6"/>
        </w:tblBorders>
        <w:tblLook w:val="04A0"/>
      </w:tblPr>
      <w:tblGrid>
        <w:gridCol w:w="2307"/>
        <w:gridCol w:w="351"/>
        <w:gridCol w:w="606"/>
        <w:gridCol w:w="460"/>
        <w:gridCol w:w="481"/>
        <w:gridCol w:w="570"/>
        <w:gridCol w:w="656"/>
        <w:gridCol w:w="622"/>
        <w:gridCol w:w="625"/>
        <w:gridCol w:w="570"/>
        <w:gridCol w:w="570"/>
        <w:gridCol w:w="570"/>
        <w:gridCol w:w="570"/>
        <w:gridCol w:w="570"/>
        <w:gridCol w:w="570"/>
        <w:gridCol w:w="570"/>
        <w:gridCol w:w="570"/>
        <w:gridCol w:w="1586"/>
        <w:gridCol w:w="520"/>
        <w:gridCol w:w="555"/>
        <w:gridCol w:w="460"/>
        <w:gridCol w:w="481"/>
      </w:tblGrid>
      <w:tr w:rsidR="0099792E" w:rsidRPr="00C66550" w:rsidTr="00A56E17">
        <w:trPr>
          <w:cnfStyle w:val="100000000000"/>
          <w:trHeight w:val="657"/>
          <w:tblHeader/>
        </w:trPr>
        <w:tc>
          <w:tcPr>
            <w:cnfStyle w:val="001000000000"/>
            <w:tcW w:w="780" w:type="pct"/>
          </w:tcPr>
          <w:p w:rsidR="00FF0C93" w:rsidRPr="00C66550" w:rsidRDefault="00D162A7" w:rsidP="00A56E17">
            <w:pPr>
              <w:jc w:val="center"/>
              <w:outlineLvl w:val="0"/>
              <w:rPr>
                <w:rFonts w:ascii="Arial Rounded MT Bold" w:hAnsi="Arial Rounded MT Bold"/>
                <w:b w:val="0"/>
                <w:szCs w:val="20"/>
              </w:rPr>
            </w:pPr>
            <w:r w:rsidRPr="00C66550">
              <w:rPr>
                <w:szCs w:val="20"/>
              </w:rPr>
              <w:lastRenderedPageBreak/>
              <w:t>NSW s</w:t>
            </w:r>
            <w:r w:rsidR="00727B24" w:rsidRPr="00C66550">
              <w:rPr>
                <w:szCs w:val="20"/>
              </w:rPr>
              <w:t>ummary of strategy, policy, targets</w:t>
            </w:r>
            <w:r w:rsidR="00C57A28" w:rsidRPr="00C66550">
              <w:rPr>
                <w:rStyle w:val="FootnoteReference"/>
                <w:szCs w:val="20"/>
              </w:rPr>
              <w:footnoteReference w:id="16"/>
            </w:r>
          </w:p>
        </w:tc>
        <w:tc>
          <w:tcPr>
            <w:tcW w:w="121" w:type="pct"/>
          </w:tcPr>
          <w:p w:rsidR="00727B24" w:rsidRPr="00C66550" w:rsidRDefault="00727B24" w:rsidP="00A56E17">
            <w:pPr>
              <w:jc w:val="center"/>
              <w:cnfStyle w:val="100000000000"/>
              <w:rPr>
                <w:szCs w:val="20"/>
              </w:rPr>
            </w:pPr>
          </w:p>
        </w:tc>
        <w:tc>
          <w:tcPr>
            <w:tcW w:w="524" w:type="pct"/>
            <w:gridSpan w:val="3"/>
          </w:tcPr>
          <w:p w:rsidR="00727B24" w:rsidRPr="00C66550" w:rsidRDefault="00727B24" w:rsidP="00A56E17">
            <w:pPr>
              <w:jc w:val="center"/>
              <w:cnfStyle w:val="100000000000"/>
              <w:rPr>
                <w:szCs w:val="20"/>
              </w:rPr>
            </w:pPr>
            <w:r w:rsidRPr="00C66550">
              <w:rPr>
                <w:szCs w:val="20"/>
              </w:rPr>
              <w:t>2007</w:t>
            </w:r>
          </w:p>
        </w:tc>
        <w:tc>
          <w:tcPr>
            <w:tcW w:w="623" w:type="pct"/>
            <w:gridSpan w:val="3"/>
          </w:tcPr>
          <w:p w:rsidR="00727B24" w:rsidRPr="00C66550" w:rsidRDefault="00727B24" w:rsidP="00A56E17">
            <w:pPr>
              <w:jc w:val="center"/>
              <w:cnfStyle w:val="100000000000"/>
              <w:rPr>
                <w:szCs w:val="20"/>
              </w:rPr>
            </w:pPr>
            <w:r w:rsidRPr="00C66550">
              <w:rPr>
                <w:szCs w:val="20"/>
              </w:rPr>
              <w:t>2008</w:t>
            </w:r>
          </w:p>
        </w:tc>
        <w:tc>
          <w:tcPr>
            <w:tcW w:w="581" w:type="pct"/>
            <w:gridSpan w:val="3"/>
          </w:tcPr>
          <w:p w:rsidR="00727B24" w:rsidRPr="00C66550" w:rsidRDefault="00727B24" w:rsidP="00A56E17">
            <w:pPr>
              <w:jc w:val="center"/>
              <w:cnfStyle w:val="100000000000"/>
              <w:rPr>
                <w:szCs w:val="20"/>
              </w:rPr>
            </w:pPr>
            <w:r w:rsidRPr="00C66550">
              <w:rPr>
                <w:szCs w:val="20"/>
              </w:rPr>
              <w:t>2009</w:t>
            </w:r>
          </w:p>
        </w:tc>
        <w:tc>
          <w:tcPr>
            <w:tcW w:w="576" w:type="pct"/>
            <w:gridSpan w:val="3"/>
          </w:tcPr>
          <w:p w:rsidR="00727B24" w:rsidRPr="00C66550" w:rsidRDefault="00727B24" w:rsidP="00A56E17">
            <w:pPr>
              <w:jc w:val="center"/>
              <w:cnfStyle w:val="100000000000"/>
              <w:rPr>
                <w:szCs w:val="20"/>
              </w:rPr>
            </w:pPr>
            <w:r w:rsidRPr="00C66550">
              <w:rPr>
                <w:szCs w:val="20"/>
              </w:rPr>
              <w:t>2010</w:t>
            </w:r>
          </w:p>
        </w:tc>
        <w:tc>
          <w:tcPr>
            <w:tcW w:w="576" w:type="pct"/>
            <w:gridSpan w:val="3"/>
          </w:tcPr>
          <w:p w:rsidR="00727B24" w:rsidRPr="00C66550" w:rsidRDefault="00727B24" w:rsidP="00A56E17">
            <w:pPr>
              <w:jc w:val="center"/>
              <w:cnfStyle w:val="100000000000"/>
              <w:rPr>
                <w:szCs w:val="20"/>
              </w:rPr>
            </w:pPr>
            <w:r w:rsidRPr="00C66550">
              <w:rPr>
                <w:szCs w:val="20"/>
              </w:rPr>
              <w:t>2011</w:t>
            </w:r>
          </w:p>
        </w:tc>
        <w:tc>
          <w:tcPr>
            <w:tcW w:w="539" w:type="pct"/>
          </w:tcPr>
          <w:p w:rsidR="00727B24" w:rsidRPr="00C66550" w:rsidRDefault="00727B24" w:rsidP="00A56E17">
            <w:pPr>
              <w:jc w:val="center"/>
              <w:cnfStyle w:val="100000000000"/>
              <w:rPr>
                <w:szCs w:val="20"/>
              </w:rPr>
            </w:pPr>
            <w:r w:rsidRPr="00C66550">
              <w:rPr>
                <w:szCs w:val="20"/>
              </w:rPr>
              <w:t>2012</w:t>
            </w:r>
          </w:p>
        </w:tc>
        <w:tc>
          <w:tcPr>
            <w:tcW w:w="175" w:type="pct"/>
          </w:tcPr>
          <w:p w:rsidR="00727B24" w:rsidRPr="00C66550" w:rsidRDefault="00727B24" w:rsidP="00A56E17">
            <w:pPr>
              <w:jc w:val="center"/>
              <w:cnfStyle w:val="100000000000"/>
              <w:rPr>
                <w:szCs w:val="20"/>
              </w:rPr>
            </w:pPr>
            <w:r w:rsidRPr="00C66550">
              <w:rPr>
                <w:szCs w:val="20"/>
              </w:rPr>
              <w:t>2013</w:t>
            </w:r>
          </w:p>
        </w:tc>
        <w:tc>
          <w:tcPr>
            <w:tcW w:w="504" w:type="pct"/>
            <w:gridSpan w:val="3"/>
          </w:tcPr>
          <w:p w:rsidR="00727B24" w:rsidRPr="00C66550" w:rsidRDefault="00727B24" w:rsidP="00A56E17">
            <w:pPr>
              <w:jc w:val="center"/>
              <w:cnfStyle w:val="100000000000"/>
              <w:rPr>
                <w:szCs w:val="20"/>
              </w:rPr>
            </w:pPr>
            <w:r w:rsidRPr="00C66550">
              <w:rPr>
                <w:szCs w:val="20"/>
              </w:rPr>
              <w:t>2014</w:t>
            </w:r>
          </w:p>
        </w:tc>
      </w:tr>
      <w:tr w:rsidR="00727B24" w:rsidRPr="00C66550" w:rsidTr="00C710CD">
        <w:tc>
          <w:tcPr>
            <w:cnfStyle w:val="001000000000"/>
            <w:tcW w:w="780" w:type="pct"/>
          </w:tcPr>
          <w:p w:rsidR="00727B24" w:rsidRPr="00C66550" w:rsidRDefault="00727B24" w:rsidP="00727B24">
            <w:pPr>
              <w:rPr>
                <w:szCs w:val="20"/>
              </w:rPr>
            </w:pPr>
            <w:r w:rsidRPr="00C66550">
              <w:rPr>
                <w:szCs w:val="20"/>
              </w:rPr>
              <w:t>Waste strategy/policy in place</w:t>
            </w:r>
          </w:p>
        </w:tc>
        <w:tc>
          <w:tcPr>
            <w:tcW w:w="4220" w:type="pct"/>
            <w:gridSpan w:val="21"/>
          </w:tcPr>
          <w:p w:rsidR="00727B24" w:rsidRPr="00C66550" w:rsidRDefault="00727B24" w:rsidP="006F4C57">
            <w:pPr>
              <w:jc w:val="center"/>
              <w:cnfStyle w:val="000000000000"/>
              <w:rPr>
                <w:szCs w:val="20"/>
              </w:rPr>
            </w:pPr>
            <w:r w:rsidRPr="00C66550">
              <w:rPr>
                <w:i/>
                <w:szCs w:val="20"/>
              </w:rPr>
              <w:t>Waste Avoidance and Resource Recovery Strategy 2007</w:t>
            </w:r>
            <w:r w:rsidR="006F4C57" w:rsidRPr="00C66550">
              <w:rPr>
                <w:i/>
                <w:szCs w:val="20"/>
              </w:rPr>
              <w:t xml:space="preserve"> </w:t>
            </w:r>
            <w:r w:rsidR="006F4C57" w:rsidRPr="00C66550">
              <w:rPr>
                <w:szCs w:val="20"/>
              </w:rPr>
              <w:t>(2007)</w:t>
            </w:r>
          </w:p>
        </w:tc>
      </w:tr>
      <w:tr w:rsidR="00727B24" w:rsidRPr="00C66550" w:rsidTr="00C710CD">
        <w:tc>
          <w:tcPr>
            <w:cnfStyle w:val="001000000000"/>
            <w:tcW w:w="780" w:type="pct"/>
          </w:tcPr>
          <w:p w:rsidR="00727B24" w:rsidRPr="00C66550" w:rsidRDefault="00727B24" w:rsidP="00645B1F">
            <w:pPr>
              <w:rPr>
                <w:szCs w:val="20"/>
              </w:rPr>
            </w:pPr>
            <w:r w:rsidRPr="00C66550">
              <w:rPr>
                <w:szCs w:val="20"/>
              </w:rPr>
              <w:t>Policy goals summary</w:t>
            </w:r>
          </w:p>
        </w:tc>
        <w:tc>
          <w:tcPr>
            <w:tcW w:w="4220" w:type="pct"/>
            <w:gridSpan w:val="21"/>
          </w:tcPr>
          <w:p w:rsidR="003B6549" w:rsidRPr="00C66550" w:rsidRDefault="00207FD3" w:rsidP="003B6549">
            <w:pPr>
              <w:outlineLvl w:val="0"/>
              <w:cnfStyle w:val="000000000000"/>
              <w:rPr>
                <w:szCs w:val="20"/>
              </w:rPr>
            </w:pPr>
            <w:r w:rsidRPr="00C66550">
              <w:rPr>
                <w:szCs w:val="20"/>
              </w:rPr>
              <w:t>Waste Strategy 2003 identified waste avoidance and resource recovery goals and targets in four key</w:t>
            </w:r>
            <w:r w:rsidR="003B6549" w:rsidRPr="00C66550">
              <w:rPr>
                <w:szCs w:val="20"/>
              </w:rPr>
              <w:t xml:space="preserve"> </w:t>
            </w:r>
            <w:r w:rsidRPr="00C66550">
              <w:rPr>
                <w:szCs w:val="20"/>
              </w:rPr>
              <w:t>result areas. These are retained in the 2007 Strategy and are:</w:t>
            </w:r>
          </w:p>
          <w:p w:rsidR="003B6549" w:rsidRPr="00C66550" w:rsidRDefault="003B6549" w:rsidP="003B6549">
            <w:pPr>
              <w:outlineLvl w:val="0"/>
              <w:cnfStyle w:val="000000000000"/>
              <w:rPr>
                <w:szCs w:val="20"/>
              </w:rPr>
            </w:pPr>
            <w:r w:rsidRPr="00C66550">
              <w:rPr>
                <w:szCs w:val="20"/>
              </w:rPr>
              <w:t xml:space="preserve">1. </w:t>
            </w:r>
            <w:r w:rsidR="00207FD3" w:rsidRPr="00C66550">
              <w:rPr>
                <w:szCs w:val="20"/>
              </w:rPr>
              <w:t>preventing and avoiding waste, to hold level the total waste generated for five years from the release of Waste Strategy 2003</w:t>
            </w:r>
          </w:p>
          <w:p w:rsidR="00FF0C93" w:rsidRPr="00C66550" w:rsidRDefault="00207FD3" w:rsidP="003B6549">
            <w:pPr>
              <w:outlineLvl w:val="0"/>
              <w:cnfStyle w:val="000000000000"/>
              <w:rPr>
                <w:szCs w:val="20"/>
              </w:rPr>
            </w:pPr>
            <w:r w:rsidRPr="00C66550">
              <w:rPr>
                <w:szCs w:val="20"/>
              </w:rPr>
              <w:t xml:space="preserve">2. increasing recovery and use of secondary materials </w:t>
            </w:r>
          </w:p>
          <w:p w:rsidR="00FF0C93" w:rsidRPr="00C66550" w:rsidRDefault="00207FD3" w:rsidP="003B6549">
            <w:pPr>
              <w:cnfStyle w:val="000000000000"/>
              <w:rPr>
                <w:szCs w:val="20"/>
              </w:rPr>
            </w:pPr>
            <w:r w:rsidRPr="00C66550">
              <w:rPr>
                <w:szCs w:val="20"/>
              </w:rPr>
              <w:t>3. reducing toxicity in products and materials and</w:t>
            </w:r>
          </w:p>
          <w:p w:rsidR="0099792E" w:rsidRPr="00C66550" w:rsidRDefault="00207FD3" w:rsidP="003B6549">
            <w:pPr>
              <w:cnfStyle w:val="000000000000"/>
              <w:rPr>
                <w:szCs w:val="20"/>
              </w:rPr>
            </w:pPr>
            <w:r w:rsidRPr="00C66550">
              <w:rPr>
                <w:szCs w:val="20"/>
              </w:rPr>
              <w:t>4. reducing litter and illegal dumping.</w:t>
            </w:r>
          </w:p>
        </w:tc>
      </w:tr>
      <w:tr w:rsidR="0099792E" w:rsidRPr="00C66550" w:rsidTr="00C710CD">
        <w:tc>
          <w:tcPr>
            <w:cnfStyle w:val="001000000000"/>
            <w:tcW w:w="780" w:type="pct"/>
          </w:tcPr>
          <w:p w:rsidR="00B86A40" w:rsidRPr="00C66550" w:rsidRDefault="00B86A40" w:rsidP="00A047F8">
            <w:pPr>
              <w:rPr>
                <w:rFonts w:asciiTheme="minorHAnsi" w:hAnsiTheme="minorHAnsi"/>
                <w:color w:val="000000"/>
                <w:szCs w:val="20"/>
              </w:rPr>
            </w:pPr>
            <w:r w:rsidRPr="00C66550">
              <w:rPr>
                <w:rFonts w:asciiTheme="minorHAnsi" w:hAnsiTheme="minorHAnsi"/>
                <w:color w:val="000000"/>
                <w:szCs w:val="20"/>
              </w:rPr>
              <w:t>State targets for waste generation</w:t>
            </w:r>
          </w:p>
        </w:tc>
        <w:tc>
          <w:tcPr>
            <w:tcW w:w="121" w:type="pct"/>
            <w:tcBorders>
              <w:top w:val="single" w:sz="4" w:space="0" w:color="A6A6A6" w:themeColor="background1" w:themeShade="A6"/>
              <w:bottom w:val="single" w:sz="4" w:space="0" w:color="A6A6A6" w:themeColor="background1" w:themeShade="A6"/>
            </w:tcBorders>
          </w:tcPr>
          <w:p w:rsidR="00B86A40" w:rsidRPr="00C66550" w:rsidRDefault="00B86A40" w:rsidP="00A047F8">
            <w:pPr>
              <w:cnfStyle w:val="000000000000"/>
              <w:rPr>
                <w:color w:val="000000"/>
                <w:szCs w:val="20"/>
              </w:rPr>
            </w:pPr>
          </w:p>
        </w:tc>
        <w:tc>
          <w:tcPr>
            <w:tcW w:w="1147" w:type="pct"/>
            <w:gridSpan w:val="6"/>
            <w:tcBorders>
              <w:top w:val="single" w:sz="4" w:space="0" w:color="A6A6A6" w:themeColor="background1" w:themeShade="A6"/>
              <w:bottom w:val="single" w:sz="4" w:space="0" w:color="A6A6A6" w:themeColor="background1" w:themeShade="A6"/>
            </w:tcBorders>
          </w:tcPr>
          <w:p w:rsidR="00FF0C93" w:rsidRPr="00C66550" w:rsidRDefault="00207FD3" w:rsidP="003B6549">
            <w:pPr>
              <w:cnfStyle w:val="000000000000"/>
              <w:rPr>
                <w:color w:val="000000"/>
                <w:szCs w:val="20"/>
              </w:rPr>
            </w:pPr>
            <w:r w:rsidRPr="00C66550">
              <w:rPr>
                <w:color w:val="000000"/>
                <w:szCs w:val="20"/>
              </w:rPr>
              <w:t>T</w:t>
            </w:r>
            <w:r w:rsidR="00B86A40" w:rsidRPr="00C66550">
              <w:rPr>
                <w:color w:val="000000"/>
                <w:szCs w:val="20"/>
              </w:rPr>
              <w:t xml:space="preserve">otal tonnage of waste generation </w:t>
            </w:r>
            <w:r w:rsidR="00B46E72" w:rsidRPr="00C66550">
              <w:rPr>
                <w:color w:val="000000"/>
                <w:szCs w:val="20"/>
              </w:rPr>
              <w:t>r</w:t>
            </w:r>
            <w:r w:rsidR="00B86A40" w:rsidRPr="00C66550">
              <w:rPr>
                <w:color w:val="000000"/>
                <w:szCs w:val="20"/>
              </w:rPr>
              <w:t xml:space="preserve">emains at 2003 </w:t>
            </w:r>
            <w:r w:rsidR="004168AE" w:rsidRPr="00C66550">
              <w:rPr>
                <w:color w:val="000000"/>
                <w:szCs w:val="20"/>
              </w:rPr>
              <w:t xml:space="preserve">levels </w:t>
            </w:r>
          </w:p>
        </w:tc>
        <w:tc>
          <w:tcPr>
            <w:tcW w:w="196" w:type="pct"/>
            <w:tcBorders>
              <w:top w:val="single" w:sz="4" w:space="0" w:color="A6A6A6" w:themeColor="background1" w:themeShade="A6"/>
              <w:bottom w:val="single" w:sz="4" w:space="0" w:color="A6A6A6" w:themeColor="background1" w:themeShade="A6"/>
            </w:tcBorders>
            <w:vAlign w:val="center"/>
          </w:tcPr>
          <w:p w:rsidR="00B86A40" w:rsidRPr="00C66550" w:rsidRDefault="00B86A40" w:rsidP="00A047F8">
            <w:pPr>
              <w:jc w:val="center"/>
              <w:cnfStyle w:val="000000000000"/>
              <w:rPr>
                <w:color w:val="000000"/>
                <w:szCs w:val="20"/>
              </w:rPr>
            </w:pPr>
          </w:p>
        </w:tc>
        <w:tc>
          <w:tcPr>
            <w:tcW w:w="192" w:type="pct"/>
            <w:tcBorders>
              <w:top w:val="single" w:sz="4" w:space="0" w:color="A6A6A6" w:themeColor="background1" w:themeShade="A6"/>
              <w:bottom w:val="single" w:sz="4" w:space="0" w:color="A6A6A6" w:themeColor="background1" w:themeShade="A6"/>
            </w:tcBorders>
            <w:vAlign w:val="center"/>
          </w:tcPr>
          <w:p w:rsidR="00B86A40" w:rsidRPr="00C66550" w:rsidRDefault="00B86A40" w:rsidP="00A047F8">
            <w:pPr>
              <w:jc w:val="center"/>
              <w:cnfStyle w:val="000000000000"/>
              <w:rPr>
                <w:color w:val="000000"/>
                <w:szCs w:val="20"/>
              </w:rPr>
            </w:pPr>
          </w:p>
        </w:tc>
        <w:tc>
          <w:tcPr>
            <w:tcW w:w="192" w:type="pct"/>
            <w:tcBorders>
              <w:top w:val="single" w:sz="4" w:space="0" w:color="A6A6A6" w:themeColor="background1" w:themeShade="A6"/>
              <w:bottom w:val="single" w:sz="4" w:space="0" w:color="A6A6A6" w:themeColor="background1" w:themeShade="A6"/>
            </w:tcBorders>
            <w:vAlign w:val="center"/>
          </w:tcPr>
          <w:p w:rsidR="00B86A40" w:rsidRPr="00C66550" w:rsidRDefault="00B86A40" w:rsidP="00A047F8">
            <w:pPr>
              <w:jc w:val="center"/>
              <w:cnfStyle w:val="000000000000"/>
              <w:rPr>
                <w:color w:val="000000"/>
                <w:szCs w:val="20"/>
              </w:rPr>
            </w:pPr>
          </w:p>
        </w:tc>
        <w:tc>
          <w:tcPr>
            <w:tcW w:w="192" w:type="pct"/>
            <w:tcBorders>
              <w:top w:val="single" w:sz="4" w:space="0" w:color="A6A6A6" w:themeColor="background1" w:themeShade="A6"/>
              <w:bottom w:val="single" w:sz="4" w:space="0" w:color="A6A6A6" w:themeColor="background1" w:themeShade="A6"/>
            </w:tcBorders>
            <w:vAlign w:val="center"/>
          </w:tcPr>
          <w:p w:rsidR="00B86A40" w:rsidRPr="00C66550" w:rsidRDefault="00B86A40" w:rsidP="00A047F8">
            <w:pPr>
              <w:jc w:val="center"/>
              <w:cnfStyle w:val="000000000000"/>
              <w:rPr>
                <w:color w:val="000000"/>
                <w:szCs w:val="20"/>
              </w:rPr>
            </w:pPr>
          </w:p>
        </w:tc>
        <w:tc>
          <w:tcPr>
            <w:tcW w:w="192" w:type="pct"/>
            <w:tcBorders>
              <w:top w:val="single" w:sz="4" w:space="0" w:color="A6A6A6" w:themeColor="background1" w:themeShade="A6"/>
              <w:bottom w:val="single" w:sz="4" w:space="0" w:color="A6A6A6" w:themeColor="background1" w:themeShade="A6"/>
            </w:tcBorders>
            <w:vAlign w:val="center"/>
          </w:tcPr>
          <w:p w:rsidR="00B86A40" w:rsidRPr="00C66550" w:rsidRDefault="00B86A40" w:rsidP="00A047F8">
            <w:pPr>
              <w:jc w:val="center"/>
              <w:cnfStyle w:val="000000000000"/>
              <w:rPr>
                <w:color w:val="000000"/>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539"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75" w:type="pct"/>
          </w:tcPr>
          <w:p w:rsidR="00B86A40" w:rsidRPr="00C66550" w:rsidRDefault="00B86A40" w:rsidP="00645B1F">
            <w:pPr>
              <w:cnfStyle w:val="000000000000"/>
              <w:rPr>
                <w:szCs w:val="20"/>
              </w:rPr>
            </w:pPr>
          </w:p>
        </w:tc>
        <w:tc>
          <w:tcPr>
            <w:tcW w:w="187" w:type="pct"/>
          </w:tcPr>
          <w:p w:rsidR="00B86A40" w:rsidRPr="00C66550" w:rsidRDefault="00B86A40" w:rsidP="00645B1F">
            <w:pPr>
              <w:cnfStyle w:val="000000000000"/>
              <w:rPr>
                <w:szCs w:val="20"/>
              </w:rPr>
            </w:pPr>
          </w:p>
        </w:tc>
        <w:tc>
          <w:tcPr>
            <w:tcW w:w="155" w:type="pct"/>
          </w:tcPr>
          <w:p w:rsidR="00B86A40" w:rsidRPr="00C66550" w:rsidRDefault="00B86A40" w:rsidP="00645B1F">
            <w:pPr>
              <w:cnfStyle w:val="000000000000"/>
              <w:rPr>
                <w:szCs w:val="20"/>
              </w:rPr>
            </w:pPr>
          </w:p>
        </w:tc>
        <w:tc>
          <w:tcPr>
            <w:tcW w:w="162" w:type="pct"/>
          </w:tcPr>
          <w:p w:rsidR="00B86A40" w:rsidRPr="00C66550" w:rsidRDefault="00B86A40" w:rsidP="00645B1F">
            <w:pPr>
              <w:cnfStyle w:val="000000000000"/>
              <w:rPr>
                <w:szCs w:val="20"/>
              </w:rPr>
            </w:pPr>
          </w:p>
        </w:tc>
      </w:tr>
      <w:tr w:rsidR="0099792E" w:rsidRPr="00C66550" w:rsidTr="00C710CD">
        <w:tc>
          <w:tcPr>
            <w:cnfStyle w:val="001000000000"/>
            <w:tcW w:w="780" w:type="pct"/>
          </w:tcPr>
          <w:p w:rsidR="00B86A40" w:rsidRPr="00C66550" w:rsidRDefault="00B86A40" w:rsidP="00727B24">
            <w:pPr>
              <w:rPr>
                <w:szCs w:val="20"/>
              </w:rPr>
            </w:pPr>
            <w:r w:rsidRPr="00C66550">
              <w:rPr>
                <w:szCs w:val="20"/>
              </w:rPr>
              <w:t>State targets for recovery where set (%)</w:t>
            </w:r>
          </w:p>
        </w:tc>
        <w:tc>
          <w:tcPr>
            <w:tcW w:w="121"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207" w:type="pct"/>
            <w:tcBorders>
              <w:top w:val="single" w:sz="4" w:space="0" w:color="A6A6A6" w:themeColor="background1" w:themeShade="A6"/>
              <w:bottom w:val="single" w:sz="4" w:space="0" w:color="A6A6A6" w:themeColor="background1" w:themeShade="A6"/>
            </w:tcBorders>
          </w:tcPr>
          <w:p w:rsidR="00B86A40" w:rsidRPr="00C66550" w:rsidRDefault="0099792E" w:rsidP="00645B1F">
            <w:pPr>
              <w:cnfStyle w:val="000000000000"/>
              <w:rPr>
                <w:szCs w:val="20"/>
              </w:rPr>
            </w:pPr>
            <w:r w:rsidRPr="00C66550">
              <w:rPr>
                <w:szCs w:val="20"/>
              </w:rPr>
              <w:t xml:space="preserve">MSW </w:t>
            </w:r>
            <w:r w:rsidR="00B86A40" w:rsidRPr="00C66550">
              <w:rPr>
                <w:szCs w:val="20"/>
              </w:rPr>
              <w:t>38%</w:t>
            </w:r>
          </w:p>
        </w:tc>
        <w:tc>
          <w:tcPr>
            <w:tcW w:w="155" w:type="pct"/>
            <w:tcBorders>
              <w:top w:val="single" w:sz="4" w:space="0" w:color="A6A6A6" w:themeColor="background1" w:themeShade="A6"/>
              <w:bottom w:val="single" w:sz="4" w:space="0" w:color="A6A6A6" w:themeColor="background1" w:themeShade="A6"/>
            </w:tcBorders>
          </w:tcPr>
          <w:p w:rsidR="00B86A40" w:rsidRPr="00C66550" w:rsidRDefault="0099792E" w:rsidP="0099792E">
            <w:pPr>
              <w:cnfStyle w:val="000000000000"/>
              <w:rPr>
                <w:szCs w:val="20"/>
              </w:rPr>
            </w:pPr>
            <w:r w:rsidRPr="00C66550">
              <w:rPr>
                <w:szCs w:val="20"/>
              </w:rPr>
              <w:t xml:space="preserve">C&amp;I </w:t>
            </w:r>
            <w:r w:rsidR="00B86A40" w:rsidRPr="00C66550">
              <w:rPr>
                <w:szCs w:val="20"/>
              </w:rPr>
              <w:t>44%</w:t>
            </w:r>
          </w:p>
        </w:tc>
        <w:tc>
          <w:tcPr>
            <w:tcW w:w="162" w:type="pct"/>
            <w:tcBorders>
              <w:top w:val="single" w:sz="4" w:space="0" w:color="A6A6A6" w:themeColor="background1" w:themeShade="A6"/>
              <w:bottom w:val="single" w:sz="4" w:space="0" w:color="A6A6A6" w:themeColor="background1" w:themeShade="A6"/>
            </w:tcBorders>
          </w:tcPr>
          <w:p w:rsidR="00B86A40" w:rsidRPr="00C66550" w:rsidRDefault="0099792E" w:rsidP="00645B1F">
            <w:pPr>
              <w:cnfStyle w:val="000000000000"/>
              <w:rPr>
                <w:szCs w:val="20"/>
              </w:rPr>
            </w:pPr>
            <w:r w:rsidRPr="00C66550">
              <w:rPr>
                <w:szCs w:val="20"/>
              </w:rPr>
              <w:t xml:space="preserve">C&amp;D </w:t>
            </w:r>
            <w:r w:rsidR="00B86A40" w:rsidRPr="00C66550">
              <w:rPr>
                <w:szCs w:val="20"/>
              </w:rPr>
              <w:t>67%</w:t>
            </w: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221"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210"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6" w:type="pct"/>
            <w:tcBorders>
              <w:top w:val="single" w:sz="4" w:space="0" w:color="A6A6A6" w:themeColor="background1" w:themeShade="A6"/>
              <w:bottom w:val="single" w:sz="4" w:space="0" w:color="A6A6A6" w:themeColor="background1" w:themeShade="A6"/>
            </w:tcBorders>
          </w:tcPr>
          <w:p w:rsidR="00B86A40" w:rsidRPr="00C66550" w:rsidRDefault="0099792E" w:rsidP="00645B1F">
            <w:pPr>
              <w:cnfStyle w:val="000000000000"/>
              <w:rPr>
                <w:szCs w:val="20"/>
              </w:rPr>
            </w:pPr>
            <w:r w:rsidRPr="00C66550">
              <w:rPr>
                <w:szCs w:val="20"/>
              </w:rPr>
              <w:t xml:space="preserve">MSW </w:t>
            </w:r>
            <w:r w:rsidR="00B86A40" w:rsidRPr="00C66550">
              <w:rPr>
                <w:szCs w:val="20"/>
              </w:rPr>
              <w:t>44%</w:t>
            </w:r>
          </w:p>
        </w:tc>
        <w:tc>
          <w:tcPr>
            <w:tcW w:w="192" w:type="pct"/>
            <w:tcBorders>
              <w:top w:val="single" w:sz="4" w:space="0" w:color="A6A6A6" w:themeColor="background1" w:themeShade="A6"/>
              <w:bottom w:val="single" w:sz="4" w:space="0" w:color="A6A6A6" w:themeColor="background1" w:themeShade="A6"/>
            </w:tcBorders>
          </w:tcPr>
          <w:p w:rsidR="00B86A40" w:rsidRPr="00C66550" w:rsidRDefault="0099792E" w:rsidP="00645B1F">
            <w:pPr>
              <w:cnfStyle w:val="000000000000"/>
              <w:rPr>
                <w:szCs w:val="20"/>
              </w:rPr>
            </w:pPr>
            <w:r w:rsidRPr="00C66550">
              <w:rPr>
                <w:szCs w:val="20"/>
              </w:rPr>
              <w:t xml:space="preserve">C&amp;I </w:t>
            </w:r>
            <w:r w:rsidR="00B86A40" w:rsidRPr="00C66550">
              <w:rPr>
                <w:szCs w:val="20"/>
              </w:rPr>
              <w:t>52%</w:t>
            </w:r>
          </w:p>
        </w:tc>
        <w:tc>
          <w:tcPr>
            <w:tcW w:w="192" w:type="pct"/>
            <w:tcBorders>
              <w:top w:val="single" w:sz="4" w:space="0" w:color="A6A6A6" w:themeColor="background1" w:themeShade="A6"/>
              <w:bottom w:val="single" w:sz="4" w:space="0" w:color="A6A6A6" w:themeColor="background1" w:themeShade="A6"/>
            </w:tcBorders>
          </w:tcPr>
          <w:p w:rsidR="00B86A40" w:rsidRPr="00C66550" w:rsidRDefault="0099792E" w:rsidP="00645B1F">
            <w:pPr>
              <w:cnfStyle w:val="000000000000"/>
              <w:rPr>
                <w:szCs w:val="20"/>
              </w:rPr>
            </w:pPr>
            <w:r w:rsidRPr="00C66550">
              <w:rPr>
                <w:szCs w:val="20"/>
              </w:rPr>
              <w:t xml:space="preserve">C&amp;D </w:t>
            </w:r>
            <w:r w:rsidR="00B86A40" w:rsidRPr="00C66550">
              <w:rPr>
                <w:szCs w:val="20"/>
              </w:rPr>
              <w:t>73%</w:t>
            </w: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92"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539" w:type="pct"/>
            <w:tcBorders>
              <w:top w:val="single" w:sz="4" w:space="0" w:color="A6A6A6" w:themeColor="background1" w:themeShade="A6"/>
              <w:bottom w:val="single" w:sz="4" w:space="0" w:color="A6A6A6" w:themeColor="background1" w:themeShade="A6"/>
            </w:tcBorders>
          </w:tcPr>
          <w:p w:rsidR="00B86A40" w:rsidRPr="00C66550" w:rsidRDefault="00B86A40" w:rsidP="00645B1F">
            <w:pPr>
              <w:cnfStyle w:val="000000000000"/>
              <w:rPr>
                <w:szCs w:val="20"/>
              </w:rPr>
            </w:pPr>
          </w:p>
        </w:tc>
        <w:tc>
          <w:tcPr>
            <w:tcW w:w="175" w:type="pct"/>
          </w:tcPr>
          <w:p w:rsidR="00B86A40" w:rsidRPr="00C66550" w:rsidRDefault="00B86A40" w:rsidP="00645B1F">
            <w:pPr>
              <w:cnfStyle w:val="000000000000"/>
              <w:rPr>
                <w:szCs w:val="20"/>
              </w:rPr>
            </w:pPr>
          </w:p>
        </w:tc>
        <w:tc>
          <w:tcPr>
            <w:tcW w:w="187" w:type="pct"/>
          </w:tcPr>
          <w:p w:rsidR="00B86A40" w:rsidRPr="00C66550" w:rsidRDefault="0099792E" w:rsidP="00645B1F">
            <w:pPr>
              <w:cnfStyle w:val="000000000000"/>
              <w:rPr>
                <w:szCs w:val="20"/>
              </w:rPr>
            </w:pPr>
            <w:r w:rsidRPr="00C66550">
              <w:rPr>
                <w:szCs w:val="20"/>
              </w:rPr>
              <w:t xml:space="preserve">MSW </w:t>
            </w:r>
            <w:r w:rsidR="00B86A40" w:rsidRPr="00C66550">
              <w:rPr>
                <w:szCs w:val="20"/>
              </w:rPr>
              <w:t>66%</w:t>
            </w:r>
          </w:p>
        </w:tc>
        <w:tc>
          <w:tcPr>
            <w:tcW w:w="155" w:type="pct"/>
          </w:tcPr>
          <w:p w:rsidR="00B86A40" w:rsidRPr="00C66550" w:rsidRDefault="0099792E" w:rsidP="00645B1F">
            <w:pPr>
              <w:cnfStyle w:val="000000000000"/>
              <w:rPr>
                <w:szCs w:val="20"/>
              </w:rPr>
            </w:pPr>
            <w:r w:rsidRPr="00C66550">
              <w:rPr>
                <w:szCs w:val="20"/>
              </w:rPr>
              <w:t xml:space="preserve">C&amp;I </w:t>
            </w:r>
            <w:r w:rsidR="00B86A40" w:rsidRPr="00C66550">
              <w:rPr>
                <w:szCs w:val="20"/>
              </w:rPr>
              <w:t>63%</w:t>
            </w:r>
          </w:p>
        </w:tc>
        <w:tc>
          <w:tcPr>
            <w:tcW w:w="162" w:type="pct"/>
          </w:tcPr>
          <w:p w:rsidR="00B86A40" w:rsidRPr="00C66550" w:rsidRDefault="0099792E" w:rsidP="00645B1F">
            <w:pPr>
              <w:cnfStyle w:val="000000000000"/>
              <w:rPr>
                <w:szCs w:val="20"/>
              </w:rPr>
            </w:pPr>
            <w:r w:rsidRPr="00C66550">
              <w:rPr>
                <w:szCs w:val="20"/>
              </w:rPr>
              <w:t xml:space="preserve">C&amp;D </w:t>
            </w:r>
            <w:r w:rsidR="00B86A40" w:rsidRPr="00C66550">
              <w:rPr>
                <w:szCs w:val="20"/>
              </w:rPr>
              <w:t>76%</w:t>
            </w:r>
          </w:p>
        </w:tc>
      </w:tr>
      <w:tr w:rsidR="0099792E" w:rsidRPr="00C66550" w:rsidTr="00C710CD">
        <w:tc>
          <w:tcPr>
            <w:cnfStyle w:val="001000000000"/>
            <w:tcW w:w="780" w:type="pct"/>
            <w:vMerge w:val="restart"/>
          </w:tcPr>
          <w:p w:rsidR="00B86A40" w:rsidRPr="00C66550" w:rsidRDefault="00B86A40">
            <w:pPr>
              <w:rPr>
                <w:color w:val="000000"/>
                <w:szCs w:val="20"/>
              </w:rPr>
            </w:pPr>
            <w:r w:rsidRPr="00C66550">
              <w:rPr>
                <w:color w:val="000000"/>
                <w:szCs w:val="20"/>
              </w:rPr>
              <w:t> </w:t>
            </w:r>
            <w:r w:rsidRPr="00C66550">
              <w:rPr>
                <w:szCs w:val="20"/>
              </w:rPr>
              <w:t>Landfill levies where applied ($/tonne)</w:t>
            </w:r>
          </w:p>
          <w:p w:rsidR="00B86A40" w:rsidRPr="00C66550" w:rsidRDefault="00B86A40" w:rsidP="00645B1F">
            <w:pPr>
              <w:rPr>
                <w:color w:val="000000"/>
                <w:szCs w:val="20"/>
              </w:rPr>
            </w:pPr>
            <w:r w:rsidRPr="00C66550">
              <w:rPr>
                <w:color w:val="000000"/>
                <w:szCs w:val="20"/>
              </w:rPr>
              <w:t> </w:t>
            </w:r>
          </w:p>
        </w:tc>
        <w:tc>
          <w:tcPr>
            <w:tcW w:w="121" w:type="pct"/>
            <w:tcBorders>
              <w:top w:val="nil"/>
              <w:bottom w:val="nil"/>
            </w:tcBorders>
            <w:vAlign w:val="bottom"/>
          </w:tcPr>
          <w:p w:rsidR="00B86A40" w:rsidRPr="00C66550" w:rsidRDefault="00B86A40">
            <w:pPr>
              <w:cnfStyle w:val="000000000000"/>
              <w:rPr>
                <w:color w:val="000000"/>
                <w:szCs w:val="20"/>
              </w:rPr>
            </w:pPr>
            <w:r w:rsidRPr="00C66550">
              <w:rPr>
                <w:color w:val="000000"/>
                <w:szCs w:val="20"/>
              </w:rPr>
              <w:t> </w:t>
            </w:r>
          </w:p>
        </w:tc>
        <w:tc>
          <w:tcPr>
            <w:tcW w:w="207" w:type="pct"/>
            <w:tcBorders>
              <w:top w:val="nil"/>
              <w:bottom w:val="nil"/>
            </w:tcBorders>
            <w:vAlign w:val="bottom"/>
          </w:tcPr>
          <w:p w:rsidR="00B86A40" w:rsidRPr="00C66550" w:rsidRDefault="00B86A40">
            <w:pPr>
              <w:cnfStyle w:val="000000000000"/>
              <w:rPr>
                <w:color w:val="000000"/>
                <w:szCs w:val="20"/>
              </w:rPr>
            </w:pPr>
            <w:r w:rsidRPr="00C66550">
              <w:rPr>
                <w:color w:val="000000"/>
                <w:szCs w:val="20"/>
              </w:rPr>
              <w:t> </w:t>
            </w:r>
          </w:p>
        </w:tc>
        <w:tc>
          <w:tcPr>
            <w:tcW w:w="155" w:type="pct"/>
            <w:tcBorders>
              <w:top w:val="nil"/>
              <w:bottom w:val="nil"/>
              <w:right w:val="nil"/>
            </w:tcBorders>
            <w:vAlign w:val="bottom"/>
          </w:tcPr>
          <w:p w:rsidR="00B86A40" w:rsidRPr="00C66550" w:rsidRDefault="00B86A40">
            <w:pPr>
              <w:cnfStyle w:val="000000000000"/>
              <w:rPr>
                <w:color w:val="000000"/>
                <w:szCs w:val="20"/>
              </w:rPr>
            </w:pPr>
            <w:r w:rsidRPr="00C66550">
              <w:rPr>
                <w:color w:val="000000"/>
                <w:szCs w:val="20"/>
              </w:rPr>
              <w:t> </w:t>
            </w:r>
          </w:p>
        </w:tc>
        <w:tc>
          <w:tcPr>
            <w:tcW w:w="162" w:type="pct"/>
            <w:tcBorders>
              <w:top w:val="nil"/>
              <w:left w:val="nil"/>
              <w:bottom w:val="nil"/>
              <w:right w:val="nil"/>
            </w:tcBorders>
            <w:vAlign w:val="bottom"/>
          </w:tcPr>
          <w:p w:rsidR="00B86A40" w:rsidRPr="00C66550" w:rsidRDefault="00B86A40">
            <w:pPr>
              <w:cnfStyle w:val="000000000000"/>
              <w:rPr>
                <w:color w:val="000000"/>
                <w:szCs w:val="20"/>
              </w:rPr>
            </w:pPr>
            <w:r w:rsidRPr="00C66550">
              <w:rPr>
                <w:color w:val="000000"/>
                <w:szCs w:val="20"/>
              </w:rPr>
              <w:t> </w:t>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SMA (city)</w:t>
            </w:r>
          </w:p>
        </w:tc>
        <w:tc>
          <w:tcPr>
            <w:tcW w:w="221"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ERA (semi urban)</w:t>
            </w:r>
          </w:p>
        </w:tc>
        <w:tc>
          <w:tcPr>
            <w:tcW w:w="210"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RRA (rural)</w:t>
            </w:r>
          </w:p>
        </w:tc>
        <w:tc>
          <w:tcPr>
            <w:tcW w:w="196"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SMA</w:t>
            </w:r>
            <w:r w:rsidR="000118E2" w:rsidRPr="00C66550">
              <w:rPr>
                <w:rStyle w:val="FootnoteReference"/>
                <w:bCs/>
                <w:szCs w:val="20"/>
              </w:rPr>
              <w:footnoteReference w:id="17"/>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ERA</w:t>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RRA</w:t>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SMA</w:t>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ERA</w:t>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RRA</w:t>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SMA</w:t>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ERA</w:t>
            </w:r>
          </w:p>
        </w:tc>
        <w:tc>
          <w:tcPr>
            <w:tcW w:w="192" w:type="pct"/>
            <w:tcBorders>
              <w:top w:val="nil"/>
              <w:left w:val="nil"/>
              <w:bottom w:val="nil"/>
              <w:right w:val="nil"/>
            </w:tcBorders>
            <w:vAlign w:val="center"/>
          </w:tcPr>
          <w:p w:rsidR="00B86A40" w:rsidRPr="00C66550" w:rsidRDefault="00B86A40" w:rsidP="005F20D9">
            <w:pPr>
              <w:jc w:val="center"/>
              <w:cnfStyle w:val="000000000000"/>
              <w:rPr>
                <w:bCs/>
                <w:szCs w:val="20"/>
              </w:rPr>
            </w:pPr>
            <w:r w:rsidRPr="00C66550">
              <w:rPr>
                <w:bCs/>
                <w:szCs w:val="20"/>
              </w:rPr>
              <w:t>RRA</w:t>
            </w:r>
          </w:p>
        </w:tc>
        <w:tc>
          <w:tcPr>
            <w:tcW w:w="1219" w:type="pct"/>
            <w:gridSpan w:val="5"/>
            <w:vMerge w:val="restart"/>
            <w:tcBorders>
              <w:left w:val="nil"/>
            </w:tcBorders>
            <w:vAlign w:val="bottom"/>
          </w:tcPr>
          <w:p w:rsidR="00B86A40" w:rsidRPr="00C66550" w:rsidRDefault="00B86A40" w:rsidP="005F20D9">
            <w:pPr>
              <w:cnfStyle w:val="000000000000"/>
              <w:rPr>
                <w:szCs w:val="20"/>
              </w:rPr>
            </w:pPr>
            <w:r w:rsidRPr="00C66550">
              <w:rPr>
                <w:szCs w:val="20"/>
              </w:rPr>
              <w:t>2011/2012 SMA, $82.20, ERA, $78.60 per tonne and RRA $31.10 per tonne. The levy is scheduled to increase annually by $10/tonne plus CPI adjustments for the next five years.</w:t>
            </w:r>
          </w:p>
          <w:p w:rsidR="00B86A40" w:rsidRPr="00C66550" w:rsidRDefault="00B86A40" w:rsidP="005F20D9">
            <w:pPr>
              <w:cnfStyle w:val="000000000000"/>
              <w:rPr>
                <w:color w:val="000000"/>
                <w:szCs w:val="20"/>
              </w:rPr>
            </w:pPr>
            <w:r w:rsidRPr="00C66550">
              <w:rPr>
                <w:szCs w:val="20"/>
              </w:rPr>
              <w:t>2015/16 it will have reached $122.20 SMA per tonne and $71.10 ERA per tonne.</w:t>
            </w:r>
            <w:r w:rsidRPr="00C66550">
              <w:rPr>
                <w:color w:val="000000"/>
                <w:szCs w:val="20"/>
              </w:rPr>
              <w:t xml:space="preserve"> </w:t>
            </w:r>
          </w:p>
        </w:tc>
      </w:tr>
      <w:tr w:rsidR="0099792E" w:rsidRPr="00C66550" w:rsidTr="00C710CD">
        <w:tc>
          <w:tcPr>
            <w:cnfStyle w:val="001000000000"/>
            <w:tcW w:w="780" w:type="pct"/>
            <w:vMerge/>
          </w:tcPr>
          <w:p w:rsidR="00B86A40" w:rsidRPr="00C66550" w:rsidRDefault="00B86A40">
            <w:pPr>
              <w:rPr>
                <w:color w:val="000000"/>
                <w:szCs w:val="20"/>
              </w:rPr>
            </w:pPr>
          </w:p>
        </w:tc>
        <w:tc>
          <w:tcPr>
            <w:tcW w:w="121" w:type="pct"/>
            <w:tcBorders>
              <w:top w:val="nil"/>
            </w:tcBorders>
            <w:vAlign w:val="bottom"/>
          </w:tcPr>
          <w:p w:rsidR="00B86A40" w:rsidRPr="00C66550" w:rsidRDefault="00B86A40">
            <w:pPr>
              <w:cnfStyle w:val="000000000000"/>
              <w:rPr>
                <w:color w:val="000000"/>
                <w:szCs w:val="20"/>
              </w:rPr>
            </w:pPr>
            <w:r w:rsidRPr="00C66550">
              <w:rPr>
                <w:color w:val="000000"/>
                <w:szCs w:val="20"/>
              </w:rPr>
              <w:t> </w:t>
            </w:r>
          </w:p>
        </w:tc>
        <w:tc>
          <w:tcPr>
            <w:tcW w:w="207" w:type="pct"/>
            <w:tcBorders>
              <w:top w:val="nil"/>
            </w:tcBorders>
            <w:vAlign w:val="bottom"/>
          </w:tcPr>
          <w:p w:rsidR="00B86A40" w:rsidRPr="00C66550" w:rsidRDefault="00B86A40">
            <w:pPr>
              <w:cnfStyle w:val="000000000000"/>
              <w:rPr>
                <w:color w:val="000000"/>
                <w:szCs w:val="20"/>
              </w:rPr>
            </w:pPr>
            <w:r w:rsidRPr="00C66550">
              <w:rPr>
                <w:color w:val="000000"/>
                <w:szCs w:val="20"/>
              </w:rPr>
              <w:t> </w:t>
            </w:r>
          </w:p>
        </w:tc>
        <w:tc>
          <w:tcPr>
            <w:tcW w:w="155" w:type="pct"/>
            <w:tcBorders>
              <w:top w:val="nil"/>
              <w:bottom w:val="single" w:sz="4" w:space="0" w:color="A6A6A6" w:themeColor="background1" w:themeShade="A6"/>
              <w:right w:val="nil"/>
            </w:tcBorders>
            <w:vAlign w:val="bottom"/>
          </w:tcPr>
          <w:p w:rsidR="00B86A40" w:rsidRPr="00C66550" w:rsidRDefault="00B86A40">
            <w:pPr>
              <w:cnfStyle w:val="000000000000"/>
              <w:rPr>
                <w:color w:val="000000"/>
                <w:szCs w:val="20"/>
              </w:rPr>
            </w:pPr>
            <w:r w:rsidRPr="00C66550">
              <w:rPr>
                <w:color w:val="000000"/>
                <w:szCs w:val="20"/>
              </w:rPr>
              <w:t> </w:t>
            </w:r>
          </w:p>
        </w:tc>
        <w:tc>
          <w:tcPr>
            <w:tcW w:w="162" w:type="pct"/>
            <w:tcBorders>
              <w:top w:val="nil"/>
              <w:left w:val="nil"/>
              <w:bottom w:val="single" w:sz="4" w:space="0" w:color="A6A6A6" w:themeColor="background1" w:themeShade="A6"/>
              <w:right w:val="nil"/>
            </w:tcBorders>
            <w:vAlign w:val="bottom"/>
          </w:tcPr>
          <w:p w:rsidR="00B86A40" w:rsidRPr="00C66550" w:rsidRDefault="00B86A40">
            <w:pPr>
              <w:cnfStyle w:val="000000000000"/>
              <w:rPr>
                <w:color w:val="000000"/>
                <w:szCs w:val="20"/>
              </w:rPr>
            </w:pPr>
            <w:r w:rsidRPr="00C66550">
              <w:rPr>
                <w:color w:val="000000"/>
                <w:szCs w:val="20"/>
              </w:rPr>
              <w:t>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$46.7 </w:t>
            </w:r>
          </w:p>
        </w:tc>
        <w:tc>
          <w:tcPr>
            <w:tcW w:w="221"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$40.0 </w:t>
            </w:r>
          </w:p>
        </w:tc>
        <w:tc>
          <w:tcPr>
            <w:tcW w:w="210"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$0 </w:t>
            </w:r>
          </w:p>
        </w:tc>
        <w:tc>
          <w:tcPr>
            <w:tcW w:w="196"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$58.8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$52.4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$10.0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$70.3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$65.3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$20.4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$80.3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$76.8 </w:t>
            </w:r>
          </w:p>
        </w:tc>
        <w:tc>
          <w:tcPr>
            <w:tcW w:w="192" w:type="pct"/>
            <w:tcBorders>
              <w:top w:val="nil"/>
              <w:left w:val="nil"/>
              <w:bottom w:val="single" w:sz="4" w:space="0" w:color="A6A6A6" w:themeColor="background1" w:themeShade="A6"/>
              <w:right w:val="nil"/>
            </w:tcBorders>
            <w:vAlign w:val="bottom"/>
          </w:tcPr>
          <w:p w:rsidR="00B86A40" w:rsidRPr="00C66550" w:rsidRDefault="00B86A40" w:rsidP="00D162A7">
            <w:pPr>
              <w:jc w:val="right"/>
              <w:cnfStyle w:val="000000000000"/>
              <w:rPr>
                <w:szCs w:val="20"/>
              </w:rPr>
            </w:pPr>
            <w:r w:rsidRPr="00C66550">
              <w:rPr>
                <w:szCs w:val="20"/>
              </w:rPr>
              <w:t xml:space="preserve"> $30.4 </w:t>
            </w:r>
          </w:p>
        </w:tc>
        <w:tc>
          <w:tcPr>
            <w:tcW w:w="1219" w:type="pct"/>
            <w:gridSpan w:val="5"/>
            <w:vMerge/>
            <w:tcBorders>
              <w:left w:val="nil"/>
            </w:tcBorders>
          </w:tcPr>
          <w:p w:rsidR="00B86A40" w:rsidRPr="00C66550" w:rsidRDefault="00B86A40">
            <w:pPr>
              <w:cnfStyle w:val="000000000000"/>
              <w:rPr>
                <w:color w:val="000000"/>
                <w:szCs w:val="20"/>
              </w:rPr>
            </w:pPr>
          </w:p>
        </w:tc>
      </w:tr>
    </w:tbl>
    <w:p w:rsidR="00C71FF3" w:rsidRPr="00C66550" w:rsidRDefault="00C71FF3"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A56E17" w:rsidRDefault="00A56E17">
      <w:pPr>
        <w:spacing w:line="240" w:lineRule="auto"/>
        <w:rPr>
          <w:rFonts w:asciiTheme="minorHAnsi" w:hAnsiTheme="minorHAnsi"/>
          <w:b/>
          <w:color w:val="000000"/>
          <w:sz w:val="18"/>
          <w:szCs w:val="18"/>
        </w:rPr>
      </w:pPr>
      <w:r>
        <w:rPr>
          <w:rFonts w:asciiTheme="minorHAnsi" w:hAnsiTheme="minorHAnsi"/>
          <w:b/>
          <w:color w:val="000000"/>
          <w:sz w:val="18"/>
          <w:szCs w:val="18"/>
        </w:rPr>
        <w:br w:type="page"/>
      </w:r>
    </w:p>
    <w:tbl>
      <w:tblPr>
        <w:tblStyle w:val="BETable1"/>
        <w:tblW w:w="5229" w:type="pct"/>
        <w:tblInd w:w="-9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3971"/>
        <w:gridCol w:w="2061"/>
        <w:gridCol w:w="820"/>
        <w:gridCol w:w="823"/>
        <w:gridCol w:w="820"/>
        <w:gridCol w:w="819"/>
        <w:gridCol w:w="819"/>
        <w:gridCol w:w="819"/>
        <w:gridCol w:w="819"/>
        <w:gridCol w:w="819"/>
        <w:gridCol w:w="819"/>
        <w:gridCol w:w="819"/>
        <w:gridCol w:w="834"/>
      </w:tblGrid>
      <w:tr w:rsidR="000D6A1E" w:rsidRPr="00C66550" w:rsidTr="00A56E17">
        <w:trPr>
          <w:cnfStyle w:val="100000000000"/>
        </w:trPr>
        <w:tc>
          <w:tcPr>
            <w:cnfStyle w:val="001000000000"/>
            <w:tcW w:w="1318" w:type="pct"/>
            <w:tcBorders>
              <w:top w:val="single" w:sz="4" w:space="0" w:color="A6A6A6" w:themeColor="background1" w:themeShade="A6"/>
              <w:bottom w:val="single" w:sz="4" w:space="0" w:color="A6A6A6" w:themeColor="background1" w:themeShade="A6"/>
            </w:tcBorders>
            <w:vAlign w:val="center"/>
          </w:tcPr>
          <w:p w:rsidR="000D6A1E" w:rsidRPr="00C66550" w:rsidRDefault="000D6A1E" w:rsidP="003B7D1A">
            <w:pPr>
              <w:rPr>
                <w:rFonts w:asciiTheme="minorHAnsi" w:hAnsiTheme="minorHAnsi" w:cs="Arial"/>
                <w:bCs/>
                <w:color w:val="000000"/>
                <w:szCs w:val="20"/>
              </w:rPr>
            </w:pPr>
            <w:r w:rsidRPr="00C66550">
              <w:rPr>
                <w:rFonts w:asciiTheme="minorHAnsi" w:hAnsiTheme="minorHAnsi" w:cs="Arial"/>
                <w:bCs/>
                <w:color w:val="000000"/>
                <w:szCs w:val="20"/>
              </w:rPr>
              <w:lastRenderedPageBreak/>
              <w:t>NT Summary of strategy, policy, targets</w:t>
            </w:r>
            <w:r w:rsidR="00A122EA" w:rsidRPr="00C66550">
              <w:rPr>
                <w:rStyle w:val="FootnoteReference"/>
                <w:rFonts w:asciiTheme="minorHAnsi" w:hAnsiTheme="minorHAnsi" w:cs="Arial"/>
                <w:bCs/>
                <w:color w:val="000000"/>
                <w:szCs w:val="20"/>
              </w:rPr>
              <w:footnoteReference w:id="18"/>
            </w:r>
          </w:p>
        </w:tc>
        <w:tc>
          <w:tcPr>
            <w:tcW w:w="684"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2009</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2010</w:t>
            </w:r>
          </w:p>
        </w:tc>
        <w:tc>
          <w:tcPr>
            <w:tcW w:w="273"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2011</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2012</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2013</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2014</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2015</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2016</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2017</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2018</w:t>
            </w:r>
          </w:p>
        </w:tc>
        <w:tc>
          <w:tcPr>
            <w:tcW w:w="272"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2019</w:t>
            </w:r>
          </w:p>
        </w:tc>
        <w:tc>
          <w:tcPr>
            <w:tcW w:w="277" w:type="pct"/>
            <w:tcBorders>
              <w:top w:val="single" w:sz="4" w:space="0" w:color="A6A6A6" w:themeColor="background1" w:themeShade="A6"/>
              <w:bottom w:val="single" w:sz="4" w:space="0" w:color="A6A6A6" w:themeColor="background1" w:themeShade="A6"/>
            </w:tcBorders>
            <w:vAlign w:val="bottom"/>
          </w:tcPr>
          <w:p w:rsidR="000D6A1E" w:rsidRPr="00C66550" w:rsidRDefault="000D6A1E" w:rsidP="005C4E81">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2020</w:t>
            </w:r>
          </w:p>
        </w:tc>
      </w:tr>
      <w:tr w:rsidR="000D6A1E" w:rsidRPr="00C66550" w:rsidTr="000D6A1E">
        <w:trPr>
          <w:trHeight w:val="271"/>
        </w:trPr>
        <w:tc>
          <w:tcPr>
            <w:cnfStyle w:val="001000000000"/>
            <w:tcW w:w="1318" w:type="pct"/>
            <w:tcBorders>
              <w:top w:val="single" w:sz="4" w:space="0" w:color="A6A6A6" w:themeColor="background1" w:themeShade="A6"/>
              <w:left w:val="nil"/>
              <w:bottom w:val="single" w:sz="4" w:space="0" w:color="A6A6A6" w:themeColor="background1" w:themeShade="A6"/>
              <w:right w:val="nil"/>
            </w:tcBorders>
          </w:tcPr>
          <w:p w:rsidR="000D6A1E" w:rsidRPr="00C66550" w:rsidRDefault="000D6A1E" w:rsidP="000D6A1E">
            <w:pPr>
              <w:rPr>
                <w:rFonts w:asciiTheme="minorHAnsi" w:hAnsiTheme="minorHAnsi" w:cs="Arial"/>
                <w:color w:val="000000"/>
                <w:szCs w:val="20"/>
              </w:rPr>
            </w:pPr>
            <w:r w:rsidRPr="00C66550">
              <w:rPr>
                <w:rFonts w:asciiTheme="minorHAnsi" w:hAnsiTheme="minorHAnsi" w:cs="Arial"/>
                <w:color w:val="000000"/>
                <w:szCs w:val="20"/>
              </w:rPr>
              <w:t>Waste strategy/policy</w:t>
            </w:r>
            <w:r w:rsidR="00FF12A8" w:rsidRPr="00C66550">
              <w:rPr>
                <w:rFonts w:asciiTheme="minorHAnsi" w:hAnsiTheme="minorHAnsi" w:cs="Arial"/>
                <w:color w:val="000000"/>
                <w:szCs w:val="20"/>
              </w:rPr>
              <w:t xml:space="preserve"> </w:t>
            </w:r>
            <w:r w:rsidRPr="00C66550">
              <w:rPr>
                <w:rFonts w:asciiTheme="minorHAnsi" w:hAnsiTheme="minorHAnsi" w:cs="Arial"/>
                <w:color w:val="000000"/>
                <w:szCs w:val="20"/>
              </w:rPr>
              <w:t>in place</w:t>
            </w:r>
          </w:p>
        </w:tc>
        <w:tc>
          <w:tcPr>
            <w:tcW w:w="3682" w:type="pct"/>
            <w:gridSpan w:val="12"/>
            <w:tcBorders>
              <w:top w:val="single" w:sz="4" w:space="0" w:color="A6A6A6" w:themeColor="background1" w:themeShade="A6"/>
              <w:left w:val="nil"/>
              <w:bottom w:val="single" w:sz="4" w:space="0" w:color="A6A6A6" w:themeColor="background1" w:themeShade="A6"/>
              <w:right w:val="nil"/>
            </w:tcBorders>
          </w:tcPr>
          <w:p w:rsidR="000D6A1E" w:rsidRPr="00C66550" w:rsidRDefault="000D6A1E" w:rsidP="009D16A1">
            <w:pPr>
              <w:cnfStyle w:val="000000000000"/>
              <w:rPr>
                <w:rFonts w:asciiTheme="minorHAnsi" w:hAnsiTheme="minorHAnsi" w:cs="Arial"/>
                <w:color w:val="000000"/>
                <w:szCs w:val="20"/>
              </w:rPr>
            </w:pPr>
            <w:r w:rsidRPr="00C66550">
              <w:rPr>
                <w:rFonts w:asciiTheme="minorHAnsi" w:hAnsiTheme="minorHAnsi" w:cs="Arial"/>
                <w:color w:val="000000"/>
                <w:szCs w:val="20"/>
              </w:rPr>
              <w:t xml:space="preserve">Territory 2030 </w:t>
            </w:r>
            <w:r w:rsidRPr="00C66550">
              <w:rPr>
                <w:rFonts w:asciiTheme="minorHAnsi" w:hAnsiTheme="minorHAnsi" w:cs="Arial"/>
                <w:i/>
                <w:color w:val="000000"/>
                <w:szCs w:val="20"/>
              </w:rPr>
              <w:t>Strategic Plan</w:t>
            </w:r>
            <w:r w:rsidRPr="00C66550">
              <w:rPr>
                <w:rFonts w:asciiTheme="minorHAnsi" w:hAnsiTheme="minorHAnsi" w:cs="Arial"/>
                <w:color w:val="000000"/>
                <w:szCs w:val="20"/>
              </w:rPr>
              <w:t xml:space="preserve"> </w:t>
            </w:r>
            <w:r w:rsidR="009D16A1" w:rsidRPr="00C66550">
              <w:rPr>
                <w:rFonts w:asciiTheme="minorHAnsi" w:hAnsiTheme="minorHAnsi" w:cs="Arial"/>
                <w:color w:val="000000"/>
                <w:szCs w:val="20"/>
              </w:rPr>
              <w:t>(</w:t>
            </w:r>
            <w:r w:rsidRPr="00C66550">
              <w:rPr>
                <w:rFonts w:asciiTheme="minorHAnsi" w:hAnsiTheme="minorHAnsi" w:cs="Arial"/>
                <w:color w:val="000000"/>
                <w:szCs w:val="20"/>
              </w:rPr>
              <w:t>2009</w:t>
            </w:r>
            <w:r w:rsidR="009D16A1" w:rsidRPr="00C66550">
              <w:rPr>
                <w:rFonts w:asciiTheme="minorHAnsi" w:hAnsiTheme="minorHAnsi" w:cs="Arial"/>
                <w:color w:val="000000"/>
                <w:szCs w:val="20"/>
              </w:rPr>
              <w:t>)</w:t>
            </w:r>
            <w:r w:rsidRPr="00C66550">
              <w:rPr>
                <w:rFonts w:asciiTheme="minorHAnsi" w:hAnsiTheme="minorHAnsi" w:cs="Arial"/>
                <w:color w:val="000000"/>
                <w:szCs w:val="20"/>
              </w:rPr>
              <w:t>.</w:t>
            </w:r>
          </w:p>
        </w:tc>
      </w:tr>
      <w:tr w:rsidR="000D6A1E" w:rsidRPr="00C66550" w:rsidTr="000D6A1E">
        <w:tc>
          <w:tcPr>
            <w:cnfStyle w:val="001000000000"/>
            <w:tcW w:w="1318" w:type="pct"/>
            <w:tcBorders>
              <w:top w:val="single" w:sz="4" w:space="0" w:color="A6A6A6" w:themeColor="background1" w:themeShade="A6"/>
              <w:left w:val="nil"/>
              <w:bottom w:val="single" w:sz="4" w:space="0" w:color="A6A6A6" w:themeColor="background1" w:themeShade="A6"/>
              <w:right w:val="nil"/>
            </w:tcBorders>
          </w:tcPr>
          <w:p w:rsidR="000D6A1E" w:rsidRPr="00C66550" w:rsidRDefault="000D6A1E" w:rsidP="000D6A1E">
            <w:pPr>
              <w:rPr>
                <w:rFonts w:asciiTheme="minorHAnsi" w:hAnsiTheme="minorHAnsi" w:cs="Arial"/>
                <w:color w:val="000000"/>
                <w:szCs w:val="20"/>
              </w:rPr>
            </w:pPr>
            <w:r w:rsidRPr="00C66550">
              <w:rPr>
                <w:rFonts w:asciiTheme="minorHAnsi" w:hAnsiTheme="minorHAnsi" w:cs="Arial"/>
                <w:color w:val="000000"/>
                <w:szCs w:val="20"/>
              </w:rPr>
              <w:t>Policy goals summary</w:t>
            </w:r>
          </w:p>
        </w:tc>
        <w:tc>
          <w:tcPr>
            <w:tcW w:w="3682" w:type="pct"/>
            <w:gridSpan w:val="12"/>
            <w:tcBorders>
              <w:top w:val="single" w:sz="4" w:space="0" w:color="A6A6A6" w:themeColor="background1" w:themeShade="A6"/>
              <w:left w:val="nil"/>
              <w:bottom w:val="single" w:sz="4" w:space="0" w:color="A6A6A6" w:themeColor="background1" w:themeShade="A6"/>
              <w:right w:val="nil"/>
            </w:tcBorders>
          </w:tcPr>
          <w:p w:rsidR="0099792E" w:rsidRPr="00C66550" w:rsidRDefault="000D6A1E" w:rsidP="00B46E72">
            <w:pPr>
              <w:cnfStyle w:val="000000000000"/>
              <w:rPr>
                <w:rFonts w:asciiTheme="minorHAnsi" w:hAnsiTheme="minorHAnsi" w:cs="Arial"/>
                <w:color w:val="000000"/>
                <w:szCs w:val="20"/>
              </w:rPr>
            </w:pPr>
            <w:r w:rsidRPr="00C66550">
              <w:rPr>
                <w:rFonts w:asciiTheme="minorHAnsi" w:hAnsiTheme="minorHAnsi" w:cs="Arial"/>
                <w:color w:val="000000"/>
                <w:szCs w:val="20"/>
              </w:rPr>
              <w:t>The Plan acknowledges that waste is a real issue for the NT. Waste management is addressed under some key areas of the Plan. The measures that the Plan recommends be adopted to achieve this include:</w:t>
            </w:r>
            <w:r w:rsidRPr="00C66550">
              <w:rPr>
                <w:rFonts w:asciiTheme="minorHAnsi" w:hAnsiTheme="minorHAnsi" w:cs="Arial"/>
                <w:color w:val="000000"/>
                <w:szCs w:val="20"/>
              </w:rPr>
              <w:br/>
              <w:t>1. measure and monitor aggregated landfill at licensed landfill locations</w:t>
            </w:r>
            <w:r w:rsidR="00B46E72" w:rsidRPr="00C66550">
              <w:rPr>
                <w:rFonts w:asciiTheme="minorHAnsi" w:hAnsiTheme="minorHAnsi" w:cs="Arial"/>
                <w:color w:val="000000"/>
                <w:szCs w:val="20"/>
              </w:rPr>
              <w:t xml:space="preserve"> </w:t>
            </w:r>
          </w:p>
          <w:p w:rsidR="0099792E" w:rsidRPr="00C66550" w:rsidRDefault="000D6A1E" w:rsidP="00B46E72">
            <w:pPr>
              <w:cnfStyle w:val="000000000000"/>
              <w:rPr>
                <w:rFonts w:asciiTheme="minorHAnsi" w:hAnsiTheme="minorHAnsi" w:cs="Arial"/>
                <w:color w:val="000000"/>
                <w:szCs w:val="20"/>
              </w:rPr>
            </w:pPr>
            <w:r w:rsidRPr="00C66550">
              <w:rPr>
                <w:rFonts w:asciiTheme="minorHAnsi" w:hAnsiTheme="minorHAnsi" w:cs="Arial"/>
                <w:color w:val="000000"/>
                <w:szCs w:val="20"/>
              </w:rPr>
              <w:t>2. measure and monitor the volume of recycling</w:t>
            </w:r>
            <w:r w:rsidR="00B46E72" w:rsidRPr="00C66550">
              <w:rPr>
                <w:rFonts w:asciiTheme="minorHAnsi" w:hAnsiTheme="minorHAnsi" w:cs="Arial"/>
                <w:color w:val="000000"/>
                <w:szCs w:val="20"/>
              </w:rPr>
              <w:t xml:space="preserve"> </w:t>
            </w:r>
          </w:p>
          <w:p w:rsidR="0099792E" w:rsidRPr="00C66550" w:rsidRDefault="000D6A1E" w:rsidP="00B46E72">
            <w:pPr>
              <w:cnfStyle w:val="000000000000"/>
              <w:rPr>
                <w:rFonts w:asciiTheme="minorHAnsi" w:hAnsiTheme="minorHAnsi" w:cs="Arial"/>
                <w:color w:val="000000"/>
                <w:szCs w:val="20"/>
              </w:rPr>
            </w:pPr>
            <w:r w:rsidRPr="00C66550">
              <w:rPr>
                <w:rFonts w:asciiTheme="minorHAnsi" w:hAnsiTheme="minorHAnsi" w:cs="Arial"/>
                <w:color w:val="000000"/>
                <w:szCs w:val="20"/>
              </w:rPr>
              <w:t>3. provide more apartment complexes and residential areas with the capacity to recycle</w:t>
            </w:r>
            <w:r w:rsidR="00B46E72" w:rsidRPr="00C66550">
              <w:rPr>
                <w:rFonts w:asciiTheme="minorHAnsi" w:hAnsiTheme="minorHAnsi" w:cs="Arial"/>
                <w:color w:val="000000"/>
                <w:szCs w:val="20"/>
              </w:rPr>
              <w:t xml:space="preserve"> </w:t>
            </w:r>
          </w:p>
          <w:p w:rsidR="0099792E" w:rsidRPr="00C66550" w:rsidRDefault="000D6A1E" w:rsidP="00B46E72">
            <w:pPr>
              <w:cnfStyle w:val="000000000000"/>
              <w:rPr>
                <w:rFonts w:asciiTheme="minorHAnsi" w:hAnsiTheme="minorHAnsi" w:cs="Arial"/>
                <w:color w:val="000000"/>
                <w:szCs w:val="20"/>
              </w:rPr>
            </w:pPr>
            <w:r w:rsidRPr="00C66550">
              <w:rPr>
                <w:rFonts w:asciiTheme="minorHAnsi" w:hAnsiTheme="minorHAnsi" w:cs="Arial"/>
                <w:color w:val="000000"/>
                <w:szCs w:val="20"/>
              </w:rPr>
              <w:t>4. encourage better packaging of products by Territory manufacturers</w:t>
            </w:r>
            <w:r w:rsidR="00B46E72" w:rsidRPr="00C66550">
              <w:rPr>
                <w:rFonts w:asciiTheme="minorHAnsi" w:hAnsiTheme="minorHAnsi" w:cs="Arial"/>
                <w:color w:val="000000"/>
                <w:szCs w:val="20"/>
              </w:rPr>
              <w:t xml:space="preserve"> </w:t>
            </w:r>
          </w:p>
          <w:p w:rsidR="0099792E" w:rsidRPr="00C66550" w:rsidRDefault="000D6A1E" w:rsidP="00B46E72">
            <w:pPr>
              <w:cnfStyle w:val="000000000000"/>
              <w:rPr>
                <w:rFonts w:asciiTheme="minorHAnsi" w:hAnsiTheme="minorHAnsi" w:cs="Arial"/>
                <w:color w:val="000000"/>
                <w:szCs w:val="20"/>
              </w:rPr>
            </w:pPr>
            <w:r w:rsidRPr="00C66550">
              <w:rPr>
                <w:rFonts w:asciiTheme="minorHAnsi" w:hAnsiTheme="minorHAnsi" w:cs="Arial"/>
                <w:color w:val="000000"/>
                <w:szCs w:val="20"/>
              </w:rPr>
              <w:t>5. establish a container deposit system</w:t>
            </w:r>
          </w:p>
          <w:p w:rsidR="00B46E72" w:rsidRPr="00C66550" w:rsidRDefault="000D6A1E" w:rsidP="00B46E72">
            <w:pPr>
              <w:cnfStyle w:val="000000000000"/>
              <w:rPr>
                <w:rFonts w:asciiTheme="minorHAnsi" w:hAnsiTheme="minorHAnsi" w:cs="Arial"/>
                <w:color w:val="000000"/>
                <w:szCs w:val="20"/>
              </w:rPr>
            </w:pPr>
            <w:r w:rsidRPr="00C66550">
              <w:rPr>
                <w:rFonts w:asciiTheme="minorHAnsi" w:hAnsiTheme="minorHAnsi" w:cs="Arial"/>
                <w:color w:val="000000"/>
                <w:szCs w:val="20"/>
              </w:rPr>
              <w:t>6. encourage a reduction of waste from Territory building and development sites.</w:t>
            </w:r>
            <w:r w:rsidR="00B46E72" w:rsidRPr="00C66550">
              <w:rPr>
                <w:rFonts w:asciiTheme="minorHAnsi" w:hAnsiTheme="minorHAnsi" w:cs="Arial"/>
                <w:color w:val="000000"/>
                <w:szCs w:val="20"/>
              </w:rPr>
              <w:t xml:space="preserve"> </w:t>
            </w:r>
          </w:p>
          <w:p w:rsidR="000D6A1E" w:rsidRPr="00C66550" w:rsidRDefault="000D6A1E" w:rsidP="00B46E72">
            <w:pPr>
              <w:cnfStyle w:val="000000000000"/>
              <w:rPr>
                <w:rFonts w:asciiTheme="minorHAnsi" w:hAnsiTheme="minorHAnsi" w:cs="Arial"/>
                <w:color w:val="000000"/>
                <w:szCs w:val="20"/>
              </w:rPr>
            </w:pPr>
            <w:r w:rsidRPr="00C66550">
              <w:rPr>
                <w:rFonts w:asciiTheme="minorHAnsi" w:hAnsiTheme="minorHAnsi" w:cs="Arial"/>
                <w:color w:val="000000"/>
                <w:szCs w:val="20"/>
              </w:rPr>
              <w:t>It is proposed the Plan is reviewed every five years over its lifetime to ensure that it is meeting the objectives and outcomes it has set for the NT. The first review is scheduled for 2015. </w:t>
            </w:r>
          </w:p>
        </w:tc>
      </w:tr>
      <w:tr w:rsidR="000D6A1E" w:rsidRPr="00C66550" w:rsidTr="000D6A1E">
        <w:tc>
          <w:tcPr>
            <w:cnfStyle w:val="001000000000"/>
            <w:tcW w:w="1318" w:type="pct"/>
            <w:tcBorders>
              <w:top w:val="single" w:sz="4" w:space="0" w:color="A6A6A6" w:themeColor="background1" w:themeShade="A6"/>
              <w:left w:val="nil"/>
              <w:bottom w:val="single" w:sz="4" w:space="0" w:color="A6A6A6" w:themeColor="background1" w:themeShade="A6"/>
              <w:right w:val="nil"/>
            </w:tcBorders>
          </w:tcPr>
          <w:p w:rsidR="000D6A1E" w:rsidRPr="00C66550" w:rsidRDefault="000D6A1E" w:rsidP="003D15B7">
            <w:pPr>
              <w:rPr>
                <w:rFonts w:asciiTheme="minorHAnsi" w:hAnsiTheme="minorHAnsi" w:cs="Arial"/>
                <w:color w:val="000000"/>
                <w:szCs w:val="20"/>
              </w:rPr>
            </w:pPr>
            <w:r w:rsidRPr="00C66550">
              <w:rPr>
                <w:rFonts w:asciiTheme="minorHAnsi" w:hAnsiTheme="minorHAnsi" w:cs="Arial"/>
                <w:color w:val="000000"/>
                <w:szCs w:val="20"/>
              </w:rPr>
              <w:t>State targets for recovery where set (%)</w:t>
            </w:r>
          </w:p>
        </w:tc>
        <w:tc>
          <w:tcPr>
            <w:tcW w:w="3682" w:type="pct"/>
            <w:gridSpan w:val="12"/>
            <w:tcBorders>
              <w:top w:val="single" w:sz="4" w:space="0" w:color="A6A6A6" w:themeColor="background1" w:themeShade="A6"/>
              <w:left w:val="nil"/>
              <w:bottom w:val="single" w:sz="4" w:space="0" w:color="A6A6A6" w:themeColor="background1" w:themeShade="A6"/>
              <w:right w:val="nil"/>
            </w:tcBorders>
          </w:tcPr>
          <w:p w:rsidR="000D6A1E" w:rsidRPr="00C66550" w:rsidRDefault="000D6A1E" w:rsidP="000D6A1E">
            <w:pPr>
              <w:cnfStyle w:val="000000000000"/>
              <w:rPr>
                <w:rFonts w:asciiTheme="minorHAnsi" w:hAnsiTheme="minorHAnsi" w:cs="Arial"/>
                <w:color w:val="000000"/>
                <w:szCs w:val="20"/>
              </w:rPr>
            </w:pPr>
            <w:r w:rsidRPr="00C66550">
              <w:rPr>
                <w:rFonts w:asciiTheme="minorHAnsi" w:hAnsiTheme="minorHAnsi" w:cs="Arial"/>
                <w:color w:val="000000"/>
                <w:szCs w:val="20"/>
              </w:rPr>
              <w:t>Target to ‘reduce the amount of waste being taken to our rubbish dumps by 50% by 2020’.</w:t>
            </w:r>
          </w:p>
        </w:tc>
      </w:tr>
    </w:tbl>
    <w:p w:rsidR="005C4E81" w:rsidRPr="00C66550" w:rsidRDefault="005C4E81"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p w:rsidR="003B6549" w:rsidRPr="00C66550" w:rsidRDefault="003B6549" w:rsidP="00CC6618">
      <w:pPr>
        <w:jc w:val="right"/>
        <w:rPr>
          <w:rFonts w:asciiTheme="minorHAnsi" w:hAnsiTheme="minorHAnsi"/>
          <w:b/>
          <w:color w:val="000000"/>
          <w:sz w:val="18"/>
          <w:szCs w:val="18"/>
        </w:rPr>
      </w:pPr>
    </w:p>
    <w:tbl>
      <w:tblPr>
        <w:tblStyle w:val="BETable1"/>
        <w:tblW w:w="15184" w:type="dxa"/>
        <w:tblInd w:w="-9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3545"/>
        <w:gridCol w:w="629"/>
        <w:gridCol w:w="426"/>
        <w:gridCol w:w="742"/>
        <w:gridCol w:w="520"/>
        <w:gridCol w:w="551"/>
        <w:gridCol w:w="551"/>
        <w:gridCol w:w="520"/>
        <w:gridCol w:w="385"/>
        <w:gridCol w:w="450"/>
        <w:gridCol w:w="657"/>
        <w:gridCol w:w="477"/>
        <w:gridCol w:w="1179"/>
        <w:gridCol w:w="588"/>
        <w:gridCol w:w="427"/>
        <w:gridCol w:w="1253"/>
        <w:gridCol w:w="834"/>
        <w:gridCol w:w="442"/>
        <w:gridCol w:w="1008"/>
      </w:tblGrid>
      <w:tr w:rsidR="005C4E81" w:rsidRPr="00C66550" w:rsidTr="00C710CD">
        <w:trPr>
          <w:cnfStyle w:val="100000000000"/>
          <w:tblHeader/>
        </w:trPr>
        <w:tc>
          <w:tcPr>
            <w:cnfStyle w:val="001000000000"/>
            <w:tcW w:w="3545" w:type="dxa"/>
            <w:tcBorders>
              <w:top w:val="single" w:sz="4" w:space="0" w:color="A6A6A6" w:themeColor="background1" w:themeShade="A6"/>
              <w:bottom w:val="single" w:sz="4" w:space="0" w:color="A6A6A6" w:themeColor="background1" w:themeShade="A6"/>
            </w:tcBorders>
          </w:tcPr>
          <w:p w:rsidR="009F01F2" w:rsidRPr="00C66550" w:rsidRDefault="00DF4FB7" w:rsidP="00B86A40">
            <w:pPr>
              <w:rPr>
                <w:rFonts w:asciiTheme="minorHAnsi" w:hAnsiTheme="minorHAnsi"/>
                <w:bCs/>
                <w:color w:val="000000"/>
                <w:sz w:val="18"/>
                <w:szCs w:val="18"/>
              </w:rPr>
            </w:pPr>
            <w:r>
              <w:rPr>
                <w:rFonts w:asciiTheme="minorHAnsi" w:hAnsiTheme="minorHAnsi"/>
                <w:bCs/>
                <w:color w:val="000000"/>
                <w:sz w:val="18"/>
                <w:szCs w:val="18"/>
              </w:rPr>
              <w:lastRenderedPageBreak/>
              <w:t>Qld</w:t>
            </w:r>
            <w:r w:rsidR="009F01F2" w:rsidRPr="00C66550">
              <w:rPr>
                <w:rFonts w:asciiTheme="minorHAnsi" w:hAnsiTheme="minorHAnsi"/>
                <w:bCs/>
                <w:color w:val="000000"/>
                <w:sz w:val="18"/>
                <w:szCs w:val="18"/>
              </w:rPr>
              <w:t xml:space="preserve"> summary of strategy, policy, targets</w:t>
            </w:r>
            <w:r w:rsidR="004A0AAA" w:rsidRPr="00C66550">
              <w:rPr>
                <w:rStyle w:val="FootnoteReference"/>
                <w:rFonts w:asciiTheme="minorHAnsi" w:hAnsiTheme="minorHAnsi"/>
                <w:bCs/>
                <w:color w:val="000000"/>
                <w:sz w:val="18"/>
                <w:szCs w:val="18"/>
              </w:rPr>
              <w:footnoteReference w:id="19"/>
            </w:r>
          </w:p>
        </w:tc>
        <w:tc>
          <w:tcPr>
            <w:tcW w:w="1797" w:type="dxa"/>
            <w:gridSpan w:val="3"/>
            <w:tcBorders>
              <w:top w:val="single" w:sz="4" w:space="0" w:color="A6A6A6" w:themeColor="background1" w:themeShade="A6"/>
              <w:bottom w:val="single" w:sz="4" w:space="0" w:color="A6A6A6" w:themeColor="background1" w:themeShade="A6"/>
            </w:tcBorders>
            <w:vAlign w:val="bottom"/>
          </w:tcPr>
          <w:p w:rsidR="009F01F2" w:rsidRPr="00C66550" w:rsidRDefault="009F01F2" w:rsidP="009F01F2">
            <w:pPr>
              <w:jc w:val="center"/>
              <w:cnfStyle w:val="100000000000"/>
              <w:rPr>
                <w:rFonts w:asciiTheme="minorHAnsi" w:hAnsiTheme="minorHAnsi"/>
                <w:color w:val="000000"/>
                <w:sz w:val="18"/>
                <w:szCs w:val="18"/>
              </w:rPr>
            </w:pPr>
            <w:r w:rsidRPr="00C66550">
              <w:rPr>
                <w:rFonts w:asciiTheme="minorHAnsi" w:hAnsiTheme="minorHAnsi"/>
                <w:color w:val="000000"/>
                <w:sz w:val="18"/>
                <w:szCs w:val="18"/>
              </w:rPr>
              <w:t xml:space="preserve">2008 ( </w:t>
            </w:r>
            <w:r w:rsidR="000C21D0" w:rsidRPr="00C66550">
              <w:rPr>
                <w:rFonts w:asciiTheme="minorHAnsi" w:hAnsiTheme="minorHAnsi"/>
                <w:color w:val="000000"/>
                <w:sz w:val="18"/>
                <w:szCs w:val="18"/>
              </w:rPr>
              <w:t>Qld</w:t>
            </w:r>
            <w:r w:rsidRPr="00C66550">
              <w:rPr>
                <w:rFonts w:asciiTheme="minorHAnsi" w:hAnsiTheme="minorHAnsi"/>
                <w:color w:val="000000"/>
                <w:sz w:val="18"/>
                <w:szCs w:val="18"/>
              </w:rPr>
              <w:t xml:space="preserve"> baseline data)</w:t>
            </w:r>
          </w:p>
        </w:tc>
        <w:tc>
          <w:tcPr>
            <w:tcW w:w="1622" w:type="dxa"/>
            <w:gridSpan w:val="3"/>
            <w:tcBorders>
              <w:top w:val="single" w:sz="4" w:space="0" w:color="A6A6A6" w:themeColor="background1" w:themeShade="A6"/>
              <w:bottom w:val="single" w:sz="4" w:space="0" w:color="A6A6A6" w:themeColor="background1" w:themeShade="A6"/>
            </w:tcBorders>
            <w:vAlign w:val="bottom"/>
          </w:tcPr>
          <w:p w:rsidR="009F01F2" w:rsidRPr="00C66550" w:rsidRDefault="009F01F2" w:rsidP="009F01F2">
            <w:pPr>
              <w:jc w:val="center"/>
              <w:cnfStyle w:val="100000000000"/>
              <w:rPr>
                <w:rFonts w:asciiTheme="minorHAnsi" w:hAnsiTheme="minorHAnsi"/>
                <w:color w:val="000000"/>
                <w:sz w:val="18"/>
                <w:szCs w:val="18"/>
              </w:rPr>
            </w:pPr>
            <w:r w:rsidRPr="00C66550">
              <w:rPr>
                <w:rFonts w:asciiTheme="minorHAnsi" w:hAnsiTheme="minorHAnsi"/>
                <w:color w:val="000000"/>
                <w:sz w:val="18"/>
                <w:szCs w:val="18"/>
              </w:rPr>
              <w:t>2011</w:t>
            </w:r>
          </w:p>
        </w:tc>
        <w:tc>
          <w:tcPr>
            <w:tcW w:w="1355" w:type="dxa"/>
            <w:gridSpan w:val="3"/>
            <w:tcBorders>
              <w:top w:val="single" w:sz="4" w:space="0" w:color="A6A6A6" w:themeColor="background1" w:themeShade="A6"/>
              <w:bottom w:val="single" w:sz="4" w:space="0" w:color="A6A6A6" w:themeColor="background1" w:themeShade="A6"/>
            </w:tcBorders>
            <w:vAlign w:val="bottom"/>
          </w:tcPr>
          <w:p w:rsidR="009F01F2" w:rsidRPr="00C66550" w:rsidRDefault="009F01F2" w:rsidP="009F01F2">
            <w:pPr>
              <w:jc w:val="center"/>
              <w:cnfStyle w:val="100000000000"/>
              <w:rPr>
                <w:rFonts w:asciiTheme="minorHAnsi" w:hAnsiTheme="minorHAnsi"/>
                <w:color w:val="000000"/>
                <w:sz w:val="18"/>
                <w:szCs w:val="18"/>
              </w:rPr>
            </w:pPr>
            <w:r w:rsidRPr="00C66550">
              <w:rPr>
                <w:rFonts w:asciiTheme="minorHAnsi" w:hAnsiTheme="minorHAnsi"/>
                <w:color w:val="000000"/>
                <w:sz w:val="18"/>
                <w:szCs w:val="18"/>
              </w:rPr>
              <w:t>2012</w:t>
            </w:r>
          </w:p>
        </w:tc>
        <w:tc>
          <w:tcPr>
            <w:tcW w:w="2313" w:type="dxa"/>
            <w:gridSpan w:val="3"/>
            <w:tcBorders>
              <w:top w:val="single" w:sz="4" w:space="0" w:color="A6A6A6" w:themeColor="background1" w:themeShade="A6"/>
              <w:bottom w:val="single" w:sz="4" w:space="0" w:color="A6A6A6" w:themeColor="background1" w:themeShade="A6"/>
            </w:tcBorders>
            <w:vAlign w:val="bottom"/>
          </w:tcPr>
          <w:p w:rsidR="009F01F2" w:rsidRPr="00C66550" w:rsidRDefault="009F01F2" w:rsidP="009F01F2">
            <w:pPr>
              <w:jc w:val="center"/>
              <w:cnfStyle w:val="100000000000"/>
              <w:rPr>
                <w:rFonts w:asciiTheme="minorHAnsi" w:hAnsiTheme="minorHAnsi"/>
                <w:color w:val="000000"/>
                <w:sz w:val="18"/>
                <w:szCs w:val="18"/>
              </w:rPr>
            </w:pPr>
            <w:r w:rsidRPr="00C66550">
              <w:rPr>
                <w:rFonts w:asciiTheme="minorHAnsi" w:hAnsiTheme="minorHAnsi"/>
                <w:color w:val="000000"/>
                <w:sz w:val="18"/>
                <w:szCs w:val="18"/>
              </w:rPr>
              <w:t>2014</w:t>
            </w:r>
          </w:p>
        </w:tc>
        <w:tc>
          <w:tcPr>
            <w:tcW w:w="2268" w:type="dxa"/>
            <w:gridSpan w:val="3"/>
            <w:tcBorders>
              <w:top w:val="single" w:sz="4" w:space="0" w:color="A6A6A6" w:themeColor="background1" w:themeShade="A6"/>
              <w:bottom w:val="single" w:sz="4" w:space="0" w:color="A6A6A6" w:themeColor="background1" w:themeShade="A6"/>
            </w:tcBorders>
            <w:vAlign w:val="bottom"/>
          </w:tcPr>
          <w:p w:rsidR="009F01F2" w:rsidRPr="00C66550" w:rsidRDefault="009F01F2" w:rsidP="009F01F2">
            <w:pPr>
              <w:jc w:val="center"/>
              <w:cnfStyle w:val="100000000000"/>
              <w:rPr>
                <w:rFonts w:asciiTheme="minorHAnsi" w:hAnsiTheme="minorHAnsi"/>
                <w:color w:val="000000"/>
                <w:sz w:val="18"/>
                <w:szCs w:val="18"/>
              </w:rPr>
            </w:pPr>
            <w:r w:rsidRPr="00C66550">
              <w:rPr>
                <w:rFonts w:asciiTheme="minorHAnsi" w:hAnsiTheme="minorHAnsi"/>
                <w:color w:val="000000"/>
                <w:sz w:val="18"/>
                <w:szCs w:val="18"/>
              </w:rPr>
              <w:t>2017</w:t>
            </w:r>
          </w:p>
        </w:tc>
        <w:tc>
          <w:tcPr>
            <w:tcW w:w="2284" w:type="dxa"/>
            <w:gridSpan w:val="3"/>
            <w:tcBorders>
              <w:top w:val="single" w:sz="4" w:space="0" w:color="A6A6A6" w:themeColor="background1" w:themeShade="A6"/>
              <w:bottom w:val="single" w:sz="4" w:space="0" w:color="A6A6A6" w:themeColor="background1" w:themeShade="A6"/>
            </w:tcBorders>
            <w:vAlign w:val="bottom"/>
          </w:tcPr>
          <w:p w:rsidR="009F01F2" w:rsidRPr="00C66550" w:rsidRDefault="009F01F2" w:rsidP="009F01F2">
            <w:pPr>
              <w:jc w:val="center"/>
              <w:cnfStyle w:val="100000000000"/>
              <w:rPr>
                <w:rFonts w:asciiTheme="minorHAnsi" w:hAnsiTheme="minorHAnsi"/>
                <w:color w:val="000000"/>
                <w:sz w:val="18"/>
                <w:szCs w:val="18"/>
              </w:rPr>
            </w:pPr>
            <w:r w:rsidRPr="00C66550">
              <w:rPr>
                <w:rFonts w:asciiTheme="minorHAnsi" w:hAnsiTheme="minorHAnsi"/>
                <w:color w:val="000000"/>
                <w:sz w:val="18"/>
                <w:szCs w:val="18"/>
              </w:rPr>
              <w:t>2020 </w:t>
            </w:r>
          </w:p>
        </w:tc>
      </w:tr>
      <w:tr w:rsidR="005C4E81" w:rsidRPr="00C66550" w:rsidTr="00C710CD">
        <w:tc>
          <w:tcPr>
            <w:cnfStyle w:val="001000000000"/>
            <w:tcW w:w="3545" w:type="dxa"/>
            <w:tcBorders>
              <w:top w:val="single" w:sz="4" w:space="0" w:color="A6A6A6" w:themeColor="background1" w:themeShade="A6"/>
              <w:left w:val="nil"/>
              <w:bottom w:val="single" w:sz="4" w:space="0" w:color="A6A6A6" w:themeColor="background1" w:themeShade="A6"/>
              <w:right w:val="nil"/>
            </w:tcBorders>
          </w:tcPr>
          <w:p w:rsidR="009F01F2" w:rsidRPr="00C66550" w:rsidRDefault="009F01F2">
            <w:pPr>
              <w:rPr>
                <w:rFonts w:asciiTheme="minorHAnsi" w:hAnsiTheme="minorHAnsi"/>
                <w:color w:val="000000"/>
                <w:sz w:val="18"/>
                <w:szCs w:val="18"/>
              </w:rPr>
            </w:pPr>
            <w:r w:rsidRPr="00C66550">
              <w:rPr>
                <w:rFonts w:asciiTheme="minorHAnsi" w:hAnsiTheme="minorHAnsi"/>
                <w:color w:val="000000"/>
                <w:sz w:val="18"/>
                <w:szCs w:val="18"/>
              </w:rPr>
              <w:t>Waste strategy/policy</w:t>
            </w:r>
            <w:r w:rsidR="00FF12A8" w:rsidRPr="00C66550">
              <w:rPr>
                <w:rFonts w:asciiTheme="minorHAnsi" w:hAnsiTheme="minorHAnsi"/>
                <w:color w:val="000000"/>
                <w:sz w:val="18"/>
                <w:szCs w:val="18"/>
              </w:rPr>
              <w:t xml:space="preserve"> </w:t>
            </w:r>
            <w:r w:rsidRPr="00C66550">
              <w:rPr>
                <w:rFonts w:asciiTheme="minorHAnsi" w:hAnsiTheme="minorHAnsi"/>
                <w:color w:val="000000"/>
                <w:sz w:val="18"/>
                <w:szCs w:val="18"/>
              </w:rPr>
              <w:t>in place</w:t>
            </w:r>
          </w:p>
        </w:tc>
        <w:tc>
          <w:tcPr>
            <w:tcW w:w="10631" w:type="dxa"/>
            <w:gridSpan w:val="17"/>
            <w:tcBorders>
              <w:top w:val="single" w:sz="4" w:space="0" w:color="A6A6A6" w:themeColor="background1" w:themeShade="A6"/>
              <w:left w:val="nil"/>
              <w:bottom w:val="single" w:sz="4" w:space="0" w:color="A6A6A6" w:themeColor="background1" w:themeShade="A6"/>
              <w:right w:val="nil"/>
            </w:tcBorders>
          </w:tcPr>
          <w:p w:rsidR="009F01F2" w:rsidRPr="00C66550" w:rsidRDefault="009F01F2" w:rsidP="00C71FF3">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 </w:t>
            </w:r>
            <w:r w:rsidRPr="00C66550">
              <w:rPr>
                <w:rFonts w:asciiTheme="minorHAnsi" w:hAnsiTheme="minorHAnsi"/>
                <w:i/>
                <w:color w:val="000000"/>
                <w:sz w:val="18"/>
                <w:szCs w:val="18"/>
              </w:rPr>
              <w:t>Queensland’s Waste Reduction and Recycling Strategy 2010–2020</w:t>
            </w:r>
            <w:r w:rsidR="00B86A40" w:rsidRPr="00C66550">
              <w:rPr>
                <w:rStyle w:val="FootnoteReference"/>
                <w:rFonts w:asciiTheme="minorHAnsi" w:hAnsiTheme="minorHAnsi"/>
                <w:bCs/>
                <w:color w:val="000000"/>
                <w:sz w:val="18"/>
                <w:szCs w:val="18"/>
              </w:rPr>
              <w:footnoteReference w:id="20"/>
            </w:r>
          </w:p>
        </w:tc>
        <w:tc>
          <w:tcPr>
            <w:tcW w:w="1008" w:type="dxa"/>
            <w:tcBorders>
              <w:top w:val="single" w:sz="4" w:space="0" w:color="A6A6A6" w:themeColor="background1" w:themeShade="A6"/>
              <w:left w:val="nil"/>
              <w:bottom w:val="single" w:sz="4" w:space="0" w:color="A6A6A6" w:themeColor="background1" w:themeShade="A6"/>
              <w:right w:val="nil"/>
            </w:tcBorders>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r>
      <w:tr w:rsidR="005C4E81" w:rsidRPr="00C66550" w:rsidTr="00C710CD">
        <w:tc>
          <w:tcPr>
            <w:cnfStyle w:val="001000000000"/>
            <w:tcW w:w="3545" w:type="dxa"/>
            <w:tcBorders>
              <w:top w:val="single" w:sz="4" w:space="0" w:color="A6A6A6" w:themeColor="background1" w:themeShade="A6"/>
              <w:left w:val="nil"/>
              <w:bottom w:val="single" w:sz="4" w:space="0" w:color="A6A6A6" w:themeColor="background1" w:themeShade="A6"/>
              <w:right w:val="nil"/>
            </w:tcBorders>
          </w:tcPr>
          <w:p w:rsidR="009F01F2" w:rsidRPr="00C66550" w:rsidRDefault="009F01F2">
            <w:pPr>
              <w:rPr>
                <w:rFonts w:asciiTheme="minorHAnsi" w:hAnsiTheme="minorHAnsi"/>
                <w:color w:val="000000"/>
                <w:sz w:val="18"/>
                <w:szCs w:val="18"/>
              </w:rPr>
            </w:pPr>
            <w:r w:rsidRPr="00C66550">
              <w:rPr>
                <w:rFonts w:asciiTheme="minorHAnsi" w:hAnsiTheme="minorHAnsi"/>
                <w:color w:val="000000"/>
                <w:sz w:val="18"/>
                <w:szCs w:val="18"/>
              </w:rPr>
              <w:t>Policy goals summary</w:t>
            </w:r>
          </w:p>
        </w:tc>
        <w:tc>
          <w:tcPr>
            <w:tcW w:w="11639" w:type="dxa"/>
            <w:gridSpan w:val="18"/>
            <w:tcBorders>
              <w:top w:val="single" w:sz="4" w:space="0" w:color="A6A6A6" w:themeColor="background1" w:themeShade="A6"/>
              <w:left w:val="nil"/>
              <w:bottom w:val="single" w:sz="4" w:space="0" w:color="A6A6A6" w:themeColor="background1" w:themeShade="A6"/>
              <w:right w:val="nil"/>
            </w:tcBorders>
          </w:tcPr>
          <w:p w:rsidR="00E75AB1" w:rsidRPr="00C66550" w:rsidRDefault="009F01F2" w:rsidP="00B46E72">
            <w:pPr>
              <w:cnfStyle w:val="000000000000"/>
              <w:rPr>
                <w:rFonts w:asciiTheme="minorHAnsi" w:hAnsiTheme="minorHAnsi"/>
                <w:color w:val="000000"/>
                <w:sz w:val="18"/>
                <w:szCs w:val="18"/>
              </w:rPr>
            </w:pPr>
            <w:r w:rsidRPr="00C66550">
              <w:rPr>
                <w:rFonts w:asciiTheme="minorHAnsi" w:hAnsiTheme="minorHAnsi"/>
                <w:color w:val="000000"/>
                <w:sz w:val="18"/>
                <w:szCs w:val="18"/>
              </w:rPr>
              <w:t>The Strategy outlines guiding principles that are based on the waste and resource management hierarchy. On this basis it highlights that its broad goals are to:</w:t>
            </w:r>
            <w:r w:rsidRPr="00C66550">
              <w:rPr>
                <w:rFonts w:asciiTheme="minorHAnsi" w:hAnsiTheme="minorHAnsi"/>
                <w:color w:val="000000"/>
                <w:sz w:val="18"/>
                <w:szCs w:val="18"/>
              </w:rPr>
              <w:br/>
              <w:t>1. reduce waste</w:t>
            </w:r>
            <w:r w:rsidR="00B46E72" w:rsidRPr="00C66550">
              <w:rPr>
                <w:rFonts w:asciiTheme="minorHAnsi" w:hAnsiTheme="minorHAnsi"/>
                <w:color w:val="000000"/>
                <w:sz w:val="18"/>
                <w:szCs w:val="18"/>
              </w:rPr>
              <w:t xml:space="preserve"> </w:t>
            </w:r>
          </w:p>
          <w:p w:rsidR="00E75AB1" w:rsidRPr="00C66550" w:rsidRDefault="009F01F2" w:rsidP="00B46E72">
            <w:pPr>
              <w:cnfStyle w:val="000000000000"/>
              <w:rPr>
                <w:rFonts w:asciiTheme="minorHAnsi" w:hAnsiTheme="minorHAnsi"/>
                <w:color w:val="000000"/>
                <w:sz w:val="18"/>
                <w:szCs w:val="18"/>
              </w:rPr>
            </w:pPr>
            <w:r w:rsidRPr="00C66550">
              <w:rPr>
                <w:rFonts w:asciiTheme="minorHAnsi" w:hAnsiTheme="minorHAnsi"/>
                <w:color w:val="000000"/>
                <w:sz w:val="18"/>
                <w:szCs w:val="18"/>
              </w:rPr>
              <w:t>2. optimise recovery and recycling</w:t>
            </w:r>
            <w:r w:rsidR="00B46E72" w:rsidRPr="00C66550">
              <w:rPr>
                <w:rFonts w:asciiTheme="minorHAnsi" w:hAnsiTheme="minorHAnsi"/>
                <w:color w:val="000000"/>
                <w:sz w:val="18"/>
                <w:szCs w:val="18"/>
              </w:rPr>
              <w:t xml:space="preserve"> </w:t>
            </w:r>
          </w:p>
          <w:p w:rsidR="00B46E72" w:rsidRPr="00C66550" w:rsidRDefault="009F01F2" w:rsidP="00B46E72">
            <w:pPr>
              <w:cnfStyle w:val="000000000000"/>
              <w:rPr>
                <w:rFonts w:asciiTheme="minorHAnsi" w:hAnsiTheme="minorHAnsi"/>
                <w:color w:val="000000"/>
                <w:sz w:val="18"/>
                <w:szCs w:val="18"/>
              </w:rPr>
            </w:pPr>
            <w:r w:rsidRPr="00C66550">
              <w:rPr>
                <w:rFonts w:asciiTheme="minorHAnsi" w:hAnsiTheme="minorHAnsi"/>
                <w:color w:val="000000"/>
                <w:sz w:val="18"/>
                <w:szCs w:val="18"/>
              </w:rPr>
              <w:t>3. develop sustainable waste industries and jobs.</w:t>
            </w:r>
            <w:r w:rsidR="00B46E72" w:rsidRPr="00C66550">
              <w:rPr>
                <w:rFonts w:asciiTheme="minorHAnsi" w:hAnsiTheme="minorHAnsi"/>
                <w:color w:val="000000"/>
                <w:sz w:val="18"/>
                <w:szCs w:val="18"/>
              </w:rPr>
              <w:t xml:space="preserve"> </w:t>
            </w:r>
          </w:p>
          <w:p w:rsidR="00E75AB1" w:rsidRPr="00C66550" w:rsidRDefault="009F01F2" w:rsidP="00B46E72">
            <w:pPr>
              <w:cnfStyle w:val="000000000000"/>
              <w:rPr>
                <w:rFonts w:asciiTheme="minorHAnsi" w:hAnsiTheme="minorHAnsi"/>
                <w:color w:val="000000"/>
                <w:sz w:val="18"/>
                <w:szCs w:val="18"/>
              </w:rPr>
            </w:pPr>
            <w:r w:rsidRPr="00C66550">
              <w:rPr>
                <w:rFonts w:asciiTheme="minorHAnsi" w:hAnsiTheme="minorHAnsi"/>
                <w:color w:val="000000"/>
                <w:sz w:val="18"/>
                <w:szCs w:val="18"/>
              </w:rPr>
              <w:t>The Strategy has adopted a five-part approach to achieve these goals, which includes:</w:t>
            </w:r>
            <w:r w:rsidRPr="00C66550">
              <w:rPr>
                <w:rFonts w:asciiTheme="minorHAnsi" w:hAnsiTheme="minorHAnsi"/>
                <w:color w:val="000000"/>
                <w:sz w:val="18"/>
                <w:szCs w:val="18"/>
              </w:rPr>
              <w:br/>
              <w:t>1. clear targets and priorities</w:t>
            </w:r>
            <w:r w:rsidR="00B46E72" w:rsidRPr="00C66550">
              <w:rPr>
                <w:rFonts w:asciiTheme="minorHAnsi" w:hAnsiTheme="minorHAnsi"/>
                <w:color w:val="000000"/>
                <w:sz w:val="18"/>
                <w:szCs w:val="18"/>
              </w:rPr>
              <w:t xml:space="preserve"> </w:t>
            </w:r>
          </w:p>
          <w:p w:rsidR="00E75AB1" w:rsidRPr="00C66550" w:rsidRDefault="009F01F2" w:rsidP="00B46E72">
            <w:pPr>
              <w:cnfStyle w:val="000000000000"/>
              <w:rPr>
                <w:rFonts w:asciiTheme="minorHAnsi" w:hAnsiTheme="minorHAnsi"/>
                <w:color w:val="000000"/>
                <w:sz w:val="18"/>
                <w:szCs w:val="18"/>
              </w:rPr>
            </w:pPr>
            <w:r w:rsidRPr="00C66550">
              <w:rPr>
                <w:rFonts w:asciiTheme="minorHAnsi" w:hAnsiTheme="minorHAnsi"/>
                <w:color w:val="000000"/>
                <w:sz w:val="18"/>
                <w:szCs w:val="18"/>
              </w:rPr>
              <w:t>2. setting a price signal</w:t>
            </w:r>
            <w:r w:rsidR="005C7328" w:rsidRPr="00C66550">
              <w:rPr>
                <w:rFonts w:asciiTheme="minorHAnsi" w:hAnsiTheme="minorHAnsi"/>
                <w:color w:val="000000"/>
                <w:sz w:val="18"/>
                <w:szCs w:val="18"/>
              </w:rPr>
              <w:t>—</w:t>
            </w:r>
            <w:r w:rsidRPr="00C66550">
              <w:rPr>
                <w:rFonts w:asciiTheme="minorHAnsi" w:hAnsiTheme="minorHAnsi"/>
                <w:color w:val="000000"/>
                <w:sz w:val="18"/>
                <w:szCs w:val="18"/>
              </w:rPr>
              <w:t>the waste disposal levy</w:t>
            </w:r>
            <w:r w:rsidR="00B46E72" w:rsidRPr="00C66550">
              <w:rPr>
                <w:rFonts w:asciiTheme="minorHAnsi" w:hAnsiTheme="minorHAnsi"/>
                <w:color w:val="000000"/>
                <w:sz w:val="18"/>
                <w:szCs w:val="18"/>
              </w:rPr>
              <w:t xml:space="preserve"> </w:t>
            </w:r>
          </w:p>
          <w:p w:rsidR="00E75AB1" w:rsidRPr="00C66550" w:rsidRDefault="009F01F2" w:rsidP="00B46E72">
            <w:pPr>
              <w:cnfStyle w:val="000000000000"/>
              <w:rPr>
                <w:rFonts w:asciiTheme="minorHAnsi" w:hAnsiTheme="minorHAnsi"/>
                <w:color w:val="000000"/>
                <w:sz w:val="18"/>
                <w:szCs w:val="18"/>
              </w:rPr>
            </w:pPr>
            <w:r w:rsidRPr="00C66550">
              <w:rPr>
                <w:rFonts w:asciiTheme="minorHAnsi" w:hAnsiTheme="minorHAnsi"/>
                <w:color w:val="000000"/>
                <w:sz w:val="18"/>
                <w:szCs w:val="18"/>
              </w:rPr>
              <w:t>3. stronger regulation</w:t>
            </w:r>
            <w:r w:rsidR="00B46E72" w:rsidRPr="00C66550">
              <w:rPr>
                <w:rFonts w:asciiTheme="minorHAnsi" w:hAnsiTheme="minorHAnsi"/>
                <w:color w:val="000000"/>
                <w:sz w:val="18"/>
                <w:szCs w:val="18"/>
              </w:rPr>
              <w:t xml:space="preserve"> </w:t>
            </w:r>
          </w:p>
          <w:p w:rsidR="00E75AB1" w:rsidRPr="00C66550" w:rsidRDefault="009F01F2" w:rsidP="00B46E72">
            <w:pPr>
              <w:cnfStyle w:val="000000000000"/>
              <w:rPr>
                <w:rFonts w:asciiTheme="minorHAnsi" w:hAnsiTheme="minorHAnsi"/>
                <w:color w:val="000000"/>
                <w:sz w:val="18"/>
                <w:szCs w:val="18"/>
              </w:rPr>
            </w:pPr>
            <w:r w:rsidRPr="00C66550">
              <w:rPr>
                <w:rFonts w:asciiTheme="minorHAnsi" w:hAnsiTheme="minorHAnsi"/>
                <w:color w:val="000000"/>
                <w:sz w:val="18"/>
                <w:szCs w:val="18"/>
              </w:rPr>
              <w:t>4. new programs and investment strategies</w:t>
            </w:r>
            <w:r w:rsidR="00B46E72" w:rsidRPr="00C66550">
              <w:rPr>
                <w:rFonts w:asciiTheme="minorHAnsi" w:hAnsiTheme="minorHAnsi"/>
                <w:color w:val="000000"/>
                <w:sz w:val="18"/>
                <w:szCs w:val="18"/>
              </w:rPr>
              <w:t xml:space="preserve"> </w:t>
            </w:r>
          </w:p>
          <w:p w:rsidR="00FF0C93" w:rsidRPr="00C66550" w:rsidRDefault="009F01F2" w:rsidP="003B6549">
            <w:pPr>
              <w:spacing w:after="120"/>
              <w:cnfStyle w:val="000000000000"/>
              <w:rPr>
                <w:rFonts w:asciiTheme="minorHAnsi" w:hAnsiTheme="minorHAnsi"/>
                <w:color w:val="000000"/>
                <w:sz w:val="18"/>
                <w:szCs w:val="18"/>
              </w:rPr>
            </w:pPr>
            <w:r w:rsidRPr="00C66550">
              <w:rPr>
                <w:rFonts w:asciiTheme="minorHAnsi" w:hAnsiTheme="minorHAnsi"/>
                <w:color w:val="000000"/>
                <w:sz w:val="18"/>
                <w:szCs w:val="18"/>
              </w:rPr>
              <w:t>5. partnering for change.</w:t>
            </w:r>
          </w:p>
        </w:tc>
      </w:tr>
      <w:tr w:rsidR="00C4273A" w:rsidRPr="00C66550" w:rsidTr="00C710CD">
        <w:tc>
          <w:tcPr>
            <w:cnfStyle w:val="001000000000"/>
            <w:tcW w:w="3545" w:type="dxa"/>
            <w:tcBorders>
              <w:top w:val="single" w:sz="4" w:space="0" w:color="A6A6A6" w:themeColor="background1" w:themeShade="A6"/>
              <w:left w:val="nil"/>
              <w:bottom w:val="single" w:sz="4" w:space="0" w:color="A6A6A6" w:themeColor="background1" w:themeShade="A6"/>
              <w:right w:val="nil"/>
            </w:tcBorders>
          </w:tcPr>
          <w:p w:rsidR="009F01F2" w:rsidRPr="00C66550" w:rsidRDefault="009F01F2">
            <w:pPr>
              <w:rPr>
                <w:rFonts w:asciiTheme="minorHAnsi" w:hAnsiTheme="minorHAnsi"/>
                <w:color w:val="000000"/>
                <w:sz w:val="18"/>
                <w:szCs w:val="18"/>
              </w:rPr>
            </w:pPr>
            <w:r w:rsidRPr="00C66550">
              <w:rPr>
                <w:rFonts w:asciiTheme="minorHAnsi" w:hAnsiTheme="minorHAnsi"/>
                <w:color w:val="000000"/>
                <w:sz w:val="18"/>
                <w:szCs w:val="18"/>
              </w:rPr>
              <w:t>State targets for</w:t>
            </w:r>
            <w:r w:rsidR="003D15B7" w:rsidRPr="00C66550">
              <w:rPr>
                <w:rFonts w:asciiTheme="minorHAnsi" w:hAnsiTheme="minorHAnsi"/>
                <w:color w:val="000000"/>
                <w:sz w:val="18"/>
                <w:szCs w:val="18"/>
              </w:rPr>
              <w:t xml:space="preserve"> waste</w:t>
            </w:r>
            <w:r w:rsidRPr="00C66550">
              <w:rPr>
                <w:rFonts w:asciiTheme="minorHAnsi" w:hAnsiTheme="minorHAnsi"/>
                <w:color w:val="000000"/>
                <w:sz w:val="18"/>
                <w:szCs w:val="18"/>
              </w:rPr>
              <w:t xml:space="preserve"> generation</w:t>
            </w:r>
          </w:p>
        </w:tc>
        <w:tc>
          <w:tcPr>
            <w:tcW w:w="1797" w:type="dxa"/>
            <w:gridSpan w:val="3"/>
            <w:tcBorders>
              <w:top w:val="single" w:sz="4" w:space="0" w:color="A6A6A6" w:themeColor="background1" w:themeShade="A6"/>
              <w:left w:val="nil"/>
              <w:bottom w:val="single" w:sz="4" w:space="0" w:color="A6A6A6" w:themeColor="background1" w:themeShade="A6"/>
              <w:right w:val="nil"/>
            </w:tcBorders>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2.4 tonnes per person per year</w:t>
            </w:r>
          </w:p>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2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51"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51"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2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2313" w:type="dxa"/>
            <w:gridSpan w:val="3"/>
            <w:tcBorders>
              <w:top w:val="single" w:sz="4" w:space="0" w:color="A6A6A6" w:themeColor="background1" w:themeShade="A6"/>
              <w:left w:val="nil"/>
              <w:bottom w:val="single" w:sz="4" w:space="0" w:color="A6A6A6" w:themeColor="background1" w:themeShade="A6"/>
              <w:right w:val="nil"/>
            </w:tcBorders>
          </w:tcPr>
          <w:p w:rsidR="009F01F2" w:rsidRPr="00C66550" w:rsidRDefault="009F01F2" w:rsidP="00C71FF3">
            <w:pPr>
              <w:cnfStyle w:val="000000000000"/>
              <w:rPr>
                <w:rFonts w:asciiTheme="minorHAnsi" w:hAnsiTheme="minorHAnsi"/>
                <w:color w:val="000000"/>
                <w:sz w:val="18"/>
                <w:szCs w:val="18"/>
              </w:rPr>
            </w:pPr>
            <w:r w:rsidRPr="00C66550">
              <w:rPr>
                <w:rFonts w:asciiTheme="minorHAnsi" w:hAnsiTheme="minorHAnsi"/>
                <w:color w:val="000000"/>
                <w:sz w:val="18"/>
                <w:szCs w:val="18"/>
              </w:rPr>
              <w:t>5% reduction 2.4 tonnes per person per year</w:t>
            </w:r>
          </w:p>
        </w:tc>
        <w:tc>
          <w:tcPr>
            <w:tcW w:w="2268" w:type="dxa"/>
            <w:gridSpan w:val="3"/>
            <w:tcBorders>
              <w:top w:val="single" w:sz="4" w:space="0" w:color="A6A6A6" w:themeColor="background1" w:themeShade="A6"/>
              <w:left w:val="nil"/>
              <w:bottom w:val="single" w:sz="4" w:space="0" w:color="A6A6A6" w:themeColor="background1" w:themeShade="A6"/>
              <w:right w:val="nil"/>
            </w:tcBorders>
          </w:tcPr>
          <w:p w:rsidR="009F01F2" w:rsidRPr="00C66550" w:rsidRDefault="009F01F2" w:rsidP="00C71FF3">
            <w:pPr>
              <w:cnfStyle w:val="000000000000"/>
              <w:rPr>
                <w:rFonts w:asciiTheme="minorHAnsi" w:hAnsiTheme="minorHAnsi"/>
                <w:color w:val="000000"/>
                <w:sz w:val="18"/>
                <w:szCs w:val="18"/>
              </w:rPr>
            </w:pPr>
            <w:r w:rsidRPr="00C66550">
              <w:rPr>
                <w:rFonts w:asciiTheme="minorHAnsi" w:hAnsiTheme="minorHAnsi"/>
                <w:color w:val="000000"/>
                <w:sz w:val="18"/>
                <w:szCs w:val="18"/>
              </w:rPr>
              <w:t>10% reduction 2.2 tonnes per person per year </w:t>
            </w:r>
          </w:p>
        </w:tc>
        <w:tc>
          <w:tcPr>
            <w:tcW w:w="1276" w:type="dxa"/>
            <w:gridSpan w:val="2"/>
            <w:tcBorders>
              <w:top w:val="single" w:sz="4" w:space="0" w:color="A6A6A6" w:themeColor="background1" w:themeShade="A6"/>
              <w:left w:val="nil"/>
              <w:bottom w:val="single" w:sz="4" w:space="0" w:color="A6A6A6" w:themeColor="background1" w:themeShade="A6"/>
              <w:right w:val="nil"/>
            </w:tcBorders>
          </w:tcPr>
          <w:p w:rsidR="009F01F2" w:rsidRPr="00C66550" w:rsidRDefault="009F01F2" w:rsidP="00C71FF3">
            <w:pPr>
              <w:cnfStyle w:val="000000000000"/>
              <w:rPr>
                <w:rFonts w:asciiTheme="minorHAnsi" w:hAnsiTheme="minorHAnsi"/>
                <w:color w:val="000000"/>
                <w:sz w:val="18"/>
                <w:szCs w:val="18"/>
              </w:rPr>
            </w:pPr>
            <w:r w:rsidRPr="00C66550">
              <w:rPr>
                <w:rFonts w:asciiTheme="minorHAnsi" w:hAnsiTheme="minorHAnsi"/>
                <w:color w:val="000000"/>
                <w:sz w:val="18"/>
                <w:szCs w:val="18"/>
              </w:rPr>
              <w:t>15% reduction 2 tonnes per person per year</w:t>
            </w:r>
          </w:p>
        </w:tc>
        <w:tc>
          <w:tcPr>
            <w:tcW w:w="1008" w:type="dxa"/>
            <w:tcBorders>
              <w:top w:val="single" w:sz="4" w:space="0" w:color="A6A6A6" w:themeColor="background1" w:themeShade="A6"/>
              <w:left w:val="nil"/>
              <w:bottom w:val="single" w:sz="4" w:space="0" w:color="A6A6A6" w:themeColor="background1" w:themeShade="A6"/>
              <w:right w:val="nil"/>
            </w:tcBorders>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r>
      <w:tr w:rsidR="005C4E81" w:rsidRPr="00C66550" w:rsidTr="00C710CD">
        <w:tc>
          <w:tcPr>
            <w:cnfStyle w:val="001000000000"/>
            <w:tcW w:w="3545" w:type="dxa"/>
            <w:tcBorders>
              <w:top w:val="single" w:sz="4" w:space="0" w:color="A6A6A6" w:themeColor="background1" w:themeShade="A6"/>
              <w:left w:val="nil"/>
              <w:bottom w:val="single" w:sz="4" w:space="0" w:color="A6A6A6" w:themeColor="background1" w:themeShade="A6"/>
              <w:right w:val="nil"/>
            </w:tcBorders>
          </w:tcPr>
          <w:p w:rsidR="009F01F2" w:rsidRPr="00C66550" w:rsidRDefault="009F01F2">
            <w:pPr>
              <w:rPr>
                <w:rFonts w:asciiTheme="minorHAnsi" w:hAnsiTheme="minorHAnsi"/>
                <w:color w:val="000000"/>
                <w:sz w:val="18"/>
                <w:szCs w:val="18"/>
              </w:rPr>
            </w:pPr>
            <w:r w:rsidRPr="00C66550">
              <w:rPr>
                <w:rFonts w:asciiTheme="minorHAnsi" w:hAnsiTheme="minorHAnsi"/>
                <w:color w:val="000000"/>
                <w:sz w:val="18"/>
                <w:szCs w:val="18"/>
              </w:rPr>
              <w:t>Reduce waste disposal to landfill, compared to business-as-usual projections</w:t>
            </w:r>
          </w:p>
        </w:tc>
        <w:tc>
          <w:tcPr>
            <w:tcW w:w="629" w:type="dxa"/>
            <w:tcBorders>
              <w:top w:val="single" w:sz="4" w:space="0" w:color="A6A6A6" w:themeColor="background1" w:themeShade="A6"/>
              <w:left w:val="nil"/>
              <w:bottom w:val="single" w:sz="4" w:space="0" w:color="A6A6A6" w:themeColor="background1" w:themeShade="A6"/>
              <w:right w:val="nil"/>
            </w:tcBorders>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426"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742"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2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51"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51"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2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2313" w:type="dxa"/>
            <w:gridSpan w:val="3"/>
            <w:tcBorders>
              <w:top w:val="single" w:sz="4" w:space="0" w:color="A6A6A6" w:themeColor="background1" w:themeShade="A6"/>
              <w:left w:val="nil"/>
              <w:bottom w:val="single" w:sz="4" w:space="0" w:color="A6A6A6" w:themeColor="background1" w:themeShade="A6"/>
              <w:right w:val="nil"/>
            </w:tcBorders>
          </w:tcPr>
          <w:p w:rsidR="009F01F2" w:rsidRPr="00C66550" w:rsidRDefault="009F01F2" w:rsidP="005C4E81">
            <w:pP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Reduce landfill disposal by 25% – 4.6 </w:t>
            </w:r>
            <w:r w:rsidR="00B80855" w:rsidRPr="00C66550">
              <w:rPr>
                <w:rFonts w:asciiTheme="minorHAnsi" w:hAnsiTheme="minorHAnsi"/>
                <w:color w:val="000000"/>
                <w:sz w:val="18"/>
                <w:szCs w:val="18"/>
              </w:rPr>
              <w:t>Mt</w:t>
            </w:r>
            <w:r w:rsidRPr="00C66550">
              <w:rPr>
                <w:rFonts w:asciiTheme="minorHAnsi" w:hAnsiTheme="minorHAnsi"/>
                <w:color w:val="000000"/>
                <w:sz w:val="18"/>
                <w:szCs w:val="18"/>
              </w:rPr>
              <w:t xml:space="preserve"> of avoided landfill disposal since 2010</w:t>
            </w:r>
          </w:p>
        </w:tc>
        <w:tc>
          <w:tcPr>
            <w:tcW w:w="2268" w:type="dxa"/>
            <w:gridSpan w:val="3"/>
            <w:tcBorders>
              <w:top w:val="single" w:sz="4" w:space="0" w:color="A6A6A6" w:themeColor="background1" w:themeShade="A6"/>
              <w:left w:val="nil"/>
              <w:bottom w:val="single" w:sz="4" w:space="0" w:color="A6A6A6" w:themeColor="background1" w:themeShade="A6"/>
              <w:right w:val="nil"/>
            </w:tcBorders>
          </w:tcPr>
          <w:p w:rsidR="009F01F2" w:rsidRPr="00C66550" w:rsidRDefault="009F01F2" w:rsidP="005C4E81">
            <w:pP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Reduce landfill disposal by 40% – 9.9 </w:t>
            </w:r>
            <w:r w:rsidR="00B80855" w:rsidRPr="00C66550">
              <w:rPr>
                <w:rFonts w:asciiTheme="minorHAnsi" w:hAnsiTheme="minorHAnsi"/>
                <w:color w:val="000000"/>
                <w:sz w:val="18"/>
                <w:szCs w:val="18"/>
              </w:rPr>
              <w:t>Mt</w:t>
            </w:r>
            <w:r w:rsidRPr="00C66550">
              <w:rPr>
                <w:rFonts w:asciiTheme="minorHAnsi" w:hAnsiTheme="minorHAnsi"/>
                <w:color w:val="000000"/>
                <w:sz w:val="18"/>
                <w:szCs w:val="18"/>
              </w:rPr>
              <w:t xml:space="preserve"> of additional avoided landfill disposal since 2014</w:t>
            </w:r>
          </w:p>
        </w:tc>
        <w:tc>
          <w:tcPr>
            <w:tcW w:w="2284" w:type="dxa"/>
            <w:gridSpan w:val="3"/>
            <w:tcBorders>
              <w:top w:val="single" w:sz="4" w:space="0" w:color="A6A6A6" w:themeColor="background1" w:themeShade="A6"/>
              <w:left w:val="nil"/>
              <w:bottom w:val="single" w:sz="4" w:space="0" w:color="A6A6A6" w:themeColor="background1" w:themeShade="A6"/>
              <w:right w:val="nil"/>
            </w:tcBorders>
          </w:tcPr>
          <w:p w:rsidR="009F01F2" w:rsidRPr="00C66550" w:rsidRDefault="009F01F2" w:rsidP="005C4E81">
            <w:pP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Reduce landfill disposal by 50% – 16.3 </w:t>
            </w:r>
            <w:r w:rsidR="00B80855" w:rsidRPr="00C66550">
              <w:rPr>
                <w:rFonts w:asciiTheme="minorHAnsi" w:hAnsiTheme="minorHAnsi"/>
                <w:color w:val="000000"/>
                <w:sz w:val="18"/>
                <w:szCs w:val="18"/>
              </w:rPr>
              <w:t>Mt</w:t>
            </w:r>
            <w:r w:rsidRPr="00C66550">
              <w:rPr>
                <w:rFonts w:asciiTheme="minorHAnsi" w:hAnsiTheme="minorHAnsi"/>
                <w:color w:val="000000"/>
                <w:sz w:val="18"/>
                <w:szCs w:val="18"/>
              </w:rPr>
              <w:t xml:space="preserve"> of additional avoided landfill disposal since 2017</w:t>
            </w:r>
          </w:p>
        </w:tc>
      </w:tr>
      <w:tr w:rsidR="00C4273A" w:rsidRPr="00C66550" w:rsidTr="00C710CD">
        <w:tc>
          <w:tcPr>
            <w:cnfStyle w:val="001000000000"/>
            <w:tcW w:w="3545" w:type="dxa"/>
            <w:tcBorders>
              <w:top w:val="single" w:sz="4" w:space="0" w:color="A6A6A6" w:themeColor="background1" w:themeShade="A6"/>
              <w:left w:val="nil"/>
              <w:bottom w:val="single" w:sz="4" w:space="0" w:color="A6A6A6" w:themeColor="background1" w:themeShade="A6"/>
              <w:right w:val="nil"/>
            </w:tcBorders>
          </w:tcPr>
          <w:p w:rsidR="009F01F2" w:rsidRPr="00C66550" w:rsidRDefault="009F01F2" w:rsidP="001E761C">
            <w:pPr>
              <w:rPr>
                <w:rFonts w:asciiTheme="minorHAnsi" w:hAnsiTheme="minorHAnsi"/>
                <w:color w:val="000000"/>
                <w:sz w:val="18"/>
                <w:szCs w:val="18"/>
              </w:rPr>
            </w:pPr>
            <w:r w:rsidRPr="00C66550">
              <w:rPr>
                <w:rFonts w:asciiTheme="minorHAnsi" w:hAnsiTheme="minorHAnsi"/>
                <w:color w:val="000000"/>
                <w:sz w:val="18"/>
                <w:szCs w:val="18"/>
              </w:rPr>
              <w:t>State targets for recovery (%)</w:t>
            </w:r>
          </w:p>
        </w:tc>
        <w:tc>
          <w:tcPr>
            <w:tcW w:w="629"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MSW </w:t>
            </w:r>
            <w:r w:rsidR="009F01F2" w:rsidRPr="00C66550">
              <w:rPr>
                <w:rFonts w:asciiTheme="minorHAnsi" w:hAnsiTheme="minorHAnsi"/>
                <w:color w:val="000000"/>
                <w:sz w:val="18"/>
                <w:szCs w:val="18"/>
              </w:rPr>
              <w:t>23%</w:t>
            </w:r>
          </w:p>
        </w:tc>
        <w:tc>
          <w:tcPr>
            <w:tcW w:w="426"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C&amp;I </w:t>
            </w:r>
            <w:r w:rsidR="009F01F2" w:rsidRPr="00C66550">
              <w:rPr>
                <w:rFonts w:asciiTheme="minorHAnsi" w:hAnsiTheme="minorHAnsi"/>
                <w:color w:val="000000"/>
                <w:sz w:val="18"/>
                <w:szCs w:val="18"/>
              </w:rPr>
              <w:t>18%</w:t>
            </w:r>
          </w:p>
        </w:tc>
        <w:tc>
          <w:tcPr>
            <w:tcW w:w="742"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C&amp;D </w:t>
            </w:r>
            <w:r w:rsidR="009F01F2" w:rsidRPr="00C66550">
              <w:rPr>
                <w:rFonts w:asciiTheme="minorHAnsi" w:hAnsiTheme="minorHAnsi"/>
                <w:color w:val="000000"/>
                <w:sz w:val="18"/>
                <w:szCs w:val="18"/>
              </w:rPr>
              <w:t>35%</w:t>
            </w:r>
          </w:p>
        </w:tc>
        <w:tc>
          <w:tcPr>
            <w:tcW w:w="52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rsidP="005C4E81">
            <w:pPr>
              <w:jc w:val="center"/>
              <w:cnfStyle w:val="000000000000"/>
              <w:rPr>
                <w:rFonts w:asciiTheme="minorHAnsi" w:hAnsiTheme="minorHAnsi"/>
                <w:color w:val="000000"/>
                <w:sz w:val="18"/>
                <w:szCs w:val="18"/>
              </w:rPr>
            </w:pPr>
          </w:p>
        </w:tc>
        <w:tc>
          <w:tcPr>
            <w:tcW w:w="551"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rsidP="005C4E81">
            <w:pPr>
              <w:jc w:val="center"/>
              <w:cnfStyle w:val="000000000000"/>
              <w:rPr>
                <w:rFonts w:asciiTheme="minorHAnsi" w:hAnsiTheme="minorHAnsi"/>
                <w:color w:val="000000"/>
                <w:sz w:val="18"/>
                <w:szCs w:val="18"/>
              </w:rPr>
            </w:pPr>
          </w:p>
        </w:tc>
        <w:tc>
          <w:tcPr>
            <w:tcW w:w="551"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rsidP="005C4E81">
            <w:pPr>
              <w:jc w:val="center"/>
              <w:cnfStyle w:val="000000000000"/>
              <w:rPr>
                <w:rFonts w:asciiTheme="minorHAnsi" w:hAnsiTheme="minorHAnsi"/>
                <w:color w:val="000000"/>
                <w:sz w:val="18"/>
                <w:szCs w:val="18"/>
              </w:rPr>
            </w:pPr>
          </w:p>
        </w:tc>
        <w:tc>
          <w:tcPr>
            <w:tcW w:w="52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rsidP="005C4E81">
            <w:pPr>
              <w:jc w:val="center"/>
              <w:cnfStyle w:val="000000000000"/>
              <w:rPr>
                <w:rFonts w:asciiTheme="minorHAnsi" w:hAnsiTheme="minorHAnsi"/>
                <w:color w:val="000000"/>
                <w:sz w:val="18"/>
                <w:szCs w:val="18"/>
              </w:rPr>
            </w:pP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rsidP="005C4E81">
            <w:pPr>
              <w:jc w:val="center"/>
              <w:cnfStyle w:val="000000000000"/>
              <w:rPr>
                <w:rFonts w:asciiTheme="minorHAnsi" w:hAnsiTheme="minorHAnsi"/>
                <w:color w:val="000000"/>
                <w:sz w:val="18"/>
                <w:szCs w:val="18"/>
              </w:rPr>
            </w:pP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F01F2" w:rsidP="005C4E81">
            <w:pPr>
              <w:jc w:val="center"/>
              <w:cnfStyle w:val="000000000000"/>
              <w:rPr>
                <w:rFonts w:asciiTheme="minorHAnsi" w:hAnsiTheme="minorHAnsi"/>
                <w:color w:val="000000"/>
                <w:sz w:val="18"/>
                <w:szCs w:val="18"/>
              </w:rPr>
            </w:pPr>
          </w:p>
        </w:tc>
        <w:tc>
          <w:tcPr>
            <w:tcW w:w="657"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MSW </w:t>
            </w:r>
            <w:r w:rsidR="009F01F2" w:rsidRPr="00C66550">
              <w:rPr>
                <w:rFonts w:asciiTheme="minorHAnsi" w:hAnsiTheme="minorHAnsi"/>
                <w:color w:val="000000"/>
                <w:sz w:val="18"/>
                <w:szCs w:val="18"/>
              </w:rPr>
              <w:t>50%</w:t>
            </w:r>
          </w:p>
        </w:tc>
        <w:tc>
          <w:tcPr>
            <w:tcW w:w="477"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C&amp;I </w:t>
            </w:r>
            <w:r w:rsidR="009F01F2" w:rsidRPr="00C66550">
              <w:rPr>
                <w:rFonts w:asciiTheme="minorHAnsi" w:hAnsiTheme="minorHAnsi"/>
                <w:color w:val="000000"/>
                <w:sz w:val="18"/>
                <w:szCs w:val="18"/>
              </w:rPr>
              <w:t>40%</w:t>
            </w:r>
          </w:p>
        </w:tc>
        <w:tc>
          <w:tcPr>
            <w:tcW w:w="1179" w:type="dxa"/>
            <w:tcBorders>
              <w:top w:val="single" w:sz="4" w:space="0" w:color="A6A6A6" w:themeColor="background1" w:themeShade="A6"/>
              <w:left w:val="nil"/>
              <w:bottom w:val="single" w:sz="4" w:space="0" w:color="A6A6A6" w:themeColor="background1" w:themeShade="A6"/>
              <w:right w:val="nil"/>
            </w:tcBorders>
            <w:vAlign w:val="bottom"/>
          </w:tcPr>
          <w:p w:rsidR="0099792E"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C&amp;D </w:t>
            </w:r>
          </w:p>
          <w:p w:rsidR="009F01F2" w:rsidRPr="00C66550" w:rsidRDefault="009F01F2"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50%</w:t>
            </w:r>
          </w:p>
        </w:tc>
        <w:tc>
          <w:tcPr>
            <w:tcW w:w="588"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MSW</w:t>
            </w:r>
            <w:r w:rsidR="009F01F2" w:rsidRPr="00C66550">
              <w:rPr>
                <w:rFonts w:asciiTheme="minorHAnsi" w:hAnsiTheme="minorHAnsi"/>
                <w:color w:val="000000"/>
                <w:sz w:val="18"/>
                <w:szCs w:val="18"/>
              </w:rPr>
              <w:t>55%</w:t>
            </w:r>
          </w:p>
        </w:tc>
        <w:tc>
          <w:tcPr>
            <w:tcW w:w="427"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C&amp;I</w:t>
            </w:r>
            <w:r w:rsidR="009F01F2" w:rsidRPr="00C66550">
              <w:rPr>
                <w:rFonts w:asciiTheme="minorHAnsi" w:hAnsiTheme="minorHAnsi"/>
                <w:color w:val="000000"/>
                <w:sz w:val="18"/>
                <w:szCs w:val="18"/>
              </w:rPr>
              <w:t>50%</w:t>
            </w:r>
          </w:p>
        </w:tc>
        <w:tc>
          <w:tcPr>
            <w:tcW w:w="1253" w:type="dxa"/>
            <w:tcBorders>
              <w:top w:val="single" w:sz="4" w:space="0" w:color="A6A6A6" w:themeColor="background1" w:themeShade="A6"/>
              <w:left w:val="nil"/>
              <w:bottom w:val="single" w:sz="4" w:space="0" w:color="A6A6A6" w:themeColor="background1" w:themeShade="A6"/>
              <w:right w:val="nil"/>
            </w:tcBorders>
            <w:vAlign w:val="bottom"/>
          </w:tcPr>
          <w:p w:rsidR="0099792E"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C&amp;D </w:t>
            </w:r>
          </w:p>
          <w:p w:rsidR="009F01F2" w:rsidRPr="00C66550" w:rsidRDefault="009F01F2"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60%</w:t>
            </w:r>
          </w:p>
        </w:tc>
        <w:tc>
          <w:tcPr>
            <w:tcW w:w="834" w:type="dxa"/>
            <w:tcBorders>
              <w:top w:val="single" w:sz="4" w:space="0" w:color="A6A6A6" w:themeColor="background1" w:themeShade="A6"/>
              <w:left w:val="nil"/>
              <w:bottom w:val="single" w:sz="4" w:space="0" w:color="A6A6A6" w:themeColor="background1" w:themeShade="A6"/>
              <w:right w:val="nil"/>
            </w:tcBorders>
            <w:vAlign w:val="bottom"/>
          </w:tcPr>
          <w:p w:rsidR="0099792E"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MSW</w:t>
            </w:r>
          </w:p>
          <w:p w:rsidR="009F01F2" w:rsidRPr="00C66550" w:rsidRDefault="009F01F2"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65%</w:t>
            </w:r>
          </w:p>
        </w:tc>
        <w:tc>
          <w:tcPr>
            <w:tcW w:w="442" w:type="dxa"/>
            <w:tcBorders>
              <w:top w:val="single" w:sz="4" w:space="0" w:color="A6A6A6" w:themeColor="background1" w:themeShade="A6"/>
              <w:left w:val="nil"/>
              <w:bottom w:val="single" w:sz="4" w:space="0" w:color="A6A6A6" w:themeColor="background1" w:themeShade="A6"/>
              <w:right w:val="nil"/>
            </w:tcBorders>
            <w:vAlign w:val="bottom"/>
          </w:tcPr>
          <w:p w:rsidR="009F01F2"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C&amp;I</w:t>
            </w:r>
            <w:r w:rsidR="009F01F2" w:rsidRPr="00C66550">
              <w:rPr>
                <w:rFonts w:asciiTheme="minorHAnsi" w:hAnsiTheme="minorHAnsi"/>
                <w:color w:val="000000"/>
                <w:sz w:val="18"/>
                <w:szCs w:val="18"/>
              </w:rPr>
              <w:t>60%</w:t>
            </w:r>
          </w:p>
        </w:tc>
        <w:tc>
          <w:tcPr>
            <w:tcW w:w="1008" w:type="dxa"/>
            <w:tcBorders>
              <w:top w:val="single" w:sz="4" w:space="0" w:color="A6A6A6" w:themeColor="background1" w:themeShade="A6"/>
              <w:left w:val="nil"/>
              <w:bottom w:val="single" w:sz="4" w:space="0" w:color="A6A6A6" w:themeColor="background1" w:themeShade="A6"/>
              <w:right w:val="nil"/>
            </w:tcBorders>
            <w:vAlign w:val="bottom"/>
          </w:tcPr>
          <w:p w:rsidR="0099792E"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C&amp;D</w:t>
            </w:r>
          </w:p>
          <w:p w:rsidR="009F01F2" w:rsidRPr="00C66550" w:rsidRDefault="009F01F2"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75%</w:t>
            </w:r>
          </w:p>
        </w:tc>
      </w:tr>
      <w:tr w:rsidR="00C4273A" w:rsidRPr="00C66550" w:rsidTr="00C710CD">
        <w:tc>
          <w:tcPr>
            <w:cnfStyle w:val="001000000000"/>
            <w:tcW w:w="3545" w:type="dxa"/>
            <w:tcBorders>
              <w:top w:val="single" w:sz="4" w:space="0" w:color="A6A6A6" w:themeColor="background1" w:themeShade="A6"/>
              <w:left w:val="nil"/>
              <w:bottom w:val="single" w:sz="4" w:space="0" w:color="A6A6A6" w:themeColor="background1" w:themeShade="A6"/>
              <w:right w:val="nil"/>
            </w:tcBorders>
          </w:tcPr>
          <w:p w:rsidR="00C4273A" w:rsidRPr="00C66550" w:rsidRDefault="000F229E" w:rsidP="000F229E">
            <w:pPr>
              <w:rPr>
                <w:rFonts w:asciiTheme="minorHAnsi" w:hAnsiTheme="minorHAnsi"/>
                <w:color w:val="000000"/>
                <w:sz w:val="18"/>
                <w:szCs w:val="18"/>
              </w:rPr>
            </w:pPr>
            <w:r w:rsidRPr="00C66550">
              <w:rPr>
                <w:rFonts w:asciiTheme="minorHAnsi" w:hAnsiTheme="minorHAnsi"/>
                <w:color w:val="000000"/>
                <w:sz w:val="18"/>
                <w:szCs w:val="18"/>
              </w:rPr>
              <w:t>States target for hazardous waste recycling</w:t>
            </w:r>
          </w:p>
        </w:tc>
        <w:tc>
          <w:tcPr>
            <w:tcW w:w="1797" w:type="dxa"/>
            <w:gridSpan w:val="3"/>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99792E" w:rsidP="00C4273A">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xml:space="preserve">All streams </w:t>
            </w:r>
            <w:r w:rsidR="00C4273A" w:rsidRPr="00C66550">
              <w:rPr>
                <w:rFonts w:asciiTheme="minorHAnsi" w:hAnsiTheme="minorHAnsi"/>
                <w:color w:val="000000"/>
                <w:sz w:val="18"/>
                <w:szCs w:val="18"/>
              </w:rPr>
              <w:t>30%</w:t>
            </w:r>
          </w:p>
        </w:tc>
        <w:tc>
          <w:tcPr>
            <w:tcW w:w="520" w:type="dxa"/>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p>
        </w:tc>
        <w:tc>
          <w:tcPr>
            <w:tcW w:w="551" w:type="dxa"/>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p>
        </w:tc>
        <w:tc>
          <w:tcPr>
            <w:tcW w:w="551" w:type="dxa"/>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p>
        </w:tc>
        <w:tc>
          <w:tcPr>
            <w:tcW w:w="520" w:type="dxa"/>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p>
        </w:tc>
        <w:tc>
          <w:tcPr>
            <w:tcW w:w="385" w:type="dxa"/>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p>
        </w:tc>
        <w:tc>
          <w:tcPr>
            <w:tcW w:w="450" w:type="dxa"/>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p>
        </w:tc>
        <w:tc>
          <w:tcPr>
            <w:tcW w:w="2313" w:type="dxa"/>
            <w:gridSpan w:val="3"/>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35%</w:t>
            </w:r>
          </w:p>
        </w:tc>
        <w:tc>
          <w:tcPr>
            <w:tcW w:w="2268" w:type="dxa"/>
            <w:gridSpan w:val="3"/>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40%</w:t>
            </w:r>
          </w:p>
        </w:tc>
        <w:tc>
          <w:tcPr>
            <w:tcW w:w="2284" w:type="dxa"/>
            <w:gridSpan w:val="3"/>
            <w:tcBorders>
              <w:top w:val="single" w:sz="4" w:space="0" w:color="A6A6A6" w:themeColor="background1" w:themeShade="A6"/>
              <w:left w:val="nil"/>
              <w:bottom w:val="single" w:sz="4" w:space="0" w:color="A6A6A6" w:themeColor="background1" w:themeShade="A6"/>
              <w:right w:val="nil"/>
            </w:tcBorders>
            <w:vAlign w:val="center"/>
          </w:tcPr>
          <w:p w:rsidR="00C4273A" w:rsidRPr="00C66550" w:rsidRDefault="00C4273A" w:rsidP="00C4273A">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45%</w:t>
            </w:r>
          </w:p>
        </w:tc>
      </w:tr>
      <w:tr w:rsidR="000F229E" w:rsidRPr="00C66550" w:rsidTr="00C710CD">
        <w:tc>
          <w:tcPr>
            <w:cnfStyle w:val="001000000000"/>
            <w:tcW w:w="3545" w:type="dxa"/>
            <w:tcBorders>
              <w:top w:val="single" w:sz="4" w:space="0" w:color="A6A6A6" w:themeColor="background1" w:themeShade="A6"/>
              <w:left w:val="nil"/>
              <w:bottom w:val="single" w:sz="4" w:space="0" w:color="A6A6A6" w:themeColor="background1" w:themeShade="A6"/>
              <w:right w:val="nil"/>
            </w:tcBorders>
          </w:tcPr>
          <w:p w:rsidR="005C4E81" w:rsidRPr="00C66550" w:rsidRDefault="005C4E81">
            <w:pPr>
              <w:rPr>
                <w:rFonts w:asciiTheme="minorHAnsi" w:hAnsiTheme="minorHAnsi"/>
                <w:color w:val="000000"/>
                <w:sz w:val="18"/>
                <w:szCs w:val="18"/>
              </w:rPr>
            </w:pPr>
            <w:r w:rsidRPr="00C66550">
              <w:rPr>
                <w:rFonts w:asciiTheme="minorHAnsi" w:hAnsiTheme="minorHAnsi"/>
                <w:color w:val="000000"/>
                <w:sz w:val="18"/>
                <w:szCs w:val="18"/>
              </w:rPr>
              <w:t>Target 150: increase recycling of household waste to 150 kg per person per year</w:t>
            </w:r>
          </w:p>
        </w:tc>
        <w:tc>
          <w:tcPr>
            <w:tcW w:w="1797" w:type="dxa"/>
            <w:gridSpan w:val="3"/>
            <w:tcBorders>
              <w:top w:val="single" w:sz="4" w:space="0" w:color="A6A6A6" w:themeColor="background1" w:themeShade="A6"/>
              <w:left w:val="nil"/>
              <w:bottom w:val="single" w:sz="4" w:space="0" w:color="A6A6A6" w:themeColor="background1" w:themeShade="A6"/>
              <w:right w:val="nil"/>
            </w:tcBorders>
          </w:tcPr>
          <w:p w:rsidR="005C4E81" w:rsidRPr="00C66550" w:rsidRDefault="005C4E81" w:rsidP="00C71FF3">
            <w:pPr>
              <w:cnfStyle w:val="000000000000"/>
              <w:rPr>
                <w:rFonts w:asciiTheme="minorHAnsi" w:hAnsiTheme="minorHAnsi"/>
                <w:color w:val="000000"/>
                <w:sz w:val="18"/>
                <w:szCs w:val="18"/>
              </w:rPr>
            </w:pPr>
            <w:r w:rsidRPr="00C66550">
              <w:rPr>
                <w:rFonts w:asciiTheme="minorHAnsi" w:hAnsiTheme="minorHAnsi"/>
                <w:color w:val="000000"/>
                <w:sz w:val="18"/>
                <w:szCs w:val="18"/>
              </w:rPr>
              <w:t>64 kg per person per year</w:t>
            </w:r>
          </w:p>
        </w:tc>
        <w:tc>
          <w:tcPr>
            <w:tcW w:w="520" w:type="dxa"/>
            <w:tcBorders>
              <w:top w:val="single" w:sz="4" w:space="0" w:color="A6A6A6" w:themeColor="background1" w:themeShade="A6"/>
              <w:left w:val="nil"/>
              <w:bottom w:val="single" w:sz="4" w:space="0" w:color="A6A6A6" w:themeColor="background1" w:themeShade="A6"/>
              <w:right w:val="nil"/>
            </w:tcBorders>
            <w:vAlign w:val="bottom"/>
          </w:tcPr>
          <w:p w:rsidR="005C4E81" w:rsidRPr="00C66550" w:rsidRDefault="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51" w:type="dxa"/>
            <w:tcBorders>
              <w:top w:val="single" w:sz="4" w:space="0" w:color="A6A6A6" w:themeColor="background1" w:themeShade="A6"/>
              <w:left w:val="nil"/>
              <w:bottom w:val="single" w:sz="4" w:space="0" w:color="A6A6A6" w:themeColor="background1" w:themeShade="A6"/>
              <w:right w:val="nil"/>
            </w:tcBorders>
            <w:vAlign w:val="bottom"/>
          </w:tcPr>
          <w:p w:rsidR="005C4E81" w:rsidRPr="00C66550" w:rsidRDefault="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51" w:type="dxa"/>
            <w:tcBorders>
              <w:top w:val="single" w:sz="4" w:space="0" w:color="A6A6A6" w:themeColor="background1" w:themeShade="A6"/>
              <w:left w:val="nil"/>
              <w:bottom w:val="single" w:sz="4" w:space="0" w:color="A6A6A6" w:themeColor="background1" w:themeShade="A6"/>
              <w:right w:val="nil"/>
            </w:tcBorders>
            <w:vAlign w:val="bottom"/>
          </w:tcPr>
          <w:p w:rsidR="005C4E81" w:rsidRPr="00C66550" w:rsidRDefault="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520" w:type="dxa"/>
            <w:tcBorders>
              <w:top w:val="single" w:sz="4" w:space="0" w:color="A6A6A6" w:themeColor="background1" w:themeShade="A6"/>
              <w:left w:val="nil"/>
              <w:bottom w:val="single" w:sz="4" w:space="0" w:color="A6A6A6" w:themeColor="background1" w:themeShade="A6"/>
              <w:right w:val="nil"/>
            </w:tcBorders>
            <w:vAlign w:val="bottom"/>
          </w:tcPr>
          <w:p w:rsidR="005C4E81" w:rsidRPr="00C66550" w:rsidRDefault="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5C4E81" w:rsidRPr="00C66550" w:rsidRDefault="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5C4E81" w:rsidRPr="00C66550" w:rsidRDefault="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2313" w:type="dxa"/>
            <w:gridSpan w:val="3"/>
            <w:tcBorders>
              <w:top w:val="single" w:sz="4" w:space="0" w:color="A6A6A6" w:themeColor="background1" w:themeShade="A6"/>
              <w:left w:val="nil"/>
              <w:bottom w:val="single" w:sz="4" w:space="0" w:color="A6A6A6" w:themeColor="background1" w:themeShade="A6"/>
              <w:right w:val="nil"/>
            </w:tcBorders>
          </w:tcPr>
          <w:p w:rsidR="005C4E81" w:rsidRPr="00C66550" w:rsidRDefault="005C4E81" w:rsidP="00C71FF3">
            <w:pPr>
              <w:cnfStyle w:val="000000000000"/>
              <w:rPr>
                <w:rFonts w:asciiTheme="minorHAnsi" w:hAnsiTheme="minorHAnsi"/>
                <w:color w:val="000000"/>
                <w:sz w:val="18"/>
                <w:szCs w:val="18"/>
              </w:rPr>
            </w:pPr>
            <w:r w:rsidRPr="00C66550">
              <w:rPr>
                <w:rFonts w:asciiTheme="minorHAnsi" w:hAnsiTheme="minorHAnsi"/>
                <w:color w:val="000000"/>
                <w:sz w:val="18"/>
                <w:szCs w:val="18"/>
              </w:rPr>
              <w:t>80 kg per person per year</w:t>
            </w:r>
          </w:p>
        </w:tc>
        <w:tc>
          <w:tcPr>
            <w:tcW w:w="2268" w:type="dxa"/>
            <w:gridSpan w:val="3"/>
            <w:tcBorders>
              <w:top w:val="single" w:sz="4" w:space="0" w:color="A6A6A6" w:themeColor="background1" w:themeShade="A6"/>
              <w:left w:val="nil"/>
              <w:bottom w:val="single" w:sz="4" w:space="0" w:color="A6A6A6" w:themeColor="background1" w:themeShade="A6"/>
              <w:right w:val="nil"/>
            </w:tcBorders>
          </w:tcPr>
          <w:p w:rsidR="005C4E81" w:rsidRPr="00C66550" w:rsidRDefault="005C4E81" w:rsidP="00C71FF3">
            <w:pPr>
              <w:cnfStyle w:val="000000000000"/>
              <w:rPr>
                <w:rFonts w:asciiTheme="minorHAnsi" w:hAnsiTheme="minorHAnsi"/>
                <w:color w:val="000000"/>
                <w:sz w:val="18"/>
                <w:szCs w:val="18"/>
              </w:rPr>
            </w:pPr>
            <w:r w:rsidRPr="00C66550">
              <w:rPr>
                <w:rFonts w:asciiTheme="minorHAnsi" w:hAnsiTheme="minorHAnsi"/>
                <w:color w:val="000000"/>
                <w:sz w:val="18"/>
                <w:szCs w:val="18"/>
              </w:rPr>
              <w:t>100 kg per person per year</w:t>
            </w:r>
          </w:p>
        </w:tc>
        <w:tc>
          <w:tcPr>
            <w:tcW w:w="2284" w:type="dxa"/>
            <w:gridSpan w:val="3"/>
            <w:tcBorders>
              <w:top w:val="single" w:sz="4" w:space="0" w:color="A6A6A6" w:themeColor="background1" w:themeShade="A6"/>
              <w:left w:val="nil"/>
              <w:bottom w:val="single" w:sz="4" w:space="0" w:color="A6A6A6" w:themeColor="background1" w:themeShade="A6"/>
              <w:right w:val="nil"/>
            </w:tcBorders>
          </w:tcPr>
          <w:p w:rsidR="005C4E81" w:rsidRPr="00C66550" w:rsidRDefault="005C4E81" w:rsidP="00C71FF3">
            <w:pPr>
              <w:cnfStyle w:val="000000000000"/>
              <w:rPr>
                <w:rFonts w:asciiTheme="minorHAnsi" w:hAnsiTheme="minorHAnsi"/>
                <w:color w:val="000000"/>
                <w:sz w:val="18"/>
                <w:szCs w:val="18"/>
              </w:rPr>
            </w:pPr>
            <w:r w:rsidRPr="00C66550">
              <w:rPr>
                <w:rFonts w:asciiTheme="minorHAnsi" w:hAnsiTheme="minorHAnsi"/>
                <w:color w:val="000000"/>
                <w:sz w:val="18"/>
                <w:szCs w:val="18"/>
              </w:rPr>
              <w:t>150 kg per person per year</w:t>
            </w:r>
          </w:p>
        </w:tc>
      </w:tr>
      <w:tr w:rsidR="0099792E" w:rsidRPr="00C66550" w:rsidTr="00A56E17">
        <w:trPr>
          <w:trHeight w:val="524"/>
        </w:trPr>
        <w:tc>
          <w:tcPr>
            <w:cnfStyle w:val="001000000000"/>
            <w:tcW w:w="3545" w:type="dxa"/>
            <w:tcBorders>
              <w:top w:val="single" w:sz="4" w:space="0" w:color="A6A6A6" w:themeColor="background1" w:themeShade="A6"/>
              <w:left w:val="nil"/>
              <w:bottom w:val="single" w:sz="4" w:space="0" w:color="A6A6A6" w:themeColor="background1" w:themeShade="A6"/>
              <w:right w:val="nil"/>
            </w:tcBorders>
          </w:tcPr>
          <w:p w:rsidR="0099792E" w:rsidRPr="00C66550" w:rsidRDefault="0099792E">
            <w:pPr>
              <w:rPr>
                <w:rFonts w:asciiTheme="minorHAnsi" w:hAnsiTheme="minorHAnsi"/>
                <w:color w:val="000000"/>
                <w:sz w:val="18"/>
                <w:szCs w:val="18"/>
              </w:rPr>
            </w:pPr>
            <w:r w:rsidRPr="00C66550">
              <w:rPr>
                <w:rFonts w:asciiTheme="minorHAnsi" w:hAnsiTheme="minorHAnsi"/>
                <w:color w:val="000000"/>
                <w:sz w:val="18"/>
                <w:szCs w:val="18"/>
              </w:rPr>
              <w:t>Landfill levies ($/tonne)</w:t>
            </w:r>
          </w:p>
        </w:tc>
        <w:tc>
          <w:tcPr>
            <w:tcW w:w="2317" w:type="dxa"/>
            <w:gridSpan w:val="4"/>
            <w:tcBorders>
              <w:top w:val="single" w:sz="4" w:space="0" w:color="A6A6A6" w:themeColor="background1" w:themeShade="A6"/>
              <w:left w:val="nil"/>
              <w:bottom w:val="single" w:sz="4" w:space="0" w:color="A6A6A6" w:themeColor="background1" w:themeShade="A6"/>
              <w:right w:val="nil"/>
            </w:tcBorders>
          </w:tcPr>
          <w:p w:rsidR="0099792E" w:rsidRPr="00C66550" w:rsidRDefault="0099792E" w:rsidP="005C4E81">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No landfill levies before 2011</w:t>
            </w:r>
          </w:p>
        </w:tc>
        <w:tc>
          <w:tcPr>
            <w:tcW w:w="1102" w:type="dxa"/>
            <w:gridSpan w:val="2"/>
            <w:tcBorders>
              <w:top w:val="single" w:sz="4" w:space="0" w:color="A6A6A6" w:themeColor="background1" w:themeShade="A6"/>
              <w:left w:val="nil"/>
              <w:bottom w:val="single" w:sz="4" w:space="0" w:color="A6A6A6" w:themeColor="background1" w:themeShade="A6"/>
              <w:right w:val="nil"/>
            </w:tcBorders>
          </w:tcPr>
          <w:p w:rsidR="0099792E" w:rsidRPr="00C66550" w:rsidRDefault="0099792E" w:rsidP="0099792E">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C&amp;I and C&amp;D $35, MSW $0</w:t>
            </w:r>
          </w:p>
        </w:tc>
        <w:tc>
          <w:tcPr>
            <w:tcW w:w="6770" w:type="dxa"/>
            <w:gridSpan w:val="10"/>
            <w:tcBorders>
              <w:top w:val="single" w:sz="4" w:space="0" w:color="A6A6A6" w:themeColor="background1" w:themeShade="A6"/>
              <w:left w:val="nil"/>
              <w:bottom w:val="single" w:sz="4" w:space="0" w:color="A6A6A6" w:themeColor="background1" w:themeShade="A6"/>
              <w:right w:val="nil"/>
            </w:tcBorders>
          </w:tcPr>
          <w:p w:rsidR="0099792E" w:rsidRPr="00C66550" w:rsidRDefault="0099792E" w:rsidP="00E500D8">
            <w:pPr>
              <w:jc w:val="center"/>
              <w:cnfStyle w:val="000000000000"/>
              <w:rPr>
                <w:rFonts w:asciiTheme="minorHAnsi" w:hAnsiTheme="minorHAnsi"/>
                <w:color w:val="000000"/>
                <w:sz w:val="18"/>
                <w:szCs w:val="18"/>
              </w:rPr>
            </w:pPr>
            <w:r w:rsidRPr="00C66550">
              <w:rPr>
                <w:rFonts w:asciiTheme="minorHAnsi" w:hAnsiTheme="minorHAnsi"/>
                <w:color w:val="000000"/>
                <w:sz w:val="18"/>
                <w:szCs w:val="18"/>
              </w:rPr>
              <w:t>Levies revoked</w:t>
            </w:r>
            <w:r w:rsidR="00E500D8" w:rsidRPr="00C66550">
              <w:rPr>
                <w:rFonts w:asciiTheme="minorHAnsi" w:hAnsiTheme="minorHAnsi"/>
                <w:color w:val="000000"/>
                <w:sz w:val="18"/>
                <w:szCs w:val="18"/>
              </w:rPr>
              <w:t>—</w:t>
            </w:r>
            <w:r w:rsidRPr="00C66550">
              <w:rPr>
                <w:rFonts w:asciiTheme="minorHAnsi" w:hAnsiTheme="minorHAnsi"/>
                <w:color w:val="000000"/>
                <w:sz w:val="18"/>
                <w:szCs w:val="18"/>
              </w:rPr>
              <w:t>operational for seven months in 2011/12.</w:t>
            </w:r>
          </w:p>
        </w:tc>
        <w:tc>
          <w:tcPr>
            <w:tcW w:w="442" w:type="dxa"/>
            <w:tcBorders>
              <w:top w:val="single" w:sz="4" w:space="0" w:color="A6A6A6" w:themeColor="background1" w:themeShade="A6"/>
              <w:left w:val="nil"/>
              <w:bottom w:val="single" w:sz="4" w:space="0" w:color="A6A6A6" w:themeColor="background1" w:themeShade="A6"/>
              <w:right w:val="nil"/>
            </w:tcBorders>
            <w:vAlign w:val="bottom"/>
          </w:tcPr>
          <w:p w:rsidR="0099792E" w:rsidRPr="00C66550" w:rsidRDefault="0099792E">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c>
          <w:tcPr>
            <w:tcW w:w="1008" w:type="dxa"/>
            <w:tcBorders>
              <w:top w:val="single" w:sz="4" w:space="0" w:color="A6A6A6" w:themeColor="background1" w:themeShade="A6"/>
              <w:left w:val="nil"/>
              <w:bottom w:val="single" w:sz="4" w:space="0" w:color="A6A6A6" w:themeColor="background1" w:themeShade="A6"/>
              <w:right w:val="nil"/>
            </w:tcBorders>
          </w:tcPr>
          <w:p w:rsidR="0099792E" w:rsidRPr="00C66550" w:rsidRDefault="0099792E">
            <w:pPr>
              <w:cnfStyle w:val="000000000000"/>
              <w:rPr>
                <w:rFonts w:asciiTheme="minorHAnsi" w:hAnsiTheme="minorHAnsi"/>
                <w:color w:val="000000"/>
                <w:sz w:val="18"/>
                <w:szCs w:val="18"/>
              </w:rPr>
            </w:pPr>
            <w:r w:rsidRPr="00C66550">
              <w:rPr>
                <w:rFonts w:asciiTheme="minorHAnsi" w:hAnsiTheme="minorHAnsi"/>
                <w:color w:val="000000"/>
                <w:sz w:val="18"/>
                <w:szCs w:val="18"/>
              </w:rPr>
              <w:t> </w:t>
            </w:r>
          </w:p>
        </w:tc>
      </w:tr>
    </w:tbl>
    <w:p w:rsidR="003B6549" w:rsidRPr="00C66550" w:rsidRDefault="003B6549" w:rsidP="00CC6618">
      <w:pPr>
        <w:jc w:val="right"/>
        <w:rPr>
          <w:rFonts w:asciiTheme="minorHAnsi" w:hAnsiTheme="minorHAnsi"/>
          <w:b/>
          <w:color w:val="000000"/>
          <w:sz w:val="18"/>
          <w:szCs w:val="18"/>
        </w:rPr>
      </w:pPr>
    </w:p>
    <w:tbl>
      <w:tblPr>
        <w:tblStyle w:val="BETable1"/>
        <w:tblW w:w="5266" w:type="pct"/>
        <w:tblInd w:w="-9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3525"/>
        <w:gridCol w:w="576"/>
        <w:gridCol w:w="461"/>
        <w:gridCol w:w="1110"/>
        <w:gridCol w:w="592"/>
        <w:gridCol w:w="461"/>
        <w:gridCol w:w="1074"/>
        <w:gridCol w:w="649"/>
        <w:gridCol w:w="631"/>
        <w:gridCol w:w="710"/>
        <w:gridCol w:w="737"/>
        <w:gridCol w:w="461"/>
        <w:gridCol w:w="928"/>
        <w:gridCol w:w="598"/>
        <w:gridCol w:w="461"/>
        <w:gridCol w:w="549"/>
        <w:gridCol w:w="598"/>
        <w:gridCol w:w="516"/>
        <w:gridCol w:w="531"/>
      </w:tblGrid>
      <w:tr w:rsidR="00325656" w:rsidRPr="00C66550" w:rsidTr="00325656">
        <w:trPr>
          <w:cnfStyle w:val="100000000000"/>
          <w:tblHeader/>
        </w:trPr>
        <w:tc>
          <w:tcPr>
            <w:cnfStyle w:val="001000000000"/>
            <w:tcW w:w="1162" w:type="pct"/>
            <w:tcBorders>
              <w:top w:val="single" w:sz="4" w:space="0" w:color="A6A6A6" w:themeColor="background1" w:themeShade="A6"/>
              <w:bottom w:val="single" w:sz="4" w:space="0" w:color="A6A6A6" w:themeColor="background1" w:themeShade="A6"/>
            </w:tcBorders>
          </w:tcPr>
          <w:p w:rsidR="00AF4DE4" w:rsidRPr="00C66550" w:rsidRDefault="00AF4DE4" w:rsidP="001E761C">
            <w:pPr>
              <w:rPr>
                <w:szCs w:val="20"/>
              </w:rPr>
            </w:pPr>
            <w:r w:rsidRPr="00C66550">
              <w:rPr>
                <w:szCs w:val="20"/>
              </w:rPr>
              <w:lastRenderedPageBreak/>
              <w:t>SA summary of strategy, policy, targets</w:t>
            </w:r>
            <w:r w:rsidR="008A4E0C" w:rsidRPr="00C66550">
              <w:rPr>
                <w:rStyle w:val="FootnoteReference"/>
                <w:szCs w:val="20"/>
              </w:rPr>
              <w:footnoteReference w:id="21"/>
            </w:r>
          </w:p>
        </w:tc>
        <w:tc>
          <w:tcPr>
            <w:tcW w:w="708" w:type="pct"/>
            <w:gridSpan w:val="3"/>
            <w:tcBorders>
              <w:top w:val="single" w:sz="4" w:space="0" w:color="A6A6A6" w:themeColor="background1" w:themeShade="A6"/>
              <w:bottom w:val="single" w:sz="4" w:space="0" w:color="A6A6A6" w:themeColor="background1" w:themeShade="A6"/>
            </w:tcBorders>
            <w:vAlign w:val="center"/>
          </w:tcPr>
          <w:p w:rsidR="00AF4DE4" w:rsidRPr="00C66550" w:rsidRDefault="00AF4DE4" w:rsidP="00AF4DE4">
            <w:pPr>
              <w:jc w:val="center"/>
              <w:cnfStyle w:val="100000000000"/>
              <w:rPr>
                <w:szCs w:val="20"/>
              </w:rPr>
            </w:pPr>
            <w:r w:rsidRPr="00C66550">
              <w:rPr>
                <w:szCs w:val="20"/>
              </w:rPr>
              <w:t>2010</w:t>
            </w:r>
          </w:p>
        </w:tc>
        <w:tc>
          <w:tcPr>
            <w:tcW w:w="701" w:type="pct"/>
            <w:gridSpan w:val="3"/>
            <w:tcBorders>
              <w:top w:val="single" w:sz="4" w:space="0" w:color="A6A6A6" w:themeColor="background1" w:themeShade="A6"/>
              <w:bottom w:val="single" w:sz="4" w:space="0" w:color="A6A6A6" w:themeColor="background1" w:themeShade="A6"/>
            </w:tcBorders>
            <w:vAlign w:val="center"/>
          </w:tcPr>
          <w:p w:rsidR="00AF4DE4" w:rsidRPr="00C66550" w:rsidRDefault="00AF4DE4" w:rsidP="00AF4DE4">
            <w:pPr>
              <w:jc w:val="center"/>
              <w:cnfStyle w:val="100000000000"/>
              <w:rPr>
                <w:szCs w:val="20"/>
              </w:rPr>
            </w:pPr>
            <w:r w:rsidRPr="00C66550">
              <w:rPr>
                <w:szCs w:val="20"/>
              </w:rPr>
              <w:t>2011</w:t>
            </w:r>
          </w:p>
        </w:tc>
        <w:tc>
          <w:tcPr>
            <w:tcW w:w="656" w:type="pct"/>
            <w:gridSpan w:val="3"/>
            <w:tcBorders>
              <w:top w:val="single" w:sz="4" w:space="0" w:color="A6A6A6" w:themeColor="background1" w:themeShade="A6"/>
              <w:bottom w:val="single" w:sz="4" w:space="0" w:color="A6A6A6" w:themeColor="background1" w:themeShade="A6"/>
            </w:tcBorders>
            <w:vAlign w:val="center"/>
          </w:tcPr>
          <w:p w:rsidR="00AF4DE4" w:rsidRPr="00C66550" w:rsidRDefault="00AF4DE4" w:rsidP="00AF4DE4">
            <w:pPr>
              <w:jc w:val="center"/>
              <w:cnfStyle w:val="100000000000"/>
              <w:rPr>
                <w:szCs w:val="20"/>
              </w:rPr>
            </w:pPr>
            <w:r w:rsidRPr="00C66550">
              <w:rPr>
                <w:szCs w:val="20"/>
              </w:rPr>
              <w:t>2012</w:t>
            </w:r>
          </w:p>
        </w:tc>
        <w:tc>
          <w:tcPr>
            <w:tcW w:w="701" w:type="pct"/>
            <w:gridSpan w:val="3"/>
            <w:tcBorders>
              <w:top w:val="single" w:sz="4" w:space="0" w:color="A6A6A6" w:themeColor="background1" w:themeShade="A6"/>
              <w:bottom w:val="single" w:sz="4" w:space="0" w:color="A6A6A6" w:themeColor="background1" w:themeShade="A6"/>
            </w:tcBorders>
            <w:vAlign w:val="center"/>
          </w:tcPr>
          <w:p w:rsidR="00AF4DE4" w:rsidRPr="00C66550" w:rsidRDefault="00AF4DE4" w:rsidP="00AF4DE4">
            <w:pPr>
              <w:jc w:val="center"/>
              <w:cnfStyle w:val="100000000000"/>
              <w:rPr>
                <w:szCs w:val="20"/>
              </w:rPr>
            </w:pPr>
            <w:r w:rsidRPr="00C66550">
              <w:rPr>
                <w:szCs w:val="20"/>
              </w:rPr>
              <w:t>2013</w:t>
            </w:r>
          </w:p>
        </w:tc>
        <w:tc>
          <w:tcPr>
            <w:tcW w:w="530" w:type="pct"/>
            <w:gridSpan w:val="3"/>
            <w:tcBorders>
              <w:top w:val="single" w:sz="4" w:space="0" w:color="A6A6A6" w:themeColor="background1" w:themeShade="A6"/>
              <w:bottom w:val="single" w:sz="4" w:space="0" w:color="A6A6A6" w:themeColor="background1" w:themeShade="A6"/>
            </w:tcBorders>
            <w:vAlign w:val="center"/>
          </w:tcPr>
          <w:p w:rsidR="00AF4DE4" w:rsidRPr="00C66550" w:rsidRDefault="00AF4DE4" w:rsidP="00AF4DE4">
            <w:pPr>
              <w:jc w:val="center"/>
              <w:cnfStyle w:val="100000000000"/>
              <w:rPr>
                <w:szCs w:val="20"/>
              </w:rPr>
            </w:pPr>
            <w:r w:rsidRPr="00C66550">
              <w:rPr>
                <w:szCs w:val="20"/>
              </w:rPr>
              <w:t>2014</w:t>
            </w:r>
          </w:p>
        </w:tc>
        <w:tc>
          <w:tcPr>
            <w:tcW w:w="542" w:type="pct"/>
            <w:gridSpan w:val="3"/>
            <w:tcBorders>
              <w:top w:val="single" w:sz="4" w:space="0" w:color="A6A6A6" w:themeColor="background1" w:themeShade="A6"/>
              <w:bottom w:val="single" w:sz="4" w:space="0" w:color="A6A6A6" w:themeColor="background1" w:themeShade="A6"/>
            </w:tcBorders>
            <w:vAlign w:val="center"/>
          </w:tcPr>
          <w:p w:rsidR="00AF4DE4" w:rsidRPr="00C66550" w:rsidRDefault="00AF4DE4" w:rsidP="00AF4DE4">
            <w:pPr>
              <w:jc w:val="center"/>
              <w:cnfStyle w:val="100000000000"/>
              <w:rPr>
                <w:szCs w:val="20"/>
              </w:rPr>
            </w:pPr>
            <w:r w:rsidRPr="00C66550">
              <w:rPr>
                <w:szCs w:val="20"/>
              </w:rPr>
              <w:t>2015</w:t>
            </w:r>
          </w:p>
        </w:tc>
      </w:tr>
      <w:tr w:rsidR="00AF4DE4" w:rsidRPr="00C66550" w:rsidTr="00325656">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r w:rsidRPr="00C66550">
              <w:rPr>
                <w:szCs w:val="20"/>
              </w:rPr>
              <w:t>Waste strategy/policy</w:t>
            </w:r>
            <w:r w:rsidR="00FF12A8" w:rsidRPr="00C66550">
              <w:rPr>
                <w:szCs w:val="20"/>
              </w:rPr>
              <w:t xml:space="preserve"> </w:t>
            </w:r>
            <w:r w:rsidRPr="00C66550">
              <w:rPr>
                <w:szCs w:val="20"/>
              </w:rPr>
              <w:t>in place</w:t>
            </w:r>
          </w:p>
        </w:tc>
        <w:tc>
          <w:tcPr>
            <w:tcW w:w="3838" w:type="pct"/>
            <w:gridSpan w:val="18"/>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i/>
                <w:szCs w:val="20"/>
              </w:rPr>
              <w:t>South Australia’s Waste Strategy 2011-2015</w:t>
            </w:r>
            <w:r w:rsidRPr="00C66550">
              <w:rPr>
                <w:szCs w:val="20"/>
              </w:rPr>
              <w:t>, 2011.</w:t>
            </w:r>
          </w:p>
        </w:tc>
      </w:tr>
      <w:tr w:rsidR="00AF4DE4" w:rsidRPr="00C66550" w:rsidTr="00325656">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r w:rsidRPr="00C66550">
              <w:rPr>
                <w:szCs w:val="20"/>
              </w:rPr>
              <w:t>Policy goals summary</w:t>
            </w:r>
          </w:p>
        </w:tc>
        <w:tc>
          <w:tcPr>
            <w:tcW w:w="3838" w:type="pct"/>
            <w:gridSpan w:val="18"/>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The strategy has two objectives:</w:t>
            </w:r>
          </w:p>
          <w:p w:rsidR="00AF4DE4" w:rsidRPr="00C66550" w:rsidRDefault="00AF4DE4" w:rsidP="001E761C">
            <w:pPr>
              <w:cnfStyle w:val="000000000000"/>
              <w:rPr>
                <w:szCs w:val="20"/>
              </w:rPr>
            </w:pPr>
            <w:r w:rsidRPr="00C66550">
              <w:rPr>
                <w:szCs w:val="20"/>
              </w:rPr>
              <w:t>1. to maximise the useful life of materials through reuse and recycling</w:t>
            </w:r>
          </w:p>
          <w:p w:rsidR="00AF4DE4" w:rsidRPr="00C66550" w:rsidRDefault="009D16A1" w:rsidP="001E761C">
            <w:pPr>
              <w:cnfStyle w:val="000000000000"/>
              <w:rPr>
                <w:szCs w:val="20"/>
              </w:rPr>
            </w:pPr>
            <w:r w:rsidRPr="00C66550">
              <w:rPr>
                <w:szCs w:val="20"/>
              </w:rPr>
              <w:t>2. to avoid and reduce waste.</w:t>
            </w:r>
          </w:p>
        </w:tc>
      </w:tr>
      <w:tr w:rsidR="00325656" w:rsidRPr="00C66550" w:rsidTr="00325656">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r w:rsidRPr="00C66550">
              <w:rPr>
                <w:szCs w:val="20"/>
              </w:rPr>
              <w:t>Reduction in landfill disposal</w:t>
            </w:r>
          </w:p>
        </w:tc>
        <w:tc>
          <w:tcPr>
            <w:tcW w:w="19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6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542"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A56E17">
            <w:pPr>
              <w:cnfStyle w:val="000000000000"/>
              <w:rPr>
                <w:szCs w:val="20"/>
              </w:rPr>
            </w:pPr>
            <w:r w:rsidRPr="00C66550">
              <w:rPr>
                <w:szCs w:val="20"/>
              </w:rPr>
              <w:t>25% reduction (from 2002</w:t>
            </w:r>
            <w:r w:rsidR="00A56E17">
              <w:rPr>
                <w:szCs w:val="20"/>
              </w:rPr>
              <w:t>/03</w:t>
            </w:r>
            <w:r w:rsidRPr="00C66550">
              <w:rPr>
                <w:szCs w:val="20"/>
              </w:rPr>
              <w:t>)</w:t>
            </w: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r w:rsidRPr="00C66550">
              <w:rPr>
                <w:szCs w:val="20"/>
              </w:rPr>
              <w:t>State targets for recovery (%)</w:t>
            </w:r>
          </w:p>
        </w:tc>
        <w:tc>
          <w:tcPr>
            <w:tcW w:w="19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6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EF7E83" w:rsidP="001E761C">
            <w:pPr>
              <w:cnfStyle w:val="000000000000"/>
              <w:rPr>
                <w:szCs w:val="20"/>
              </w:rPr>
            </w:pPr>
            <w:r w:rsidRPr="00C66550">
              <w:rPr>
                <w:szCs w:val="20"/>
              </w:rPr>
              <w:t xml:space="preserve">MSW </w:t>
            </w:r>
            <w:r w:rsidR="00AF4DE4" w:rsidRPr="00C66550">
              <w:rPr>
                <w:szCs w:val="20"/>
              </w:rPr>
              <w:t>60%</w:t>
            </w: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EF7E83" w:rsidP="001E761C">
            <w:pPr>
              <w:cnfStyle w:val="000000000000"/>
              <w:rPr>
                <w:szCs w:val="20"/>
              </w:rPr>
            </w:pPr>
            <w:r w:rsidRPr="00C66550">
              <w:rPr>
                <w:szCs w:val="20"/>
              </w:rPr>
              <w:t xml:space="preserve">C&amp;I </w:t>
            </w:r>
            <w:r w:rsidR="00AF4DE4" w:rsidRPr="00C66550">
              <w:rPr>
                <w:szCs w:val="20"/>
              </w:rPr>
              <w:t>65%</w:t>
            </w: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EF7E83" w:rsidP="001E761C">
            <w:pPr>
              <w:cnfStyle w:val="000000000000"/>
              <w:rPr>
                <w:szCs w:val="20"/>
              </w:rPr>
            </w:pPr>
            <w:r w:rsidRPr="00C66550">
              <w:rPr>
                <w:szCs w:val="20"/>
              </w:rPr>
              <w:t xml:space="preserve">C&amp;D </w:t>
            </w:r>
            <w:r w:rsidR="00AF4DE4" w:rsidRPr="00C66550">
              <w:rPr>
                <w:szCs w:val="20"/>
              </w:rPr>
              <w:t>85%</w:t>
            </w: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EF7E83" w:rsidP="001E761C">
            <w:pPr>
              <w:cnfStyle w:val="000000000000"/>
              <w:rPr>
                <w:szCs w:val="20"/>
              </w:rPr>
            </w:pPr>
            <w:r w:rsidRPr="00C66550">
              <w:rPr>
                <w:szCs w:val="20"/>
              </w:rPr>
              <w:t>MSW</w:t>
            </w:r>
            <w:r w:rsidR="00AF4DE4" w:rsidRPr="00C66550">
              <w:rPr>
                <w:szCs w:val="20"/>
              </w:rPr>
              <w:t>65%</w:t>
            </w: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EF7E83" w:rsidP="001E761C">
            <w:pPr>
              <w:cnfStyle w:val="000000000000"/>
              <w:rPr>
                <w:szCs w:val="20"/>
              </w:rPr>
            </w:pPr>
            <w:r w:rsidRPr="00C66550">
              <w:rPr>
                <w:szCs w:val="20"/>
              </w:rPr>
              <w:t xml:space="preserve">C&amp;I </w:t>
            </w:r>
            <w:r w:rsidR="00AF4DE4" w:rsidRPr="00C66550">
              <w:rPr>
                <w:szCs w:val="20"/>
              </w:rPr>
              <w:t>75%</w:t>
            </w: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EF7E83" w:rsidP="001E761C">
            <w:pPr>
              <w:cnfStyle w:val="000000000000"/>
              <w:rPr>
                <w:szCs w:val="20"/>
              </w:rPr>
            </w:pPr>
            <w:r w:rsidRPr="00C66550">
              <w:rPr>
                <w:szCs w:val="20"/>
              </w:rPr>
              <w:t xml:space="preserve">C&amp;D </w:t>
            </w:r>
            <w:r w:rsidR="00AF4DE4" w:rsidRPr="00C66550">
              <w:rPr>
                <w:szCs w:val="20"/>
              </w:rPr>
              <w:t>90%</w:t>
            </w:r>
          </w:p>
        </w:tc>
      </w:tr>
      <w:tr w:rsidR="00325656" w:rsidRPr="00C66550" w:rsidTr="00325656">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r w:rsidRPr="00C66550">
              <w:rPr>
                <w:szCs w:val="20"/>
              </w:rPr>
              <w:t>Landfill levies ($/tonne)</w:t>
            </w: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 xml:space="preserve">2010/2011 Metro </w:t>
            </w:r>
            <w:r w:rsidR="006603C6" w:rsidRPr="00C66550">
              <w:rPr>
                <w:szCs w:val="20"/>
              </w:rPr>
              <w:t>$</w:t>
            </w:r>
            <w:r w:rsidRPr="00C66550">
              <w:rPr>
                <w:szCs w:val="20"/>
              </w:rPr>
              <w:t xml:space="preserve">26, Rural </w:t>
            </w:r>
            <w:r w:rsidR="006603C6" w:rsidRPr="00C66550">
              <w:rPr>
                <w:szCs w:val="20"/>
              </w:rPr>
              <w:t>$</w:t>
            </w:r>
            <w:r w:rsidRPr="00C66550">
              <w:rPr>
                <w:szCs w:val="20"/>
              </w:rPr>
              <w:t>13</w:t>
            </w:r>
            <w:r w:rsidR="00EF7E83" w:rsidRPr="00C66550">
              <w:rPr>
                <w:szCs w:val="20"/>
              </w:rPr>
              <w:t xml:space="preserve"> all stream</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E500D8">
            <w:pPr>
              <w:cnfStyle w:val="000000000000"/>
              <w:rPr>
                <w:szCs w:val="20"/>
              </w:rPr>
            </w:pPr>
            <w:r w:rsidRPr="00C66550">
              <w:rPr>
                <w:szCs w:val="20"/>
              </w:rPr>
              <w:t xml:space="preserve">2011/2012 Metro </w:t>
            </w:r>
            <w:r w:rsidR="006603C6" w:rsidRPr="00C66550">
              <w:rPr>
                <w:szCs w:val="20"/>
              </w:rPr>
              <w:t>$</w:t>
            </w:r>
            <w:r w:rsidRPr="00C66550">
              <w:rPr>
                <w:szCs w:val="20"/>
              </w:rPr>
              <w:t xml:space="preserve">35, </w:t>
            </w:r>
            <w:r w:rsidR="00E500D8" w:rsidRPr="00C66550">
              <w:rPr>
                <w:szCs w:val="20"/>
              </w:rPr>
              <w:t>R</w:t>
            </w:r>
            <w:r w:rsidRPr="00C66550">
              <w:rPr>
                <w:szCs w:val="20"/>
              </w:rPr>
              <w:t xml:space="preserve">ural </w:t>
            </w:r>
            <w:r w:rsidR="006603C6" w:rsidRPr="00C66550">
              <w:rPr>
                <w:szCs w:val="20"/>
              </w:rPr>
              <w:t>$</w:t>
            </w:r>
            <w:r w:rsidRPr="00C66550">
              <w:rPr>
                <w:szCs w:val="20"/>
              </w:rPr>
              <w:t>17.5</w:t>
            </w:r>
            <w:r w:rsidR="00EF7E83" w:rsidRPr="00C66550">
              <w:rPr>
                <w:szCs w:val="20"/>
              </w:rPr>
              <w:t xml:space="preserve"> all streams</w:t>
            </w: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542"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Metro</w:t>
            </w:r>
            <w:r w:rsidR="00E500D8" w:rsidRPr="00C66550">
              <w:rPr>
                <w:szCs w:val="20"/>
              </w:rPr>
              <w:t>politan</w:t>
            </w:r>
            <w:r w:rsidRPr="00C66550">
              <w:rPr>
                <w:szCs w:val="20"/>
              </w:rPr>
              <w:t xml:space="preserve"> at least </w:t>
            </w:r>
            <w:r w:rsidR="006603C6" w:rsidRPr="00C66550">
              <w:rPr>
                <w:szCs w:val="20"/>
              </w:rPr>
              <w:t>$</w:t>
            </w:r>
            <w:r w:rsidRPr="00C66550">
              <w:rPr>
                <w:szCs w:val="20"/>
              </w:rPr>
              <w:t>50</w:t>
            </w:r>
          </w:p>
        </w:tc>
      </w:tr>
      <w:tr w:rsidR="00325656" w:rsidRPr="00C66550" w:rsidTr="00325656">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E500D8">
            <w:pPr>
              <w:rPr>
                <w:szCs w:val="20"/>
              </w:rPr>
            </w:pPr>
            <w:r w:rsidRPr="00C66550">
              <w:rPr>
                <w:szCs w:val="20"/>
              </w:rPr>
              <w:t xml:space="preserve">Problematic </w:t>
            </w:r>
            <w:r w:rsidR="00E500D8" w:rsidRPr="00C66550">
              <w:rPr>
                <w:szCs w:val="20"/>
              </w:rPr>
              <w:t>and</w:t>
            </w:r>
            <w:r w:rsidRPr="00C66550">
              <w:rPr>
                <w:szCs w:val="20"/>
              </w:rPr>
              <w:t xml:space="preserve"> hazardous waste</w:t>
            </w:r>
          </w:p>
        </w:tc>
        <w:tc>
          <w:tcPr>
            <w:tcW w:w="19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6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542"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325656">
            <w:pPr>
              <w:cnfStyle w:val="000000000000"/>
              <w:rPr>
                <w:szCs w:val="20"/>
              </w:rPr>
            </w:pPr>
            <w:r w:rsidRPr="00C66550">
              <w:rPr>
                <w:szCs w:val="20"/>
              </w:rPr>
              <w:t>Effective extended producer responsibility schemes in place</w:t>
            </w: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r w:rsidRPr="00C66550">
              <w:rPr>
                <w:szCs w:val="20"/>
              </w:rPr>
              <w:t>Landfill bans (waste type)</w:t>
            </w: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From 1 September 2010</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From 1 September 2011</w:t>
            </w:r>
          </w:p>
        </w:tc>
        <w:tc>
          <w:tcPr>
            <w:tcW w:w="656"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A56E17">
            <w:pPr>
              <w:cnfStyle w:val="000000000000"/>
              <w:rPr>
                <w:szCs w:val="20"/>
              </w:rPr>
            </w:pPr>
            <w:r w:rsidRPr="00C66550">
              <w:rPr>
                <w:szCs w:val="20"/>
              </w:rPr>
              <w:t>From 1</w:t>
            </w:r>
            <w:r w:rsidR="00A56E17">
              <w:rPr>
                <w:szCs w:val="20"/>
              </w:rPr>
              <w:t>/9/2012</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From 1 September 2013</w:t>
            </w: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Hazardous waste</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Vehicles</w:t>
            </w:r>
          </w:p>
        </w:tc>
        <w:tc>
          <w:tcPr>
            <w:tcW w:w="656"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PVC or PS plastic packaging</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Fluorescent lighting</w:t>
            </w: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Lead acid batteries</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AF4DE4">
            <w:pPr>
              <w:cnfStyle w:val="000000000000"/>
              <w:rPr>
                <w:szCs w:val="20"/>
              </w:rPr>
            </w:pPr>
            <w:r w:rsidRPr="00C66550">
              <w:rPr>
                <w:szCs w:val="20"/>
              </w:rPr>
              <w:t>PP or LDPE plastic packaging</w:t>
            </w:r>
          </w:p>
        </w:tc>
        <w:tc>
          <w:tcPr>
            <w:tcW w:w="656"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Fluorescent lighting</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E500D8">
            <w:pPr>
              <w:cnfStyle w:val="000000000000"/>
              <w:rPr>
                <w:szCs w:val="20"/>
              </w:rPr>
            </w:pPr>
            <w:r w:rsidRPr="00C66550">
              <w:rPr>
                <w:szCs w:val="20"/>
              </w:rPr>
              <w:t xml:space="preserve">Computer monitors </w:t>
            </w:r>
            <w:r w:rsidR="00E500D8" w:rsidRPr="00C66550">
              <w:rPr>
                <w:szCs w:val="20"/>
              </w:rPr>
              <w:t>and</w:t>
            </w:r>
            <w:r w:rsidRPr="00C66550">
              <w:rPr>
                <w:szCs w:val="20"/>
              </w:rPr>
              <w:t xml:space="preserve"> televisions</w:t>
            </w: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Liquid waste</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Whitegoods</w:t>
            </w:r>
          </w:p>
        </w:tc>
        <w:tc>
          <w:tcPr>
            <w:tcW w:w="656"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E500D8">
            <w:pPr>
              <w:cnfStyle w:val="000000000000"/>
              <w:rPr>
                <w:szCs w:val="20"/>
              </w:rPr>
            </w:pPr>
            <w:r w:rsidRPr="00C66550">
              <w:rPr>
                <w:szCs w:val="20"/>
              </w:rPr>
              <w:t xml:space="preserve">Computer monitors </w:t>
            </w:r>
            <w:r w:rsidR="00E500D8" w:rsidRPr="00C66550">
              <w:rPr>
                <w:szCs w:val="20"/>
              </w:rPr>
              <w:t>and</w:t>
            </w:r>
            <w:r w:rsidRPr="00C66550">
              <w:rPr>
                <w:szCs w:val="20"/>
              </w:rPr>
              <w:t xml:space="preserve"> televisions</w:t>
            </w:r>
          </w:p>
        </w:tc>
        <w:tc>
          <w:tcPr>
            <w:tcW w:w="701"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Other electrical or electronic equipment</w:t>
            </w: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Medical waste</w:t>
            </w: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656"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Whole earth mover tyres</w:t>
            </w: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19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r w:rsidRPr="00C66550">
              <w:rPr>
                <w:szCs w:val="20"/>
              </w:rPr>
              <w:t>Oil</w:t>
            </w: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6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AF4DE4">
            <w:pPr>
              <w:cnfStyle w:val="000000000000"/>
              <w:rPr>
                <w:szCs w:val="20"/>
              </w:rPr>
            </w:pPr>
            <w:r w:rsidRPr="00C66550">
              <w:rPr>
                <w:szCs w:val="20"/>
              </w:rPr>
              <w:t>Whole tyres</w:t>
            </w: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56E17" w:rsidP="001E761C">
            <w:pPr>
              <w:cnfStyle w:val="000000000000"/>
              <w:rPr>
                <w:szCs w:val="20"/>
              </w:rPr>
            </w:pPr>
            <w:r>
              <w:rPr>
                <w:szCs w:val="20"/>
              </w:rPr>
              <w:t>C</w:t>
            </w:r>
            <w:r w:rsidR="00AF4DE4" w:rsidRPr="00C66550">
              <w:rPr>
                <w:szCs w:val="20"/>
              </w:rPr>
              <w:t xml:space="preserve">ardboard and paper </w:t>
            </w: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56E17" w:rsidP="001E761C">
            <w:pPr>
              <w:cnfStyle w:val="000000000000"/>
              <w:rPr>
                <w:szCs w:val="20"/>
              </w:rPr>
            </w:pPr>
            <w:r>
              <w:rPr>
                <w:szCs w:val="20"/>
              </w:rPr>
              <w:t>G</w:t>
            </w:r>
            <w:r w:rsidR="00AF4DE4" w:rsidRPr="00C66550">
              <w:rPr>
                <w:szCs w:val="20"/>
              </w:rPr>
              <w:t>lass packaging</w:t>
            </w: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r w:rsidR="00325656" w:rsidRPr="00C66550" w:rsidTr="00EF7E83">
        <w:tc>
          <w:tcPr>
            <w:cnfStyle w:val="001000000000"/>
            <w:tcW w:w="116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rPr>
                <w:szCs w:val="20"/>
              </w:rPr>
            </w:pPr>
          </w:p>
        </w:tc>
        <w:tc>
          <w:tcPr>
            <w:tcW w:w="708" w:type="pct"/>
            <w:gridSpan w:val="3"/>
            <w:tcBorders>
              <w:top w:val="single" w:sz="4" w:space="0" w:color="A6A6A6" w:themeColor="background1" w:themeShade="A6"/>
              <w:left w:val="nil"/>
              <w:bottom w:val="single" w:sz="4" w:space="0" w:color="A6A6A6" w:themeColor="background1" w:themeShade="A6"/>
              <w:right w:val="nil"/>
            </w:tcBorders>
          </w:tcPr>
          <w:p w:rsidR="00AF4DE4" w:rsidRPr="00C66550" w:rsidRDefault="00A56E17" w:rsidP="001E761C">
            <w:pPr>
              <w:cnfStyle w:val="000000000000"/>
              <w:rPr>
                <w:szCs w:val="20"/>
              </w:rPr>
            </w:pPr>
            <w:r>
              <w:rPr>
                <w:szCs w:val="20"/>
              </w:rPr>
              <w:t>M</w:t>
            </w:r>
            <w:r w:rsidR="00AF4DE4" w:rsidRPr="00C66550">
              <w:rPr>
                <w:szCs w:val="20"/>
              </w:rPr>
              <w:t>etals</w:t>
            </w:r>
          </w:p>
        </w:tc>
        <w:tc>
          <w:tcPr>
            <w:tcW w:w="19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5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1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08"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34"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243"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306"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52"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81"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97"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0"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c>
          <w:tcPr>
            <w:tcW w:w="175" w:type="pct"/>
            <w:tcBorders>
              <w:top w:val="single" w:sz="4" w:space="0" w:color="A6A6A6" w:themeColor="background1" w:themeShade="A6"/>
              <w:left w:val="nil"/>
              <w:bottom w:val="single" w:sz="4" w:space="0" w:color="A6A6A6" w:themeColor="background1" w:themeShade="A6"/>
              <w:right w:val="nil"/>
            </w:tcBorders>
          </w:tcPr>
          <w:p w:rsidR="00AF4DE4" w:rsidRPr="00C66550" w:rsidRDefault="00AF4DE4" w:rsidP="001E761C">
            <w:pPr>
              <w:cnfStyle w:val="000000000000"/>
              <w:rPr>
                <w:szCs w:val="20"/>
              </w:rPr>
            </w:pPr>
          </w:p>
        </w:tc>
      </w:tr>
    </w:tbl>
    <w:p w:rsidR="00A56E17" w:rsidRDefault="00A56E17" w:rsidP="00A56E17">
      <w:pPr>
        <w:rPr>
          <w:rFonts w:asciiTheme="minorHAnsi" w:hAnsiTheme="minorHAnsi"/>
          <w:b/>
          <w:color w:val="000000"/>
          <w:sz w:val="18"/>
          <w:szCs w:val="18"/>
        </w:rPr>
      </w:pPr>
    </w:p>
    <w:tbl>
      <w:tblPr>
        <w:tblStyle w:val="BETable1"/>
        <w:tblW w:w="5229" w:type="pct"/>
        <w:tblInd w:w="-9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3971"/>
        <w:gridCol w:w="2061"/>
        <w:gridCol w:w="820"/>
        <w:gridCol w:w="823"/>
        <w:gridCol w:w="820"/>
        <w:gridCol w:w="819"/>
        <w:gridCol w:w="819"/>
        <w:gridCol w:w="819"/>
        <w:gridCol w:w="819"/>
        <w:gridCol w:w="819"/>
        <w:gridCol w:w="819"/>
        <w:gridCol w:w="819"/>
        <w:gridCol w:w="834"/>
      </w:tblGrid>
      <w:tr w:rsidR="00325656" w:rsidRPr="00C66550" w:rsidTr="001E761C">
        <w:trPr>
          <w:cnfStyle w:val="100000000000"/>
        </w:trPr>
        <w:tc>
          <w:tcPr>
            <w:cnfStyle w:val="001000000000"/>
            <w:tcW w:w="1318" w:type="pct"/>
            <w:tcBorders>
              <w:top w:val="single" w:sz="4" w:space="0" w:color="A6A6A6" w:themeColor="background1" w:themeShade="A6"/>
              <w:bottom w:val="single" w:sz="4" w:space="0" w:color="A6A6A6" w:themeColor="background1" w:themeShade="A6"/>
            </w:tcBorders>
            <w:vAlign w:val="center"/>
          </w:tcPr>
          <w:p w:rsidR="00325656" w:rsidRPr="00C66550" w:rsidRDefault="00DF4FB7" w:rsidP="003B7D1A">
            <w:pPr>
              <w:rPr>
                <w:rFonts w:asciiTheme="minorHAnsi" w:hAnsiTheme="minorHAnsi" w:cs="Arial"/>
                <w:bCs/>
                <w:color w:val="000000"/>
                <w:szCs w:val="20"/>
              </w:rPr>
            </w:pPr>
            <w:r>
              <w:rPr>
                <w:rFonts w:asciiTheme="minorHAnsi" w:hAnsiTheme="minorHAnsi" w:cs="Arial"/>
                <w:bCs/>
                <w:color w:val="000000"/>
                <w:szCs w:val="20"/>
              </w:rPr>
              <w:lastRenderedPageBreak/>
              <w:t>Tas</w:t>
            </w:r>
            <w:r w:rsidR="00575602">
              <w:rPr>
                <w:rFonts w:asciiTheme="minorHAnsi" w:hAnsiTheme="minorHAnsi" w:cs="Arial"/>
                <w:bCs/>
                <w:color w:val="000000"/>
                <w:szCs w:val="20"/>
              </w:rPr>
              <w:t xml:space="preserve"> </w:t>
            </w:r>
            <w:r w:rsidR="00325656" w:rsidRPr="00C66550">
              <w:rPr>
                <w:rFonts w:asciiTheme="minorHAnsi" w:hAnsiTheme="minorHAnsi" w:cs="Arial"/>
                <w:bCs/>
                <w:color w:val="000000"/>
                <w:szCs w:val="20"/>
              </w:rPr>
              <w:t>summary of strategy, policy, targets</w:t>
            </w:r>
            <w:r w:rsidR="000A3521" w:rsidRPr="00C66550">
              <w:rPr>
                <w:rStyle w:val="FootnoteReference"/>
                <w:rFonts w:asciiTheme="minorHAnsi" w:hAnsiTheme="minorHAnsi" w:cs="Arial"/>
                <w:bCs/>
                <w:color w:val="000000"/>
                <w:szCs w:val="20"/>
              </w:rPr>
              <w:footnoteReference w:id="22"/>
            </w:r>
          </w:p>
        </w:tc>
        <w:tc>
          <w:tcPr>
            <w:tcW w:w="684"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r w:rsidRPr="00C66550">
              <w:rPr>
                <w:rFonts w:asciiTheme="minorHAnsi" w:hAnsiTheme="minorHAnsi" w:cs="Arial"/>
                <w:color w:val="000000"/>
                <w:szCs w:val="20"/>
              </w:rPr>
              <w:t>2009</w:t>
            </w: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3"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2"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c>
          <w:tcPr>
            <w:tcW w:w="277" w:type="pct"/>
            <w:tcBorders>
              <w:top w:val="single" w:sz="4" w:space="0" w:color="A6A6A6" w:themeColor="background1" w:themeShade="A6"/>
              <w:bottom w:val="single" w:sz="4" w:space="0" w:color="A6A6A6" w:themeColor="background1" w:themeShade="A6"/>
            </w:tcBorders>
            <w:vAlign w:val="bottom"/>
          </w:tcPr>
          <w:p w:rsidR="00325656" w:rsidRPr="00C66550" w:rsidRDefault="00325656" w:rsidP="001E761C">
            <w:pPr>
              <w:jc w:val="center"/>
              <w:cnfStyle w:val="100000000000"/>
              <w:rPr>
                <w:rFonts w:asciiTheme="minorHAnsi" w:hAnsiTheme="minorHAnsi" w:cs="Arial"/>
                <w:color w:val="000000"/>
                <w:szCs w:val="20"/>
              </w:rPr>
            </w:pPr>
          </w:p>
        </w:tc>
      </w:tr>
      <w:tr w:rsidR="00325656" w:rsidRPr="00C66550" w:rsidTr="001E761C">
        <w:trPr>
          <w:trHeight w:val="271"/>
        </w:trPr>
        <w:tc>
          <w:tcPr>
            <w:cnfStyle w:val="001000000000"/>
            <w:tcW w:w="1318" w:type="pct"/>
            <w:tcBorders>
              <w:top w:val="single" w:sz="4" w:space="0" w:color="A6A6A6" w:themeColor="background1" w:themeShade="A6"/>
              <w:left w:val="nil"/>
              <w:bottom w:val="single" w:sz="4" w:space="0" w:color="A6A6A6" w:themeColor="background1" w:themeShade="A6"/>
              <w:right w:val="nil"/>
            </w:tcBorders>
          </w:tcPr>
          <w:p w:rsidR="00325656" w:rsidRPr="00C66550" w:rsidRDefault="00325656" w:rsidP="001E761C">
            <w:pPr>
              <w:rPr>
                <w:rFonts w:asciiTheme="minorHAnsi" w:hAnsiTheme="minorHAnsi" w:cs="Arial"/>
                <w:color w:val="000000"/>
                <w:szCs w:val="20"/>
              </w:rPr>
            </w:pPr>
            <w:r w:rsidRPr="00C66550">
              <w:rPr>
                <w:rFonts w:asciiTheme="minorHAnsi" w:hAnsiTheme="minorHAnsi" w:cs="Arial"/>
                <w:color w:val="000000"/>
                <w:szCs w:val="20"/>
              </w:rPr>
              <w:t>Waste strategy/policy</w:t>
            </w:r>
            <w:r w:rsidR="00FF12A8" w:rsidRPr="00C66550">
              <w:rPr>
                <w:rFonts w:asciiTheme="minorHAnsi" w:hAnsiTheme="minorHAnsi" w:cs="Arial"/>
                <w:color w:val="000000"/>
                <w:szCs w:val="20"/>
              </w:rPr>
              <w:t xml:space="preserve"> </w:t>
            </w:r>
            <w:r w:rsidRPr="00C66550">
              <w:rPr>
                <w:rFonts w:asciiTheme="minorHAnsi" w:hAnsiTheme="minorHAnsi" w:cs="Arial"/>
                <w:color w:val="000000"/>
                <w:szCs w:val="20"/>
              </w:rPr>
              <w:t>in place</w:t>
            </w:r>
          </w:p>
        </w:tc>
        <w:tc>
          <w:tcPr>
            <w:tcW w:w="3682" w:type="pct"/>
            <w:gridSpan w:val="12"/>
            <w:tcBorders>
              <w:top w:val="single" w:sz="4" w:space="0" w:color="A6A6A6" w:themeColor="background1" w:themeShade="A6"/>
              <w:left w:val="nil"/>
              <w:bottom w:val="single" w:sz="4" w:space="0" w:color="A6A6A6" w:themeColor="background1" w:themeShade="A6"/>
              <w:right w:val="nil"/>
            </w:tcBorders>
          </w:tcPr>
          <w:p w:rsidR="00325656" w:rsidRPr="00C66550" w:rsidRDefault="00325656" w:rsidP="001E761C">
            <w:pPr>
              <w:cnfStyle w:val="000000000000"/>
              <w:rPr>
                <w:rFonts w:asciiTheme="minorHAnsi" w:hAnsiTheme="minorHAnsi" w:cs="Arial"/>
                <w:color w:val="000000"/>
                <w:szCs w:val="20"/>
              </w:rPr>
            </w:pPr>
            <w:r w:rsidRPr="00C66550">
              <w:rPr>
                <w:rFonts w:asciiTheme="minorHAnsi" w:hAnsiTheme="minorHAnsi" w:cs="Arial"/>
                <w:color w:val="000000"/>
                <w:szCs w:val="20"/>
              </w:rPr>
              <w:t xml:space="preserve"> </w:t>
            </w:r>
            <w:r w:rsidRPr="00C66550">
              <w:rPr>
                <w:rFonts w:asciiTheme="minorHAnsi" w:hAnsiTheme="minorHAnsi" w:cs="Arial"/>
                <w:i/>
                <w:color w:val="000000"/>
                <w:szCs w:val="20"/>
              </w:rPr>
              <w:t>Tasmanian Waste and Resource Management Strategy</w:t>
            </w:r>
          </w:p>
        </w:tc>
      </w:tr>
      <w:tr w:rsidR="001E761C" w:rsidRPr="00C66550" w:rsidTr="001E761C">
        <w:tc>
          <w:tcPr>
            <w:cnfStyle w:val="001000000000"/>
            <w:tcW w:w="1318" w:type="pct"/>
            <w:tcBorders>
              <w:top w:val="single" w:sz="4" w:space="0" w:color="A6A6A6" w:themeColor="background1" w:themeShade="A6"/>
              <w:left w:val="nil"/>
              <w:bottom w:val="nil"/>
              <w:right w:val="nil"/>
            </w:tcBorders>
          </w:tcPr>
          <w:p w:rsidR="001E761C" w:rsidRPr="00C66550" w:rsidRDefault="001E761C" w:rsidP="001E761C">
            <w:pPr>
              <w:rPr>
                <w:rFonts w:asciiTheme="minorHAnsi" w:hAnsiTheme="minorHAnsi" w:cs="Arial"/>
                <w:color w:val="000000"/>
                <w:szCs w:val="20"/>
              </w:rPr>
            </w:pPr>
            <w:r w:rsidRPr="00C66550">
              <w:rPr>
                <w:rFonts w:asciiTheme="minorHAnsi" w:hAnsiTheme="minorHAnsi" w:cs="Arial"/>
                <w:color w:val="000000"/>
                <w:szCs w:val="20"/>
              </w:rPr>
              <w:t>Policy goals summary</w:t>
            </w:r>
          </w:p>
        </w:tc>
        <w:tc>
          <w:tcPr>
            <w:tcW w:w="3682" w:type="pct"/>
            <w:gridSpan w:val="12"/>
            <w:tcBorders>
              <w:top w:val="nil"/>
              <w:left w:val="nil"/>
              <w:bottom w:val="nil"/>
              <w:right w:val="nil"/>
            </w:tcBorders>
          </w:tcPr>
          <w:p w:rsidR="001E761C" w:rsidRPr="00C66550" w:rsidRDefault="001E761C" w:rsidP="001E761C">
            <w:pPr>
              <w:cnfStyle w:val="000000000000"/>
              <w:rPr>
                <w:szCs w:val="20"/>
              </w:rPr>
            </w:pPr>
            <w:r w:rsidRPr="00C66550">
              <w:rPr>
                <w:szCs w:val="20"/>
              </w:rPr>
              <w:t>The strategy sets out a series of objectives that are applicable state-wide. These are:</w:t>
            </w:r>
          </w:p>
        </w:tc>
      </w:tr>
      <w:tr w:rsidR="001E761C" w:rsidRPr="00C66550" w:rsidTr="001E761C">
        <w:tc>
          <w:tcPr>
            <w:cnfStyle w:val="001000000000"/>
            <w:tcW w:w="1318" w:type="pct"/>
            <w:tcBorders>
              <w:top w:val="nil"/>
              <w:left w:val="nil"/>
              <w:bottom w:val="nil"/>
              <w:right w:val="nil"/>
            </w:tcBorders>
          </w:tcPr>
          <w:p w:rsidR="001E761C" w:rsidRPr="00C66550" w:rsidRDefault="001E761C" w:rsidP="001E761C">
            <w:pPr>
              <w:rPr>
                <w:rFonts w:asciiTheme="minorHAnsi" w:hAnsiTheme="minorHAnsi" w:cs="Arial"/>
                <w:color w:val="000000"/>
                <w:szCs w:val="20"/>
              </w:rPr>
            </w:pPr>
          </w:p>
        </w:tc>
        <w:tc>
          <w:tcPr>
            <w:tcW w:w="3682" w:type="pct"/>
            <w:gridSpan w:val="12"/>
            <w:tcBorders>
              <w:top w:val="nil"/>
              <w:left w:val="nil"/>
              <w:bottom w:val="nil"/>
              <w:right w:val="nil"/>
            </w:tcBorders>
          </w:tcPr>
          <w:p w:rsidR="001E761C" w:rsidRPr="00C66550" w:rsidRDefault="001E761C" w:rsidP="001E761C">
            <w:pPr>
              <w:cnfStyle w:val="000000000000"/>
              <w:rPr>
                <w:szCs w:val="20"/>
              </w:rPr>
            </w:pPr>
            <w:r w:rsidRPr="00C66550">
              <w:rPr>
                <w:szCs w:val="20"/>
              </w:rPr>
              <w:t>1. improved partnerships, coordination and planning</w:t>
            </w:r>
          </w:p>
        </w:tc>
      </w:tr>
      <w:tr w:rsidR="001E761C" w:rsidRPr="00C66550" w:rsidTr="001E761C">
        <w:tc>
          <w:tcPr>
            <w:cnfStyle w:val="001000000000"/>
            <w:tcW w:w="1318" w:type="pct"/>
            <w:tcBorders>
              <w:top w:val="nil"/>
              <w:left w:val="nil"/>
              <w:bottom w:val="nil"/>
              <w:right w:val="nil"/>
            </w:tcBorders>
          </w:tcPr>
          <w:p w:rsidR="001E761C" w:rsidRPr="00C66550" w:rsidRDefault="001E761C" w:rsidP="001E761C">
            <w:pPr>
              <w:rPr>
                <w:rFonts w:asciiTheme="minorHAnsi" w:hAnsiTheme="minorHAnsi" w:cs="Arial"/>
                <w:color w:val="000000"/>
                <w:szCs w:val="20"/>
              </w:rPr>
            </w:pPr>
          </w:p>
        </w:tc>
        <w:tc>
          <w:tcPr>
            <w:tcW w:w="3682" w:type="pct"/>
            <w:gridSpan w:val="12"/>
            <w:tcBorders>
              <w:top w:val="nil"/>
              <w:left w:val="nil"/>
              <w:bottom w:val="nil"/>
              <w:right w:val="nil"/>
            </w:tcBorders>
          </w:tcPr>
          <w:p w:rsidR="001E761C" w:rsidRPr="00C66550" w:rsidRDefault="001E761C" w:rsidP="001E761C">
            <w:pPr>
              <w:cnfStyle w:val="000000000000"/>
              <w:rPr>
                <w:szCs w:val="20"/>
              </w:rPr>
            </w:pPr>
            <w:r w:rsidRPr="00C66550">
              <w:rPr>
                <w:szCs w:val="20"/>
              </w:rPr>
              <w:t>2. waste avoidance and sustainable consumption</w:t>
            </w:r>
          </w:p>
        </w:tc>
      </w:tr>
      <w:tr w:rsidR="001E761C" w:rsidRPr="00C66550" w:rsidTr="001E761C">
        <w:tc>
          <w:tcPr>
            <w:cnfStyle w:val="001000000000"/>
            <w:tcW w:w="1318" w:type="pct"/>
            <w:tcBorders>
              <w:top w:val="nil"/>
              <w:left w:val="nil"/>
              <w:bottom w:val="nil"/>
              <w:right w:val="nil"/>
            </w:tcBorders>
          </w:tcPr>
          <w:p w:rsidR="001E761C" w:rsidRPr="00C66550" w:rsidRDefault="001E761C" w:rsidP="001E761C">
            <w:pPr>
              <w:rPr>
                <w:rFonts w:asciiTheme="minorHAnsi" w:hAnsiTheme="minorHAnsi" w:cs="Arial"/>
                <w:color w:val="000000"/>
                <w:szCs w:val="20"/>
              </w:rPr>
            </w:pPr>
          </w:p>
        </w:tc>
        <w:tc>
          <w:tcPr>
            <w:tcW w:w="3682" w:type="pct"/>
            <w:gridSpan w:val="12"/>
            <w:tcBorders>
              <w:top w:val="nil"/>
              <w:left w:val="nil"/>
              <w:bottom w:val="nil"/>
              <w:right w:val="nil"/>
            </w:tcBorders>
          </w:tcPr>
          <w:p w:rsidR="001E761C" w:rsidRPr="00C66550" w:rsidRDefault="001E761C" w:rsidP="001E761C">
            <w:pPr>
              <w:cnfStyle w:val="000000000000"/>
              <w:rPr>
                <w:szCs w:val="20"/>
              </w:rPr>
            </w:pPr>
            <w:r w:rsidRPr="00C66550">
              <w:rPr>
                <w:szCs w:val="20"/>
              </w:rPr>
              <w:t>3. waste minimisation and resource recovery</w:t>
            </w:r>
          </w:p>
        </w:tc>
      </w:tr>
      <w:tr w:rsidR="001E761C" w:rsidRPr="00C66550" w:rsidTr="001E761C">
        <w:tc>
          <w:tcPr>
            <w:cnfStyle w:val="001000000000"/>
            <w:tcW w:w="1318" w:type="pct"/>
            <w:tcBorders>
              <w:top w:val="nil"/>
              <w:left w:val="nil"/>
              <w:bottom w:val="nil"/>
              <w:right w:val="nil"/>
            </w:tcBorders>
          </w:tcPr>
          <w:p w:rsidR="001E761C" w:rsidRPr="00C66550" w:rsidRDefault="001E761C" w:rsidP="001E761C">
            <w:pPr>
              <w:rPr>
                <w:rFonts w:asciiTheme="minorHAnsi" w:hAnsiTheme="minorHAnsi" w:cs="Arial"/>
                <w:color w:val="000000"/>
                <w:szCs w:val="20"/>
              </w:rPr>
            </w:pPr>
          </w:p>
        </w:tc>
        <w:tc>
          <w:tcPr>
            <w:tcW w:w="3682" w:type="pct"/>
            <w:gridSpan w:val="12"/>
            <w:tcBorders>
              <w:top w:val="nil"/>
              <w:left w:val="nil"/>
              <w:bottom w:val="nil"/>
              <w:right w:val="nil"/>
            </w:tcBorders>
          </w:tcPr>
          <w:p w:rsidR="001E761C" w:rsidRPr="00C66550" w:rsidRDefault="001E761C" w:rsidP="001E761C">
            <w:pPr>
              <w:cnfStyle w:val="000000000000"/>
              <w:rPr>
                <w:szCs w:val="20"/>
              </w:rPr>
            </w:pPr>
            <w:r w:rsidRPr="00C66550">
              <w:rPr>
                <w:szCs w:val="20"/>
              </w:rPr>
              <w:t>4. improved regulation and management of residual wastes</w:t>
            </w:r>
          </w:p>
        </w:tc>
      </w:tr>
      <w:tr w:rsidR="001E761C" w:rsidRPr="00C66550" w:rsidTr="001E761C">
        <w:tc>
          <w:tcPr>
            <w:cnfStyle w:val="001000000000"/>
            <w:tcW w:w="1318" w:type="pct"/>
            <w:tcBorders>
              <w:top w:val="nil"/>
              <w:left w:val="nil"/>
              <w:bottom w:val="nil"/>
              <w:right w:val="nil"/>
            </w:tcBorders>
          </w:tcPr>
          <w:p w:rsidR="001E761C" w:rsidRPr="00C66550" w:rsidRDefault="001E761C" w:rsidP="001E761C">
            <w:pPr>
              <w:rPr>
                <w:rFonts w:asciiTheme="minorHAnsi" w:hAnsiTheme="minorHAnsi" w:cs="Arial"/>
                <w:color w:val="000000"/>
                <w:szCs w:val="20"/>
              </w:rPr>
            </w:pPr>
          </w:p>
        </w:tc>
        <w:tc>
          <w:tcPr>
            <w:tcW w:w="3682" w:type="pct"/>
            <w:gridSpan w:val="12"/>
            <w:tcBorders>
              <w:top w:val="nil"/>
              <w:left w:val="nil"/>
              <w:bottom w:val="nil"/>
              <w:right w:val="nil"/>
            </w:tcBorders>
          </w:tcPr>
          <w:p w:rsidR="001E761C" w:rsidRPr="00C66550" w:rsidRDefault="001E761C" w:rsidP="001E761C">
            <w:pPr>
              <w:cnfStyle w:val="000000000000"/>
              <w:rPr>
                <w:szCs w:val="20"/>
              </w:rPr>
            </w:pPr>
            <w:r w:rsidRPr="00C66550">
              <w:rPr>
                <w:szCs w:val="20"/>
              </w:rPr>
              <w:t>5. improved data collection and management systems</w:t>
            </w:r>
          </w:p>
        </w:tc>
      </w:tr>
      <w:tr w:rsidR="001E761C" w:rsidRPr="00C66550" w:rsidTr="001E761C">
        <w:tc>
          <w:tcPr>
            <w:cnfStyle w:val="001000000000"/>
            <w:tcW w:w="1318" w:type="pct"/>
            <w:tcBorders>
              <w:top w:val="nil"/>
              <w:left w:val="nil"/>
              <w:bottom w:val="nil"/>
              <w:right w:val="nil"/>
            </w:tcBorders>
          </w:tcPr>
          <w:p w:rsidR="001E761C" w:rsidRPr="00C66550" w:rsidRDefault="001E761C" w:rsidP="001E761C">
            <w:pPr>
              <w:rPr>
                <w:rFonts w:asciiTheme="minorHAnsi" w:hAnsiTheme="minorHAnsi" w:cs="Arial"/>
                <w:color w:val="000000"/>
                <w:szCs w:val="20"/>
              </w:rPr>
            </w:pPr>
          </w:p>
        </w:tc>
        <w:tc>
          <w:tcPr>
            <w:tcW w:w="3682" w:type="pct"/>
            <w:gridSpan w:val="12"/>
            <w:tcBorders>
              <w:top w:val="nil"/>
              <w:left w:val="nil"/>
              <w:bottom w:val="nil"/>
              <w:right w:val="nil"/>
            </w:tcBorders>
          </w:tcPr>
          <w:p w:rsidR="001E761C" w:rsidRPr="00C66550" w:rsidRDefault="001E761C" w:rsidP="001E761C">
            <w:pPr>
              <w:cnfStyle w:val="000000000000"/>
              <w:rPr>
                <w:szCs w:val="20"/>
              </w:rPr>
            </w:pPr>
            <w:r w:rsidRPr="00C66550">
              <w:rPr>
                <w:szCs w:val="20"/>
              </w:rPr>
              <w:t>6.</w:t>
            </w:r>
            <w:r w:rsidR="00E500D8" w:rsidRPr="00C66550">
              <w:rPr>
                <w:szCs w:val="20"/>
              </w:rPr>
              <w:t xml:space="preserve"> </w:t>
            </w:r>
            <w:r w:rsidRPr="00C66550">
              <w:rPr>
                <w:szCs w:val="20"/>
              </w:rPr>
              <w:t>reduction of greenhouse gas emissions</w:t>
            </w:r>
          </w:p>
        </w:tc>
      </w:tr>
      <w:tr w:rsidR="001E761C" w:rsidRPr="00C66550" w:rsidTr="001E761C">
        <w:tc>
          <w:tcPr>
            <w:cnfStyle w:val="001000000000"/>
            <w:tcW w:w="1318" w:type="pct"/>
            <w:tcBorders>
              <w:top w:val="single" w:sz="4" w:space="0" w:color="A6A6A6" w:themeColor="background1" w:themeShade="A6"/>
              <w:left w:val="nil"/>
              <w:bottom w:val="single" w:sz="4" w:space="0" w:color="A6A6A6" w:themeColor="background1" w:themeShade="A6"/>
              <w:right w:val="nil"/>
            </w:tcBorders>
          </w:tcPr>
          <w:p w:rsidR="001E761C" w:rsidRPr="00C66550" w:rsidRDefault="001E761C" w:rsidP="001E761C">
            <w:pPr>
              <w:rPr>
                <w:rFonts w:asciiTheme="minorHAnsi" w:hAnsiTheme="minorHAnsi" w:cs="Arial"/>
                <w:color w:val="000000"/>
                <w:szCs w:val="20"/>
              </w:rPr>
            </w:pPr>
            <w:r w:rsidRPr="00C66550">
              <w:rPr>
                <w:rFonts w:asciiTheme="minorHAnsi" w:hAnsiTheme="minorHAnsi" w:cs="Arial"/>
                <w:color w:val="000000"/>
                <w:szCs w:val="20"/>
              </w:rPr>
              <w:t>State targets for recovery where set (%)</w:t>
            </w:r>
          </w:p>
        </w:tc>
        <w:tc>
          <w:tcPr>
            <w:tcW w:w="3682" w:type="pct"/>
            <w:gridSpan w:val="12"/>
            <w:tcBorders>
              <w:top w:val="single" w:sz="4" w:space="0" w:color="A6A6A6" w:themeColor="background1" w:themeShade="A6"/>
              <w:left w:val="nil"/>
              <w:bottom w:val="single" w:sz="4" w:space="0" w:color="A6A6A6" w:themeColor="background1" w:themeShade="A6"/>
              <w:right w:val="nil"/>
            </w:tcBorders>
          </w:tcPr>
          <w:p w:rsidR="001E761C" w:rsidRPr="00C66550" w:rsidRDefault="001E761C" w:rsidP="001E761C">
            <w:pPr>
              <w:cnfStyle w:val="000000000000"/>
              <w:rPr>
                <w:szCs w:val="20"/>
              </w:rPr>
            </w:pPr>
            <w:r w:rsidRPr="00C66550">
              <w:rPr>
                <w:szCs w:val="20"/>
              </w:rPr>
              <w:t>No specific targets are included in the strategy document, citing poor data.</w:t>
            </w:r>
          </w:p>
        </w:tc>
      </w:tr>
      <w:tr w:rsidR="001E761C" w:rsidRPr="00C66550" w:rsidTr="001E761C">
        <w:tc>
          <w:tcPr>
            <w:cnfStyle w:val="001000000000"/>
            <w:tcW w:w="1318" w:type="pct"/>
            <w:tcBorders>
              <w:top w:val="single" w:sz="4" w:space="0" w:color="A6A6A6" w:themeColor="background1" w:themeShade="A6"/>
              <w:left w:val="nil"/>
              <w:bottom w:val="single" w:sz="4" w:space="0" w:color="A6A6A6" w:themeColor="background1" w:themeShade="A6"/>
              <w:right w:val="nil"/>
            </w:tcBorders>
          </w:tcPr>
          <w:p w:rsidR="001E761C" w:rsidRPr="00C66550" w:rsidRDefault="001E761C" w:rsidP="001E761C">
            <w:pPr>
              <w:rPr>
                <w:rFonts w:asciiTheme="minorHAnsi" w:hAnsiTheme="minorHAnsi" w:cs="Arial"/>
                <w:color w:val="000000"/>
                <w:szCs w:val="20"/>
              </w:rPr>
            </w:pPr>
            <w:r w:rsidRPr="00C66550">
              <w:rPr>
                <w:rFonts w:asciiTheme="minorHAnsi" w:hAnsiTheme="minorHAnsi" w:cs="Arial"/>
                <w:color w:val="000000"/>
                <w:szCs w:val="20"/>
              </w:rPr>
              <w:t>Landfill levy ($/tonne)</w:t>
            </w:r>
          </w:p>
        </w:tc>
        <w:tc>
          <w:tcPr>
            <w:tcW w:w="3682" w:type="pct"/>
            <w:gridSpan w:val="12"/>
            <w:tcBorders>
              <w:top w:val="single" w:sz="4" w:space="0" w:color="A6A6A6" w:themeColor="background1" w:themeShade="A6"/>
              <w:left w:val="nil"/>
              <w:bottom w:val="single" w:sz="4" w:space="0" w:color="A6A6A6" w:themeColor="background1" w:themeShade="A6"/>
              <w:right w:val="nil"/>
            </w:tcBorders>
          </w:tcPr>
          <w:p w:rsidR="001E761C" w:rsidRPr="00C66550" w:rsidRDefault="001E761C" w:rsidP="001E761C">
            <w:pPr>
              <w:cnfStyle w:val="000000000000"/>
              <w:rPr>
                <w:szCs w:val="20"/>
              </w:rPr>
            </w:pPr>
            <w:r w:rsidRPr="00C66550">
              <w:rPr>
                <w:szCs w:val="20"/>
              </w:rPr>
              <w:t>Voluntary local government levy of $2 per tonne on waste disposed to landfill.</w:t>
            </w:r>
          </w:p>
        </w:tc>
      </w:tr>
    </w:tbl>
    <w:p w:rsidR="00325656" w:rsidRPr="00C66550" w:rsidRDefault="00325656" w:rsidP="00CC6618">
      <w:pPr>
        <w:jc w:val="right"/>
        <w:rPr>
          <w:rFonts w:asciiTheme="minorHAnsi" w:hAnsiTheme="minorHAnsi"/>
          <w:b/>
          <w:color w:val="000000"/>
          <w:sz w:val="18"/>
          <w:szCs w:val="18"/>
        </w:rPr>
      </w:pPr>
    </w:p>
    <w:p w:rsidR="00A56E17" w:rsidRDefault="00A56E17">
      <w:pPr>
        <w:spacing w:line="240" w:lineRule="auto"/>
        <w:rPr>
          <w:rFonts w:asciiTheme="minorHAnsi" w:hAnsiTheme="minorHAnsi"/>
          <w:b/>
          <w:color w:val="000000"/>
          <w:sz w:val="18"/>
          <w:szCs w:val="18"/>
        </w:rPr>
      </w:pPr>
      <w:r>
        <w:rPr>
          <w:rFonts w:asciiTheme="minorHAnsi" w:hAnsiTheme="minorHAnsi"/>
          <w:b/>
          <w:color w:val="000000"/>
          <w:sz w:val="18"/>
          <w:szCs w:val="18"/>
        </w:rPr>
        <w:br w:type="page"/>
      </w:r>
    </w:p>
    <w:tbl>
      <w:tblPr>
        <w:tblStyle w:val="BETable1"/>
        <w:tblW w:w="5395" w:type="pct"/>
        <w:tblInd w:w="-9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1367"/>
        <w:gridCol w:w="1043"/>
        <w:gridCol w:w="799"/>
        <w:gridCol w:w="1315"/>
        <w:gridCol w:w="743"/>
        <w:gridCol w:w="783"/>
        <w:gridCol w:w="44"/>
        <w:gridCol w:w="566"/>
        <w:gridCol w:w="805"/>
        <w:gridCol w:w="845"/>
        <w:gridCol w:w="1110"/>
        <w:gridCol w:w="876"/>
        <w:gridCol w:w="852"/>
        <w:gridCol w:w="740"/>
        <w:gridCol w:w="591"/>
        <w:gridCol w:w="1333"/>
        <w:gridCol w:w="848"/>
        <w:gridCol w:w="880"/>
      </w:tblGrid>
      <w:tr w:rsidR="00C241F6" w:rsidRPr="00C66550" w:rsidTr="00C241F6">
        <w:trPr>
          <w:cnfStyle w:val="100000000000"/>
          <w:tblHeader/>
        </w:trPr>
        <w:tc>
          <w:tcPr>
            <w:cnfStyle w:val="001000000000"/>
            <w:tcW w:w="776" w:type="pct"/>
            <w:gridSpan w:val="2"/>
            <w:tcBorders>
              <w:top w:val="single" w:sz="4" w:space="0" w:color="A6A6A6" w:themeColor="background1" w:themeShade="A6"/>
              <w:bottom w:val="single" w:sz="4" w:space="0" w:color="A6A6A6" w:themeColor="background1" w:themeShade="A6"/>
            </w:tcBorders>
            <w:vAlign w:val="center"/>
          </w:tcPr>
          <w:p w:rsidR="00C241F6" w:rsidRPr="00C66550" w:rsidRDefault="00DF4FB7" w:rsidP="00C710CD">
            <w:pPr>
              <w:rPr>
                <w:bCs/>
                <w:color w:val="000000"/>
                <w:szCs w:val="20"/>
              </w:rPr>
            </w:pPr>
            <w:r>
              <w:rPr>
                <w:bCs/>
                <w:color w:val="000000"/>
                <w:szCs w:val="20"/>
              </w:rPr>
              <w:lastRenderedPageBreak/>
              <w:t>Vic</w:t>
            </w:r>
            <w:r w:rsidR="00C241F6">
              <w:rPr>
                <w:bCs/>
                <w:color w:val="000000"/>
                <w:szCs w:val="20"/>
              </w:rPr>
              <w:t xml:space="preserve"> - </w:t>
            </w:r>
            <w:r w:rsidR="00C241F6" w:rsidRPr="00C66550">
              <w:rPr>
                <w:bCs/>
                <w:color w:val="000000"/>
                <w:szCs w:val="20"/>
              </w:rPr>
              <w:t xml:space="preserve"> summary of strategy, policy, targets</w:t>
            </w:r>
            <w:r w:rsidR="00C241F6" w:rsidRPr="00C66550">
              <w:rPr>
                <w:rStyle w:val="FootnoteReference"/>
                <w:bCs/>
                <w:color w:val="000000"/>
                <w:szCs w:val="20"/>
              </w:rPr>
              <w:footnoteReference w:id="23"/>
            </w:r>
          </w:p>
          <w:p w:rsidR="00C241F6" w:rsidRPr="00C66550" w:rsidRDefault="00C241F6">
            <w:pPr>
              <w:jc w:val="center"/>
              <w:rPr>
                <w:bCs/>
                <w:color w:val="000000"/>
                <w:szCs w:val="20"/>
              </w:rPr>
            </w:pPr>
            <w:r w:rsidRPr="00C66550">
              <w:rPr>
                <w:bCs/>
                <w:color w:val="000000"/>
                <w:szCs w:val="20"/>
              </w:rPr>
              <w:t> </w:t>
            </w:r>
          </w:p>
        </w:tc>
        <w:tc>
          <w:tcPr>
            <w:tcW w:w="257" w:type="pct"/>
            <w:tcBorders>
              <w:top w:val="single" w:sz="4" w:space="0" w:color="A6A6A6" w:themeColor="background1" w:themeShade="A6"/>
              <w:bottom w:val="single" w:sz="4" w:space="0" w:color="A6A6A6" w:themeColor="background1" w:themeShade="A6"/>
            </w:tcBorders>
            <w:vAlign w:val="bottom"/>
          </w:tcPr>
          <w:p w:rsidR="00C241F6" w:rsidRPr="00C66550" w:rsidRDefault="00C241F6">
            <w:pPr>
              <w:jc w:val="right"/>
              <w:cnfStyle w:val="100000000000"/>
              <w:rPr>
                <w:color w:val="000000"/>
                <w:szCs w:val="20"/>
              </w:rPr>
            </w:pPr>
            <w:r w:rsidRPr="00C66550">
              <w:rPr>
                <w:color w:val="000000"/>
                <w:szCs w:val="20"/>
              </w:rPr>
              <w:t>2006</w:t>
            </w:r>
          </w:p>
        </w:tc>
        <w:tc>
          <w:tcPr>
            <w:tcW w:w="423" w:type="pct"/>
            <w:tcBorders>
              <w:top w:val="single" w:sz="4" w:space="0" w:color="A6A6A6" w:themeColor="background1" w:themeShade="A6"/>
              <w:bottom w:val="single" w:sz="4" w:space="0" w:color="A6A6A6" w:themeColor="background1" w:themeShade="A6"/>
            </w:tcBorders>
            <w:vAlign w:val="bottom"/>
          </w:tcPr>
          <w:p w:rsidR="00C241F6" w:rsidRPr="00C66550" w:rsidRDefault="00C241F6">
            <w:pPr>
              <w:jc w:val="right"/>
              <w:cnfStyle w:val="100000000000"/>
              <w:rPr>
                <w:color w:val="000000"/>
                <w:szCs w:val="20"/>
              </w:rPr>
            </w:pPr>
            <w:r w:rsidRPr="00C66550">
              <w:rPr>
                <w:color w:val="000000"/>
                <w:szCs w:val="20"/>
              </w:rPr>
              <w:t>2007</w:t>
            </w:r>
          </w:p>
        </w:tc>
        <w:tc>
          <w:tcPr>
            <w:tcW w:w="239" w:type="pct"/>
            <w:tcBorders>
              <w:top w:val="single" w:sz="4" w:space="0" w:color="A6A6A6" w:themeColor="background1" w:themeShade="A6"/>
              <w:bottom w:val="single" w:sz="4" w:space="0" w:color="A6A6A6" w:themeColor="background1" w:themeShade="A6"/>
            </w:tcBorders>
            <w:vAlign w:val="bottom"/>
          </w:tcPr>
          <w:p w:rsidR="00C241F6" w:rsidRPr="00C66550" w:rsidRDefault="00C241F6">
            <w:pPr>
              <w:jc w:val="right"/>
              <w:cnfStyle w:val="100000000000"/>
              <w:rPr>
                <w:color w:val="000000"/>
                <w:szCs w:val="20"/>
              </w:rPr>
            </w:pPr>
            <w:r w:rsidRPr="00C66550">
              <w:rPr>
                <w:color w:val="000000"/>
                <w:szCs w:val="20"/>
              </w:rPr>
              <w:t>2008</w:t>
            </w:r>
          </w:p>
        </w:tc>
        <w:tc>
          <w:tcPr>
            <w:tcW w:w="707" w:type="pct"/>
            <w:gridSpan w:val="4"/>
            <w:tcBorders>
              <w:top w:val="single" w:sz="4" w:space="0" w:color="A6A6A6" w:themeColor="background1" w:themeShade="A6"/>
              <w:bottom w:val="single" w:sz="4" w:space="0" w:color="A6A6A6" w:themeColor="background1" w:themeShade="A6"/>
            </w:tcBorders>
            <w:vAlign w:val="bottom"/>
          </w:tcPr>
          <w:p w:rsidR="00C241F6" w:rsidRPr="00C66550" w:rsidRDefault="00C241F6" w:rsidP="003D15B7">
            <w:pPr>
              <w:jc w:val="center"/>
              <w:cnfStyle w:val="100000000000"/>
              <w:rPr>
                <w:color w:val="000000"/>
                <w:szCs w:val="20"/>
              </w:rPr>
            </w:pPr>
            <w:r w:rsidRPr="00C66550">
              <w:rPr>
                <w:color w:val="000000"/>
                <w:szCs w:val="20"/>
              </w:rPr>
              <w:t>2009</w:t>
            </w:r>
          </w:p>
        </w:tc>
        <w:tc>
          <w:tcPr>
            <w:tcW w:w="272" w:type="pct"/>
            <w:tcBorders>
              <w:top w:val="single" w:sz="4" w:space="0" w:color="A6A6A6" w:themeColor="background1" w:themeShade="A6"/>
              <w:bottom w:val="single" w:sz="4" w:space="0" w:color="A6A6A6" w:themeColor="background1" w:themeShade="A6"/>
            </w:tcBorders>
            <w:vAlign w:val="bottom"/>
          </w:tcPr>
          <w:p w:rsidR="00C241F6" w:rsidRPr="00C66550" w:rsidRDefault="00C241F6">
            <w:pPr>
              <w:jc w:val="right"/>
              <w:cnfStyle w:val="100000000000"/>
              <w:rPr>
                <w:color w:val="000000"/>
                <w:szCs w:val="20"/>
              </w:rPr>
            </w:pPr>
            <w:r w:rsidRPr="00C66550">
              <w:rPr>
                <w:color w:val="000000"/>
                <w:szCs w:val="20"/>
              </w:rPr>
              <w:t>2010</w:t>
            </w:r>
          </w:p>
        </w:tc>
        <w:tc>
          <w:tcPr>
            <w:tcW w:w="357" w:type="pct"/>
            <w:tcBorders>
              <w:top w:val="single" w:sz="4" w:space="0" w:color="A6A6A6" w:themeColor="background1" w:themeShade="A6"/>
              <w:bottom w:val="single" w:sz="4" w:space="0" w:color="A6A6A6" w:themeColor="background1" w:themeShade="A6"/>
            </w:tcBorders>
            <w:vAlign w:val="bottom"/>
          </w:tcPr>
          <w:p w:rsidR="00C241F6" w:rsidRPr="00C66550" w:rsidRDefault="00C241F6">
            <w:pPr>
              <w:jc w:val="right"/>
              <w:cnfStyle w:val="100000000000"/>
              <w:rPr>
                <w:color w:val="000000"/>
                <w:szCs w:val="20"/>
              </w:rPr>
            </w:pPr>
            <w:r w:rsidRPr="00C66550">
              <w:rPr>
                <w:color w:val="000000"/>
                <w:szCs w:val="20"/>
              </w:rPr>
              <w:t>2011</w:t>
            </w:r>
          </w:p>
        </w:tc>
        <w:tc>
          <w:tcPr>
            <w:tcW w:w="282" w:type="pct"/>
            <w:tcBorders>
              <w:top w:val="single" w:sz="4" w:space="0" w:color="A6A6A6" w:themeColor="background1" w:themeShade="A6"/>
              <w:bottom w:val="single" w:sz="4" w:space="0" w:color="A6A6A6" w:themeColor="background1" w:themeShade="A6"/>
            </w:tcBorders>
            <w:vAlign w:val="bottom"/>
          </w:tcPr>
          <w:p w:rsidR="00C241F6" w:rsidRPr="00C66550" w:rsidRDefault="00C241F6">
            <w:pPr>
              <w:jc w:val="right"/>
              <w:cnfStyle w:val="100000000000"/>
              <w:rPr>
                <w:color w:val="000000"/>
                <w:szCs w:val="20"/>
              </w:rPr>
            </w:pPr>
            <w:r w:rsidRPr="00C66550">
              <w:rPr>
                <w:color w:val="000000"/>
                <w:szCs w:val="20"/>
              </w:rPr>
              <w:t>2012</w:t>
            </w:r>
          </w:p>
        </w:tc>
        <w:tc>
          <w:tcPr>
            <w:tcW w:w="274" w:type="pct"/>
            <w:tcBorders>
              <w:top w:val="single" w:sz="4" w:space="0" w:color="A6A6A6" w:themeColor="background1" w:themeShade="A6"/>
              <w:bottom w:val="single" w:sz="4" w:space="0" w:color="A6A6A6" w:themeColor="background1" w:themeShade="A6"/>
            </w:tcBorders>
            <w:vAlign w:val="bottom"/>
          </w:tcPr>
          <w:p w:rsidR="00C241F6" w:rsidRPr="00C66550" w:rsidRDefault="00C241F6">
            <w:pPr>
              <w:jc w:val="right"/>
              <w:cnfStyle w:val="100000000000"/>
              <w:rPr>
                <w:color w:val="000000"/>
                <w:szCs w:val="20"/>
              </w:rPr>
            </w:pPr>
            <w:r w:rsidRPr="00C66550">
              <w:rPr>
                <w:color w:val="000000"/>
                <w:szCs w:val="20"/>
              </w:rPr>
              <w:t>2013</w:t>
            </w:r>
          </w:p>
        </w:tc>
        <w:tc>
          <w:tcPr>
            <w:tcW w:w="857" w:type="pct"/>
            <w:gridSpan w:val="3"/>
            <w:tcBorders>
              <w:top w:val="single" w:sz="4" w:space="0" w:color="A6A6A6" w:themeColor="background1" w:themeShade="A6"/>
              <w:bottom w:val="single" w:sz="4" w:space="0" w:color="A6A6A6" w:themeColor="background1" w:themeShade="A6"/>
            </w:tcBorders>
            <w:vAlign w:val="bottom"/>
          </w:tcPr>
          <w:p w:rsidR="00C241F6" w:rsidRPr="00C66550" w:rsidRDefault="00C241F6" w:rsidP="003D15B7">
            <w:pPr>
              <w:jc w:val="center"/>
              <w:cnfStyle w:val="100000000000"/>
              <w:rPr>
                <w:color w:val="000000"/>
                <w:szCs w:val="20"/>
              </w:rPr>
            </w:pPr>
            <w:r w:rsidRPr="00C66550">
              <w:rPr>
                <w:color w:val="000000"/>
                <w:szCs w:val="20"/>
              </w:rPr>
              <w:t>2014</w:t>
            </w:r>
          </w:p>
        </w:tc>
        <w:tc>
          <w:tcPr>
            <w:tcW w:w="273" w:type="pct"/>
            <w:tcBorders>
              <w:top w:val="single" w:sz="4" w:space="0" w:color="A6A6A6" w:themeColor="background1" w:themeShade="A6"/>
              <w:bottom w:val="single" w:sz="4" w:space="0" w:color="A6A6A6" w:themeColor="background1" w:themeShade="A6"/>
            </w:tcBorders>
            <w:vAlign w:val="bottom"/>
          </w:tcPr>
          <w:p w:rsidR="00C241F6" w:rsidRPr="00C66550" w:rsidRDefault="00C241F6">
            <w:pPr>
              <w:jc w:val="right"/>
              <w:cnfStyle w:val="100000000000"/>
              <w:rPr>
                <w:color w:val="000000"/>
                <w:szCs w:val="20"/>
              </w:rPr>
            </w:pPr>
            <w:r w:rsidRPr="00C66550">
              <w:rPr>
                <w:color w:val="000000"/>
                <w:szCs w:val="20"/>
              </w:rPr>
              <w:t>2015</w:t>
            </w:r>
          </w:p>
        </w:tc>
        <w:tc>
          <w:tcPr>
            <w:tcW w:w="283" w:type="pct"/>
            <w:tcBorders>
              <w:top w:val="single" w:sz="4" w:space="0" w:color="A6A6A6" w:themeColor="background1" w:themeShade="A6"/>
              <w:bottom w:val="single" w:sz="4" w:space="0" w:color="A6A6A6" w:themeColor="background1" w:themeShade="A6"/>
            </w:tcBorders>
            <w:vAlign w:val="bottom"/>
          </w:tcPr>
          <w:p w:rsidR="00C241F6" w:rsidRPr="00C66550" w:rsidRDefault="00C241F6" w:rsidP="00EB77B6">
            <w:pPr>
              <w:jc w:val="center"/>
              <w:cnfStyle w:val="100000000000"/>
              <w:rPr>
                <w:color w:val="000000"/>
                <w:szCs w:val="20"/>
              </w:rPr>
            </w:pPr>
            <w:r w:rsidRPr="00C66550">
              <w:rPr>
                <w:color w:val="000000"/>
                <w:szCs w:val="20"/>
              </w:rPr>
              <w:t>2034</w:t>
            </w:r>
          </w:p>
        </w:tc>
      </w:tr>
      <w:tr w:rsidR="00EF7E83" w:rsidRPr="00C66550" w:rsidTr="00C241F6">
        <w:tc>
          <w:tcPr>
            <w:cnfStyle w:val="001000000000"/>
            <w:tcW w:w="440"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rPr>
                <w:color w:val="000000"/>
                <w:szCs w:val="20"/>
              </w:rPr>
            </w:pPr>
            <w:r w:rsidRPr="00C66550">
              <w:rPr>
                <w:color w:val="000000"/>
                <w:szCs w:val="20"/>
              </w:rPr>
              <w:t>Waste strategy/policy</w:t>
            </w:r>
            <w:r w:rsidR="00FF12A8" w:rsidRPr="00C66550">
              <w:rPr>
                <w:color w:val="000000"/>
                <w:szCs w:val="20"/>
              </w:rPr>
              <w:t xml:space="preserve"> </w:t>
            </w:r>
            <w:r w:rsidRPr="00C66550">
              <w:rPr>
                <w:color w:val="000000"/>
                <w:szCs w:val="20"/>
              </w:rPr>
              <w:t>in place</w:t>
            </w:r>
          </w:p>
        </w:tc>
        <w:tc>
          <w:tcPr>
            <w:tcW w:w="336"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3668" w:type="pct"/>
            <w:gridSpan w:val="14"/>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rsidP="00EB77B6">
            <w:pPr>
              <w:jc w:val="center"/>
              <w:cnfStyle w:val="000000000000"/>
              <w:rPr>
                <w:color w:val="000000"/>
                <w:szCs w:val="20"/>
              </w:rPr>
            </w:pPr>
            <w:r w:rsidRPr="00C66550">
              <w:rPr>
                <w:i/>
                <w:color w:val="000000"/>
                <w:szCs w:val="20"/>
              </w:rPr>
              <w:t>Towards Zero Waste Strategy</w:t>
            </w:r>
          </w:p>
        </w:tc>
        <w:tc>
          <w:tcPr>
            <w:tcW w:w="27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r w:rsidRPr="00C66550">
              <w:rPr>
                <w:color w:val="000000"/>
                <w:szCs w:val="20"/>
              </w:rPr>
              <w:t> </w:t>
            </w:r>
          </w:p>
        </w:tc>
        <w:tc>
          <w:tcPr>
            <w:tcW w:w="28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jc w:val="center"/>
              <w:cnfStyle w:val="000000000000"/>
              <w:rPr>
                <w:color w:val="000000"/>
                <w:szCs w:val="20"/>
              </w:rPr>
            </w:pPr>
          </w:p>
        </w:tc>
      </w:tr>
      <w:tr w:rsidR="00EF7E83" w:rsidRPr="00C66550" w:rsidTr="00C241F6">
        <w:tc>
          <w:tcPr>
            <w:cnfStyle w:val="001000000000"/>
            <w:tcW w:w="440"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rPr>
                <w:color w:val="000000"/>
                <w:szCs w:val="20"/>
              </w:rPr>
            </w:pPr>
            <w:r w:rsidRPr="00C66550">
              <w:rPr>
                <w:color w:val="000000"/>
                <w:szCs w:val="20"/>
              </w:rPr>
              <w:t>Policy goals summary</w:t>
            </w:r>
          </w:p>
        </w:tc>
        <w:tc>
          <w:tcPr>
            <w:tcW w:w="336"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3668" w:type="pct"/>
            <w:gridSpan w:val="14"/>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rsidP="00C548DF">
            <w:pPr>
              <w:cnfStyle w:val="000000000000"/>
              <w:rPr>
                <w:color w:val="000000"/>
                <w:szCs w:val="20"/>
              </w:rPr>
            </w:pPr>
            <w:r w:rsidRPr="00C66550">
              <w:rPr>
                <w:color w:val="000000"/>
                <w:szCs w:val="20"/>
              </w:rPr>
              <w:t xml:space="preserve">The strategy’s vision is for </w:t>
            </w:r>
            <w:r w:rsidR="00DF4FB7">
              <w:rPr>
                <w:color w:val="000000"/>
                <w:szCs w:val="20"/>
              </w:rPr>
              <w:t>Vic</w:t>
            </w:r>
            <w:r w:rsidR="008A1A56">
              <w:rPr>
                <w:color w:val="000000"/>
                <w:szCs w:val="20"/>
              </w:rPr>
              <w:t xml:space="preserve"> </w:t>
            </w:r>
            <w:r w:rsidRPr="00C66550">
              <w:rPr>
                <w:color w:val="000000"/>
                <w:szCs w:val="20"/>
              </w:rPr>
              <w:t xml:space="preserve">to be well advanced along the pathway of becoming a low waste society by 2014.The </w:t>
            </w:r>
            <w:r w:rsidR="00DF4FB7">
              <w:rPr>
                <w:color w:val="000000"/>
                <w:szCs w:val="20"/>
              </w:rPr>
              <w:t>Vic</w:t>
            </w:r>
            <w:r w:rsidR="008A1A56">
              <w:rPr>
                <w:color w:val="000000"/>
                <w:szCs w:val="20"/>
              </w:rPr>
              <w:t xml:space="preserve"> </w:t>
            </w:r>
            <w:r w:rsidR="00207FD3" w:rsidRPr="00C66550">
              <w:rPr>
                <w:i/>
                <w:color w:val="000000"/>
                <w:szCs w:val="20"/>
              </w:rPr>
              <w:t>Towards Zero Waste Strategy</w:t>
            </w:r>
            <w:r w:rsidRPr="00C66550">
              <w:rPr>
                <w:color w:val="000000"/>
                <w:szCs w:val="20"/>
              </w:rPr>
              <w:t xml:space="preserve"> sets the strategic direction for solid waste management across all sectors. Although released in 2005, the Strategy seeks to minimise solid waste generation and maximise recovery of materials based on 2003 levels, with targets set to 2014. </w:t>
            </w:r>
          </w:p>
        </w:tc>
        <w:tc>
          <w:tcPr>
            <w:tcW w:w="27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r w:rsidRPr="00C66550">
              <w:rPr>
                <w:color w:val="000000"/>
                <w:szCs w:val="20"/>
              </w:rPr>
              <w:t> </w:t>
            </w:r>
          </w:p>
        </w:tc>
        <w:tc>
          <w:tcPr>
            <w:tcW w:w="28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jc w:val="center"/>
              <w:cnfStyle w:val="000000000000"/>
              <w:rPr>
                <w:color w:val="000000"/>
                <w:szCs w:val="20"/>
              </w:rPr>
            </w:pPr>
          </w:p>
        </w:tc>
      </w:tr>
      <w:tr w:rsidR="00EF7E83" w:rsidRPr="00C66550" w:rsidTr="00C241F6">
        <w:tc>
          <w:tcPr>
            <w:cnfStyle w:val="001000000000"/>
            <w:tcW w:w="440"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rPr>
                <w:color w:val="000000"/>
                <w:szCs w:val="20"/>
              </w:rPr>
            </w:pPr>
            <w:r w:rsidRPr="00C66550">
              <w:rPr>
                <w:color w:val="000000"/>
                <w:szCs w:val="20"/>
              </w:rPr>
              <w:t>State targets for</w:t>
            </w:r>
            <w:r w:rsidR="003D15B7" w:rsidRPr="00C66550">
              <w:rPr>
                <w:color w:val="000000"/>
                <w:szCs w:val="20"/>
              </w:rPr>
              <w:t xml:space="preserve"> waste</w:t>
            </w:r>
            <w:r w:rsidRPr="00C66550">
              <w:rPr>
                <w:color w:val="000000"/>
                <w:szCs w:val="20"/>
              </w:rPr>
              <w:t xml:space="preserve"> generation</w:t>
            </w:r>
          </w:p>
        </w:tc>
        <w:tc>
          <w:tcPr>
            <w:tcW w:w="336"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257"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239"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252"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196" w:type="pct"/>
            <w:gridSpan w:val="2"/>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259"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272"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357"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282"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274"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F7E83">
            <w:pPr>
              <w:cnfStyle w:val="000000000000"/>
              <w:rPr>
                <w:color w:val="000000"/>
                <w:szCs w:val="20"/>
              </w:rPr>
            </w:pPr>
            <w:r w:rsidRPr="00C66550">
              <w:rPr>
                <w:color w:val="000000"/>
                <w:szCs w:val="20"/>
              </w:rPr>
              <w:t> </w:t>
            </w:r>
          </w:p>
        </w:tc>
        <w:tc>
          <w:tcPr>
            <w:tcW w:w="857" w:type="pct"/>
            <w:gridSpan w:val="3"/>
            <w:tcBorders>
              <w:top w:val="single" w:sz="4" w:space="0" w:color="A6A6A6" w:themeColor="background1" w:themeShade="A6"/>
              <w:left w:val="nil"/>
              <w:bottom w:val="single" w:sz="4" w:space="0" w:color="A6A6A6" w:themeColor="background1" w:themeShade="A6"/>
              <w:right w:val="nil"/>
            </w:tcBorders>
          </w:tcPr>
          <w:p w:rsidR="00EF7E83" w:rsidRPr="00C66550" w:rsidRDefault="00EB77B6" w:rsidP="00A56E17">
            <w:pPr>
              <w:cnfStyle w:val="000000000000"/>
              <w:rPr>
                <w:color w:val="000000"/>
                <w:szCs w:val="20"/>
              </w:rPr>
            </w:pPr>
            <w:r w:rsidRPr="00C66550">
              <w:rPr>
                <w:color w:val="000000"/>
                <w:szCs w:val="20"/>
              </w:rPr>
              <w:t xml:space="preserve">1.5 </w:t>
            </w:r>
            <w:r w:rsidR="00A56E17">
              <w:rPr>
                <w:color w:val="000000"/>
                <w:szCs w:val="20"/>
              </w:rPr>
              <w:t xml:space="preserve">Mt </w:t>
            </w:r>
            <w:r w:rsidRPr="00C66550">
              <w:rPr>
                <w:color w:val="000000"/>
                <w:szCs w:val="20"/>
              </w:rPr>
              <w:t>reduction in the projected quantity of solid waste generated, by 2014. </w:t>
            </w:r>
          </w:p>
        </w:tc>
        <w:tc>
          <w:tcPr>
            <w:tcW w:w="27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p>
        </w:tc>
        <w:tc>
          <w:tcPr>
            <w:tcW w:w="28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p>
        </w:tc>
      </w:tr>
      <w:tr w:rsidR="00EF7E83" w:rsidRPr="00C66550" w:rsidTr="00C241F6">
        <w:tc>
          <w:tcPr>
            <w:cnfStyle w:val="001000000000"/>
            <w:tcW w:w="440" w:type="pct"/>
            <w:tcBorders>
              <w:top w:val="single" w:sz="4" w:space="0" w:color="A6A6A6" w:themeColor="background1" w:themeShade="A6"/>
              <w:left w:val="nil"/>
              <w:bottom w:val="nil"/>
              <w:right w:val="nil"/>
            </w:tcBorders>
            <w:vAlign w:val="bottom"/>
          </w:tcPr>
          <w:p w:rsidR="00EB77B6" w:rsidRPr="00C66550" w:rsidRDefault="00EB77B6" w:rsidP="009D16A1">
            <w:pPr>
              <w:rPr>
                <w:color w:val="000000"/>
                <w:szCs w:val="20"/>
              </w:rPr>
            </w:pPr>
            <w:r w:rsidRPr="00C66550">
              <w:rPr>
                <w:color w:val="000000"/>
                <w:szCs w:val="20"/>
              </w:rPr>
              <w:t>State targets for recovery (%)</w:t>
            </w:r>
          </w:p>
        </w:tc>
        <w:tc>
          <w:tcPr>
            <w:tcW w:w="336"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57"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39"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707" w:type="pct"/>
            <w:gridSpan w:val="4"/>
            <w:tcBorders>
              <w:top w:val="single" w:sz="4" w:space="0" w:color="A6A6A6" w:themeColor="background1" w:themeShade="A6"/>
              <w:left w:val="nil"/>
              <w:bottom w:val="nil"/>
              <w:right w:val="nil"/>
            </w:tcBorders>
            <w:vAlign w:val="bottom"/>
          </w:tcPr>
          <w:p w:rsidR="00EB77B6" w:rsidRPr="00C66550" w:rsidRDefault="00EB77B6" w:rsidP="00EB77B6">
            <w:pPr>
              <w:jc w:val="center"/>
              <w:cnfStyle w:val="000000000000"/>
              <w:rPr>
                <w:color w:val="000000"/>
                <w:szCs w:val="20"/>
              </w:rPr>
            </w:pPr>
            <w:r w:rsidRPr="00C66550">
              <w:rPr>
                <w:color w:val="000000"/>
                <w:szCs w:val="20"/>
              </w:rPr>
              <w:t>60% total</w:t>
            </w:r>
          </w:p>
        </w:tc>
        <w:tc>
          <w:tcPr>
            <w:tcW w:w="272"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357"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82"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74"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857" w:type="pct"/>
            <w:gridSpan w:val="3"/>
            <w:tcBorders>
              <w:top w:val="single" w:sz="4" w:space="0" w:color="A6A6A6" w:themeColor="background1" w:themeShade="A6"/>
              <w:left w:val="nil"/>
              <w:bottom w:val="nil"/>
              <w:right w:val="nil"/>
            </w:tcBorders>
            <w:vAlign w:val="bottom"/>
          </w:tcPr>
          <w:p w:rsidR="00EB77B6" w:rsidRPr="00C66550" w:rsidRDefault="00EB77B6" w:rsidP="00C710CD">
            <w:pPr>
              <w:cnfStyle w:val="000000000000"/>
              <w:rPr>
                <w:color w:val="000000"/>
                <w:szCs w:val="20"/>
              </w:rPr>
            </w:pPr>
            <w:r w:rsidRPr="00C66550">
              <w:rPr>
                <w:color w:val="000000"/>
                <w:szCs w:val="20"/>
              </w:rPr>
              <w:t>75% by weight of solid waste recovered for reuse, recycling and/or energy generation by 2014.</w:t>
            </w:r>
          </w:p>
        </w:tc>
        <w:tc>
          <w:tcPr>
            <w:tcW w:w="273" w:type="pct"/>
            <w:tcBorders>
              <w:top w:val="single" w:sz="4" w:space="0" w:color="A6A6A6" w:themeColor="background1" w:themeShade="A6"/>
              <w:left w:val="nil"/>
              <w:bottom w:val="nil"/>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83" w:type="pct"/>
            <w:tcBorders>
              <w:top w:val="single" w:sz="4" w:space="0" w:color="A6A6A6" w:themeColor="background1" w:themeShade="A6"/>
              <w:left w:val="nil"/>
              <w:bottom w:val="nil"/>
              <w:right w:val="nil"/>
            </w:tcBorders>
          </w:tcPr>
          <w:p w:rsidR="00EB77B6" w:rsidRPr="00C66550" w:rsidRDefault="00EB77B6">
            <w:pPr>
              <w:cnfStyle w:val="000000000000"/>
              <w:rPr>
                <w:color w:val="000000"/>
                <w:szCs w:val="20"/>
              </w:rPr>
            </w:pPr>
          </w:p>
        </w:tc>
      </w:tr>
      <w:tr w:rsidR="00EF7E83" w:rsidRPr="00C66550" w:rsidTr="00A56E17">
        <w:tc>
          <w:tcPr>
            <w:cnfStyle w:val="001000000000"/>
            <w:tcW w:w="440" w:type="pct"/>
            <w:tcBorders>
              <w:top w:val="nil"/>
              <w:left w:val="nil"/>
              <w:bottom w:val="single" w:sz="4" w:space="0" w:color="A6A6A6" w:themeColor="background1" w:themeShade="A6"/>
              <w:right w:val="nil"/>
            </w:tcBorders>
            <w:vAlign w:val="bottom"/>
          </w:tcPr>
          <w:p w:rsidR="00EB77B6" w:rsidRPr="00C66550" w:rsidRDefault="00EB77B6">
            <w:pPr>
              <w:rPr>
                <w:color w:val="000000"/>
                <w:szCs w:val="20"/>
              </w:rPr>
            </w:pPr>
            <w:r w:rsidRPr="00C66550">
              <w:rPr>
                <w:color w:val="000000"/>
                <w:szCs w:val="20"/>
              </w:rPr>
              <w:t> </w:t>
            </w:r>
          </w:p>
        </w:tc>
        <w:tc>
          <w:tcPr>
            <w:tcW w:w="336"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57"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3"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39"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66" w:type="pct"/>
            <w:gridSpan w:val="2"/>
            <w:tcBorders>
              <w:top w:val="nil"/>
              <w:left w:val="nil"/>
              <w:bottom w:val="single" w:sz="4" w:space="0" w:color="A6A6A6" w:themeColor="background1" w:themeShade="A6"/>
              <w:right w:val="nil"/>
            </w:tcBorders>
            <w:vAlign w:val="bottom"/>
          </w:tcPr>
          <w:p w:rsidR="00EB77B6" w:rsidRPr="00C66550" w:rsidRDefault="00EF7E83">
            <w:pPr>
              <w:jc w:val="right"/>
              <w:cnfStyle w:val="000000000000"/>
              <w:rPr>
                <w:color w:val="000000"/>
                <w:szCs w:val="20"/>
              </w:rPr>
            </w:pPr>
            <w:r w:rsidRPr="00C66550">
              <w:rPr>
                <w:color w:val="000000"/>
                <w:szCs w:val="20"/>
              </w:rPr>
              <w:t xml:space="preserve">MSW </w:t>
            </w:r>
            <w:r w:rsidR="00EB77B6" w:rsidRPr="00C66550">
              <w:rPr>
                <w:color w:val="000000"/>
                <w:szCs w:val="20"/>
              </w:rPr>
              <w:t>45%</w:t>
            </w:r>
          </w:p>
        </w:tc>
        <w:tc>
          <w:tcPr>
            <w:tcW w:w="181" w:type="pct"/>
            <w:tcBorders>
              <w:top w:val="nil"/>
              <w:left w:val="nil"/>
              <w:bottom w:val="single" w:sz="4" w:space="0" w:color="A6A6A6" w:themeColor="background1" w:themeShade="A6"/>
              <w:right w:val="nil"/>
            </w:tcBorders>
            <w:vAlign w:val="bottom"/>
          </w:tcPr>
          <w:p w:rsidR="00EB77B6" w:rsidRPr="00C66550" w:rsidRDefault="00EF7E83">
            <w:pPr>
              <w:jc w:val="right"/>
              <w:cnfStyle w:val="000000000000"/>
              <w:rPr>
                <w:color w:val="000000"/>
                <w:szCs w:val="20"/>
              </w:rPr>
            </w:pPr>
            <w:r w:rsidRPr="00C66550">
              <w:rPr>
                <w:color w:val="000000"/>
                <w:szCs w:val="20"/>
              </w:rPr>
              <w:t xml:space="preserve">C&amp;I </w:t>
            </w:r>
            <w:r w:rsidR="00EB77B6" w:rsidRPr="00C66550">
              <w:rPr>
                <w:color w:val="000000"/>
                <w:szCs w:val="20"/>
              </w:rPr>
              <w:t>65%</w:t>
            </w:r>
          </w:p>
        </w:tc>
        <w:tc>
          <w:tcPr>
            <w:tcW w:w="259" w:type="pct"/>
            <w:tcBorders>
              <w:top w:val="nil"/>
              <w:left w:val="nil"/>
              <w:bottom w:val="single" w:sz="4" w:space="0" w:color="A6A6A6" w:themeColor="background1" w:themeShade="A6"/>
              <w:right w:val="nil"/>
            </w:tcBorders>
            <w:vAlign w:val="bottom"/>
          </w:tcPr>
          <w:p w:rsidR="00EB77B6" w:rsidRPr="00C66550" w:rsidRDefault="00EF7E83">
            <w:pPr>
              <w:jc w:val="right"/>
              <w:cnfStyle w:val="000000000000"/>
              <w:rPr>
                <w:color w:val="000000"/>
                <w:szCs w:val="20"/>
              </w:rPr>
            </w:pPr>
            <w:r w:rsidRPr="00C66550">
              <w:rPr>
                <w:color w:val="000000"/>
                <w:szCs w:val="20"/>
              </w:rPr>
              <w:t>C&amp;D</w:t>
            </w:r>
            <w:r w:rsidR="00FF12A8" w:rsidRPr="00C66550">
              <w:rPr>
                <w:color w:val="000000"/>
                <w:szCs w:val="20"/>
              </w:rPr>
              <w:t xml:space="preserve"> </w:t>
            </w:r>
            <w:r w:rsidR="00EB77B6" w:rsidRPr="00C66550">
              <w:rPr>
                <w:color w:val="000000"/>
                <w:szCs w:val="20"/>
              </w:rPr>
              <w:t>65%</w:t>
            </w:r>
          </w:p>
        </w:tc>
        <w:tc>
          <w:tcPr>
            <w:tcW w:w="272"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357"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82"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74"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38" w:type="pct"/>
            <w:tcBorders>
              <w:top w:val="nil"/>
              <w:left w:val="nil"/>
              <w:bottom w:val="single" w:sz="4" w:space="0" w:color="A6A6A6" w:themeColor="background1" w:themeShade="A6"/>
              <w:right w:val="nil"/>
            </w:tcBorders>
            <w:vAlign w:val="bottom"/>
          </w:tcPr>
          <w:p w:rsidR="00EB77B6" w:rsidRPr="00C66550" w:rsidRDefault="00EF7E83">
            <w:pPr>
              <w:jc w:val="center"/>
              <w:cnfStyle w:val="000000000000"/>
              <w:rPr>
                <w:color w:val="000000"/>
                <w:szCs w:val="20"/>
              </w:rPr>
            </w:pPr>
            <w:r w:rsidRPr="00C66550">
              <w:rPr>
                <w:color w:val="000000"/>
                <w:szCs w:val="20"/>
              </w:rPr>
              <w:t xml:space="preserve">MSW </w:t>
            </w:r>
            <w:r w:rsidR="00EB77B6" w:rsidRPr="00C66550">
              <w:rPr>
                <w:color w:val="000000"/>
                <w:szCs w:val="20"/>
              </w:rPr>
              <w:t>65%</w:t>
            </w:r>
          </w:p>
        </w:tc>
        <w:tc>
          <w:tcPr>
            <w:tcW w:w="190" w:type="pct"/>
            <w:tcBorders>
              <w:top w:val="nil"/>
              <w:left w:val="nil"/>
              <w:bottom w:val="single" w:sz="4" w:space="0" w:color="A6A6A6" w:themeColor="background1" w:themeShade="A6"/>
              <w:right w:val="nil"/>
            </w:tcBorders>
            <w:vAlign w:val="bottom"/>
          </w:tcPr>
          <w:p w:rsidR="00EB77B6" w:rsidRPr="00C66550" w:rsidRDefault="00EF7E83">
            <w:pPr>
              <w:jc w:val="center"/>
              <w:cnfStyle w:val="000000000000"/>
              <w:rPr>
                <w:color w:val="000000"/>
                <w:szCs w:val="20"/>
              </w:rPr>
            </w:pPr>
            <w:r w:rsidRPr="00C66550">
              <w:rPr>
                <w:color w:val="000000"/>
                <w:szCs w:val="20"/>
              </w:rPr>
              <w:t xml:space="preserve">C&amp;I </w:t>
            </w:r>
            <w:r w:rsidR="00EB77B6" w:rsidRPr="00C66550">
              <w:rPr>
                <w:color w:val="000000"/>
                <w:szCs w:val="20"/>
              </w:rPr>
              <w:t>80%</w:t>
            </w:r>
          </w:p>
        </w:tc>
        <w:tc>
          <w:tcPr>
            <w:tcW w:w="429" w:type="pct"/>
            <w:tcBorders>
              <w:top w:val="nil"/>
              <w:left w:val="nil"/>
              <w:bottom w:val="single" w:sz="4" w:space="0" w:color="A6A6A6" w:themeColor="background1" w:themeShade="A6"/>
              <w:right w:val="nil"/>
            </w:tcBorders>
            <w:vAlign w:val="bottom"/>
          </w:tcPr>
          <w:p w:rsidR="00EB77B6" w:rsidRPr="00C66550" w:rsidRDefault="00EF7E83">
            <w:pPr>
              <w:jc w:val="center"/>
              <w:cnfStyle w:val="000000000000"/>
              <w:rPr>
                <w:color w:val="000000"/>
                <w:szCs w:val="20"/>
              </w:rPr>
            </w:pPr>
            <w:r w:rsidRPr="00C66550">
              <w:rPr>
                <w:color w:val="000000"/>
                <w:szCs w:val="20"/>
              </w:rPr>
              <w:t xml:space="preserve">C&amp;D </w:t>
            </w:r>
            <w:r w:rsidR="00EB77B6" w:rsidRPr="00C66550">
              <w:rPr>
                <w:color w:val="000000"/>
                <w:szCs w:val="20"/>
              </w:rPr>
              <w:t>80%</w:t>
            </w:r>
          </w:p>
        </w:tc>
        <w:tc>
          <w:tcPr>
            <w:tcW w:w="273" w:type="pct"/>
            <w:tcBorders>
              <w:top w:val="nil"/>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83" w:type="pct"/>
            <w:tcBorders>
              <w:top w:val="nil"/>
              <w:left w:val="nil"/>
              <w:bottom w:val="single" w:sz="4" w:space="0" w:color="A6A6A6" w:themeColor="background1" w:themeShade="A6"/>
              <w:right w:val="nil"/>
            </w:tcBorders>
          </w:tcPr>
          <w:p w:rsidR="00EB77B6" w:rsidRPr="00C66550" w:rsidRDefault="00EB77B6">
            <w:pPr>
              <w:cnfStyle w:val="000000000000"/>
              <w:rPr>
                <w:color w:val="000000"/>
                <w:szCs w:val="20"/>
              </w:rPr>
            </w:pPr>
          </w:p>
        </w:tc>
      </w:tr>
      <w:tr w:rsidR="00EF7E83" w:rsidRPr="00C66550" w:rsidTr="00A56E17">
        <w:tc>
          <w:tcPr>
            <w:cnfStyle w:val="001000000000"/>
            <w:tcW w:w="440"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rPr>
                <w:color w:val="000000"/>
                <w:szCs w:val="20"/>
              </w:rPr>
            </w:pPr>
            <w:r w:rsidRPr="00C66550">
              <w:rPr>
                <w:color w:val="000000"/>
                <w:szCs w:val="20"/>
              </w:rPr>
              <w:t>Landfill levies ($/tonne)</w:t>
            </w:r>
          </w:p>
        </w:tc>
        <w:tc>
          <w:tcPr>
            <w:tcW w:w="336"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2006/07</w:t>
            </w:r>
          </w:p>
        </w:tc>
        <w:tc>
          <w:tcPr>
            <w:tcW w:w="23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66" w:type="pct"/>
            <w:gridSpan w:val="2"/>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rsidP="006603C6">
            <w:pPr>
              <w:jc w:val="center"/>
              <w:cnfStyle w:val="000000000000"/>
              <w:rPr>
                <w:color w:val="000000"/>
                <w:szCs w:val="20"/>
              </w:rPr>
            </w:pPr>
            <w:r w:rsidRPr="00C66550">
              <w:rPr>
                <w:color w:val="000000"/>
                <w:szCs w:val="20"/>
              </w:rPr>
              <w:t>2008/09</w:t>
            </w:r>
          </w:p>
        </w:tc>
        <w:tc>
          <w:tcPr>
            <w:tcW w:w="181"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5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7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r w:rsidRPr="00C66550">
              <w:rPr>
                <w:color w:val="000000"/>
                <w:szCs w:val="20"/>
              </w:rPr>
              <w:t>2009/10</w:t>
            </w:r>
          </w:p>
        </w:tc>
        <w:tc>
          <w:tcPr>
            <w:tcW w:w="3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r w:rsidRPr="00C66550">
              <w:rPr>
                <w:color w:val="000000"/>
                <w:szCs w:val="20"/>
              </w:rPr>
              <w:t>2010/11</w:t>
            </w:r>
          </w:p>
        </w:tc>
        <w:tc>
          <w:tcPr>
            <w:tcW w:w="28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r w:rsidRPr="00C66550">
              <w:rPr>
                <w:color w:val="000000"/>
                <w:szCs w:val="20"/>
              </w:rPr>
              <w:t>2011/12</w:t>
            </w:r>
          </w:p>
        </w:tc>
        <w:tc>
          <w:tcPr>
            <w:tcW w:w="274"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r w:rsidRPr="00C66550">
              <w:rPr>
                <w:color w:val="000000"/>
                <w:szCs w:val="20"/>
              </w:rPr>
              <w:t>2012/13</w:t>
            </w:r>
          </w:p>
        </w:tc>
        <w:tc>
          <w:tcPr>
            <w:tcW w:w="238"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p>
        </w:tc>
        <w:tc>
          <w:tcPr>
            <w:tcW w:w="190"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rsidP="001553B9">
            <w:pPr>
              <w:jc w:val="center"/>
              <w:cnfStyle w:val="000000000000"/>
              <w:rPr>
                <w:color w:val="000000"/>
                <w:szCs w:val="20"/>
              </w:rPr>
            </w:pPr>
            <w:r w:rsidRPr="00C66550">
              <w:rPr>
                <w:color w:val="000000"/>
                <w:szCs w:val="20"/>
              </w:rPr>
              <w:t>2013/14</w:t>
            </w:r>
          </w:p>
        </w:tc>
        <w:tc>
          <w:tcPr>
            <w:tcW w:w="27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r w:rsidRPr="00C66550">
              <w:rPr>
                <w:color w:val="000000"/>
                <w:szCs w:val="20"/>
              </w:rPr>
              <w:t>2014/15</w:t>
            </w:r>
          </w:p>
        </w:tc>
        <w:tc>
          <w:tcPr>
            <w:tcW w:w="28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jc w:val="center"/>
              <w:cnfStyle w:val="000000000000"/>
              <w:rPr>
                <w:color w:val="000000"/>
                <w:szCs w:val="20"/>
              </w:rPr>
            </w:pPr>
          </w:p>
        </w:tc>
      </w:tr>
      <w:tr w:rsidR="00EF7E83" w:rsidRPr="00C66550" w:rsidTr="00A56E17">
        <w:tc>
          <w:tcPr>
            <w:cnfStyle w:val="001000000000"/>
            <w:tcW w:w="440"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right"/>
              <w:rPr>
                <w:bCs/>
                <w:color w:val="000000"/>
                <w:szCs w:val="20"/>
              </w:rPr>
            </w:pPr>
            <w:r w:rsidRPr="00C66550">
              <w:rPr>
                <w:bCs/>
                <w:color w:val="000000"/>
                <w:szCs w:val="20"/>
              </w:rPr>
              <w:t>Rural</w:t>
            </w:r>
          </w:p>
        </w:tc>
        <w:tc>
          <w:tcPr>
            <w:tcW w:w="336"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center"/>
              <w:cnfStyle w:val="000000000000"/>
              <w:rPr>
                <w:bCs/>
                <w:color w:val="000000"/>
                <w:szCs w:val="20"/>
              </w:rPr>
            </w:pPr>
            <w:r w:rsidRPr="00C66550">
              <w:rPr>
                <w:bCs/>
                <w:color w:val="000000"/>
                <w:szCs w:val="20"/>
              </w:rPr>
              <w:t>MSW</w:t>
            </w:r>
          </w:p>
        </w:tc>
        <w:tc>
          <w:tcPr>
            <w:tcW w:w="2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6</w:t>
            </w:r>
          </w:p>
        </w:tc>
        <w:tc>
          <w:tcPr>
            <w:tcW w:w="239"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center"/>
              <w:cnfStyle w:val="000000000000"/>
              <w:rPr>
                <w:b/>
                <w:bCs/>
                <w:color w:val="000000"/>
                <w:szCs w:val="20"/>
              </w:rPr>
            </w:pPr>
            <w:r w:rsidRPr="00C66550">
              <w:rPr>
                <w:b/>
                <w:bCs/>
                <w:color w:val="000000"/>
                <w:szCs w:val="20"/>
              </w:rPr>
              <w:t> </w:t>
            </w:r>
          </w:p>
        </w:tc>
        <w:tc>
          <w:tcPr>
            <w:tcW w:w="266" w:type="pct"/>
            <w:gridSpan w:val="2"/>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7</w:t>
            </w:r>
          </w:p>
        </w:tc>
        <w:tc>
          <w:tcPr>
            <w:tcW w:w="181"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5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7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7</w:t>
            </w:r>
          </w:p>
        </w:tc>
        <w:tc>
          <w:tcPr>
            <w:tcW w:w="3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15</w:t>
            </w:r>
          </w:p>
        </w:tc>
        <w:tc>
          <w:tcPr>
            <w:tcW w:w="28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22</w:t>
            </w:r>
          </w:p>
        </w:tc>
        <w:tc>
          <w:tcPr>
            <w:tcW w:w="274"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24.2</w:t>
            </w:r>
          </w:p>
        </w:tc>
        <w:tc>
          <w:tcPr>
            <w:tcW w:w="238"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p>
        </w:tc>
        <w:tc>
          <w:tcPr>
            <w:tcW w:w="190"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rsidP="001553B9">
            <w:pPr>
              <w:jc w:val="center"/>
              <w:cnfStyle w:val="000000000000"/>
              <w:rPr>
                <w:color w:val="000000"/>
                <w:szCs w:val="20"/>
              </w:rPr>
            </w:pPr>
            <w:r w:rsidRPr="00C66550">
              <w:rPr>
                <w:color w:val="000000"/>
                <w:szCs w:val="20"/>
              </w:rPr>
              <w:t>$</w:t>
            </w:r>
            <w:r w:rsidR="00EB77B6" w:rsidRPr="00C66550">
              <w:rPr>
                <w:color w:val="000000"/>
                <w:szCs w:val="20"/>
              </w:rPr>
              <w:t>26.6</w:t>
            </w:r>
          </w:p>
        </w:tc>
        <w:tc>
          <w:tcPr>
            <w:tcW w:w="27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29.3</w:t>
            </w:r>
          </w:p>
        </w:tc>
        <w:tc>
          <w:tcPr>
            <w:tcW w:w="28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jc w:val="center"/>
              <w:cnfStyle w:val="000000000000"/>
              <w:rPr>
                <w:color w:val="000000"/>
                <w:szCs w:val="20"/>
              </w:rPr>
            </w:pPr>
          </w:p>
        </w:tc>
      </w:tr>
      <w:tr w:rsidR="00EF7E83" w:rsidRPr="00C66550" w:rsidTr="00A56E17">
        <w:tc>
          <w:tcPr>
            <w:cnfStyle w:val="001000000000"/>
            <w:tcW w:w="440"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right"/>
              <w:rPr>
                <w:bCs/>
                <w:color w:val="000000"/>
                <w:szCs w:val="20"/>
              </w:rPr>
            </w:pPr>
            <w:r w:rsidRPr="00C66550">
              <w:rPr>
                <w:bCs/>
                <w:color w:val="000000"/>
                <w:szCs w:val="20"/>
              </w:rPr>
              <w:t> </w:t>
            </w:r>
          </w:p>
        </w:tc>
        <w:tc>
          <w:tcPr>
            <w:tcW w:w="336"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center"/>
              <w:cnfStyle w:val="000000000000"/>
              <w:rPr>
                <w:bCs/>
                <w:color w:val="000000"/>
                <w:szCs w:val="20"/>
              </w:rPr>
            </w:pPr>
            <w:r w:rsidRPr="00C66550">
              <w:rPr>
                <w:bCs/>
                <w:color w:val="000000"/>
                <w:szCs w:val="20"/>
              </w:rPr>
              <w:t>Industrial</w:t>
            </w:r>
          </w:p>
        </w:tc>
        <w:tc>
          <w:tcPr>
            <w:tcW w:w="2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11</w:t>
            </w:r>
          </w:p>
        </w:tc>
        <w:tc>
          <w:tcPr>
            <w:tcW w:w="239"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center"/>
              <w:cnfStyle w:val="000000000000"/>
              <w:rPr>
                <w:b/>
                <w:bCs/>
                <w:color w:val="000000"/>
                <w:szCs w:val="20"/>
              </w:rPr>
            </w:pPr>
            <w:r w:rsidRPr="00C66550">
              <w:rPr>
                <w:b/>
                <w:bCs/>
                <w:color w:val="000000"/>
                <w:szCs w:val="20"/>
              </w:rPr>
              <w:t> </w:t>
            </w:r>
          </w:p>
        </w:tc>
        <w:tc>
          <w:tcPr>
            <w:tcW w:w="266" w:type="pct"/>
            <w:gridSpan w:val="2"/>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13</w:t>
            </w:r>
          </w:p>
        </w:tc>
        <w:tc>
          <w:tcPr>
            <w:tcW w:w="181"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5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7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13</w:t>
            </w:r>
          </w:p>
        </w:tc>
        <w:tc>
          <w:tcPr>
            <w:tcW w:w="3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25</w:t>
            </w:r>
          </w:p>
        </w:tc>
        <w:tc>
          <w:tcPr>
            <w:tcW w:w="28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38.5</w:t>
            </w:r>
          </w:p>
        </w:tc>
        <w:tc>
          <w:tcPr>
            <w:tcW w:w="274"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42.4</w:t>
            </w:r>
          </w:p>
        </w:tc>
        <w:tc>
          <w:tcPr>
            <w:tcW w:w="238"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p>
        </w:tc>
        <w:tc>
          <w:tcPr>
            <w:tcW w:w="190"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rsidP="001553B9">
            <w:pPr>
              <w:jc w:val="center"/>
              <w:cnfStyle w:val="000000000000"/>
              <w:rPr>
                <w:color w:val="000000"/>
                <w:szCs w:val="20"/>
              </w:rPr>
            </w:pPr>
            <w:r w:rsidRPr="00C66550">
              <w:rPr>
                <w:color w:val="000000"/>
                <w:szCs w:val="20"/>
              </w:rPr>
              <w:t>$</w:t>
            </w:r>
            <w:r w:rsidR="00EB77B6" w:rsidRPr="00C66550">
              <w:rPr>
                <w:color w:val="000000"/>
                <w:szCs w:val="20"/>
              </w:rPr>
              <w:t>46.6</w:t>
            </w:r>
          </w:p>
        </w:tc>
        <w:tc>
          <w:tcPr>
            <w:tcW w:w="27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51.3</w:t>
            </w:r>
          </w:p>
        </w:tc>
        <w:tc>
          <w:tcPr>
            <w:tcW w:w="28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jc w:val="center"/>
              <w:cnfStyle w:val="000000000000"/>
              <w:rPr>
                <w:color w:val="000000"/>
                <w:szCs w:val="20"/>
              </w:rPr>
            </w:pPr>
          </w:p>
        </w:tc>
      </w:tr>
      <w:tr w:rsidR="00EF7E83" w:rsidRPr="00C66550" w:rsidTr="00A56E17">
        <w:tc>
          <w:tcPr>
            <w:cnfStyle w:val="001000000000"/>
            <w:tcW w:w="440"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right"/>
              <w:rPr>
                <w:bCs/>
                <w:color w:val="000000"/>
                <w:szCs w:val="20"/>
              </w:rPr>
            </w:pPr>
            <w:r w:rsidRPr="00C66550">
              <w:rPr>
                <w:bCs/>
                <w:color w:val="000000"/>
                <w:szCs w:val="20"/>
              </w:rPr>
              <w:t>Metro</w:t>
            </w:r>
            <w:r w:rsidR="00CC382D" w:rsidRPr="00C66550">
              <w:rPr>
                <w:bCs/>
                <w:color w:val="000000"/>
                <w:szCs w:val="20"/>
              </w:rPr>
              <w:t>politan</w:t>
            </w:r>
            <w:r w:rsidRPr="00C66550">
              <w:rPr>
                <w:bCs/>
                <w:color w:val="000000"/>
                <w:szCs w:val="20"/>
              </w:rPr>
              <w:t xml:space="preserve"> and provincial</w:t>
            </w:r>
          </w:p>
        </w:tc>
        <w:tc>
          <w:tcPr>
            <w:tcW w:w="336"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center"/>
              <w:cnfStyle w:val="000000000000"/>
              <w:rPr>
                <w:bCs/>
                <w:color w:val="000000"/>
                <w:szCs w:val="20"/>
              </w:rPr>
            </w:pPr>
            <w:r w:rsidRPr="00C66550">
              <w:rPr>
                <w:bCs/>
                <w:color w:val="000000"/>
                <w:szCs w:val="20"/>
              </w:rPr>
              <w:t>MSW</w:t>
            </w:r>
          </w:p>
        </w:tc>
        <w:tc>
          <w:tcPr>
            <w:tcW w:w="2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8</w:t>
            </w:r>
          </w:p>
        </w:tc>
        <w:tc>
          <w:tcPr>
            <w:tcW w:w="239"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center"/>
              <w:cnfStyle w:val="000000000000"/>
              <w:rPr>
                <w:b/>
                <w:bCs/>
                <w:color w:val="000000"/>
                <w:szCs w:val="20"/>
              </w:rPr>
            </w:pPr>
            <w:r w:rsidRPr="00C66550">
              <w:rPr>
                <w:b/>
                <w:bCs/>
                <w:color w:val="000000"/>
                <w:szCs w:val="20"/>
              </w:rPr>
              <w:t> </w:t>
            </w:r>
          </w:p>
        </w:tc>
        <w:tc>
          <w:tcPr>
            <w:tcW w:w="266" w:type="pct"/>
            <w:gridSpan w:val="2"/>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9</w:t>
            </w:r>
          </w:p>
        </w:tc>
        <w:tc>
          <w:tcPr>
            <w:tcW w:w="181"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5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7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9</w:t>
            </w:r>
          </w:p>
        </w:tc>
        <w:tc>
          <w:tcPr>
            <w:tcW w:w="3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30</w:t>
            </w:r>
          </w:p>
        </w:tc>
        <w:tc>
          <w:tcPr>
            <w:tcW w:w="28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44</w:t>
            </w:r>
          </w:p>
        </w:tc>
        <w:tc>
          <w:tcPr>
            <w:tcW w:w="274"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48.4</w:t>
            </w:r>
          </w:p>
        </w:tc>
        <w:tc>
          <w:tcPr>
            <w:tcW w:w="238"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p>
        </w:tc>
        <w:tc>
          <w:tcPr>
            <w:tcW w:w="190"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rsidP="001553B9">
            <w:pPr>
              <w:jc w:val="center"/>
              <w:cnfStyle w:val="000000000000"/>
              <w:rPr>
                <w:color w:val="000000"/>
                <w:szCs w:val="20"/>
              </w:rPr>
            </w:pPr>
            <w:r w:rsidRPr="00C66550">
              <w:rPr>
                <w:color w:val="000000"/>
                <w:szCs w:val="20"/>
              </w:rPr>
              <w:t>$</w:t>
            </w:r>
            <w:r w:rsidR="00EB77B6" w:rsidRPr="00C66550">
              <w:rPr>
                <w:color w:val="000000"/>
                <w:szCs w:val="20"/>
              </w:rPr>
              <w:t>53.2</w:t>
            </w:r>
          </w:p>
        </w:tc>
        <w:tc>
          <w:tcPr>
            <w:tcW w:w="27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58.5</w:t>
            </w:r>
          </w:p>
        </w:tc>
        <w:tc>
          <w:tcPr>
            <w:tcW w:w="28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jc w:val="center"/>
              <w:cnfStyle w:val="000000000000"/>
              <w:rPr>
                <w:color w:val="000000"/>
                <w:szCs w:val="20"/>
              </w:rPr>
            </w:pPr>
          </w:p>
        </w:tc>
      </w:tr>
      <w:tr w:rsidR="00EF7E83" w:rsidRPr="00C66550" w:rsidTr="00A56E17">
        <w:tc>
          <w:tcPr>
            <w:cnfStyle w:val="001000000000"/>
            <w:tcW w:w="440"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right"/>
              <w:rPr>
                <w:bCs/>
                <w:color w:val="000000"/>
                <w:szCs w:val="20"/>
              </w:rPr>
            </w:pPr>
            <w:r w:rsidRPr="00C66550">
              <w:rPr>
                <w:bCs/>
                <w:color w:val="000000"/>
                <w:szCs w:val="20"/>
              </w:rPr>
              <w:t> </w:t>
            </w:r>
          </w:p>
        </w:tc>
        <w:tc>
          <w:tcPr>
            <w:tcW w:w="336"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center"/>
              <w:cnfStyle w:val="000000000000"/>
              <w:rPr>
                <w:bCs/>
                <w:color w:val="000000"/>
                <w:szCs w:val="20"/>
              </w:rPr>
            </w:pPr>
            <w:r w:rsidRPr="00C66550">
              <w:rPr>
                <w:bCs/>
                <w:color w:val="000000"/>
                <w:szCs w:val="20"/>
              </w:rPr>
              <w:t>Industrial</w:t>
            </w:r>
          </w:p>
        </w:tc>
        <w:tc>
          <w:tcPr>
            <w:tcW w:w="2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13</w:t>
            </w:r>
          </w:p>
        </w:tc>
        <w:tc>
          <w:tcPr>
            <w:tcW w:w="239" w:type="pct"/>
            <w:tcBorders>
              <w:top w:val="single" w:sz="4" w:space="0" w:color="A6A6A6" w:themeColor="background1" w:themeShade="A6"/>
              <w:left w:val="nil"/>
              <w:bottom w:val="single" w:sz="4" w:space="0" w:color="A6A6A6" w:themeColor="background1" w:themeShade="A6"/>
              <w:right w:val="nil"/>
            </w:tcBorders>
            <w:vAlign w:val="center"/>
          </w:tcPr>
          <w:p w:rsidR="00EB77B6" w:rsidRPr="00C66550" w:rsidRDefault="00EB77B6">
            <w:pPr>
              <w:jc w:val="center"/>
              <w:cnfStyle w:val="000000000000"/>
              <w:rPr>
                <w:b/>
                <w:bCs/>
                <w:color w:val="000000"/>
                <w:szCs w:val="20"/>
              </w:rPr>
            </w:pPr>
            <w:r w:rsidRPr="00C66550">
              <w:rPr>
                <w:b/>
                <w:bCs/>
                <w:color w:val="000000"/>
                <w:szCs w:val="20"/>
              </w:rPr>
              <w:t> </w:t>
            </w:r>
          </w:p>
        </w:tc>
        <w:tc>
          <w:tcPr>
            <w:tcW w:w="266" w:type="pct"/>
            <w:gridSpan w:val="2"/>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15</w:t>
            </w:r>
          </w:p>
        </w:tc>
        <w:tc>
          <w:tcPr>
            <w:tcW w:w="181"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5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27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15</w:t>
            </w:r>
          </w:p>
        </w:tc>
        <w:tc>
          <w:tcPr>
            <w:tcW w:w="357"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30</w:t>
            </w:r>
          </w:p>
        </w:tc>
        <w:tc>
          <w:tcPr>
            <w:tcW w:w="282"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rsidP="006603C6">
            <w:pPr>
              <w:jc w:val="center"/>
              <w:cnfStyle w:val="000000000000"/>
              <w:rPr>
                <w:color w:val="000000"/>
                <w:szCs w:val="20"/>
              </w:rPr>
            </w:pPr>
            <w:r w:rsidRPr="00C66550">
              <w:rPr>
                <w:color w:val="000000"/>
                <w:szCs w:val="20"/>
              </w:rPr>
              <w:t>$</w:t>
            </w:r>
            <w:r w:rsidR="00EB77B6" w:rsidRPr="00C66550">
              <w:rPr>
                <w:color w:val="000000"/>
                <w:szCs w:val="20"/>
              </w:rPr>
              <w:t>44</w:t>
            </w:r>
          </w:p>
        </w:tc>
        <w:tc>
          <w:tcPr>
            <w:tcW w:w="274"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48.4</w:t>
            </w:r>
          </w:p>
        </w:tc>
        <w:tc>
          <w:tcPr>
            <w:tcW w:w="238"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jc w:val="center"/>
              <w:cnfStyle w:val="000000000000"/>
              <w:rPr>
                <w:color w:val="000000"/>
                <w:szCs w:val="20"/>
              </w:rPr>
            </w:pPr>
          </w:p>
        </w:tc>
        <w:tc>
          <w:tcPr>
            <w:tcW w:w="190"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EB77B6">
            <w:pPr>
              <w:cnfStyle w:val="000000000000"/>
              <w:rPr>
                <w:color w:val="000000"/>
                <w:szCs w:val="20"/>
              </w:rPr>
            </w:pPr>
            <w:r w:rsidRPr="00C66550">
              <w:rPr>
                <w:color w:val="000000"/>
                <w:szCs w:val="20"/>
              </w:rPr>
              <w:t> </w:t>
            </w:r>
          </w:p>
        </w:tc>
        <w:tc>
          <w:tcPr>
            <w:tcW w:w="429"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rsidP="001553B9">
            <w:pPr>
              <w:jc w:val="center"/>
              <w:cnfStyle w:val="000000000000"/>
              <w:rPr>
                <w:color w:val="000000"/>
                <w:szCs w:val="20"/>
              </w:rPr>
            </w:pPr>
            <w:r w:rsidRPr="00C66550">
              <w:rPr>
                <w:color w:val="000000"/>
                <w:szCs w:val="20"/>
              </w:rPr>
              <w:t>$</w:t>
            </w:r>
            <w:r w:rsidR="00EB77B6" w:rsidRPr="00C66550">
              <w:rPr>
                <w:color w:val="000000"/>
                <w:szCs w:val="20"/>
              </w:rPr>
              <w:t>53.2</w:t>
            </w:r>
          </w:p>
        </w:tc>
        <w:tc>
          <w:tcPr>
            <w:tcW w:w="273" w:type="pct"/>
            <w:tcBorders>
              <w:top w:val="single" w:sz="4" w:space="0" w:color="A6A6A6" w:themeColor="background1" w:themeShade="A6"/>
              <w:left w:val="nil"/>
              <w:bottom w:val="single" w:sz="4" w:space="0" w:color="A6A6A6" w:themeColor="background1" w:themeShade="A6"/>
              <w:right w:val="nil"/>
            </w:tcBorders>
            <w:vAlign w:val="bottom"/>
          </w:tcPr>
          <w:p w:rsidR="00EB77B6" w:rsidRPr="00C66550" w:rsidRDefault="006603C6">
            <w:pPr>
              <w:jc w:val="center"/>
              <w:cnfStyle w:val="000000000000"/>
              <w:rPr>
                <w:color w:val="000000"/>
                <w:szCs w:val="20"/>
              </w:rPr>
            </w:pPr>
            <w:r w:rsidRPr="00C66550">
              <w:rPr>
                <w:color w:val="000000"/>
                <w:szCs w:val="20"/>
              </w:rPr>
              <w:t>$</w:t>
            </w:r>
            <w:r w:rsidR="00EB77B6" w:rsidRPr="00C66550">
              <w:rPr>
                <w:color w:val="000000"/>
                <w:szCs w:val="20"/>
              </w:rPr>
              <w:t>58.5</w:t>
            </w:r>
          </w:p>
        </w:tc>
        <w:tc>
          <w:tcPr>
            <w:tcW w:w="28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jc w:val="center"/>
              <w:cnfStyle w:val="000000000000"/>
              <w:rPr>
                <w:color w:val="000000"/>
                <w:szCs w:val="20"/>
              </w:rPr>
            </w:pPr>
          </w:p>
        </w:tc>
      </w:tr>
      <w:tr w:rsidR="00EF7E83" w:rsidRPr="00C66550" w:rsidTr="00A56E17">
        <w:tc>
          <w:tcPr>
            <w:cnfStyle w:val="001000000000"/>
            <w:tcW w:w="440"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A56E17">
            <w:pPr>
              <w:rPr>
                <w:color w:val="000000"/>
                <w:szCs w:val="20"/>
              </w:rPr>
            </w:pPr>
            <w:r w:rsidRPr="00C66550">
              <w:rPr>
                <w:color w:val="000000"/>
                <w:szCs w:val="20"/>
              </w:rPr>
              <w:t>New waste strategy/policy</w:t>
            </w:r>
            <w:r w:rsidR="00FF12A8" w:rsidRPr="00C66550">
              <w:rPr>
                <w:color w:val="000000"/>
                <w:szCs w:val="20"/>
              </w:rPr>
              <w:t xml:space="preserve"> </w:t>
            </w:r>
          </w:p>
        </w:tc>
        <w:tc>
          <w:tcPr>
            <w:tcW w:w="336"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57"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39"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66" w:type="pct"/>
            <w:gridSpan w:val="2"/>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181"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59"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72"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357"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82"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74"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1413" w:type="pct"/>
            <w:gridSpan w:val="5"/>
            <w:tcBorders>
              <w:top w:val="single" w:sz="4" w:space="0" w:color="A6A6A6" w:themeColor="background1" w:themeShade="A6"/>
              <w:left w:val="nil"/>
              <w:bottom w:val="single" w:sz="4" w:space="0" w:color="A6A6A6" w:themeColor="background1" w:themeShade="A6"/>
              <w:right w:val="nil"/>
            </w:tcBorders>
          </w:tcPr>
          <w:p w:rsidR="00EB77B6" w:rsidRPr="00C66550" w:rsidRDefault="00EB77B6" w:rsidP="00EB77B6">
            <w:pPr>
              <w:cnfStyle w:val="000000000000"/>
              <w:rPr>
                <w:color w:val="000000"/>
                <w:szCs w:val="20"/>
              </w:rPr>
            </w:pPr>
            <w:r w:rsidRPr="00C66550">
              <w:rPr>
                <w:i/>
                <w:color w:val="000000"/>
                <w:szCs w:val="20"/>
              </w:rPr>
              <w:t>Draft Victorian waste and resource recovery policy</w:t>
            </w:r>
            <w:r w:rsidRPr="00C66550">
              <w:rPr>
                <w:color w:val="000000"/>
                <w:szCs w:val="20"/>
              </w:rPr>
              <w:t> </w:t>
            </w:r>
          </w:p>
        </w:tc>
      </w:tr>
      <w:tr w:rsidR="00EF7E83" w:rsidRPr="00C66550" w:rsidTr="00A56E17">
        <w:tc>
          <w:tcPr>
            <w:cnfStyle w:val="001000000000"/>
            <w:tcW w:w="440"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rPr>
                <w:color w:val="000000"/>
                <w:szCs w:val="20"/>
              </w:rPr>
            </w:pPr>
            <w:r w:rsidRPr="00C66550">
              <w:rPr>
                <w:color w:val="000000"/>
                <w:szCs w:val="20"/>
              </w:rPr>
              <w:t>New policy goals summary</w:t>
            </w:r>
          </w:p>
        </w:tc>
        <w:tc>
          <w:tcPr>
            <w:tcW w:w="336"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57"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423"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39"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66" w:type="pct"/>
            <w:gridSpan w:val="2"/>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181"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59"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72"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357"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82"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274" w:type="pct"/>
            <w:tcBorders>
              <w:top w:val="single" w:sz="4" w:space="0" w:color="A6A6A6" w:themeColor="background1" w:themeShade="A6"/>
              <w:left w:val="nil"/>
              <w:bottom w:val="single" w:sz="4" w:space="0" w:color="A6A6A6" w:themeColor="background1" w:themeShade="A6"/>
              <w:right w:val="nil"/>
            </w:tcBorders>
          </w:tcPr>
          <w:p w:rsidR="00EB77B6" w:rsidRPr="00C66550" w:rsidRDefault="00EB77B6">
            <w:pPr>
              <w:cnfStyle w:val="000000000000"/>
              <w:rPr>
                <w:color w:val="000000"/>
                <w:szCs w:val="20"/>
              </w:rPr>
            </w:pPr>
            <w:r w:rsidRPr="00C66550">
              <w:rPr>
                <w:color w:val="000000"/>
                <w:szCs w:val="20"/>
              </w:rPr>
              <w:t> </w:t>
            </w:r>
          </w:p>
        </w:tc>
        <w:tc>
          <w:tcPr>
            <w:tcW w:w="1413" w:type="pct"/>
            <w:gridSpan w:val="5"/>
            <w:tcBorders>
              <w:top w:val="single" w:sz="4" w:space="0" w:color="A6A6A6" w:themeColor="background1" w:themeShade="A6"/>
              <w:left w:val="nil"/>
              <w:bottom w:val="single" w:sz="4" w:space="0" w:color="A6A6A6" w:themeColor="background1" w:themeShade="A6"/>
              <w:right w:val="nil"/>
            </w:tcBorders>
          </w:tcPr>
          <w:p w:rsidR="00CC382D" w:rsidRPr="00C66550" w:rsidRDefault="00EB77B6" w:rsidP="00017135">
            <w:pPr>
              <w:cnfStyle w:val="000000000000"/>
              <w:rPr>
                <w:color w:val="000000"/>
                <w:szCs w:val="20"/>
              </w:rPr>
            </w:pPr>
            <w:r w:rsidRPr="00C66550">
              <w:rPr>
                <w:color w:val="000000"/>
                <w:szCs w:val="20"/>
              </w:rPr>
              <w:t>30</w:t>
            </w:r>
            <w:r w:rsidR="00CC382D" w:rsidRPr="00C66550">
              <w:rPr>
                <w:color w:val="000000"/>
                <w:szCs w:val="20"/>
              </w:rPr>
              <w:t>-</w:t>
            </w:r>
            <w:r w:rsidRPr="00C66550">
              <w:rPr>
                <w:color w:val="000000"/>
                <w:szCs w:val="20"/>
              </w:rPr>
              <w:t>year vision for waste and resource recovery in Vic</w:t>
            </w:r>
            <w:r w:rsidR="00216969" w:rsidRPr="00C66550">
              <w:rPr>
                <w:color w:val="000000"/>
                <w:szCs w:val="20"/>
              </w:rPr>
              <w:t xml:space="preserve">, </w:t>
            </w:r>
            <w:r w:rsidR="00123852">
              <w:rPr>
                <w:color w:val="000000"/>
                <w:szCs w:val="20"/>
              </w:rPr>
              <w:t>including</w:t>
            </w:r>
            <w:r w:rsidR="00216969" w:rsidRPr="00C66550">
              <w:rPr>
                <w:color w:val="000000"/>
                <w:szCs w:val="20"/>
              </w:rPr>
              <w:t xml:space="preserve"> </w:t>
            </w:r>
            <w:r w:rsidRPr="00C66550">
              <w:rPr>
                <w:color w:val="000000"/>
                <w:szCs w:val="20"/>
              </w:rPr>
              <w:t xml:space="preserve">priorities over the next </w:t>
            </w:r>
            <w:r w:rsidR="00216969" w:rsidRPr="00C66550">
              <w:rPr>
                <w:color w:val="000000"/>
                <w:szCs w:val="20"/>
              </w:rPr>
              <w:t>10</w:t>
            </w:r>
            <w:r w:rsidRPr="00C66550">
              <w:rPr>
                <w:color w:val="000000"/>
                <w:szCs w:val="20"/>
              </w:rPr>
              <w:t xml:space="preserve"> years. Page 56 of the draft outlines </w:t>
            </w:r>
            <w:r w:rsidR="00216969" w:rsidRPr="00C66550">
              <w:rPr>
                <w:color w:val="000000"/>
                <w:szCs w:val="20"/>
              </w:rPr>
              <w:t xml:space="preserve">primary </w:t>
            </w:r>
            <w:r w:rsidRPr="00C66550">
              <w:rPr>
                <w:color w:val="000000"/>
                <w:szCs w:val="20"/>
              </w:rPr>
              <w:t>outcomes as follows:</w:t>
            </w:r>
            <w:r w:rsidR="00017135" w:rsidRPr="00C66550">
              <w:rPr>
                <w:color w:val="000000"/>
                <w:szCs w:val="20"/>
              </w:rPr>
              <w:t xml:space="preserve"> </w:t>
            </w:r>
          </w:p>
          <w:p w:rsidR="00CC382D" w:rsidRPr="00C66550" w:rsidRDefault="00EB77B6" w:rsidP="00017135">
            <w:pPr>
              <w:cnfStyle w:val="000000000000"/>
              <w:rPr>
                <w:color w:val="000000"/>
                <w:szCs w:val="20"/>
              </w:rPr>
            </w:pPr>
            <w:r w:rsidRPr="00C66550">
              <w:rPr>
                <w:color w:val="000000"/>
                <w:szCs w:val="20"/>
              </w:rPr>
              <w:lastRenderedPageBreak/>
              <w:t>1</w:t>
            </w:r>
            <w:r w:rsidR="00CC382D" w:rsidRPr="00C66550">
              <w:rPr>
                <w:color w:val="000000"/>
                <w:szCs w:val="20"/>
              </w:rPr>
              <w:t xml:space="preserve">. </w:t>
            </w:r>
            <w:r w:rsidRPr="00C66550">
              <w:rPr>
                <w:color w:val="000000"/>
                <w:szCs w:val="20"/>
              </w:rPr>
              <w:t>Reduced impacts from landfill leachates.</w:t>
            </w:r>
            <w:r w:rsidR="00017135" w:rsidRPr="00C66550">
              <w:rPr>
                <w:color w:val="000000"/>
                <w:szCs w:val="20"/>
              </w:rPr>
              <w:t xml:space="preserve"> </w:t>
            </w:r>
          </w:p>
          <w:p w:rsidR="00CC382D" w:rsidRPr="00C66550" w:rsidRDefault="00EB77B6" w:rsidP="00017135">
            <w:pPr>
              <w:cnfStyle w:val="000000000000"/>
              <w:rPr>
                <w:color w:val="000000"/>
                <w:szCs w:val="20"/>
              </w:rPr>
            </w:pPr>
            <w:r w:rsidRPr="00C66550">
              <w:rPr>
                <w:color w:val="000000"/>
                <w:szCs w:val="20"/>
              </w:rPr>
              <w:t>2</w:t>
            </w:r>
            <w:r w:rsidR="00CC382D" w:rsidRPr="00C66550">
              <w:rPr>
                <w:color w:val="000000"/>
                <w:szCs w:val="20"/>
              </w:rPr>
              <w:t>.</w:t>
            </w:r>
            <w:r w:rsidRPr="00C66550">
              <w:rPr>
                <w:color w:val="000000"/>
                <w:szCs w:val="20"/>
              </w:rPr>
              <w:t xml:space="preserve"> Reduced</w:t>
            </w:r>
            <w:r w:rsidR="00216969" w:rsidRPr="00C66550">
              <w:rPr>
                <w:color w:val="000000"/>
                <w:szCs w:val="20"/>
              </w:rPr>
              <w:t xml:space="preserve"> amenity</w:t>
            </w:r>
            <w:r w:rsidRPr="00C66550">
              <w:rPr>
                <w:color w:val="000000"/>
                <w:szCs w:val="20"/>
              </w:rPr>
              <w:t xml:space="preserve"> impacts on local communities from waste management facilities.</w:t>
            </w:r>
            <w:r w:rsidR="00017135" w:rsidRPr="00C66550">
              <w:rPr>
                <w:color w:val="000000"/>
                <w:szCs w:val="20"/>
              </w:rPr>
              <w:t xml:space="preserve"> </w:t>
            </w:r>
          </w:p>
          <w:p w:rsidR="00CC382D" w:rsidRPr="00C66550" w:rsidRDefault="00EB77B6" w:rsidP="00017135">
            <w:pPr>
              <w:cnfStyle w:val="000000000000"/>
              <w:rPr>
                <w:color w:val="000000"/>
                <w:szCs w:val="20"/>
              </w:rPr>
            </w:pPr>
            <w:r w:rsidRPr="00C66550">
              <w:rPr>
                <w:color w:val="000000"/>
                <w:szCs w:val="20"/>
              </w:rPr>
              <w:t>3</w:t>
            </w:r>
            <w:r w:rsidR="00CC382D" w:rsidRPr="00C66550">
              <w:rPr>
                <w:color w:val="000000"/>
                <w:szCs w:val="20"/>
              </w:rPr>
              <w:t>.</w:t>
            </w:r>
            <w:r w:rsidRPr="00C66550">
              <w:rPr>
                <w:color w:val="000000"/>
                <w:szCs w:val="20"/>
              </w:rPr>
              <w:t xml:space="preserve"> Reduced greenhouse emissions intensity of waste to landfill by measures complement</w:t>
            </w:r>
            <w:r w:rsidR="00123852">
              <w:rPr>
                <w:color w:val="000000"/>
                <w:szCs w:val="20"/>
              </w:rPr>
              <w:t>ary to the</w:t>
            </w:r>
            <w:r w:rsidRPr="00C66550">
              <w:rPr>
                <w:color w:val="000000"/>
                <w:szCs w:val="20"/>
              </w:rPr>
              <w:t xml:space="preserve"> carbon pric</w:t>
            </w:r>
            <w:r w:rsidR="00123852">
              <w:rPr>
                <w:color w:val="000000"/>
                <w:szCs w:val="20"/>
              </w:rPr>
              <w:t>e</w:t>
            </w:r>
            <w:r w:rsidRPr="00C66550">
              <w:rPr>
                <w:color w:val="000000"/>
                <w:szCs w:val="20"/>
              </w:rPr>
              <w:t>.</w:t>
            </w:r>
          </w:p>
          <w:p w:rsidR="00CC382D" w:rsidRPr="00C66550" w:rsidRDefault="00EB77B6" w:rsidP="00017135">
            <w:pPr>
              <w:cnfStyle w:val="000000000000"/>
              <w:rPr>
                <w:color w:val="000000"/>
                <w:szCs w:val="20"/>
              </w:rPr>
            </w:pPr>
            <w:r w:rsidRPr="00C66550">
              <w:rPr>
                <w:color w:val="000000"/>
                <w:szCs w:val="20"/>
              </w:rPr>
              <w:t>4</w:t>
            </w:r>
            <w:r w:rsidR="00CC382D" w:rsidRPr="00C66550">
              <w:rPr>
                <w:color w:val="000000"/>
                <w:szCs w:val="20"/>
              </w:rPr>
              <w:t xml:space="preserve">. </w:t>
            </w:r>
            <w:r w:rsidRPr="00C66550">
              <w:rPr>
                <w:color w:val="000000"/>
                <w:szCs w:val="20"/>
              </w:rPr>
              <w:t>Reduced waste entering the waste system.</w:t>
            </w:r>
            <w:r w:rsidR="00017135" w:rsidRPr="00C66550">
              <w:rPr>
                <w:color w:val="000000"/>
                <w:szCs w:val="20"/>
              </w:rPr>
              <w:t xml:space="preserve"> </w:t>
            </w:r>
          </w:p>
          <w:p w:rsidR="00017135" w:rsidRPr="00C66550" w:rsidRDefault="00216969" w:rsidP="00017135">
            <w:pPr>
              <w:cnfStyle w:val="000000000000"/>
              <w:rPr>
                <w:color w:val="000000"/>
                <w:szCs w:val="20"/>
              </w:rPr>
            </w:pPr>
            <w:r w:rsidRPr="00C66550">
              <w:rPr>
                <w:color w:val="000000"/>
                <w:szCs w:val="20"/>
              </w:rPr>
              <w:t>5</w:t>
            </w:r>
            <w:r w:rsidR="00CC382D" w:rsidRPr="00C66550">
              <w:rPr>
                <w:color w:val="000000"/>
                <w:szCs w:val="20"/>
              </w:rPr>
              <w:t>.</w:t>
            </w:r>
            <w:r w:rsidRPr="00C66550">
              <w:rPr>
                <w:color w:val="000000"/>
                <w:szCs w:val="20"/>
              </w:rPr>
              <w:t xml:space="preserve"> I</w:t>
            </w:r>
            <w:r w:rsidR="00EB77B6" w:rsidRPr="00C66550">
              <w:rPr>
                <w:color w:val="000000"/>
                <w:szCs w:val="20"/>
              </w:rPr>
              <w:t>ncreased productivity of materials in the economy.</w:t>
            </w:r>
          </w:p>
          <w:p w:rsidR="00CC382D" w:rsidRPr="00C66550" w:rsidRDefault="00EB77B6" w:rsidP="003715E1">
            <w:pPr>
              <w:cnfStyle w:val="000000000000"/>
              <w:rPr>
                <w:color w:val="000000"/>
                <w:szCs w:val="20"/>
              </w:rPr>
            </w:pPr>
            <w:r w:rsidRPr="00C66550">
              <w:rPr>
                <w:color w:val="000000"/>
                <w:szCs w:val="20"/>
              </w:rPr>
              <w:t>The follow</w:t>
            </w:r>
            <w:r w:rsidR="00123852">
              <w:rPr>
                <w:color w:val="000000"/>
                <w:szCs w:val="20"/>
              </w:rPr>
              <w:t>ing</w:t>
            </w:r>
            <w:r w:rsidRPr="00C66550">
              <w:rPr>
                <w:color w:val="000000"/>
                <w:szCs w:val="20"/>
              </w:rPr>
              <w:t xml:space="preserve"> 'enabling outcomes' </w:t>
            </w:r>
            <w:r w:rsidR="00123852">
              <w:rPr>
                <w:color w:val="000000"/>
                <w:szCs w:val="20"/>
              </w:rPr>
              <w:t>are listed</w:t>
            </w:r>
            <w:r w:rsidRPr="00C66550">
              <w:rPr>
                <w:color w:val="000000"/>
                <w:szCs w:val="20"/>
              </w:rPr>
              <w:t>:</w:t>
            </w:r>
            <w:r w:rsidR="00017135" w:rsidRPr="00C66550">
              <w:rPr>
                <w:color w:val="000000"/>
                <w:szCs w:val="20"/>
              </w:rPr>
              <w:t xml:space="preserve"> </w:t>
            </w:r>
          </w:p>
          <w:p w:rsidR="00CC382D" w:rsidRPr="00C66550" w:rsidRDefault="00123852" w:rsidP="003715E1">
            <w:pPr>
              <w:cnfStyle w:val="000000000000"/>
              <w:rPr>
                <w:color w:val="000000"/>
                <w:szCs w:val="20"/>
              </w:rPr>
            </w:pPr>
            <w:r>
              <w:rPr>
                <w:color w:val="000000"/>
                <w:szCs w:val="20"/>
              </w:rPr>
              <w:t>1</w:t>
            </w:r>
            <w:r w:rsidR="00CC382D" w:rsidRPr="00C66550">
              <w:rPr>
                <w:color w:val="000000"/>
                <w:szCs w:val="20"/>
              </w:rPr>
              <w:t>.</w:t>
            </w:r>
            <w:r w:rsidR="00216969" w:rsidRPr="00C66550">
              <w:rPr>
                <w:color w:val="000000"/>
                <w:szCs w:val="20"/>
              </w:rPr>
              <w:t xml:space="preserve"> Reduced barriers to the market-</w:t>
            </w:r>
            <w:r w:rsidR="00EB77B6" w:rsidRPr="00C66550">
              <w:rPr>
                <w:color w:val="000000"/>
                <w:szCs w:val="20"/>
              </w:rPr>
              <w:t>driven diversion of materials from landfill.</w:t>
            </w:r>
            <w:r w:rsidR="00017135" w:rsidRPr="00C66550">
              <w:rPr>
                <w:color w:val="000000"/>
                <w:szCs w:val="20"/>
              </w:rPr>
              <w:t xml:space="preserve"> </w:t>
            </w:r>
          </w:p>
          <w:p w:rsidR="00CC382D" w:rsidRPr="00C66550" w:rsidRDefault="00123852" w:rsidP="003715E1">
            <w:pPr>
              <w:cnfStyle w:val="000000000000"/>
              <w:rPr>
                <w:color w:val="000000"/>
                <w:szCs w:val="20"/>
              </w:rPr>
            </w:pPr>
            <w:r>
              <w:rPr>
                <w:color w:val="000000"/>
                <w:szCs w:val="20"/>
              </w:rPr>
              <w:t>2</w:t>
            </w:r>
            <w:r w:rsidR="00CC382D" w:rsidRPr="00C66550">
              <w:rPr>
                <w:color w:val="000000"/>
                <w:szCs w:val="20"/>
              </w:rPr>
              <w:t>.</w:t>
            </w:r>
            <w:r w:rsidR="00EB77B6" w:rsidRPr="00C66550">
              <w:rPr>
                <w:color w:val="000000"/>
                <w:szCs w:val="20"/>
              </w:rPr>
              <w:t xml:space="preserve"> </w:t>
            </w:r>
            <w:r w:rsidR="00216969" w:rsidRPr="00C66550">
              <w:rPr>
                <w:color w:val="000000"/>
                <w:szCs w:val="20"/>
              </w:rPr>
              <w:t>W</w:t>
            </w:r>
            <w:r w:rsidR="00EB77B6" w:rsidRPr="00C66550">
              <w:rPr>
                <w:color w:val="000000"/>
                <w:szCs w:val="20"/>
              </w:rPr>
              <w:t xml:space="preserve">aste management infrastructure system </w:t>
            </w:r>
            <w:r w:rsidR="00216969" w:rsidRPr="00C66550">
              <w:rPr>
                <w:color w:val="000000"/>
                <w:szCs w:val="20"/>
              </w:rPr>
              <w:t xml:space="preserve">to </w:t>
            </w:r>
            <w:r w:rsidR="00EB77B6" w:rsidRPr="00C66550">
              <w:rPr>
                <w:color w:val="000000"/>
                <w:szCs w:val="20"/>
              </w:rPr>
              <w:t xml:space="preserve">meet </w:t>
            </w:r>
            <w:r>
              <w:rPr>
                <w:color w:val="000000"/>
                <w:szCs w:val="20"/>
              </w:rPr>
              <w:t>priority</w:t>
            </w:r>
            <w:r w:rsidR="00EB77B6" w:rsidRPr="00C66550">
              <w:rPr>
                <w:color w:val="000000"/>
                <w:szCs w:val="20"/>
              </w:rPr>
              <w:t xml:space="preserve"> needs.</w:t>
            </w:r>
            <w:r w:rsidR="00017135" w:rsidRPr="00C66550">
              <w:rPr>
                <w:color w:val="000000"/>
                <w:szCs w:val="20"/>
              </w:rPr>
              <w:t xml:space="preserve"> </w:t>
            </w:r>
          </w:p>
          <w:p w:rsidR="00CC382D" w:rsidRPr="00C66550" w:rsidRDefault="00123852" w:rsidP="003715E1">
            <w:pPr>
              <w:cnfStyle w:val="000000000000"/>
              <w:rPr>
                <w:color w:val="000000"/>
                <w:szCs w:val="20"/>
              </w:rPr>
            </w:pPr>
            <w:r>
              <w:rPr>
                <w:color w:val="000000"/>
                <w:szCs w:val="20"/>
              </w:rPr>
              <w:t>3</w:t>
            </w:r>
            <w:r w:rsidR="00CC382D" w:rsidRPr="00C66550">
              <w:rPr>
                <w:color w:val="000000"/>
                <w:szCs w:val="20"/>
              </w:rPr>
              <w:t>.</w:t>
            </w:r>
            <w:r w:rsidR="00EB77B6" w:rsidRPr="00C66550">
              <w:rPr>
                <w:color w:val="000000"/>
                <w:szCs w:val="20"/>
              </w:rPr>
              <w:t xml:space="preserve"> </w:t>
            </w:r>
            <w:r w:rsidR="00216969" w:rsidRPr="00C66550">
              <w:rPr>
                <w:color w:val="000000"/>
                <w:szCs w:val="20"/>
              </w:rPr>
              <w:t>E</w:t>
            </w:r>
            <w:r w:rsidR="00EB77B6" w:rsidRPr="00C66550">
              <w:rPr>
                <w:color w:val="000000"/>
                <w:szCs w:val="20"/>
              </w:rPr>
              <w:t>ffective regulat</w:t>
            </w:r>
            <w:r w:rsidR="00216969" w:rsidRPr="00C66550">
              <w:rPr>
                <w:color w:val="000000"/>
                <w:szCs w:val="20"/>
              </w:rPr>
              <w:t>ion of</w:t>
            </w:r>
            <w:r w:rsidR="00EB77B6" w:rsidRPr="00C66550">
              <w:rPr>
                <w:color w:val="000000"/>
                <w:szCs w:val="20"/>
              </w:rPr>
              <w:t xml:space="preserve"> waste, </w:t>
            </w:r>
            <w:r w:rsidR="003715E1" w:rsidRPr="00C66550">
              <w:rPr>
                <w:color w:val="000000"/>
                <w:szCs w:val="20"/>
              </w:rPr>
              <w:t>meeting</w:t>
            </w:r>
            <w:r w:rsidR="00EB77B6" w:rsidRPr="00C66550">
              <w:rPr>
                <w:color w:val="000000"/>
                <w:szCs w:val="20"/>
              </w:rPr>
              <w:t xml:space="preserve"> recognised benchmarks for efficient design and implementation.</w:t>
            </w:r>
            <w:r w:rsidR="00017135" w:rsidRPr="00C66550">
              <w:rPr>
                <w:color w:val="000000"/>
                <w:szCs w:val="20"/>
              </w:rPr>
              <w:t xml:space="preserve"> </w:t>
            </w:r>
          </w:p>
          <w:p w:rsidR="00CC382D" w:rsidRPr="00C66550" w:rsidRDefault="00123852" w:rsidP="003715E1">
            <w:pPr>
              <w:cnfStyle w:val="000000000000"/>
              <w:rPr>
                <w:color w:val="000000"/>
                <w:szCs w:val="20"/>
              </w:rPr>
            </w:pPr>
            <w:r>
              <w:rPr>
                <w:color w:val="000000"/>
                <w:szCs w:val="20"/>
              </w:rPr>
              <w:t>4</w:t>
            </w:r>
            <w:r w:rsidR="00CC382D" w:rsidRPr="00C66550">
              <w:rPr>
                <w:color w:val="000000"/>
                <w:szCs w:val="20"/>
              </w:rPr>
              <w:t>.</w:t>
            </w:r>
            <w:r w:rsidR="00EB77B6" w:rsidRPr="00C66550">
              <w:rPr>
                <w:color w:val="000000"/>
                <w:szCs w:val="20"/>
              </w:rPr>
              <w:t xml:space="preserve"> </w:t>
            </w:r>
            <w:r w:rsidR="003715E1" w:rsidRPr="00C66550">
              <w:rPr>
                <w:color w:val="000000"/>
                <w:szCs w:val="20"/>
              </w:rPr>
              <w:t>C</w:t>
            </w:r>
            <w:r w:rsidR="00EB77B6" w:rsidRPr="00C66550">
              <w:rPr>
                <w:color w:val="000000"/>
                <w:szCs w:val="20"/>
              </w:rPr>
              <w:t>learly defined roles, lines of accountability and oversight</w:t>
            </w:r>
            <w:r w:rsidR="00CC382D" w:rsidRPr="00C66550">
              <w:rPr>
                <w:color w:val="000000"/>
                <w:szCs w:val="20"/>
              </w:rPr>
              <w:t>.</w:t>
            </w:r>
          </w:p>
          <w:p w:rsidR="00CC382D" w:rsidRPr="00C66550" w:rsidRDefault="00123852" w:rsidP="003715E1">
            <w:pPr>
              <w:cnfStyle w:val="000000000000"/>
              <w:rPr>
                <w:color w:val="000000"/>
                <w:szCs w:val="20"/>
              </w:rPr>
            </w:pPr>
            <w:r>
              <w:rPr>
                <w:color w:val="000000"/>
                <w:szCs w:val="20"/>
              </w:rPr>
              <w:t>5</w:t>
            </w:r>
            <w:r w:rsidR="00CC382D" w:rsidRPr="00C66550">
              <w:rPr>
                <w:color w:val="000000"/>
                <w:szCs w:val="20"/>
              </w:rPr>
              <w:t>.</w:t>
            </w:r>
            <w:r w:rsidR="00EB77B6" w:rsidRPr="00C66550">
              <w:rPr>
                <w:color w:val="000000"/>
                <w:szCs w:val="20"/>
              </w:rPr>
              <w:t xml:space="preserve"> </w:t>
            </w:r>
            <w:r w:rsidR="003715E1" w:rsidRPr="00C66550">
              <w:rPr>
                <w:color w:val="000000"/>
                <w:szCs w:val="20"/>
              </w:rPr>
              <w:t>F</w:t>
            </w:r>
            <w:r w:rsidR="00EB77B6" w:rsidRPr="00C66550">
              <w:rPr>
                <w:color w:val="000000"/>
                <w:szCs w:val="20"/>
              </w:rPr>
              <w:t xml:space="preserve">air and transparent </w:t>
            </w:r>
            <w:r w:rsidR="003715E1" w:rsidRPr="00C66550">
              <w:rPr>
                <w:color w:val="000000"/>
                <w:szCs w:val="20"/>
              </w:rPr>
              <w:t>distribution of costs to waste generators</w:t>
            </w:r>
            <w:r w:rsidR="00EB77B6" w:rsidRPr="00C66550">
              <w:rPr>
                <w:color w:val="000000"/>
                <w:szCs w:val="20"/>
              </w:rPr>
              <w:t>.</w:t>
            </w:r>
            <w:r w:rsidR="003715E1" w:rsidRPr="00C66550">
              <w:rPr>
                <w:color w:val="000000"/>
                <w:szCs w:val="20"/>
              </w:rPr>
              <w:t xml:space="preserve"> </w:t>
            </w:r>
          </w:p>
          <w:p w:rsidR="00EB77B6" w:rsidRPr="00C66550" w:rsidRDefault="00123852" w:rsidP="003715E1">
            <w:pPr>
              <w:cnfStyle w:val="000000000000"/>
              <w:rPr>
                <w:color w:val="000000"/>
                <w:szCs w:val="20"/>
              </w:rPr>
            </w:pPr>
            <w:r>
              <w:rPr>
                <w:color w:val="000000"/>
                <w:szCs w:val="20"/>
              </w:rPr>
              <w:t>6</w:t>
            </w:r>
            <w:r w:rsidR="00CC382D" w:rsidRPr="00C66550">
              <w:rPr>
                <w:color w:val="000000"/>
                <w:szCs w:val="20"/>
              </w:rPr>
              <w:t>.</w:t>
            </w:r>
            <w:r w:rsidR="00EB77B6" w:rsidRPr="00C66550">
              <w:rPr>
                <w:color w:val="000000"/>
                <w:szCs w:val="20"/>
              </w:rPr>
              <w:t xml:space="preserve"> Effective monitoring</w:t>
            </w:r>
            <w:r w:rsidR="003715E1" w:rsidRPr="00C66550">
              <w:rPr>
                <w:color w:val="000000"/>
                <w:szCs w:val="20"/>
              </w:rPr>
              <w:t>;</w:t>
            </w:r>
            <w:r w:rsidR="00EB77B6" w:rsidRPr="00C66550">
              <w:rPr>
                <w:color w:val="000000"/>
                <w:szCs w:val="20"/>
              </w:rPr>
              <w:t xml:space="preserve"> discouraging and penalising illegal dumping and littering.</w:t>
            </w:r>
          </w:p>
        </w:tc>
      </w:tr>
    </w:tbl>
    <w:p w:rsidR="00A56E17" w:rsidRDefault="00A56E17" w:rsidP="00CC6618">
      <w:pPr>
        <w:jc w:val="right"/>
        <w:rPr>
          <w:rFonts w:asciiTheme="minorHAnsi" w:hAnsiTheme="minorHAnsi"/>
          <w:b/>
          <w:color w:val="000000"/>
          <w:sz w:val="18"/>
          <w:szCs w:val="18"/>
        </w:rPr>
      </w:pPr>
    </w:p>
    <w:p w:rsidR="00A56E17" w:rsidRDefault="00A56E17" w:rsidP="00A56E17">
      <w:r>
        <w:br w:type="page"/>
      </w:r>
    </w:p>
    <w:tbl>
      <w:tblPr>
        <w:tblStyle w:val="BETable1"/>
        <w:tblW w:w="15410" w:type="dxa"/>
        <w:tblInd w:w="-9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1702"/>
        <w:gridCol w:w="550"/>
        <w:gridCol w:w="633"/>
        <w:gridCol w:w="450"/>
        <w:gridCol w:w="635"/>
        <w:gridCol w:w="550"/>
        <w:gridCol w:w="385"/>
        <w:gridCol w:w="450"/>
        <w:gridCol w:w="550"/>
        <w:gridCol w:w="385"/>
        <w:gridCol w:w="232"/>
        <w:gridCol w:w="425"/>
        <w:gridCol w:w="345"/>
        <w:gridCol w:w="450"/>
        <w:gridCol w:w="621"/>
        <w:gridCol w:w="567"/>
        <w:gridCol w:w="593"/>
        <w:gridCol w:w="682"/>
        <w:gridCol w:w="753"/>
        <w:gridCol w:w="969"/>
        <w:gridCol w:w="1418"/>
        <w:gridCol w:w="729"/>
        <w:gridCol w:w="668"/>
        <w:gridCol w:w="668"/>
      </w:tblGrid>
      <w:tr w:rsidR="009F4FF1" w:rsidRPr="00C66550" w:rsidTr="00526B48">
        <w:trPr>
          <w:cnfStyle w:val="100000000000"/>
          <w:tblHeader/>
        </w:trPr>
        <w:tc>
          <w:tcPr>
            <w:cnfStyle w:val="001000000000"/>
            <w:tcW w:w="1702" w:type="dxa"/>
            <w:tcBorders>
              <w:top w:val="single" w:sz="4" w:space="0" w:color="A6A6A6" w:themeColor="background1" w:themeShade="A6"/>
              <w:bottom w:val="single" w:sz="4" w:space="0" w:color="A6A6A6" w:themeColor="background1" w:themeShade="A6"/>
            </w:tcBorders>
            <w:vAlign w:val="center"/>
          </w:tcPr>
          <w:p w:rsidR="00FF0C93" w:rsidRPr="00C66550" w:rsidRDefault="009F4FF1" w:rsidP="00C710CD">
            <w:pPr>
              <w:rPr>
                <w:b w:val="0"/>
                <w:bCs/>
                <w:color w:val="000000"/>
                <w:sz w:val="18"/>
                <w:szCs w:val="18"/>
              </w:rPr>
            </w:pPr>
            <w:r w:rsidRPr="00C66550">
              <w:rPr>
                <w:bCs/>
                <w:color w:val="000000"/>
                <w:sz w:val="18"/>
                <w:szCs w:val="18"/>
              </w:rPr>
              <w:lastRenderedPageBreak/>
              <w:t>WA summary of strategy, policy, targets</w:t>
            </w:r>
            <w:r w:rsidR="00017135" w:rsidRPr="00C66550">
              <w:rPr>
                <w:rStyle w:val="FootnoteReference"/>
                <w:bCs/>
                <w:color w:val="000000"/>
                <w:sz w:val="18"/>
                <w:szCs w:val="18"/>
              </w:rPr>
              <w:footnoteReference w:id="24"/>
            </w:r>
          </w:p>
        </w:tc>
        <w:tc>
          <w:tcPr>
            <w:tcW w:w="1633" w:type="dxa"/>
            <w:gridSpan w:val="3"/>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2006</w:t>
            </w:r>
          </w:p>
        </w:tc>
        <w:tc>
          <w:tcPr>
            <w:tcW w:w="635" w:type="dxa"/>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2007</w:t>
            </w:r>
          </w:p>
        </w:tc>
        <w:tc>
          <w:tcPr>
            <w:tcW w:w="1385" w:type="dxa"/>
            <w:gridSpan w:val="3"/>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2008</w:t>
            </w:r>
          </w:p>
        </w:tc>
        <w:tc>
          <w:tcPr>
            <w:tcW w:w="1167" w:type="dxa"/>
            <w:gridSpan w:val="3"/>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2009</w:t>
            </w:r>
          </w:p>
        </w:tc>
        <w:tc>
          <w:tcPr>
            <w:tcW w:w="1220" w:type="dxa"/>
            <w:gridSpan w:val="3"/>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2010</w:t>
            </w:r>
          </w:p>
        </w:tc>
        <w:tc>
          <w:tcPr>
            <w:tcW w:w="621" w:type="dxa"/>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2011</w:t>
            </w:r>
          </w:p>
        </w:tc>
        <w:tc>
          <w:tcPr>
            <w:tcW w:w="567" w:type="dxa"/>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2012</w:t>
            </w:r>
          </w:p>
        </w:tc>
        <w:tc>
          <w:tcPr>
            <w:tcW w:w="593" w:type="dxa"/>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2013</w:t>
            </w:r>
          </w:p>
        </w:tc>
        <w:tc>
          <w:tcPr>
            <w:tcW w:w="682" w:type="dxa"/>
            <w:tcBorders>
              <w:top w:val="single" w:sz="4" w:space="0" w:color="A6A6A6" w:themeColor="background1" w:themeShade="A6"/>
              <w:bottom w:val="single" w:sz="4" w:space="0" w:color="A6A6A6" w:themeColor="background1" w:themeShade="A6"/>
            </w:tcBorders>
            <w:vAlign w:val="bottom"/>
          </w:tcPr>
          <w:p w:rsidR="009F4FF1" w:rsidRPr="00C66550" w:rsidRDefault="009F4FF1" w:rsidP="006603C6">
            <w:pPr>
              <w:ind w:left="-105" w:firstLine="105"/>
              <w:jc w:val="center"/>
              <w:cnfStyle w:val="100000000000"/>
              <w:rPr>
                <w:color w:val="000000"/>
                <w:sz w:val="18"/>
                <w:szCs w:val="18"/>
              </w:rPr>
            </w:pPr>
            <w:r w:rsidRPr="00C66550">
              <w:rPr>
                <w:color w:val="000000"/>
                <w:sz w:val="18"/>
                <w:szCs w:val="18"/>
              </w:rPr>
              <w:t>2014</w:t>
            </w:r>
          </w:p>
        </w:tc>
        <w:tc>
          <w:tcPr>
            <w:tcW w:w="3140" w:type="dxa"/>
            <w:gridSpan w:val="3"/>
            <w:tcBorders>
              <w:top w:val="single" w:sz="4" w:space="0" w:color="A6A6A6" w:themeColor="background1" w:themeShade="A6"/>
              <w:bottom w:val="single" w:sz="4" w:space="0" w:color="A6A6A6" w:themeColor="background1" w:themeShade="A6"/>
            </w:tcBorders>
            <w:vAlign w:val="bottom"/>
          </w:tcPr>
          <w:p w:rsidR="009F4FF1" w:rsidRPr="00C66550" w:rsidRDefault="009F4FF1" w:rsidP="006603C6">
            <w:pPr>
              <w:ind w:left="-908"/>
              <w:jc w:val="center"/>
              <w:cnfStyle w:val="100000000000"/>
              <w:rPr>
                <w:color w:val="000000"/>
                <w:sz w:val="18"/>
                <w:szCs w:val="18"/>
              </w:rPr>
            </w:pPr>
            <w:r w:rsidRPr="00C66550">
              <w:rPr>
                <w:color w:val="000000"/>
                <w:sz w:val="18"/>
                <w:szCs w:val="18"/>
              </w:rPr>
              <w:t>2015</w:t>
            </w:r>
          </w:p>
        </w:tc>
        <w:tc>
          <w:tcPr>
            <w:tcW w:w="2065" w:type="dxa"/>
            <w:gridSpan w:val="3"/>
            <w:tcBorders>
              <w:top w:val="single" w:sz="4" w:space="0" w:color="A6A6A6" w:themeColor="background1" w:themeShade="A6"/>
              <w:bottom w:val="single" w:sz="4" w:space="0" w:color="A6A6A6" w:themeColor="background1" w:themeShade="A6"/>
            </w:tcBorders>
            <w:vAlign w:val="bottom"/>
          </w:tcPr>
          <w:p w:rsidR="009F4FF1" w:rsidRPr="00C66550" w:rsidRDefault="009F4FF1" w:rsidP="009F4FF1">
            <w:pPr>
              <w:jc w:val="center"/>
              <w:cnfStyle w:val="100000000000"/>
              <w:rPr>
                <w:color w:val="000000"/>
                <w:sz w:val="18"/>
                <w:szCs w:val="18"/>
              </w:rPr>
            </w:pPr>
            <w:r w:rsidRPr="00C66550">
              <w:rPr>
                <w:color w:val="000000"/>
                <w:sz w:val="18"/>
                <w:szCs w:val="18"/>
              </w:rPr>
              <w:t>2020</w:t>
            </w:r>
          </w:p>
        </w:tc>
      </w:tr>
      <w:tr w:rsidR="009F4FF1" w:rsidRPr="00C66550" w:rsidTr="00526B48">
        <w:tc>
          <w:tcPr>
            <w:cnfStyle w:val="001000000000"/>
            <w:tcW w:w="1702" w:type="dxa"/>
            <w:tcBorders>
              <w:top w:val="single" w:sz="4" w:space="0" w:color="A6A6A6" w:themeColor="background1" w:themeShade="A6"/>
              <w:left w:val="nil"/>
              <w:bottom w:val="single" w:sz="4" w:space="0" w:color="A6A6A6" w:themeColor="background1" w:themeShade="A6"/>
              <w:right w:val="nil"/>
            </w:tcBorders>
          </w:tcPr>
          <w:p w:rsidR="009F4FF1" w:rsidRPr="00C66550" w:rsidRDefault="009F4FF1">
            <w:pPr>
              <w:rPr>
                <w:color w:val="000000"/>
                <w:sz w:val="18"/>
                <w:szCs w:val="18"/>
              </w:rPr>
            </w:pPr>
            <w:r w:rsidRPr="00C66550">
              <w:rPr>
                <w:color w:val="000000"/>
                <w:sz w:val="18"/>
                <w:szCs w:val="18"/>
              </w:rPr>
              <w:t>Waste strategy/policy</w:t>
            </w:r>
            <w:r w:rsidR="00FF12A8" w:rsidRPr="00C66550">
              <w:rPr>
                <w:color w:val="000000"/>
                <w:sz w:val="18"/>
                <w:szCs w:val="18"/>
              </w:rPr>
              <w:t xml:space="preserve"> </w:t>
            </w:r>
            <w:r w:rsidRPr="00C66550">
              <w:rPr>
                <w:color w:val="000000"/>
                <w:sz w:val="18"/>
                <w:szCs w:val="18"/>
              </w:rPr>
              <w:t>in place</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633"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635"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3008" w:type="dxa"/>
            <w:gridSpan w:val="7"/>
            <w:tcBorders>
              <w:top w:val="single" w:sz="4" w:space="0" w:color="A6A6A6" w:themeColor="background1" w:themeShade="A6"/>
              <w:left w:val="nil"/>
              <w:bottom w:val="single" w:sz="4" w:space="0" w:color="A6A6A6" w:themeColor="background1" w:themeShade="A6"/>
              <w:right w:val="nil"/>
            </w:tcBorders>
          </w:tcPr>
          <w:p w:rsidR="009F4FF1" w:rsidRPr="00C66550" w:rsidRDefault="009F4FF1" w:rsidP="00017135">
            <w:pPr>
              <w:cnfStyle w:val="000000000000"/>
              <w:rPr>
                <w:color w:val="000000"/>
                <w:sz w:val="18"/>
                <w:szCs w:val="18"/>
              </w:rPr>
            </w:pPr>
            <w:r w:rsidRPr="00C66550">
              <w:rPr>
                <w:i/>
                <w:iCs/>
                <w:color w:val="000000"/>
                <w:sz w:val="18"/>
                <w:szCs w:val="18"/>
              </w:rPr>
              <w:t>Draft Waste Strategy for Western Australia (2009)</w:t>
            </w:r>
          </w:p>
        </w:tc>
        <w:tc>
          <w:tcPr>
            <w:tcW w:w="4982" w:type="dxa"/>
            <w:gridSpan w:val="6"/>
            <w:tcBorders>
              <w:top w:val="single" w:sz="4" w:space="0" w:color="A6A6A6" w:themeColor="background1" w:themeShade="A6"/>
              <w:left w:val="nil"/>
              <w:bottom w:val="single" w:sz="4" w:space="0" w:color="A6A6A6" w:themeColor="background1" w:themeShade="A6"/>
              <w:right w:val="nil"/>
            </w:tcBorders>
          </w:tcPr>
          <w:p w:rsidR="00A9634B" w:rsidRPr="00C66550" w:rsidRDefault="009F4FF1">
            <w:pPr>
              <w:cnfStyle w:val="000000000000"/>
              <w:rPr>
                <w:color w:val="000000"/>
                <w:sz w:val="18"/>
                <w:szCs w:val="18"/>
              </w:rPr>
            </w:pPr>
            <w:r w:rsidRPr="00C66550">
              <w:rPr>
                <w:i/>
                <w:iCs/>
                <w:color w:val="000000"/>
                <w:sz w:val="18"/>
                <w:szCs w:val="18"/>
              </w:rPr>
              <w:t>Western Australian Waste Strategy: Creating the Right Environment (2012)</w:t>
            </w:r>
            <w:r w:rsidRPr="00C66550">
              <w:rPr>
                <w:color w:val="000000"/>
                <w:sz w:val="18"/>
                <w:szCs w:val="18"/>
              </w:rPr>
              <w:t> </w:t>
            </w:r>
          </w:p>
        </w:tc>
        <w:tc>
          <w:tcPr>
            <w:tcW w:w="729"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668"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c>
          <w:tcPr>
            <w:tcW w:w="668"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jc w:val="center"/>
              <w:cnfStyle w:val="000000000000"/>
              <w:rPr>
                <w:color w:val="000000"/>
                <w:sz w:val="18"/>
                <w:szCs w:val="18"/>
              </w:rPr>
            </w:pPr>
            <w:r w:rsidRPr="00C66550">
              <w:rPr>
                <w:color w:val="000000"/>
                <w:sz w:val="18"/>
                <w:szCs w:val="18"/>
              </w:rPr>
              <w:t> </w:t>
            </w:r>
          </w:p>
        </w:tc>
      </w:tr>
      <w:tr w:rsidR="00EF7E83" w:rsidRPr="00C66550" w:rsidTr="00526B48">
        <w:tc>
          <w:tcPr>
            <w:cnfStyle w:val="001000000000"/>
            <w:tcW w:w="1702" w:type="dxa"/>
            <w:tcBorders>
              <w:top w:val="single" w:sz="4" w:space="0" w:color="A6A6A6" w:themeColor="background1" w:themeShade="A6"/>
              <w:left w:val="nil"/>
              <w:bottom w:val="single" w:sz="4" w:space="0" w:color="A6A6A6" w:themeColor="background1" w:themeShade="A6"/>
              <w:right w:val="nil"/>
            </w:tcBorders>
          </w:tcPr>
          <w:p w:rsidR="00EF7E83" w:rsidRPr="00C66550" w:rsidRDefault="00EF7E83">
            <w:pPr>
              <w:rPr>
                <w:color w:val="000000"/>
                <w:sz w:val="18"/>
                <w:szCs w:val="18"/>
              </w:rPr>
            </w:pPr>
            <w:r w:rsidRPr="00C66550">
              <w:rPr>
                <w:color w:val="000000"/>
                <w:sz w:val="18"/>
                <w:szCs w:val="18"/>
              </w:rPr>
              <w:t>Policy goals summary</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633"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635"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232"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425"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345"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621"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jc w:val="center"/>
              <w:cnfStyle w:val="000000000000"/>
              <w:rPr>
                <w:color w:val="000000"/>
                <w:sz w:val="18"/>
                <w:szCs w:val="18"/>
              </w:rPr>
            </w:pPr>
            <w:r w:rsidRPr="00C66550">
              <w:rPr>
                <w:color w:val="000000"/>
                <w:sz w:val="18"/>
                <w:szCs w:val="18"/>
              </w:rPr>
              <w:t> </w:t>
            </w:r>
          </w:p>
        </w:tc>
        <w:tc>
          <w:tcPr>
            <w:tcW w:w="7047" w:type="dxa"/>
            <w:gridSpan w:val="9"/>
            <w:tcBorders>
              <w:top w:val="single" w:sz="4" w:space="0" w:color="A6A6A6" w:themeColor="background1" w:themeShade="A6"/>
              <w:left w:val="nil"/>
              <w:bottom w:val="single" w:sz="4" w:space="0" w:color="A6A6A6" w:themeColor="background1" w:themeShade="A6"/>
              <w:right w:val="nil"/>
            </w:tcBorders>
            <w:vAlign w:val="bottom"/>
          </w:tcPr>
          <w:p w:rsidR="00221050" w:rsidRPr="00C66550" w:rsidRDefault="00207FD3">
            <w:pPr>
              <w:cnfStyle w:val="000000000000"/>
              <w:rPr>
                <w:color w:val="000000"/>
                <w:sz w:val="18"/>
                <w:szCs w:val="18"/>
              </w:rPr>
            </w:pPr>
            <w:r w:rsidRPr="00C66550">
              <w:rPr>
                <w:i/>
                <w:color w:val="000000"/>
                <w:sz w:val="18"/>
                <w:szCs w:val="18"/>
              </w:rPr>
              <w:t>Creating the Right Environment</w:t>
            </w:r>
            <w:r w:rsidR="00EF7E83" w:rsidRPr="00C66550">
              <w:rPr>
                <w:color w:val="000000"/>
                <w:sz w:val="18"/>
                <w:szCs w:val="18"/>
              </w:rPr>
              <w:t xml:space="preserve"> has five strategic objectives within which strategies relating to knowledge, infrastructure and incentives have been developed to support a coordinated approach to changing the behaviours of individuals, groups and organisations: </w:t>
            </w:r>
          </w:p>
          <w:p w:rsidR="00FF0C93" w:rsidRPr="00C66550" w:rsidRDefault="00EF7E83" w:rsidP="00C710CD">
            <w:pPr>
              <w:pStyle w:val="ListBullet"/>
              <w:ind w:left="307" w:hanging="283"/>
              <w:cnfStyle w:val="000000000000"/>
              <w:rPr>
                <w:sz w:val="18"/>
                <w:szCs w:val="18"/>
              </w:rPr>
            </w:pPr>
            <w:r w:rsidRPr="00C66550">
              <w:rPr>
                <w:sz w:val="18"/>
                <w:szCs w:val="18"/>
              </w:rPr>
              <w:t>Strategy objective 1</w:t>
            </w:r>
            <w:r w:rsidR="00593B5C" w:rsidRPr="00C66550">
              <w:rPr>
                <w:sz w:val="18"/>
                <w:szCs w:val="18"/>
              </w:rPr>
              <w:t>—</w:t>
            </w:r>
            <w:r w:rsidRPr="00C66550">
              <w:rPr>
                <w:sz w:val="18"/>
                <w:szCs w:val="18"/>
              </w:rPr>
              <w:t xml:space="preserve">Initiate and maintain long-term planning for waste and recycling processing, and enable access to suitably located land with buffers sufficient to cater for the State’s waste management needs. </w:t>
            </w:r>
          </w:p>
          <w:p w:rsidR="00FF0C93" w:rsidRPr="00C66550" w:rsidRDefault="00EF7E83" w:rsidP="00C710CD">
            <w:pPr>
              <w:pStyle w:val="ListBullet"/>
              <w:ind w:left="307" w:hanging="283"/>
              <w:cnfStyle w:val="000000000000"/>
              <w:rPr>
                <w:sz w:val="18"/>
                <w:szCs w:val="18"/>
              </w:rPr>
            </w:pPr>
            <w:r w:rsidRPr="00C66550">
              <w:rPr>
                <w:sz w:val="18"/>
                <w:szCs w:val="18"/>
              </w:rPr>
              <w:t>Strategy objective 2</w:t>
            </w:r>
            <w:r w:rsidR="00593B5C" w:rsidRPr="00C66550">
              <w:rPr>
                <w:sz w:val="18"/>
                <w:szCs w:val="18"/>
              </w:rPr>
              <w:t>—</w:t>
            </w:r>
            <w:r w:rsidRPr="00C66550">
              <w:rPr>
                <w:sz w:val="18"/>
                <w:szCs w:val="18"/>
              </w:rPr>
              <w:t xml:space="preserve">Enhance regulatory services to ensure consistent performance is achieved at landfills, transfer stations and processing facilities. </w:t>
            </w:r>
          </w:p>
          <w:p w:rsidR="00FF0C93" w:rsidRPr="00C66550" w:rsidRDefault="00EF7E83" w:rsidP="00C710CD">
            <w:pPr>
              <w:pStyle w:val="ListBullet"/>
              <w:ind w:left="307" w:hanging="283"/>
              <w:cnfStyle w:val="000000000000"/>
              <w:rPr>
                <w:sz w:val="18"/>
                <w:szCs w:val="18"/>
              </w:rPr>
            </w:pPr>
            <w:r w:rsidRPr="00C66550">
              <w:rPr>
                <w:sz w:val="18"/>
                <w:szCs w:val="18"/>
              </w:rPr>
              <w:t>Strategy objective 3</w:t>
            </w:r>
            <w:r w:rsidR="00593B5C" w:rsidRPr="00C66550">
              <w:rPr>
                <w:sz w:val="18"/>
                <w:szCs w:val="18"/>
              </w:rPr>
              <w:t>—</w:t>
            </w:r>
            <w:r w:rsidRPr="00C66550">
              <w:rPr>
                <w:sz w:val="18"/>
                <w:szCs w:val="18"/>
              </w:rPr>
              <w:t xml:space="preserve">Develop best practice guidelines, measures and reporting frameworks and promote their adoption. </w:t>
            </w:r>
          </w:p>
          <w:p w:rsidR="00FF0C93" w:rsidRPr="00C66550" w:rsidRDefault="00EF7E83" w:rsidP="00C710CD">
            <w:pPr>
              <w:pStyle w:val="ListBullet"/>
              <w:ind w:left="307" w:hanging="283"/>
              <w:cnfStyle w:val="000000000000"/>
              <w:rPr>
                <w:sz w:val="18"/>
                <w:szCs w:val="18"/>
              </w:rPr>
            </w:pPr>
            <w:r w:rsidRPr="00C66550">
              <w:rPr>
                <w:sz w:val="18"/>
                <w:szCs w:val="18"/>
              </w:rPr>
              <w:t>Strategy objective 4</w:t>
            </w:r>
            <w:r w:rsidR="00593B5C" w:rsidRPr="00C66550">
              <w:rPr>
                <w:sz w:val="18"/>
                <w:szCs w:val="18"/>
              </w:rPr>
              <w:t>—</w:t>
            </w:r>
            <w:r w:rsidRPr="00C66550">
              <w:rPr>
                <w:sz w:val="18"/>
                <w:szCs w:val="18"/>
              </w:rPr>
              <w:t>Use existing economic instruments to support the financial viability of actions that divert waste from landfill and recover it as a resource.</w:t>
            </w:r>
            <w:r w:rsidRPr="00C66550">
              <w:rPr>
                <w:sz w:val="18"/>
                <w:szCs w:val="18"/>
              </w:rPr>
              <w:br/>
              <w:t>Strategy objective 5</w:t>
            </w:r>
            <w:r w:rsidR="00593B5C" w:rsidRPr="00C66550">
              <w:rPr>
                <w:sz w:val="18"/>
                <w:szCs w:val="18"/>
              </w:rPr>
              <w:t>—</w:t>
            </w:r>
            <w:r w:rsidRPr="00C66550">
              <w:rPr>
                <w:sz w:val="18"/>
                <w:szCs w:val="18"/>
              </w:rPr>
              <w:t>Communicate messages for behaviour change and promote its adoption, and acknowledge the success of individuals and organisations that act in accordance with the aims and principles in the Strategy and assist in its implementation. </w:t>
            </w:r>
          </w:p>
        </w:tc>
      </w:tr>
      <w:tr w:rsidR="009F4FF1" w:rsidRPr="00C66550" w:rsidTr="00526B48">
        <w:tc>
          <w:tcPr>
            <w:cnfStyle w:val="001000000000"/>
            <w:tcW w:w="1702"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rPr>
                <w:color w:val="000000"/>
                <w:sz w:val="18"/>
                <w:szCs w:val="18"/>
              </w:rPr>
            </w:pPr>
            <w:r w:rsidRPr="00C66550">
              <w:rPr>
                <w:color w:val="000000"/>
                <w:sz w:val="18"/>
                <w:szCs w:val="18"/>
              </w:rPr>
              <w:t>State targets for recovery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633"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635"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232"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425"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345"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621"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567"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593"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682"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9F4FF1">
            <w:pPr>
              <w:cnfStyle w:val="000000000000"/>
              <w:rPr>
                <w:color w:val="000000"/>
                <w:sz w:val="18"/>
                <w:szCs w:val="18"/>
              </w:rPr>
            </w:pPr>
            <w:r w:rsidRPr="00C66550">
              <w:rPr>
                <w:color w:val="000000"/>
                <w:sz w:val="18"/>
                <w:szCs w:val="18"/>
              </w:rPr>
              <w:t> </w:t>
            </w:r>
          </w:p>
        </w:tc>
        <w:tc>
          <w:tcPr>
            <w:tcW w:w="753"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EF7E83">
            <w:pPr>
              <w:cnfStyle w:val="000000000000"/>
              <w:rPr>
                <w:color w:val="000000"/>
                <w:sz w:val="18"/>
                <w:szCs w:val="18"/>
              </w:rPr>
            </w:pPr>
            <w:r w:rsidRPr="00C66550">
              <w:rPr>
                <w:color w:val="000000"/>
                <w:sz w:val="18"/>
                <w:szCs w:val="18"/>
              </w:rPr>
              <w:t xml:space="preserve">MSW </w:t>
            </w:r>
            <w:r w:rsidR="009F4FF1" w:rsidRPr="00C66550">
              <w:rPr>
                <w:color w:val="000000"/>
                <w:sz w:val="18"/>
                <w:szCs w:val="18"/>
              </w:rPr>
              <w:t>50% Metro only</w:t>
            </w:r>
          </w:p>
        </w:tc>
        <w:tc>
          <w:tcPr>
            <w:tcW w:w="969"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cnfStyle w:val="000000000000"/>
              <w:rPr>
                <w:color w:val="000000"/>
                <w:sz w:val="18"/>
                <w:szCs w:val="18"/>
              </w:rPr>
            </w:pPr>
            <w:r w:rsidRPr="00C66550">
              <w:rPr>
                <w:color w:val="000000"/>
                <w:sz w:val="18"/>
                <w:szCs w:val="18"/>
              </w:rPr>
              <w:t xml:space="preserve">C&amp;I </w:t>
            </w:r>
          </w:p>
          <w:p w:rsidR="00EF7E83" w:rsidRPr="00C66550" w:rsidRDefault="009F4FF1">
            <w:pPr>
              <w:cnfStyle w:val="000000000000"/>
              <w:rPr>
                <w:color w:val="000000"/>
                <w:sz w:val="18"/>
                <w:szCs w:val="18"/>
              </w:rPr>
            </w:pPr>
            <w:r w:rsidRPr="00C66550">
              <w:rPr>
                <w:color w:val="000000"/>
                <w:sz w:val="18"/>
                <w:szCs w:val="18"/>
              </w:rPr>
              <w:t>55%</w:t>
            </w:r>
          </w:p>
          <w:p w:rsidR="009F4FF1" w:rsidRPr="00C66550" w:rsidRDefault="009F4FF1" w:rsidP="000A383F">
            <w:pPr>
              <w:cnfStyle w:val="000000000000"/>
              <w:rPr>
                <w:color w:val="000000"/>
                <w:sz w:val="18"/>
                <w:szCs w:val="18"/>
              </w:rPr>
            </w:pPr>
            <w:r w:rsidRPr="00C66550">
              <w:rPr>
                <w:color w:val="000000"/>
                <w:sz w:val="18"/>
                <w:szCs w:val="18"/>
              </w:rPr>
              <w:t xml:space="preserve"> </w:t>
            </w:r>
            <w:r w:rsidR="000A383F" w:rsidRPr="00C66550">
              <w:rPr>
                <w:color w:val="000000"/>
                <w:sz w:val="18"/>
                <w:szCs w:val="18"/>
              </w:rPr>
              <w:t>W</w:t>
            </w:r>
            <w:r w:rsidRPr="00C66550">
              <w:rPr>
                <w:color w:val="000000"/>
                <w:sz w:val="18"/>
                <w:szCs w:val="18"/>
              </w:rPr>
              <w:t xml:space="preserve">hole </w:t>
            </w:r>
            <w:r w:rsidR="000A383F" w:rsidRPr="00C66550">
              <w:rPr>
                <w:color w:val="000000"/>
                <w:sz w:val="18"/>
                <w:szCs w:val="18"/>
              </w:rPr>
              <w:t>s</w:t>
            </w:r>
            <w:r w:rsidRPr="00C66550">
              <w:rPr>
                <w:color w:val="000000"/>
                <w:sz w:val="18"/>
                <w:szCs w:val="18"/>
              </w:rPr>
              <w:t>tate</w:t>
            </w:r>
          </w:p>
        </w:tc>
        <w:tc>
          <w:tcPr>
            <w:tcW w:w="1418" w:type="dxa"/>
            <w:tcBorders>
              <w:top w:val="single" w:sz="4" w:space="0" w:color="A6A6A6" w:themeColor="background1" w:themeShade="A6"/>
              <w:left w:val="nil"/>
              <w:bottom w:val="single" w:sz="4" w:space="0" w:color="A6A6A6" w:themeColor="background1" w:themeShade="A6"/>
              <w:right w:val="nil"/>
            </w:tcBorders>
            <w:vAlign w:val="bottom"/>
          </w:tcPr>
          <w:p w:rsidR="00EF7E83" w:rsidRPr="00C66550" w:rsidRDefault="00EF7E83">
            <w:pPr>
              <w:cnfStyle w:val="000000000000"/>
              <w:rPr>
                <w:color w:val="000000"/>
                <w:sz w:val="18"/>
                <w:szCs w:val="18"/>
              </w:rPr>
            </w:pPr>
            <w:r w:rsidRPr="00C66550">
              <w:rPr>
                <w:color w:val="000000"/>
                <w:sz w:val="18"/>
                <w:szCs w:val="18"/>
              </w:rPr>
              <w:t xml:space="preserve">C&amp;D </w:t>
            </w:r>
          </w:p>
          <w:p w:rsidR="00EF7E83" w:rsidRPr="00C66550" w:rsidRDefault="009F4FF1">
            <w:pPr>
              <w:cnfStyle w:val="000000000000"/>
              <w:rPr>
                <w:color w:val="000000"/>
                <w:sz w:val="18"/>
                <w:szCs w:val="18"/>
              </w:rPr>
            </w:pPr>
            <w:r w:rsidRPr="00C66550">
              <w:rPr>
                <w:color w:val="000000"/>
                <w:sz w:val="18"/>
                <w:szCs w:val="18"/>
              </w:rPr>
              <w:t>60%</w:t>
            </w:r>
          </w:p>
          <w:p w:rsidR="006603C6" w:rsidRPr="00C66550" w:rsidRDefault="009F4FF1">
            <w:pPr>
              <w:cnfStyle w:val="000000000000"/>
              <w:rPr>
                <w:color w:val="000000"/>
                <w:sz w:val="18"/>
                <w:szCs w:val="18"/>
              </w:rPr>
            </w:pPr>
            <w:r w:rsidRPr="00C66550">
              <w:rPr>
                <w:color w:val="000000"/>
                <w:sz w:val="18"/>
                <w:szCs w:val="18"/>
              </w:rPr>
              <w:t xml:space="preserve"> </w:t>
            </w:r>
            <w:r w:rsidR="000A383F" w:rsidRPr="00C66550">
              <w:rPr>
                <w:color w:val="000000"/>
                <w:sz w:val="18"/>
                <w:szCs w:val="18"/>
              </w:rPr>
              <w:t>W</w:t>
            </w:r>
            <w:r w:rsidRPr="00C66550">
              <w:rPr>
                <w:color w:val="000000"/>
                <w:sz w:val="18"/>
                <w:szCs w:val="18"/>
              </w:rPr>
              <w:t xml:space="preserve">hole </w:t>
            </w:r>
          </w:p>
          <w:p w:rsidR="009F4FF1" w:rsidRPr="00C66550" w:rsidRDefault="000A383F">
            <w:pPr>
              <w:cnfStyle w:val="000000000000"/>
              <w:rPr>
                <w:color w:val="000000"/>
                <w:sz w:val="18"/>
                <w:szCs w:val="18"/>
              </w:rPr>
            </w:pPr>
            <w:r w:rsidRPr="00C66550">
              <w:rPr>
                <w:color w:val="000000"/>
                <w:sz w:val="18"/>
                <w:szCs w:val="18"/>
              </w:rPr>
              <w:t>s</w:t>
            </w:r>
            <w:r w:rsidR="009F4FF1" w:rsidRPr="00C66550">
              <w:rPr>
                <w:color w:val="000000"/>
                <w:sz w:val="18"/>
                <w:szCs w:val="18"/>
              </w:rPr>
              <w:t>tate</w:t>
            </w:r>
          </w:p>
        </w:tc>
        <w:tc>
          <w:tcPr>
            <w:tcW w:w="729"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EF7E83">
            <w:pPr>
              <w:cnfStyle w:val="000000000000"/>
              <w:rPr>
                <w:color w:val="000000"/>
                <w:sz w:val="18"/>
                <w:szCs w:val="18"/>
              </w:rPr>
            </w:pPr>
            <w:r w:rsidRPr="00C66550">
              <w:rPr>
                <w:color w:val="000000"/>
                <w:sz w:val="18"/>
                <w:szCs w:val="18"/>
              </w:rPr>
              <w:t xml:space="preserve">MSW </w:t>
            </w:r>
            <w:r w:rsidR="009F4FF1" w:rsidRPr="00C66550">
              <w:rPr>
                <w:color w:val="000000"/>
                <w:sz w:val="18"/>
                <w:szCs w:val="18"/>
              </w:rPr>
              <w:t>65% Metro only</w:t>
            </w:r>
          </w:p>
        </w:tc>
        <w:tc>
          <w:tcPr>
            <w:tcW w:w="668"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EF7E83" w:rsidP="000A383F">
            <w:pPr>
              <w:cnfStyle w:val="000000000000"/>
              <w:rPr>
                <w:color w:val="000000"/>
                <w:sz w:val="18"/>
                <w:szCs w:val="18"/>
              </w:rPr>
            </w:pPr>
            <w:r w:rsidRPr="00C66550">
              <w:rPr>
                <w:color w:val="000000"/>
                <w:sz w:val="18"/>
                <w:szCs w:val="18"/>
              </w:rPr>
              <w:t xml:space="preserve">C&amp;I </w:t>
            </w:r>
            <w:r w:rsidR="009F4FF1" w:rsidRPr="00C66550">
              <w:rPr>
                <w:color w:val="000000"/>
                <w:sz w:val="18"/>
                <w:szCs w:val="18"/>
              </w:rPr>
              <w:t xml:space="preserve">70% </w:t>
            </w:r>
            <w:r w:rsidR="000A383F" w:rsidRPr="00C66550">
              <w:rPr>
                <w:color w:val="000000"/>
                <w:sz w:val="18"/>
                <w:szCs w:val="18"/>
              </w:rPr>
              <w:t>W</w:t>
            </w:r>
            <w:r w:rsidR="009F4FF1" w:rsidRPr="00C66550">
              <w:rPr>
                <w:color w:val="000000"/>
                <w:sz w:val="18"/>
                <w:szCs w:val="18"/>
              </w:rPr>
              <w:t xml:space="preserve">hole </w:t>
            </w:r>
            <w:r w:rsidR="000A383F" w:rsidRPr="00C66550">
              <w:rPr>
                <w:color w:val="000000"/>
                <w:sz w:val="18"/>
                <w:szCs w:val="18"/>
              </w:rPr>
              <w:t>s</w:t>
            </w:r>
            <w:r w:rsidR="009F4FF1" w:rsidRPr="00C66550">
              <w:rPr>
                <w:color w:val="000000"/>
                <w:sz w:val="18"/>
                <w:szCs w:val="18"/>
              </w:rPr>
              <w:t>tate</w:t>
            </w:r>
          </w:p>
        </w:tc>
        <w:tc>
          <w:tcPr>
            <w:tcW w:w="668" w:type="dxa"/>
            <w:tcBorders>
              <w:top w:val="single" w:sz="4" w:space="0" w:color="A6A6A6" w:themeColor="background1" w:themeShade="A6"/>
              <w:left w:val="nil"/>
              <w:bottom w:val="single" w:sz="4" w:space="0" w:color="A6A6A6" w:themeColor="background1" w:themeShade="A6"/>
              <w:right w:val="nil"/>
            </w:tcBorders>
            <w:vAlign w:val="bottom"/>
          </w:tcPr>
          <w:p w:rsidR="009F4FF1" w:rsidRPr="00C66550" w:rsidRDefault="00EF7E83" w:rsidP="000A383F">
            <w:pPr>
              <w:cnfStyle w:val="000000000000"/>
              <w:rPr>
                <w:color w:val="000000"/>
                <w:sz w:val="18"/>
                <w:szCs w:val="18"/>
              </w:rPr>
            </w:pPr>
            <w:r w:rsidRPr="00C66550">
              <w:rPr>
                <w:color w:val="000000"/>
                <w:sz w:val="18"/>
                <w:szCs w:val="18"/>
              </w:rPr>
              <w:t xml:space="preserve">C&amp;D </w:t>
            </w:r>
            <w:r w:rsidR="009F4FF1" w:rsidRPr="00C66550">
              <w:rPr>
                <w:color w:val="000000"/>
                <w:sz w:val="18"/>
                <w:szCs w:val="18"/>
              </w:rPr>
              <w:t xml:space="preserve">75% </w:t>
            </w:r>
            <w:r w:rsidR="000A383F" w:rsidRPr="00C66550">
              <w:rPr>
                <w:color w:val="000000"/>
                <w:sz w:val="18"/>
                <w:szCs w:val="18"/>
              </w:rPr>
              <w:t>W</w:t>
            </w:r>
            <w:r w:rsidR="009F4FF1" w:rsidRPr="00C66550">
              <w:rPr>
                <w:color w:val="000000"/>
                <w:sz w:val="18"/>
                <w:szCs w:val="18"/>
              </w:rPr>
              <w:t xml:space="preserve">hole </w:t>
            </w:r>
            <w:r w:rsidR="000A383F" w:rsidRPr="00C66550">
              <w:rPr>
                <w:color w:val="000000"/>
                <w:sz w:val="18"/>
                <w:szCs w:val="18"/>
              </w:rPr>
              <w:t>s</w:t>
            </w:r>
            <w:r w:rsidR="009F4FF1" w:rsidRPr="00C66550">
              <w:rPr>
                <w:color w:val="000000"/>
                <w:sz w:val="18"/>
                <w:szCs w:val="18"/>
              </w:rPr>
              <w:t>tate</w:t>
            </w:r>
          </w:p>
        </w:tc>
      </w:tr>
      <w:tr w:rsidR="00017135" w:rsidRPr="00C66550" w:rsidTr="00A03CF8">
        <w:trPr>
          <w:trHeight w:val="859"/>
        </w:trPr>
        <w:tc>
          <w:tcPr>
            <w:cnfStyle w:val="001000000000"/>
            <w:tcW w:w="1702"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rPr>
                <w:color w:val="000000"/>
                <w:sz w:val="18"/>
                <w:szCs w:val="18"/>
              </w:rPr>
            </w:pPr>
            <w:r w:rsidRPr="00C66550">
              <w:rPr>
                <w:color w:val="000000"/>
                <w:sz w:val="18"/>
                <w:szCs w:val="18"/>
              </w:rPr>
              <w:t>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633"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635"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232"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425"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345"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621"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567"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593"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682"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c>
          <w:tcPr>
            <w:tcW w:w="1722" w:type="dxa"/>
            <w:gridSpan w:val="2"/>
            <w:tcBorders>
              <w:top w:val="single" w:sz="4" w:space="0" w:color="A6A6A6" w:themeColor="background1" w:themeShade="A6"/>
              <w:left w:val="nil"/>
              <w:bottom w:val="single" w:sz="4" w:space="0" w:color="A6A6A6" w:themeColor="background1" w:themeShade="A6"/>
              <w:right w:val="nil"/>
            </w:tcBorders>
          </w:tcPr>
          <w:p w:rsidR="00017135" w:rsidRPr="00C66550" w:rsidRDefault="00EF7E83" w:rsidP="00A03CF8">
            <w:pPr>
              <w:jc w:val="center"/>
              <w:cnfStyle w:val="000000000000"/>
              <w:rPr>
                <w:color w:val="000000"/>
                <w:sz w:val="18"/>
                <w:szCs w:val="18"/>
              </w:rPr>
            </w:pPr>
            <w:r w:rsidRPr="00C66550">
              <w:rPr>
                <w:color w:val="000000"/>
                <w:sz w:val="18"/>
                <w:szCs w:val="18"/>
              </w:rPr>
              <w:t xml:space="preserve">MSW </w:t>
            </w:r>
            <w:r w:rsidR="00017135" w:rsidRPr="00C66550">
              <w:rPr>
                <w:color w:val="000000"/>
                <w:sz w:val="18"/>
                <w:szCs w:val="18"/>
              </w:rPr>
              <w:t>30% Major regional centre</w:t>
            </w:r>
          </w:p>
        </w:tc>
        <w:tc>
          <w:tcPr>
            <w:tcW w:w="1418" w:type="dxa"/>
            <w:tcBorders>
              <w:top w:val="single" w:sz="4" w:space="0" w:color="A6A6A6" w:themeColor="background1" w:themeShade="A6"/>
              <w:left w:val="nil"/>
              <w:bottom w:val="single" w:sz="4" w:space="0" w:color="A6A6A6" w:themeColor="background1" w:themeShade="A6"/>
              <w:right w:val="nil"/>
            </w:tcBorders>
          </w:tcPr>
          <w:p w:rsidR="00017135" w:rsidRPr="00C66550" w:rsidRDefault="00017135" w:rsidP="00A03CF8">
            <w:pPr>
              <w:jc w:val="center"/>
              <w:cnfStyle w:val="000000000000"/>
              <w:rPr>
                <w:color w:val="000000"/>
                <w:sz w:val="18"/>
                <w:szCs w:val="18"/>
              </w:rPr>
            </w:pPr>
          </w:p>
        </w:tc>
        <w:tc>
          <w:tcPr>
            <w:tcW w:w="1397" w:type="dxa"/>
            <w:gridSpan w:val="2"/>
            <w:tcBorders>
              <w:top w:val="single" w:sz="4" w:space="0" w:color="A6A6A6" w:themeColor="background1" w:themeShade="A6"/>
              <w:left w:val="nil"/>
              <w:bottom w:val="single" w:sz="4" w:space="0" w:color="A6A6A6" w:themeColor="background1" w:themeShade="A6"/>
              <w:right w:val="nil"/>
            </w:tcBorders>
          </w:tcPr>
          <w:p w:rsidR="00017135" w:rsidRPr="00C66550" w:rsidRDefault="00EF7E83" w:rsidP="00A03CF8">
            <w:pPr>
              <w:jc w:val="center"/>
              <w:cnfStyle w:val="000000000000"/>
              <w:rPr>
                <w:color w:val="000000"/>
                <w:sz w:val="18"/>
                <w:szCs w:val="18"/>
              </w:rPr>
            </w:pPr>
            <w:r w:rsidRPr="00C66550">
              <w:rPr>
                <w:color w:val="000000"/>
                <w:sz w:val="18"/>
                <w:szCs w:val="18"/>
              </w:rPr>
              <w:t xml:space="preserve">MSW </w:t>
            </w:r>
            <w:r w:rsidR="00017135" w:rsidRPr="00C66550">
              <w:rPr>
                <w:color w:val="000000"/>
                <w:sz w:val="18"/>
                <w:szCs w:val="18"/>
              </w:rPr>
              <w:t>50% Major regional centre</w:t>
            </w:r>
          </w:p>
        </w:tc>
        <w:tc>
          <w:tcPr>
            <w:tcW w:w="668" w:type="dxa"/>
            <w:tcBorders>
              <w:top w:val="single" w:sz="4" w:space="0" w:color="A6A6A6" w:themeColor="background1" w:themeShade="A6"/>
              <w:left w:val="nil"/>
              <w:bottom w:val="single" w:sz="4" w:space="0" w:color="A6A6A6" w:themeColor="background1" w:themeShade="A6"/>
              <w:right w:val="nil"/>
            </w:tcBorders>
            <w:vAlign w:val="bottom"/>
          </w:tcPr>
          <w:p w:rsidR="00017135" w:rsidRPr="00C66550" w:rsidRDefault="00017135">
            <w:pPr>
              <w:cnfStyle w:val="000000000000"/>
              <w:rPr>
                <w:color w:val="000000"/>
                <w:sz w:val="18"/>
                <w:szCs w:val="18"/>
              </w:rPr>
            </w:pPr>
            <w:r w:rsidRPr="00C66550">
              <w:rPr>
                <w:color w:val="000000"/>
                <w:sz w:val="18"/>
                <w:szCs w:val="18"/>
              </w:rPr>
              <w:t> </w:t>
            </w:r>
          </w:p>
        </w:tc>
      </w:tr>
      <w:tr w:rsidR="006603C6" w:rsidRPr="00C66550" w:rsidTr="00526B48">
        <w:tc>
          <w:tcPr>
            <w:cnfStyle w:val="001000000000"/>
            <w:tcW w:w="1702"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pPr>
              <w:rPr>
                <w:color w:val="000000"/>
                <w:sz w:val="18"/>
                <w:szCs w:val="18"/>
              </w:rPr>
            </w:pPr>
            <w:r w:rsidRPr="00C66550">
              <w:rPr>
                <w:color w:val="000000"/>
                <w:sz w:val="18"/>
                <w:szCs w:val="18"/>
              </w:rPr>
              <w:t xml:space="preserve"> Landfill levies ($/tonne) </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r w:rsidRPr="00C66550">
              <w:rPr>
                <w:color w:val="000000"/>
                <w:sz w:val="18"/>
                <w:szCs w:val="18"/>
              </w:rPr>
              <w:t>$6</w:t>
            </w:r>
          </w:p>
        </w:tc>
        <w:tc>
          <w:tcPr>
            <w:tcW w:w="1718" w:type="dxa"/>
            <w:gridSpan w:val="3"/>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r w:rsidRPr="00C66550">
              <w:rPr>
                <w:color w:val="000000"/>
                <w:sz w:val="18"/>
                <w:szCs w:val="18"/>
              </w:rPr>
              <w:t>$3 for inert waste</w:t>
            </w: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r w:rsidRPr="00C66550">
              <w:rPr>
                <w:color w:val="000000"/>
                <w:sz w:val="18"/>
                <w:szCs w:val="18"/>
              </w:rPr>
              <w:t>$7</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p>
        </w:tc>
        <w:tc>
          <w:tcPr>
            <w:tcW w:w="450"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p>
        </w:tc>
        <w:tc>
          <w:tcPr>
            <w:tcW w:w="550"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r w:rsidRPr="00C66550">
              <w:rPr>
                <w:color w:val="000000"/>
                <w:sz w:val="18"/>
                <w:szCs w:val="18"/>
              </w:rPr>
              <w:t>$8</w:t>
            </w:r>
          </w:p>
        </w:tc>
        <w:tc>
          <w:tcPr>
            <w:tcW w:w="385"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p>
        </w:tc>
        <w:tc>
          <w:tcPr>
            <w:tcW w:w="232"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p>
        </w:tc>
        <w:tc>
          <w:tcPr>
            <w:tcW w:w="425"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r w:rsidRPr="00C66550">
              <w:rPr>
                <w:color w:val="000000"/>
                <w:sz w:val="18"/>
                <w:szCs w:val="18"/>
              </w:rPr>
              <w:t>$28</w:t>
            </w:r>
          </w:p>
        </w:tc>
        <w:tc>
          <w:tcPr>
            <w:tcW w:w="2576" w:type="dxa"/>
            <w:gridSpan w:val="5"/>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rsidP="00526B48">
            <w:pPr>
              <w:jc w:val="center"/>
              <w:cnfStyle w:val="000000000000"/>
              <w:rPr>
                <w:color w:val="000000"/>
                <w:sz w:val="18"/>
                <w:szCs w:val="18"/>
              </w:rPr>
            </w:pPr>
            <w:r w:rsidRPr="00C66550">
              <w:rPr>
                <w:color w:val="000000"/>
                <w:sz w:val="18"/>
                <w:szCs w:val="18"/>
              </w:rPr>
              <w:t>$12</w:t>
            </w:r>
            <w:r w:rsidR="00E5424C" w:rsidRPr="00C66550">
              <w:rPr>
                <w:color w:val="000000"/>
                <w:sz w:val="18"/>
                <w:szCs w:val="18"/>
              </w:rPr>
              <w:t xml:space="preserve"> </w:t>
            </w:r>
            <w:r w:rsidRPr="00C66550">
              <w:rPr>
                <w:color w:val="000000"/>
                <w:sz w:val="18"/>
                <w:szCs w:val="18"/>
              </w:rPr>
              <w:t>inert waste</w:t>
            </w:r>
          </w:p>
        </w:tc>
        <w:tc>
          <w:tcPr>
            <w:tcW w:w="682"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pPr>
              <w:cnfStyle w:val="000000000000"/>
              <w:rPr>
                <w:color w:val="000000"/>
                <w:sz w:val="18"/>
                <w:szCs w:val="18"/>
              </w:rPr>
            </w:pPr>
            <w:r w:rsidRPr="00C66550">
              <w:rPr>
                <w:color w:val="000000"/>
                <w:sz w:val="18"/>
                <w:szCs w:val="18"/>
              </w:rPr>
              <w:t> </w:t>
            </w:r>
          </w:p>
        </w:tc>
        <w:tc>
          <w:tcPr>
            <w:tcW w:w="753"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pPr>
              <w:cnfStyle w:val="000000000000"/>
              <w:rPr>
                <w:color w:val="000000"/>
                <w:sz w:val="18"/>
                <w:szCs w:val="18"/>
              </w:rPr>
            </w:pPr>
            <w:r w:rsidRPr="00C66550">
              <w:rPr>
                <w:color w:val="000000"/>
                <w:sz w:val="18"/>
                <w:szCs w:val="18"/>
              </w:rPr>
              <w:t> </w:t>
            </w:r>
          </w:p>
        </w:tc>
        <w:tc>
          <w:tcPr>
            <w:tcW w:w="969"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pPr>
              <w:cnfStyle w:val="000000000000"/>
              <w:rPr>
                <w:color w:val="000000"/>
                <w:sz w:val="18"/>
                <w:szCs w:val="18"/>
              </w:rPr>
            </w:pPr>
            <w:r w:rsidRPr="00C66550">
              <w:rPr>
                <w:color w:val="000000"/>
                <w:sz w:val="18"/>
                <w:szCs w:val="18"/>
              </w:rPr>
              <w:t> </w:t>
            </w:r>
          </w:p>
        </w:tc>
        <w:tc>
          <w:tcPr>
            <w:tcW w:w="1418"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pPr>
              <w:cnfStyle w:val="000000000000"/>
              <w:rPr>
                <w:color w:val="000000"/>
                <w:sz w:val="18"/>
                <w:szCs w:val="18"/>
              </w:rPr>
            </w:pPr>
            <w:r w:rsidRPr="00C66550">
              <w:rPr>
                <w:color w:val="000000"/>
                <w:sz w:val="18"/>
                <w:szCs w:val="18"/>
              </w:rPr>
              <w:t> </w:t>
            </w:r>
          </w:p>
        </w:tc>
        <w:tc>
          <w:tcPr>
            <w:tcW w:w="729"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pPr>
              <w:cnfStyle w:val="000000000000"/>
              <w:rPr>
                <w:color w:val="000000"/>
                <w:sz w:val="18"/>
                <w:szCs w:val="18"/>
              </w:rPr>
            </w:pPr>
            <w:r w:rsidRPr="00C66550">
              <w:rPr>
                <w:color w:val="000000"/>
                <w:sz w:val="18"/>
                <w:szCs w:val="18"/>
              </w:rPr>
              <w:t> </w:t>
            </w:r>
          </w:p>
        </w:tc>
        <w:tc>
          <w:tcPr>
            <w:tcW w:w="668"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pPr>
              <w:cnfStyle w:val="000000000000"/>
              <w:rPr>
                <w:color w:val="000000"/>
                <w:sz w:val="18"/>
                <w:szCs w:val="18"/>
              </w:rPr>
            </w:pPr>
            <w:r w:rsidRPr="00C66550">
              <w:rPr>
                <w:color w:val="000000"/>
                <w:sz w:val="18"/>
                <w:szCs w:val="18"/>
              </w:rPr>
              <w:t> </w:t>
            </w:r>
          </w:p>
        </w:tc>
        <w:tc>
          <w:tcPr>
            <w:tcW w:w="668" w:type="dxa"/>
            <w:tcBorders>
              <w:top w:val="single" w:sz="4" w:space="0" w:color="A6A6A6" w:themeColor="background1" w:themeShade="A6"/>
              <w:left w:val="nil"/>
              <w:bottom w:val="single" w:sz="4" w:space="0" w:color="A6A6A6" w:themeColor="background1" w:themeShade="A6"/>
              <w:right w:val="nil"/>
            </w:tcBorders>
            <w:vAlign w:val="bottom"/>
          </w:tcPr>
          <w:p w:rsidR="006603C6" w:rsidRPr="00C66550" w:rsidRDefault="006603C6">
            <w:pPr>
              <w:cnfStyle w:val="000000000000"/>
              <w:rPr>
                <w:color w:val="000000"/>
                <w:sz w:val="18"/>
                <w:szCs w:val="18"/>
              </w:rPr>
            </w:pPr>
            <w:r w:rsidRPr="00C66550">
              <w:rPr>
                <w:color w:val="000000"/>
                <w:sz w:val="18"/>
                <w:szCs w:val="18"/>
              </w:rPr>
              <w:t> </w:t>
            </w:r>
          </w:p>
        </w:tc>
      </w:tr>
    </w:tbl>
    <w:p w:rsidR="00AA303D" w:rsidRPr="00C66550" w:rsidRDefault="00AA303D" w:rsidP="00044249">
      <w:pPr>
        <w:pStyle w:val="BodyText"/>
      </w:pPr>
    </w:p>
    <w:p w:rsidR="00AA303D" w:rsidRPr="00C66550" w:rsidRDefault="00AA303D" w:rsidP="00044249">
      <w:pPr>
        <w:pStyle w:val="BodyText"/>
        <w:sectPr w:rsidR="00AA303D" w:rsidRPr="00C66550" w:rsidSect="004A42B6">
          <w:headerReference w:type="default" r:id="rId132"/>
          <w:footerReference w:type="default" r:id="rId133"/>
          <w:pgSz w:w="16840" w:h="11907" w:orient="landscape" w:code="9"/>
          <w:pgMar w:top="1077" w:right="851" w:bottom="1135" w:left="1701" w:header="709" w:footer="709" w:gutter="0"/>
          <w:cols w:space="708"/>
          <w:docGrid w:linePitch="360"/>
        </w:sectPr>
      </w:pPr>
    </w:p>
    <w:p w:rsidR="00C81D5A" w:rsidRPr="00C66550" w:rsidRDefault="00C81D5A" w:rsidP="006D25F9">
      <w:pPr>
        <w:pStyle w:val="Heading1"/>
      </w:pPr>
      <w:bookmarkStart w:id="226" w:name="_Ref354662589"/>
      <w:bookmarkStart w:id="227" w:name="_Toc379466400"/>
      <w:r w:rsidRPr="00C66550">
        <w:lastRenderedPageBreak/>
        <w:t>Barriers to resource recovery</w:t>
      </w:r>
      <w:bookmarkEnd w:id="226"/>
      <w:bookmarkEnd w:id="227"/>
    </w:p>
    <w:p w:rsidR="007C3F1F" w:rsidRPr="00C66550" w:rsidRDefault="0062001A" w:rsidP="00C81D5A">
      <w:pPr>
        <w:pStyle w:val="BodyText"/>
      </w:pPr>
      <w:r w:rsidRPr="00C66550">
        <w:fldChar w:fldCharType="begin"/>
      </w:r>
      <w:r w:rsidR="002146FA" w:rsidRPr="00C66550">
        <w:instrText xml:space="preserve"> REF _Ref349650824 \h </w:instrText>
      </w:r>
      <w:r w:rsidRPr="00C66550">
        <w:fldChar w:fldCharType="separate"/>
      </w:r>
      <w:r w:rsidR="00D96003" w:rsidRPr="00C66550">
        <w:t xml:space="preserve">Table </w:t>
      </w:r>
      <w:r w:rsidR="00D96003">
        <w:rPr>
          <w:noProof/>
        </w:rPr>
        <w:t>17</w:t>
      </w:r>
      <w:r w:rsidRPr="00C66550">
        <w:fldChar w:fldCharType="end"/>
      </w:r>
      <w:r w:rsidR="007C3F1F" w:rsidRPr="00C66550">
        <w:t xml:space="preserve"> </w:t>
      </w:r>
      <w:r w:rsidR="00C07EA5" w:rsidRPr="00C66550">
        <w:t>lists</w:t>
      </w:r>
      <w:r w:rsidR="007C3F1F" w:rsidRPr="00C66550">
        <w:t xml:space="preserve"> key elements</w:t>
      </w:r>
      <w:r w:rsidR="00513A95" w:rsidRPr="00C66550">
        <w:t xml:space="preserve"> that</w:t>
      </w:r>
      <w:r w:rsidR="007C3F1F" w:rsidRPr="00C66550">
        <w:t xml:space="preserve"> typically</w:t>
      </w:r>
      <w:r w:rsidR="00E9344A" w:rsidRPr="00C66550">
        <w:t xml:space="preserve"> form</w:t>
      </w:r>
      <w:r w:rsidR="007C3F1F" w:rsidRPr="00C66550">
        <w:t xml:space="preserve"> </w:t>
      </w:r>
      <w:r w:rsidR="007D70C9" w:rsidRPr="00C66550">
        <w:t xml:space="preserve">the </w:t>
      </w:r>
      <w:r w:rsidR="00513A95" w:rsidRPr="00C66550">
        <w:t xml:space="preserve">state or national level </w:t>
      </w:r>
      <w:r w:rsidR="007D70C9" w:rsidRPr="00C66550">
        <w:t>waste management framework</w:t>
      </w:r>
      <w:r w:rsidR="0053575F" w:rsidRPr="00C66550">
        <w:t>s</w:t>
      </w:r>
      <w:r w:rsidR="007D70C9" w:rsidRPr="00C66550">
        <w:t xml:space="preserve"> </w:t>
      </w:r>
      <w:r w:rsidR="007C3F1F" w:rsidRPr="00C66550">
        <w:t xml:space="preserve">in countries </w:t>
      </w:r>
      <w:r w:rsidR="00C07EA5" w:rsidRPr="00C66550">
        <w:t>and</w:t>
      </w:r>
      <w:r w:rsidR="007C3F1F" w:rsidRPr="00C66550">
        <w:t xml:space="preserve"> jurisdictions that have a history of achieving high rates of resource recovery</w:t>
      </w:r>
      <w:r w:rsidR="000A41CB" w:rsidRPr="00C66550">
        <w:t xml:space="preserve">. It </w:t>
      </w:r>
      <w:r w:rsidR="007C3F1F" w:rsidRPr="00C66550">
        <w:t>includes a subjective assessment of Australia’s level of implementation of each of the</w:t>
      </w:r>
      <w:r w:rsidR="007D70C9" w:rsidRPr="00C66550">
        <w:t>se</w:t>
      </w:r>
      <w:r w:rsidR="007C3F1F" w:rsidRPr="00C66550">
        <w:t xml:space="preserve"> key elements (high, medium, or low)</w:t>
      </w:r>
      <w:r w:rsidR="00E3527F" w:rsidRPr="00C66550">
        <w:t xml:space="preserve"> during the reporting period 2006/07 to 2010/11</w:t>
      </w:r>
      <w:r w:rsidR="007C3F1F" w:rsidRPr="00C66550">
        <w:t xml:space="preserve">. </w:t>
      </w:r>
      <w:r w:rsidR="002146FA" w:rsidRPr="00C66550">
        <w:t xml:space="preserve">The assessment is partly based on the content of </w:t>
      </w:r>
      <w:r w:rsidR="00912151" w:rsidRPr="00C66550">
        <w:t>section</w:t>
      </w:r>
      <w:r w:rsidR="002146FA" w:rsidRPr="00C66550">
        <w:t xml:space="preserve"> </w:t>
      </w:r>
      <w:r w:rsidRPr="00C66550">
        <w:fldChar w:fldCharType="begin"/>
      </w:r>
      <w:r w:rsidR="002146FA" w:rsidRPr="00C66550">
        <w:instrText xml:space="preserve"> REF _Ref349636179 \r \h </w:instrText>
      </w:r>
      <w:r w:rsidRPr="00C66550">
        <w:fldChar w:fldCharType="separate"/>
      </w:r>
      <w:r w:rsidR="00D96003">
        <w:t>18</w:t>
      </w:r>
      <w:r w:rsidRPr="00C66550">
        <w:fldChar w:fldCharType="end"/>
      </w:r>
      <w:r w:rsidR="002146FA" w:rsidRPr="00C66550">
        <w:t xml:space="preserve"> and also on the project teams’ knowledge of best practice waste management frameworks for achieving high resource recovery rates.</w:t>
      </w:r>
    </w:p>
    <w:p w:rsidR="002146FA" w:rsidRPr="00C66550" w:rsidRDefault="002146FA" w:rsidP="00C81D5A">
      <w:pPr>
        <w:pStyle w:val="BodyText"/>
      </w:pPr>
    </w:p>
    <w:p w:rsidR="00DC0909" w:rsidRPr="00C66550" w:rsidRDefault="00F52DC7" w:rsidP="00DC0909">
      <w:pPr>
        <w:pStyle w:val="BodyText"/>
      </w:pPr>
      <w:r w:rsidRPr="00C66550">
        <w:t>I</w:t>
      </w:r>
      <w:r w:rsidR="00AC4657" w:rsidRPr="00C66550">
        <w:t>t would be o</w:t>
      </w:r>
      <w:r w:rsidR="005B090F" w:rsidRPr="00C66550">
        <w:t xml:space="preserve">verly simplistic to assume that Australia needs to implement any one of the key elements that are listed as medium or low in the following table. A detailed assessment of local implementation is required to understand </w:t>
      </w:r>
      <w:r w:rsidRPr="00C66550">
        <w:t>whether</w:t>
      </w:r>
      <w:r w:rsidR="005B090F" w:rsidRPr="00C66550">
        <w:t xml:space="preserve"> </w:t>
      </w:r>
      <w:r w:rsidR="00AC4657" w:rsidRPr="00C66550">
        <w:t>any</w:t>
      </w:r>
      <w:r w:rsidR="005B090F" w:rsidRPr="00C66550">
        <w:t xml:space="preserve"> change </w:t>
      </w:r>
      <w:r w:rsidR="006B3D23" w:rsidRPr="00C66550">
        <w:t xml:space="preserve">would </w:t>
      </w:r>
      <w:r w:rsidRPr="00C66550">
        <w:t>be consistent with</w:t>
      </w:r>
      <w:r w:rsidR="005B090F" w:rsidRPr="00C66550">
        <w:t xml:space="preserve"> </w:t>
      </w:r>
      <w:r w:rsidRPr="00C66550">
        <w:t xml:space="preserve">existing </w:t>
      </w:r>
      <w:r w:rsidR="005B090F" w:rsidRPr="00C66550">
        <w:t xml:space="preserve">policy </w:t>
      </w:r>
      <w:r w:rsidRPr="00C66550">
        <w:t>settings</w:t>
      </w:r>
      <w:r w:rsidR="00E34E06" w:rsidRPr="00C66550">
        <w:t xml:space="preserve"> </w:t>
      </w:r>
      <w:r w:rsidR="005B090F" w:rsidRPr="00C66550">
        <w:t>and market conditions.</w:t>
      </w:r>
    </w:p>
    <w:p w:rsidR="002146FA" w:rsidRPr="00C66550" w:rsidRDefault="002146FA" w:rsidP="00DC0909">
      <w:pPr>
        <w:pStyle w:val="BodyText"/>
      </w:pPr>
    </w:p>
    <w:p w:rsidR="007D70C9" w:rsidRPr="00C66550" w:rsidRDefault="007D70C9" w:rsidP="00FB4820">
      <w:pPr>
        <w:pStyle w:val="Figures"/>
      </w:pPr>
      <w:bookmarkStart w:id="228" w:name="_Ref349650824"/>
      <w:bookmarkStart w:id="229" w:name="_Toc365038861"/>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17</w:t>
      </w:r>
      <w:r w:rsidR="0062001A" w:rsidRPr="00C66550">
        <w:rPr>
          <w:noProof/>
        </w:rPr>
        <w:fldChar w:fldCharType="end"/>
      </w:r>
      <w:bookmarkEnd w:id="228"/>
      <w:r w:rsidR="003715E1" w:rsidRPr="00C66550">
        <w:t>:</w:t>
      </w:r>
      <w:r w:rsidR="003715E1" w:rsidRPr="00C66550">
        <w:tab/>
      </w:r>
      <w:r w:rsidRPr="00C66550">
        <w:t xml:space="preserve">Assessment of Australia’s implementation of key elements of high resource recovery frameworks </w:t>
      </w:r>
      <w:r w:rsidR="004624F6" w:rsidRPr="00C66550">
        <w:t>during the data reporting period</w:t>
      </w:r>
      <w:bookmarkEnd w:id="229"/>
    </w:p>
    <w:tbl>
      <w:tblPr>
        <w:tblStyle w:val="BETable1"/>
        <w:tblW w:w="4895" w:type="pct"/>
        <w:tblInd w:w="0" w:type="dxa"/>
        <w:tblLook w:val="04A0"/>
      </w:tblPr>
      <w:tblGrid>
        <w:gridCol w:w="6720"/>
        <w:gridCol w:w="2551"/>
      </w:tblGrid>
      <w:tr w:rsidR="000E7987" w:rsidRPr="00C66550" w:rsidTr="003715E1">
        <w:trPr>
          <w:cnfStyle w:val="100000000000"/>
        </w:trPr>
        <w:tc>
          <w:tcPr>
            <w:cnfStyle w:val="001000000000"/>
            <w:tcW w:w="3624" w:type="pct"/>
            <w:tcBorders>
              <w:bottom w:val="single" w:sz="4" w:space="0" w:color="7F7F7F" w:themeColor="background2"/>
            </w:tcBorders>
          </w:tcPr>
          <w:p w:rsidR="000E7987" w:rsidRPr="00C66550" w:rsidRDefault="000E7987" w:rsidP="000E7987">
            <w:pPr>
              <w:pStyle w:val="BodyText"/>
              <w:rPr>
                <w:sz w:val="20"/>
                <w:szCs w:val="20"/>
              </w:rPr>
            </w:pPr>
            <w:r w:rsidRPr="00C66550">
              <w:rPr>
                <w:sz w:val="20"/>
                <w:szCs w:val="20"/>
              </w:rPr>
              <w:t>Key element</w:t>
            </w:r>
            <w:r w:rsidR="007622D1" w:rsidRPr="00C66550">
              <w:rPr>
                <w:sz w:val="20"/>
                <w:szCs w:val="20"/>
              </w:rPr>
              <w:t>s</w:t>
            </w:r>
            <w:r w:rsidRPr="00C66550">
              <w:rPr>
                <w:sz w:val="20"/>
                <w:szCs w:val="20"/>
              </w:rPr>
              <w:t xml:space="preserve"> of framework</w:t>
            </w:r>
          </w:p>
        </w:tc>
        <w:tc>
          <w:tcPr>
            <w:tcW w:w="1376" w:type="pct"/>
            <w:tcBorders>
              <w:bottom w:val="single" w:sz="4" w:space="0" w:color="7F7F7F" w:themeColor="background2"/>
            </w:tcBorders>
          </w:tcPr>
          <w:p w:rsidR="000E7987" w:rsidRPr="00C66550" w:rsidRDefault="00EC4E14" w:rsidP="00EC4E14">
            <w:pPr>
              <w:keepNext/>
              <w:jc w:val="center"/>
              <w:cnfStyle w:val="100000000000"/>
              <w:rPr>
                <w:szCs w:val="20"/>
              </w:rPr>
            </w:pPr>
            <w:r w:rsidRPr="00C66550">
              <w:rPr>
                <w:szCs w:val="20"/>
              </w:rPr>
              <w:t>Rating</w:t>
            </w:r>
          </w:p>
        </w:tc>
      </w:tr>
      <w:tr w:rsidR="003E66A9" w:rsidRPr="00C66550" w:rsidTr="003715E1">
        <w:tc>
          <w:tcPr>
            <w:cnfStyle w:val="001000000000"/>
            <w:tcW w:w="3624" w:type="pct"/>
            <w:tcBorders>
              <w:bottom w:val="nil"/>
            </w:tcBorders>
          </w:tcPr>
          <w:p w:rsidR="003E66A9" w:rsidRPr="00C66550" w:rsidRDefault="003E66A9" w:rsidP="00A61184">
            <w:pPr>
              <w:pStyle w:val="BodyText"/>
              <w:rPr>
                <w:sz w:val="20"/>
                <w:szCs w:val="20"/>
              </w:rPr>
            </w:pPr>
            <w:r w:rsidRPr="00C66550">
              <w:rPr>
                <w:sz w:val="20"/>
                <w:szCs w:val="20"/>
              </w:rPr>
              <w:t xml:space="preserve">Targets set for reducing the generation of solid waste </w:t>
            </w:r>
          </w:p>
        </w:tc>
        <w:tc>
          <w:tcPr>
            <w:tcW w:w="1376" w:type="pct"/>
            <w:tcBorders>
              <w:bottom w:val="nil"/>
            </w:tcBorders>
          </w:tcPr>
          <w:p w:rsidR="003E66A9" w:rsidRPr="00C66550" w:rsidRDefault="003E66A9" w:rsidP="00E952CE">
            <w:pPr>
              <w:keepNext/>
              <w:jc w:val="center"/>
              <w:cnfStyle w:val="000000000000"/>
              <w:rPr>
                <w:szCs w:val="20"/>
              </w:rPr>
            </w:pPr>
            <w:r w:rsidRPr="00C66550">
              <w:rPr>
                <w:szCs w:val="20"/>
              </w:rPr>
              <w:t>Medium</w:t>
            </w:r>
          </w:p>
        </w:tc>
      </w:tr>
      <w:tr w:rsidR="003E66A9" w:rsidRPr="00C66550" w:rsidTr="003715E1">
        <w:tc>
          <w:tcPr>
            <w:cnfStyle w:val="001000000000"/>
            <w:tcW w:w="3624" w:type="pct"/>
            <w:tcBorders>
              <w:top w:val="nil"/>
              <w:bottom w:val="nil"/>
            </w:tcBorders>
          </w:tcPr>
          <w:p w:rsidR="003E66A9" w:rsidRPr="00C66550" w:rsidRDefault="003E66A9" w:rsidP="00A61184">
            <w:pPr>
              <w:pStyle w:val="BodyText"/>
              <w:rPr>
                <w:sz w:val="20"/>
                <w:szCs w:val="20"/>
              </w:rPr>
            </w:pPr>
            <w:r w:rsidRPr="00C66550">
              <w:rPr>
                <w:sz w:val="20"/>
                <w:szCs w:val="20"/>
              </w:rPr>
              <w:t xml:space="preserve">Targets set for resource recovery from solid waste </w:t>
            </w:r>
          </w:p>
        </w:tc>
        <w:tc>
          <w:tcPr>
            <w:tcW w:w="1376" w:type="pct"/>
            <w:tcBorders>
              <w:top w:val="nil"/>
              <w:bottom w:val="nil"/>
            </w:tcBorders>
          </w:tcPr>
          <w:p w:rsidR="003E66A9" w:rsidRPr="00C66550" w:rsidRDefault="003E66A9" w:rsidP="00E952CE">
            <w:pPr>
              <w:keepNext/>
              <w:jc w:val="center"/>
              <w:cnfStyle w:val="000000000000"/>
              <w:rPr>
                <w:szCs w:val="20"/>
              </w:rPr>
            </w:pPr>
            <w:r w:rsidRPr="00C66550">
              <w:rPr>
                <w:szCs w:val="20"/>
              </w:rPr>
              <w:t>High</w:t>
            </w:r>
          </w:p>
        </w:tc>
      </w:tr>
      <w:tr w:rsidR="003E66A9" w:rsidRPr="00C66550" w:rsidTr="003715E1">
        <w:tc>
          <w:tcPr>
            <w:cnfStyle w:val="001000000000"/>
            <w:tcW w:w="3624" w:type="pct"/>
            <w:tcBorders>
              <w:top w:val="nil"/>
              <w:bottom w:val="nil"/>
            </w:tcBorders>
          </w:tcPr>
          <w:p w:rsidR="003E66A9" w:rsidRPr="00C66550" w:rsidRDefault="003E66A9" w:rsidP="00A61184">
            <w:pPr>
              <w:pStyle w:val="BodyText"/>
              <w:rPr>
                <w:sz w:val="20"/>
                <w:szCs w:val="20"/>
              </w:rPr>
            </w:pPr>
            <w:r w:rsidRPr="00C66550">
              <w:rPr>
                <w:sz w:val="20"/>
                <w:szCs w:val="20"/>
              </w:rPr>
              <w:t xml:space="preserve">Landfill levies applied at a rate sufficient to significantly promote recovery </w:t>
            </w:r>
          </w:p>
        </w:tc>
        <w:tc>
          <w:tcPr>
            <w:tcW w:w="1376" w:type="pct"/>
            <w:tcBorders>
              <w:top w:val="nil"/>
              <w:bottom w:val="nil"/>
            </w:tcBorders>
          </w:tcPr>
          <w:p w:rsidR="003E66A9" w:rsidRPr="00C66550" w:rsidRDefault="003E66A9" w:rsidP="006B3D23">
            <w:pPr>
              <w:keepNext/>
              <w:jc w:val="center"/>
              <w:cnfStyle w:val="000000000000"/>
              <w:rPr>
                <w:szCs w:val="20"/>
              </w:rPr>
            </w:pPr>
            <w:r w:rsidRPr="00C66550">
              <w:rPr>
                <w:szCs w:val="20"/>
              </w:rPr>
              <w:t>Low to Medium</w:t>
            </w:r>
          </w:p>
        </w:tc>
      </w:tr>
      <w:tr w:rsidR="00F52DC7" w:rsidRPr="00C66550" w:rsidTr="003715E1">
        <w:tc>
          <w:tcPr>
            <w:cnfStyle w:val="001000000000"/>
            <w:tcW w:w="3624" w:type="pct"/>
            <w:tcBorders>
              <w:top w:val="nil"/>
              <w:bottom w:val="nil"/>
            </w:tcBorders>
          </w:tcPr>
          <w:p w:rsidR="00F52DC7" w:rsidRPr="00C66550" w:rsidRDefault="00F52DC7" w:rsidP="00C0220C">
            <w:pPr>
              <w:pStyle w:val="BodyText"/>
              <w:rPr>
                <w:sz w:val="20"/>
                <w:szCs w:val="20"/>
              </w:rPr>
            </w:pPr>
            <w:r w:rsidRPr="00C66550">
              <w:rPr>
                <w:sz w:val="20"/>
                <w:szCs w:val="20"/>
              </w:rPr>
              <w:t xml:space="preserve">Hypothecation of landfill levy </w:t>
            </w:r>
            <w:r w:rsidR="00C0220C" w:rsidRPr="00C66550">
              <w:rPr>
                <w:sz w:val="20"/>
                <w:szCs w:val="20"/>
              </w:rPr>
              <w:t xml:space="preserve">funds </w:t>
            </w:r>
            <w:r w:rsidRPr="00C66550">
              <w:rPr>
                <w:sz w:val="20"/>
                <w:szCs w:val="20"/>
              </w:rPr>
              <w:t>to waste initiatives</w:t>
            </w:r>
            <w:r w:rsidR="00C0220C" w:rsidRPr="00C66550">
              <w:rPr>
                <w:sz w:val="20"/>
                <w:szCs w:val="20"/>
              </w:rPr>
              <w:t xml:space="preserve"> &amp; recovery infrastructure</w:t>
            </w:r>
          </w:p>
        </w:tc>
        <w:tc>
          <w:tcPr>
            <w:tcW w:w="1376" w:type="pct"/>
            <w:tcBorders>
              <w:top w:val="nil"/>
              <w:bottom w:val="nil"/>
            </w:tcBorders>
          </w:tcPr>
          <w:p w:rsidR="00F52DC7" w:rsidRPr="00C66550" w:rsidRDefault="00F52DC7" w:rsidP="006B3D23">
            <w:pPr>
              <w:keepNext/>
              <w:jc w:val="center"/>
              <w:cnfStyle w:val="000000000000"/>
              <w:rPr>
                <w:szCs w:val="20"/>
              </w:rPr>
            </w:pPr>
            <w:r w:rsidRPr="00C66550">
              <w:rPr>
                <w:szCs w:val="20"/>
              </w:rPr>
              <w:t>Medium</w:t>
            </w:r>
          </w:p>
        </w:tc>
      </w:tr>
      <w:tr w:rsidR="003E66A9" w:rsidRPr="00C66550" w:rsidTr="003715E1">
        <w:tc>
          <w:tcPr>
            <w:cnfStyle w:val="001000000000"/>
            <w:tcW w:w="3624" w:type="pct"/>
            <w:tcBorders>
              <w:top w:val="nil"/>
              <w:bottom w:val="nil"/>
            </w:tcBorders>
          </w:tcPr>
          <w:p w:rsidR="003E66A9" w:rsidRPr="00C66550" w:rsidRDefault="003E66A9" w:rsidP="00A61184">
            <w:pPr>
              <w:pStyle w:val="BodyText"/>
              <w:rPr>
                <w:sz w:val="20"/>
                <w:szCs w:val="20"/>
              </w:rPr>
            </w:pPr>
            <w:r w:rsidRPr="00C66550">
              <w:rPr>
                <w:sz w:val="20"/>
                <w:szCs w:val="20"/>
              </w:rPr>
              <w:t>Broad scale landfill disposal bans for untreated or unsorted solid wastes</w:t>
            </w:r>
          </w:p>
        </w:tc>
        <w:tc>
          <w:tcPr>
            <w:tcW w:w="1376" w:type="pct"/>
            <w:tcBorders>
              <w:top w:val="nil"/>
              <w:bottom w:val="nil"/>
            </w:tcBorders>
          </w:tcPr>
          <w:p w:rsidR="003E66A9" w:rsidRPr="00C66550" w:rsidRDefault="003E66A9" w:rsidP="00E952CE">
            <w:pPr>
              <w:keepNext/>
              <w:jc w:val="center"/>
              <w:cnfStyle w:val="000000000000"/>
              <w:rPr>
                <w:szCs w:val="20"/>
              </w:rPr>
            </w:pPr>
            <w:r w:rsidRPr="00C66550">
              <w:rPr>
                <w:szCs w:val="20"/>
              </w:rPr>
              <w:t>Low</w:t>
            </w:r>
          </w:p>
        </w:tc>
      </w:tr>
      <w:tr w:rsidR="003E66A9" w:rsidRPr="00C66550" w:rsidTr="003715E1">
        <w:tc>
          <w:tcPr>
            <w:cnfStyle w:val="001000000000"/>
            <w:tcW w:w="3624" w:type="pct"/>
            <w:tcBorders>
              <w:top w:val="nil"/>
              <w:bottom w:val="nil"/>
            </w:tcBorders>
          </w:tcPr>
          <w:p w:rsidR="003E66A9" w:rsidRPr="00C66550" w:rsidRDefault="003E66A9" w:rsidP="00A61184">
            <w:pPr>
              <w:pStyle w:val="BodyText"/>
              <w:rPr>
                <w:sz w:val="20"/>
                <w:szCs w:val="20"/>
              </w:rPr>
            </w:pPr>
            <w:r w:rsidRPr="00C66550">
              <w:rPr>
                <w:sz w:val="20"/>
                <w:szCs w:val="20"/>
              </w:rPr>
              <w:t>Comprehensive reporting requirements for waste management</w:t>
            </w:r>
          </w:p>
        </w:tc>
        <w:tc>
          <w:tcPr>
            <w:tcW w:w="1376" w:type="pct"/>
            <w:tcBorders>
              <w:top w:val="nil"/>
              <w:bottom w:val="nil"/>
            </w:tcBorders>
          </w:tcPr>
          <w:p w:rsidR="003E66A9" w:rsidRPr="00C66550" w:rsidRDefault="003E66A9" w:rsidP="006B3D23">
            <w:pPr>
              <w:keepNext/>
              <w:jc w:val="center"/>
              <w:cnfStyle w:val="000000000000"/>
              <w:rPr>
                <w:szCs w:val="20"/>
              </w:rPr>
            </w:pPr>
            <w:r w:rsidRPr="00C66550">
              <w:rPr>
                <w:szCs w:val="20"/>
              </w:rPr>
              <w:t>Low to medium</w:t>
            </w:r>
          </w:p>
        </w:tc>
      </w:tr>
      <w:tr w:rsidR="003E66A9" w:rsidRPr="00C66550" w:rsidTr="003715E1">
        <w:tc>
          <w:tcPr>
            <w:cnfStyle w:val="001000000000"/>
            <w:tcW w:w="3624" w:type="pct"/>
            <w:tcBorders>
              <w:top w:val="nil"/>
              <w:bottom w:val="nil"/>
            </w:tcBorders>
          </w:tcPr>
          <w:p w:rsidR="003E66A9" w:rsidRPr="00C66550" w:rsidRDefault="003E66A9" w:rsidP="00A61184">
            <w:pPr>
              <w:pStyle w:val="BodyText"/>
              <w:rPr>
                <w:sz w:val="20"/>
                <w:szCs w:val="20"/>
              </w:rPr>
            </w:pPr>
            <w:r w:rsidRPr="00C66550">
              <w:rPr>
                <w:sz w:val="20"/>
                <w:szCs w:val="20"/>
              </w:rPr>
              <w:t>Strict environmental controls over landfills</w:t>
            </w:r>
          </w:p>
        </w:tc>
        <w:tc>
          <w:tcPr>
            <w:tcW w:w="1376" w:type="pct"/>
            <w:tcBorders>
              <w:top w:val="nil"/>
              <w:bottom w:val="nil"/>
            </w:tcBorders>
          </w:tcPr>
          <w:p w:rsidR="003E66A9" w:rsidRPr="00C66550" w:rsidRDefault="003E66A9" w:rsidP="00E952CE">
            <w:pPr>
              <w:keepNext/>
              <w:jc w:val="center"/>
              <w:cnfStyle w:val="000000000000"/>
              <w:rPr>
                <w:szCs w:val="20"/>
              </w:rPr>
            </w:pPr>
            <w:r w:rsidRPr="00C66550">
              <w:rPr>
                <w:szCs w:val="20"/>
              </w:rPr>
              <w:t>Medium</w:t>
            </w:r>
          </w:p>
        </w:tc>
      </w:tr>
      <w:tr w:rsidR="003E66A9" w:rsidRPr="00C66550" w:rsidTr="003715E1">
        <w:tc>
          <w:tcPr>
            <w:cnfStyle w:val="001000000000"/>
            <w:tcW w:w="3624" w:type="pct"/>
            <w:tcBorders>
              <w:top w:val="nil"/>
              <w:bottom w:val="nil"/>
            </w:tcBorders>
          </w:tcPr>
          <w:p w:rsidR="003E66A9" w:rsidRPr="00C66550" w:rsidRDefault="003E66A9" w:rsidP="00A61184">
            <w:pPr>
              <w:pStyle w:val="BodyText"/>
              <w:rPr>
                <w:sz w:val="20"/>
                <w:szCs w:val="20"/>
              </w:rPr>
            </w:pPr>
            <w:r w:rsidRPr="00C66550">
              <w:rPr>
                <w:sz w:val="20"/>
                <w:szCs w:val="20"/>
              </w:rPr>
              <w:t>Source segregation of solid waste collection (i.e. avoiding mixed residual loads)</w:t>
            </w:r>
          </w:p>
        </w:tc>
        <w:tc>
          <w:tcPr>
            <w:tcW w:w="1376" w:type="pct"/>
            <w:tcBorders>
              <w:top w:val="nil"/>
              <w:bottom w:val="nil"/>
            </w:tcBorders>
          </w:tcPr>
          <w:p w:rsidR="003E66A9" w:rsidRPr="00C66550" w:rsidRDefault="003E66A9" w:rsidP="00E952CE">
            <w:pPr>
              <w:keepNext/>
              <w:jc w:val="center"/>
              <w:cnfStyle w:val="000000000000"/>
              <w:rPr>
                <w:szCs w:val="20"/>
              </w:rPr>
            </w:pPr>
            <w:r w:rsidRPr="00C66550">
              <w:rPr>
                <w:szCs w:val="20"/>
              </w:rPr>
              <w:t>Medium</w:t>
            </w:r>
          </w:p>
        </w:tc>
      </w:tr>
      <w:tr w:rsidR="003E66A9" w:rsidRPr="00C66550" w:rsidTr="003715E1">
        <w:tc>
          <w:tcPr>
            <w:cnfStyle w:val="001000000000"/>
            <w:tcW w:w="3624" w:type="pct"/>
            <w:tcBorders>
              <w:top w:val="nil"/>
              <w:bottom w:val="single" w:sz="4" w:space="0" w:color="808080" w:themeColor="background1" w:themeShade="80"/>
            </w:tcBorders>
          </w:tcPr>
          <w:p w:rsidR="003E66A9" w:rsidRPr="00C66550" w:rsidRDefault="003E66A9" w:rsidP="00EC4E14">
            <w:pPr>
              <w:pStyle w:val="BodyText"/>
              <w:rPr>
                <w:sz w:val="20"/>
                <w:szCs w:val="20"/>
              </w:rPr>
            </w:pPr>
            <w:r w:rsidRPr="00C66550">
              <w:rPr>
                <w:sz w:val="20"/>
                <w:szCs w:val="20"/>
              </w:rPr>
              <w:t>Use of a wide range of resource recovery technolog</w:t>
            </w:r>
            <w:r w:rsidR="00EC4E14" w:rsidRPr="00C66550">
              <w:rPr>
                <w:sz w:val="20"/>
                <w:szCs w:val="20"/>
              </w:rPr>
              <w:t>ies</w:t>
            </w:r>
          </w:p>
        </w:tc>
        <w:tc>
          <w:tcPr>
            <w:tcW w:w="1376" w:type="pct"/>
            <w:tcBorders>
              <w:top w:val="nil"/>
              <w:bottom w:val="single" w:sz="4" w:space="0" w:color="808080" w:themeColor="background1" w:themeShade="80"/>
            </w:tcBorders>
          </w:tcPr>
          <w:p w:rsidR="003E66A9" w:rsidRPr="00C66550" w:rsidRDefault="00C0220C" w:rsidP="00C0220C">
            <w:pPr>
              <w:keepNext/>
              <w:jc w:val="center"/>
              <w:cnfStyle w:val="000000000000"/>
              <w:rPr>
                <w:szCs w:val="20"/>
              </w:rPr>
            </w:pPr>
            <w:r w:rsidRPr="00C66550">
              <w:rPr>
                <w:szCs w:val="20"/>
              </w:rPr>
              <w:t>Low to m</w:t>
            </w:r>
            <w:r w:rsidR="003E66A9" w:rsidRPr="00C66550">
              <w:rPr>
                <w:szCs w:val="20"/>
              </w:rPr>
              <w:t>edium</w:t>
            </w:r>
          </w:p>
        </w:tc>
      </w:tr>
    </w:tbl>
    <w:p w:rsidR="002146FA" w:rsidRPr="00C66550" w:rsidRDefault="002146FA" w:rsidP="00C81D5A">
      <w:pPr>
        <w:pStyle w:val="BodyText"/>
      </w:pPr>
    </w:p>
    <w:p w:rsidR="00123852" w:rsidRDefault="0062001A" w:rsidP="00EC4E14">
      <w:pPr>
        <w:pStyle w:val="BodyText"/>
      </w:pPr>
      <w:r w:rsidRPr="00C66550">
        <w:fldChar w:fldCharType="begin"/>
      </w:r>
      <w:r w:rsidR="006A02F5" w:rsidRPr="00C66550">
        <w:instrText xml:space="preserve"> REF _Ref349650824 \h </w:instrText>
      </w:r>
      <w:r w:rsidRPr="00C66550">
        <w:fldChar w:fldCharType="separate"/>
      </w:r>
      <w:r w:rsidR="00D96003" w:rsidRPr="00C66550">
        <w:t xml:space="preserve">Table </w:t>
      </w:r>
      <w:r w:rsidR="00D96003">
        <w:rPr>
          <w:noProof/>
        </w:rPr>
        <w:t>17</w:t>
      </w:r>
      <w:r w:rsidRPr="00C66550">
        <w:fldChar w:fldCharType="end"/>
      </w:r>
      <w:r w:rsidR="006A02F5" w:rsidRPr="00C66550">
        <w:t xml:space="preserve"> </w:t>
      </w:r>
      <w:r w:rsidR="00E34E06" w:rsidRPr="00C66550">
        <w:t>implies that</w:t>
      </w:r>
      <w:r w:rsidR="006A02F5" w:rsidRPr="00C66550">
        <w:t xml:space="preserve"> significant opportunities</w:t>
      </w:r>
      <w:r w:rsidR="00E34E06" w:rsidRPr="00C66550">
        <w:t xml:space="preserve"> exist</w:t>
      </w:r>
      <w:r w:rsidR="00C0220C" w:rsidRPr="00C66550">
        <w:t>ed at the end of the data reporting period</w:t>
      </w:r>
      <w:r w:rsidR="006A02F5" w:rsidRPr="00C66550">
        <w:t xml:space="preserve"> to further </w:t>
      </w:r>
      <w:r w:rsidR="00EC4E14" w:rsidRPr="00C66550">
        <w:t>boost</w:t>
      </w:r>
      <w:r w:rsidR="006A02F5" w:rsidRPr="00C66550">
        <w:t xml:space="preserve"> resource recovery rates</w:t>
      </w:r>
      <w:r w:rsidR="00EC4E14" w:rsidRPr="00C66550">
        <w:t xml:space="preserve"> through policy development. Since 2010/11 there have been levy increases in several jurisdictions, disposal bans in SA, resource recovery technology developments in Sydney and a slow tightening of landfill standards. </w:t>
      </w:r>
      <w:r w:rsidR="00DF4FB7">
        <w:t>Qld</w:t>
      </w:r>
      <w:r w:rsidR="00EC4E14" w:rsidRPr="00C66550">
        <w:t xml:space="preserve"> has established a very robust reporting system. </w:t>
      </w:r>
      <w:r w:rsidR="00DF4FB7">
        <w:t>Vic</w:t>
      </w:r>
      <w:r w:rsidR="00EC4E14" w:rsidRPr="00C66550">
        <w:t xml:space="preserve"> has removed its waste generation and resource recovery targets.</w:t>
      </w:r>
    </w:p>
    <w:p w:rsidR="00123852" w:rsidRDefault="00123852" w:rsidP="00EC4E14">
      <w:pPr>
        <w:pStyle w:val="BodyText"/>
      </w:pPr>
    </w:p>
    <w:p w:rsidR="00EF1B61" w:rsidRPr="00C66550" w:rsidRDefault="00EF1B61" w:rsidP="00EC4E14">
      <w:pPr>
        <w:pStyle w:val="BodyText"/>
      </w:pPr>
      <w:r w:rsidRPr="00C66550">
        <w:br w:type="page"/>
      </w:r>
    </w:p>
    <w:p w:rsidR="008618AC" w:rsidRPr="00C66550" w:rsidRDefault="008618AC" w:rsidP="008618AC">
      <w:pPr>
        <w:pStyle w:val="BodyText"/>
      </w:pPr>
      <w:r w:rsidRPr="00C66550">
        <w:lastRenderedPageBreak/>
        <w:t>During consultation with the states and territories</w:t>
      </w:r>
      <w:r w:rsidR="006A02F5" w:rsidRPr="00C66550">
        <w:t>,</w:t>
      </w:r>
      <w:r w:rsidRPr="00C66550">
        <w:t xml:space="preserve"> barriers to resource recovery were discussed. </w:t>
      </w:r>
      <w:r w:rsidR="0062001A" w:rsidRPr="00C66550">
        <w:fldChar w:fldCharType="begin"/>
      </w:r>
      <w:r w:rsidRPr="00C66550">
        <w:instrText xml:space="preserve"> REF _Ref360536883 \h </w:instrText>
      </w:r>
      <w:r w:rsidR="0062001A" w:rsidRPr="00C66550">
        <w:fldChar w:fldCharType="separate"/>
      </w:r>
      <w:r w:rsidR="00D96003" w:rsidRPr="00C66550">
        <w:t xml:space="preserve">Table </w:t>
      </w:r>
      <w:r w:rsidR="00D96003">
        <w:rPr>
          <w:noProof/>
        </w:rPr>
        <w:t>18</w:t>
      </w:r>
      <w:r w:rsidR="0062001A" w:rsidRPr="00C66550">
        <w:fldChar w:fldCharType="end"/>
      </w:r>
      <w:r w:rsidRPr="00C66550">
        <w:t xml:space="preserve"> lists the barriers to resource recovery suggested during consultation with the jurisdictions</w:t>
      </w:r>
      <w:r w:rsidR="00EC4E14" w:rsidRPr="00C66550">
        <w:rPr>
          <w:rStyle w:val="FootnoteReference"/>
        </w:rPr>
        <w:footnoteReference w:id="25"/>
      </w:r>
      <w:r w:rsidRPr="00C66550">
        <w:t>.</w:t>
      </w:r>
    </w:p>
    <w:p w:rsidR="008618AC" w:rsidRPr="00C66550" w:rsidRDefault="008618AC">
      <w:pPr>
        <w:spacing w:line="240" w:lineRule="auto"/>
      </w:pPr>
    </w:p>
    <w:p w:rsidR="008618AC" w:rsidRPr="00C66550" w:rsidRDefault="008618AC" w:rsidP="00FB4820">
      <w:pPr>
        <w:pStyle w:val="Figures"/>
      </w:pPr>
      <w:bookmarkStart w:id="230" w:name="_Ref360536883"/>
      <w:bookmarkStart w:id="231" w:name="_Toc365038862"/>
      <w:r w:rsidRPr="00C66550">
        <w:t xml:space="preserve">Table </w:t>
      </w:r>
      <w:r w:rsidR="0062001A">
        <w:fldChar w:fldCharType="begin"/>
      </w:r>
      <w:r w:rsidR="00D30041">
        <w:instrText xml:space="preserve"> SEQ Table \* ARABIC </w:instrText>
      </w:r>
      <w:r w:rsidR="0062001A">
        <w:fldChar w:fldCharType="separate"/>
      </w:r>
      <w:r w:rsidR="00D96003">
        <w:rPr>
          <w:noProof/>
        </w:rPr>
        <w:t>18</w:t>
      </w:r>
      <w:r w:rsidR="0062001A">
        <w:rPr>
          <w:noProof/>
        </w:rPr>
        <w:fldChar w:fldCharType="end"/>
      </w:r>
      <w:bookmarkEnd w:id="230"/>
      <w:r w:rsidRPr="00C66550">
        <w:t>:</w:t>
      </w:r>
      <w:r w:rsidR="006F5654" w:rsidRPr="00C66550">
        <w:tab/>
      </w:r>
      <w:r w:rsidRPr="00C66550">
        <w:t>Barriers to resource recovery suggested by jurisdictions</w:t>
      </w:r>
      <w:bookmarkEnd w:id="231"/>
    </w:p>
    <w:tbl>
      <w:tblPr>
        <w:tblStyle w:val="BETable1"/>
        <w:tblW w:w="4970" w:type="pct"/>
        <w:tblInd w:w="0" w:type="dxa"/>
        <w:tblLook w:val="04A0"/>
      </w:tblPr>
      <w:tblGrid>
        <w:gridCol w:w="1337"/>
        <w:gridCol w:w="8076"/>
      </w:tblGrid>
      <w:tr w:rsidR="008618AC" w:rsidRPr="00C66550" w:rsidTr="008618AC">
        <w:trPr>
          <w:cnfStyle w:val="100000000000"/>
        </w:trPr>
        <w:tc>
          <w:tcPr>
            <w:cnfStyle w:val="001000000000"/>
            <w:tcW w:w="710" w:type="pct"/>
            <w:vAlign w:val="bottom"/>
          </w:tcPr>
          <w:p w:rsidR="008618AC" w:rsidRPr="00C66550" w:rsidRDefault="008618AC" w:rsidP="00DB2465">
            <w:pPr>
              <w:rPr>
                <w:color w:val="000000"/>
              </w:rPr>
            </w:pPr>
            <w:r w:rsidRPr="00C66550">
              <w:rPr>
                <w:color w:val="000000"/>
              </w:rPr>
              <w:t>State</w:t>
            </w:r>
          </w:p>
        </w:tc>
        <w:tc>
          <w:tcPr>
            <w:tcW w:w="4290" w:type="pct"/>
            <w:vAlign w:val="bottom"/>
          </w:tcPr>
          <w:p w:rsidR="008618AC" w:rsidRPr="00C66550" w:rsidRDefault="008618AC" w:rsidP="00DB2465">
            <w:pPr>
              <w:jc w:val="center"/>
              <w:cnfStyle w:val="100000000000"/>
              <w:rPr>
                <w:color w:val="000000"/>
              </w:rPr>
            </w:pPr>
            <w:r w:rsidRPr="00C66550">
              <w:rPr>
                <w:color w:val="000000"/>
              </w:rPr>
              <w:t xml:space="preserve">Suggested barriers </w:t>
            </w:r>
          </w:p>
        </w:tc>
      </w:tr>
      <w:tr w:rsidR="008618AC" w:rsidRPr="00C66550" w:rsidTr="00DB2465">
        <w:tc>
          <w:tcPr>
            <w:cnfStyle w:val="001000000000"/>
            <w:tcW w:w="710" w:type="pct"/>
          </w:tcPr>
          <w:p w:rsidR="008618AC" w:rsidRPr="00C66550" w:rsidRDefault="008618AC" w:rsidP="00DB2465">
            <w:pPr>
              <w:rPr>
                <w:color w:val="000000"/>
                <w:szCs w:val="20"/>
              </w:rPr>
            </w:pPr>
            <w:r w:rsidRPr="00C66550">
              <w:rPr>
                <w:color w:val="000000"/>
                <w:szCs w:val="20"/>
              </w:rPr>
              <w:t>ACT</w:t>
            </w:r>
          </w:p>
        </w:tc>
        <w:tc>
          <w:tcPr>
            <w:tcW w:w="4290" w:type="pct"/>
          </w:tcPr>
          <w:p w:rsidR="008618AC" w:rsidRPr="00C66550" w:rsidRDefault="006C0234" w:rsidP="00FD671E">
            <w:pPr>
              <w:cnfStyle w:val="000000000000"/>
              <w:rPr>
                <w:szCs w:val="20"/>
              </w:rPr>
            </w:pPr>
            <w:r w:rsidRPr="00C66550">
              <w:rPr>
                <w:szCs w:val="20"/>
              </w:rPr>
              <w:t>Delays that can be experience</w:t>
            </w:r>
            <w:r w:rsidR="00FD671E" w:rsidRPr="00C66550">
              <w:rPr>
                <w:szCs w:val="20"/>
              </w:rPr>
              <w:t>d</w:t>
            </w:r>
            <w:r w:rsidRPr="00C66550">
              <w:rPr>
                <w:szCs w:val="20"/>
              </w:rPr>
              <w:t xml:space="preserve"> in gaining all approvals can be a barrier.</w:t>
            </w:r>
            <w:r w:rsidR="00E5424C" w:rsidRPr="00C66550">
              <w:rPr>
                <w:szCs w:val="20"/>
              </w:rPr>
              <w:t xml:space="preserve"> </w:t>
            </w:r>
            <w:r w:rsidRPr="00C66550">
              <w:rPr>
                <w:szCs w:val="20"/>
              </w:rPr>
              <w:t xml:space="preserve">ACT does not have the population for AWTs to be viable. Varying market prices also create uncertainty and </w:t>
            </w:r>
            <w:r w:rsidR="00EB677E" w:rsidRPr="00C66550">
              <w:rPr>
                <w:szCs w:val="20"/>
              </w:rPr>
              <w:t>are</w:t>
            </w:r>
            <w:r w:rsidR="00FD671E" w:rsidRPr="00C66550">
              <w:rPr>
                <w:szCs w:val="20"/>
              </w:rPr>
              <w:t xml:space="preserve"> </w:t>
            </w:r>
            <w:r w:rsidRPr="00C66550">
              <w:rPr>
                <w:szCs w:val="20"/>
              </w:rPr>
              <w:t>a barrier to investment.</w:t>
            </w:r>
          </w:p>
        </w:tc>
      </w:tr>
      <w:tr w:rsidR="008618AC" w:rsidRPr="00C66550" w:rsidTr="00DB2465">
        <w:tc>
          <w:tcPr>
            <w:cnfStyle w:val="001000000000"/>
            <w:tcW w:w="710" w:type="pct"/>
          </w:tcPr>
          <w:p w:rsidR="008618AC" w:rsidRPr="00C66550" w:rsidRDefault="008618AC" w:rsidP="00DB2465">
            <w:pPr>
              <w:rPr>
                <w:color w:val="000000"/>
                <w:szCs w:val="20"/>
              </w:rPr>
            </w:pPr>
            <w:r w:rsidRPr="00C66550">
              <w:rPr>
                <w:color w:val="000000"/>
                <w:szCs w:val="20"/>
              </w:rPr>
              <w:t>NSW</w:t>
            </w:r>
          </w:p>
        </w:tc>
        <w:tc>
          <w:tcPr>
            <w:tcW w:w="4290" w:type="pct"/>
          </w:tcPr>
          <w:p w:rsidR="00C1360D" w:rsidRPr="00C66550" w:rsidRDefault="00C1360D" w:rsidP="00C1360D">
            <w:pPr>
              <w:pStyle w:val="BodyText"/>
              <w:cnfStyle w:val="000000000000"/>
              <w:rPr>
                <w:sz w:val="20"/>
                <w:szCs w:val="20"/>
              </w:rPr>
            </w:pPr>
            <w:r w:rsidRPr="00C66550">
              <w:rPr>
                <w:sz w:val="20"/>
                <w:szCs w:val="20"/>
              </w:rPr>
              <w:t xml:space="preserve">Barriers are different for all streams. </w:t>
            </w:r>
          </w:p>
          <w:p w:rsidR="00C1360D" w:rsidRPr="00C66550" w:rsidRDefault="00C1360D" w:rsidP="00C1360D">
            <w:pPr>
              <w:pStyle w:val="BodyText"/>
              <w:cnfStyle w:val="000000000000"/>
              <w:rPr>
                <w:sz w:val="20"/>
                <w:szCs w:val="20"/>
              </w:rPr>
            </w:pPr>
            <w:r w:rsidRPr="00C66550">
              <w:rPr>
                <w:sz w:val="20"/>
                <w:szCs w:val="20"/>
              </w:rPr>
              <w:t xml:space="preserve">C&amp;I there </w:t>
            </w:r>
            <w:r w:rsidR="00FD671E" w:rsidRPr="00C66550">
              <w:rPr>
                <w:sz w:val="20"/>
                <w:szCs w:val="20"/>
              </w:rPr>
              <w:t xml:space="preserve">is </w:t>
            </w:r>
            <w:r w:rsidRPr="00C66550">
              <w:rPr>
                <w:sz w:val="20"/>
                <w:szCs w:val="20"/>
              </w:rPr>
              <w:t xml:space="preserve">around 600,000 SME in NSW however waste remains a low priory for most SMEs. Away from home consumption creates issues that are difficult to manage. </w:t>
            </w:r>
          </w:p>
          <w:p w:rsidR="00C1360D" w:rsidRPr="00C66550" w:rsidRDefault="00C1360D" w:rsidP="00C1360D">
            <w:pPr>
              <w:pStyle w:val="BodyText"/>
              <w:cnfStyle w:val="000000000000"/>
              <w:rPr>
                <w:sz w:val="20"/>
                <w:szCs w:val="20"/>
              </w:rPr>
            </w:pPr>
            <w:r w:rsidRPr="00C66550">
              <w:rPr>
                <w:sz w:val="20"/>
                <w:szCs w:val="20"/>
              </w:rPr>
              <w:t xml:space="preserve">MSW waste that is not kerbside </w:t>
            </w:r>
            <w:r w:rsidR="00FD671E" w:rsidRPr="00C66550">
              <w:rPr>
                <w:sz w:val="20"/>
                <w:szCs w:val="20"/>
              </w:rPr>
              <w:t>(</w:t>
            </w:r>
            <w:r w:rsidRPr="00C66550">
              <w:rPr>
                <w:sz w:val="20"/>
                <w:szCs w:val="20"/>
              </w:rPr>
              <w:t>around 10-15%</w:t>
            </w:r>
            <w:r w:rsidR="00FD671E" w:rsidRPr="00C66550">
              <w:rPr>
                <w:sz w:val="20"/>
                <w:szCs w:val="20"/>
              </w:rPr>
              <w:t>)</w:t>
            </w:r>
            <w:r w:rsidRPr="00C66550">
              <w:rPr>
                <w:sz w:val="20"/>
                <w:szCs w:val="20"/>
              </w:rPr>
              <w:t xml:space="preserve"> mostly goes direct to landfill. Food waste recovery is a major challenge for MSW.</w:t>
            </w:r>
          </w:p>
          <w:p w:rsidR="008618AC" w:rsidRPr="00C66550" w:rsidRDefault="00C1360D" w:rsidP="00C1360D">
            <w:pPr>
              <w:pStyle w:val="BodyText"/>
              <w:cnfStyle w:val="000000000000"/>
              <w:rPr>
                <w:sz w:val="20"/>
                <w:szCs w:val="20"/>
              </w:rPr>
            </w:pPr>
            <w:r w:rsidRPr="00C66550">
              <w:rPr>
                <w:sz w:val="20"/>
                <w:szCs w:val="20"/>
              </w:rPr>
              <w:t xml:space="preserve">C&amp;D is the biggest waste stream but the recovery is high. Contaminated soils are the major tonnage and in some instances landfilling the contaminated soils may be the best environmental solution (i.e. the emissions associated with treating the soils can in some cases off set the risks associated with landfilling). </w:t>
            </w:r>
          </w:p>
        </w:tc>
      </w:tr>
      <w:tr w:rsidR="008618AC" w:rsidRPr="00C66550" w:rsidTr="00DB2465">
        <w:tc>
          <w:tcPr>
            <w:cnfStyle w:val="001000000000"/>
            <w:tcW w:w="710" w:type="pct"/>
          </w:tcPr>
          <w:p w:rsidR="008618AC" w:rsidRPr="00C66550" w:rsidRDefault="00DF4FB7" w:rsidP="00DB2465">
            <w:pPr>
              <w:rPr>
                <w:color w:val="000000"/>
                <w:szCs w:val="20"/>
              </w:rPr>
            </w:pPr>
            <w:r>
              <w:rPr>
                <w:color w:val="000000"/>
                <w:szCs w:val="20"/>
              </w:rPr>
              <w:t>Qld</w:t>
            </w:r>
          </w:p>
        </w:tc>
        <w:tc>
          <w:tcPr>
            <w:tcW w:w="4290" w:type="pct"/>
          </w:tcPr>
          <w:p w:rsidR="008618AC" w:rsidRPr="00C66550" w:rsidRDefault="00DB2465" w:rsidP="00DB2465">
            <w:pPr>
              <w:cnfStyle w:val="000000000000"/>
              <w:rPr>
                <w:szCs w:val="20"/>
              </w:rPr>
            </w:pPr>
            <w:r w:rsidRPr="00C66550">
              <w:rPr>
                <w:szCs w:val="20"/>
              </w:rPr>
              <w:t>The cost of disposal is relatively low in</w:t>
            </w:r>
            <w:r w:rsidR="004B24C1" w:rsidRPr="00C66550">
              <w:rPr>
                <w:szCs w:val="20"/>
              </w:rPr>
              <w:t xml:space="preserve"> </w:t>
            </w:r>
            <w:r w:rsidR="00DF4FB7">
              <w:rPr>
                <w:szCs w:val="20"/>
              </w:rPr>
              <w:t>Qld</w:t>
            </w:r>
            <w:r w:rsidR="004B24C1" w:rsidRPr="00C66550">
              <w:rPr>
                <w:szCs w:val="20"/>
              </w:rPr>
              <w:t>. There is a lack of source-</w:t>
            </w:r>
            <w:r w:rsidRPr="00C66550">
              <w:rPr>
                <w:szCs w:val="20"/>
              </w:rPr>
              <w:t xml:space="preserve">separation infrastructure. There is limited infrastructure to recover mixed wastes. There is limited activity to recover putrescible waste from household and SME’s. Regional recycling in more remote areas is difficult and </w:t>
            </w:r>
            <w:r w:rsidR="00DF4FB7">
              <w:rPr>
                <w:szCs w:val="20"/>
              </w:rPr>
              <w:t>Qld</w:t>
            </w:r>
            <w:r w:rsidRPr="00C66550">
              <w:rPr>
                <w:szCs w:val="20"/>
              </w:rPr>
              <w:t xml:space="preserve"> has large amount of pockets of industry and towns in remote areas.</w:t>
            </w:r>
          </w:p>
        </w:tc>
      </w:tr>
      <w:tr w:rsidR="008618AC" w:rsidRPr="00C66550" w:rsidTr="00B9660B">
        <w:tc>
          <w:tcPr>
            <w:cnfStyle w:val="001000000000"/>
            <w:tcW w:w="710" w:type="pct"/>
          </w:tcPr>
          <w:p w:rsidR="008618AC" w:rsidRPr="00C66550" w:rsidRDefault="008618AC" w:rsidP="00DB2465">
            <w:pPr>
              <w:rPr>
                <w:color w:val="000000"/>
                <w:szCs w:val="20"/>
              </w:rPr>
            </w:pPr>
            <w:r w:rsidRPr="00C66550">
              <w:rPr>
                <w:color w:val="000000"/>
                <w:szCs w:val="20"/>
              </w:rPr>
              <w:t>SA</w:t>
            </w:r>
          </w:p>
        </w:tc>
        <w:tc>
          <w:tcPr>
            <w:tcW w:w="4290" w:type="pct"/>
          </w:tcPr>
          <w:p w:rsidR="00B9660B" w:rsidRPr="00C66550" w:rsidRDefault="00B9660B" w:rsidP="00FD671E">
            <w:pPr>
              <w:spacing w:line="240" w:lineRule="auto"/>
              <w:cnfStyle w:val="000000000000"/>
              <w:rPr>
                <w:szCs w:val="20"/>
              </w:rPr>
            </w:pPr>
            <w:r w:rsidRPr="00C66550">
              <w:rPr>
                <w:szCs w:val="20"/>
              </w:rPr>
              <w:t xml:space="preserve">SA recommended referring to </w:t>
            </w:r>
            <w:r w:rsidRPr="00C66550">
              <w:rPr>
                <w:rFonts w:cs="Times New Roman"/>
                <w:color w:val="000000"/>
                <w:szCs w:val="20"/>
                <w:lang w:eastAsia="en-AU"/>
              </w:rPr>
              <w:t xml:space="preserve">Zero Waste South Australia 2011 </w:t>
            </w:r>
            <w:r w:rsidRPr="00C66550">
              <w:rPr>
                <w:rFonts w:cs="Times New Roman"/>
                <w:i/>
                <w:iCs/>
                <w:color w:val="000000"/>
                <w:szCs w:val="20"/>
                <w:lang w:eastAsia="en-AU"/>
              </w:rPr>
              <w:t xml:space="preserve">Recycling Activity Report - SA 2010-11 </w:t>
            </w:r>
            <w:r w:rsidRPr="00C66550">
              <w:rPr>
                <w:rFonts w:cs="Times New Roman"/>
                <w:iCs/>
                <w:color w:val="000000"/>
                <w:szCs w:val="20"/>
                <w:lang w:eastAsia="en-AU"/>
              </w:rPr>
              <w:t xml:space="preserve">for a detailed industry perspective on barriers to increasing resource recovery in SA. The report lists barriers by material category and is available at: </w:t>
            </w:r>
            <w:hyperlink r:id="rId134" w:history="1">
              <w:r w:rsidRPr="00C66550">
                <w:rPr>
                  <w:rFonts w:cs="Times New Roman"/>
                  <w:color w:val="0000FF"/>
                  <w:szCs w:val="20"/>
                  <w:u w:val="single"/>
                  <w:lang w:eastAsia="en-AU"/>
                </w:rPr>
                <w:t>http://www.zerowaste.sa.gov.au/resource-centre/publications/reuse-recovery-and-recycling</w:t>
              </w:r>
            </w:hyperlink>
            <w:r w:rsidRPr="00C66550">
              <w:rPr>
                <w:rFonts w:cs="Times New Roman"/>
                <w:color w:val="000000"/>
                <w:szCs w:val="20"/>
                <w:lang w:eastAsia="en-AU"/>
              </w:rPr>
              <w:t xml:space="preserve">. </w:t>
            </w:r>
          </w:p>
        </w:tc>
      </w:tr>
      <w:tr w:rsidR="008618AC" w:rsidRPr="00C66550" w:rsidTr="00DB2465">
        <w:tc>
          <w:tcPr>
            <w:cnfStyle w:val="001000000000"/>
            <w:tcW w:w="710" w:type="pct"/>
          </w:tcPr>
          <w:p w:rsidR="004F6D90" w:rsidRDefault="00DF4FB7" w:rsidP="00DB2465">
            <w:pPr>
              <w:rPr>
                <w:color w:val="000000"/>
                <w:szCs w:val="20"/>
              </w:rPr>
            </w:pPr>
            <w:r>
              <w:rPr>
                <w:color w:val="000000"/>
                <w:szCs w:val="20"/>
              </w:rPr>
              <w:t>Tas</w:t>
            </w:r>
          </w:p>
          <w:p w:rsidR="008618AC" w:rsidRPr="004F6D90" w:rsidRDefault="008618AC" w:rsidP="004F6D90">
            <w:pPr>
              <w:rPr>
                <w:szCs w:val="20"/>
              </w:rPr>
            </w:pPr>
          </w:p>
        </w:tc>
        <w:tc>
          <w:tcPr>
            <w:tcW w:w="4290" w:type="pct"/>
          </w:tcPr>
          <w:p w:rsidR="008618AC" w:rsidRPr="00C66550" w:rsidRDefault="00C1450F" w:rsidP="00FD671E">
            <w:pPr>
              <w:cnfStyle w:val="000000000000"/>
              <w:rPr>
                <w:szCs w:val="20"/>
              </w:rPr>
            </w:pPr>
            <w:r w:rsidRPr="00C66550">
              <w:rPr>
                <w:szCs w:val="20"/>
              </w:rPr>
              <w:t xml:space="preserve">There is now no direct shipping to Asia which restricts the recyclers export activities. The remote location of </w:t>
            </w:r>
            <w:r w:rsidR="00DF4FB7">
              <w:rPr>
                <w:szCs w:val="20"/>
              </w:rPr>
              <w:t>Tas</w:t>
            </w:r>
            <w:r w:rsidR="00575602">
              <w:rPr>
                <w:szCs w:val="20"/>
              </w:rPr>
              <w:t xml:space="preserve"> </w:t>
            </w:r>
            <w:r w:rsidRPr="00C66550">
              <w:rPr>
                <w:szCs w:val="20"/>
              </w:rPr>
              <w:t>waste is a major restriction for many materials</w:t>
            </w:r>
            <w:r w:rsidR="00FD671E" w:rsidRPr="00C66550">
              <w:rPr>
                <w:szCs w:val="20"/>
              </w:rPr>
              <w:t xml:space="preserve">, </w:t>
            </w:r>
            <w:r w:rsidRPr="00C66550">
              <w:rPr>
                <w:szCs w:val="20"/>
              </w:rPr>
              <w:t>especially wastes that are difficult/expensive per tonne to transport</w:t>
            </w:r>
            <w:r w:rsidR="00EB2960" w:rsidRPr="00C66550">
              <w:rPr>
                <w:szCs w:val="20"/>
              </w:rPr>
              <w:t>. For example</w:t>
            </w:r>
            <w:r w:rsidR="00FD671E" w:rsidRPr="00C66550">
              <w:rPr>
                <w:szCs w:val="20"/>
              </w:rPr>
              <w:t>,</w:t>
            </w:r>
            <w:r w:rsidR="00EB2960" w:rsidRPr="00C66550">
              <w:rPr>
                <w:szCs w:val="20"/>
              </w:rPr>
              <w:t xml:space="preserve"> for </w:t>
            </w:r>
            <w:r w:rsidRPr="00C66550">
              <w:rPr>
                <w:szCs w:val="20"/>
              </w:rPr>
              <w:t xml:space="preserve">glass and C&amp;D </w:t>
            </w:r>
            <w:r w:rsidR="00FD671E" w:rsidRPr="00C66550">
              <w:rPr>
                <w:szCs w:val="20"/>
              </w:rPr>
              <w:t xml:space="preserve">wastes </w:t>
            </w:r>
            <w:r w:rsidRPr="00C66550">
              <w:rPr>
                <w:szCs w:val="20"/>
              </w:rPr>
              <w:t xml:space="preserve">if they cannot be recovered in </w:t>
            </w:r>
            <w:r w:rsidR="00DF4FB7">
              <w:rPr>
                <w:szCs w:val="20"/>
              </w:rPr>
              <w:t>Tas</w:t>
            </w:r>
            <w:r w:rsidR="00575602">
              <w:rPr>
                <w:szCs w:val="20"/>
              </w:rPr>
              <w:t xml:space="preserve"> </w:t>
            </w:r>
            <w:r w:rsidRPr="00C66550">
              <w:rPr>
                <w:szCs w:val="20"/>
              </w:rPr>
              <w:t xml:space="preserve">it is </w:t>
            </w:r>
            <w:r w:rsidR="00EB2960" w:rsidRPr="00C66550">
              <w:rPr>
                <w:szCs w:val="20"/>
              </w:rPr>
              <w:t xml:space="preserve">generally </w:t>
            </w:r>
            <w:r w:rsidRPr="00C66550">
              <w:rPr>
                <w:szCs w:val="20"/>
              </w:rPr>
              <w:t>not viable</w:t>
            </w:r>
            <w:r w:rsidR="00EB2960" w:rsidRPr="00C66550">
              <w:rPr>
                <w:szCs w:val="20"/>
              </w:rPr>
              <w:t xml:space="preserve"> to transport them interstate</w:t>
            </w:r>
            <w:r w:rsidRPr="00C66550">
              <w:rPr>
                <w:szCs w:val="20"/>
              </w:rPr>
              <w:t>.</w:t>
            </w:r>
            <w:r w:rsidR="00EB2960" w:rsidRPr="00C66550">
              <w:rPr>
                <w:szCs w:val="20"/>
              </w:rPr>
              <w:t xml:space="preserve"> For o</w:t>
            </w:r>
            <w:r w:rsidRPr="00C66550">
              <w:rPr>
                <w:szCs w:val="20"/>
              </w:rPr>
              <w:t xml:space="preserve">rganics recovery, </w:t>
            </w:r>
            <w:r w:rsidR="00EB2960" w:rsidRPr="00C66550">
              <w:rPr>
                <w:szCs w:val="20"/>
              </w:rPr>
              <w:t xml:space="preserve">there appears to be a lack of synergy across </w:t>
            </w:r>
            <w:r w:rsidRPr="00C66550">
              <w:rPr>
                <w:szCs w:val="20"/>
              </w:rPr>
              <w:t xml:space="preserve">industry </w:t>
            </w:r>
            <w:r w:rsidR="00EB2960" w:rsidRPr="00C66550">
              <w:rPr>
                <w:szCs w:val="20"/>
              </w:rPr>
              <w:t xml:space="preserve">to create the critical tonnages required (i.e. industry </w:t>
            </w:r>
            <w:r w:rsidRPr="00C66550">
              <w:rPr>
                <w:szCs w:val="20"/>
              </w:rPr>
              <w:t>tends to look at things too narrowly and there is generally a lack of ability to see opportunities that could arise by combining the states organics streams</w:t>
            </w:r>
            <w:r w:rsidR="00EB2960" w:rsidRPr="00C66550">
              <w:rPr>
                <w:szCs w:val="20"/>
              </w:rPr>
              <w:t>)</w:t>
            </w:r>
            <w:r w:rsidRPr="00C66550">
              <w:rPr>
                <w:szCs w:val="20"/>
              </w:rPr>
              <w:t xml:space="preserve">. Disposal costs are </w:t>
            </w:r>
            <w:r w:rsidR="00EB2960" w:rsidRPr="00C66550">
              <w:rPr>
                <w:szCs w:val="20"/>
              </w:rPr>
              <w:t>lo</w:t>
            </w:r>
            <w:r w:rsidRPr="00C66550">
              <w:rPr>
                <w:szCs w:val="20"/>
              </w:rPr>
              <w:t>w (round $80 to $90 per tonne)</w:t>
            </w:r>
            <w:r w:rsidR="00EB2960" w:rsidRPr="00C66550">
              <w:rPr>
                <w:szCs w:val="20"/>
              </w:rPr>
              <w:t xml:space="preserve"> which is below the current costs to recover the materials</w:t>
            </w:r>
            <w:r w:rsidRPr="00C66550">
              <w:rPr>
                <w:szCs w:val="20"/>
              </w:rPr>
              <w:t>.</w:t>
            </w:r>
          </w:p>
        </w:tc>
      </w:tr>
      <w:tr w:rsidR="008618AC" w:rsidRPr="00C66550" w:rsidTr="00DB2465">
        <w:tc>
          <w:tcPr>
            <w:cnfStyle w:val="001000000000"/>
            <w:tcW w:w="710" w:type="pct"/>
          </w:tcPr>
          <w:p w:rsidR="008618AC" w:rsidRPr="00C66550" w:rsidRDefault="00DF4FB7" w:rsidP="008555F8">
            <w:pPr>
              <w:rPr>
                <w:color w:val="000000"/>
                <w:szCs w:val="20"/>
              </w:rPr>
            </w:pPr>
            <w:r>
              <w:rPr>
                <w:color w:val="000000"/>
                <w:szCs w:val="20"/>
              </w:rPr>
              <w:t>Vic</w:t>
            </w:r>
            <w:r w:rsidR="008A1A56">
              <w:rPr>
                <w:color w:val="000000"/>
                <w:szCs w:val="20"/>
              </w:rPr>
              <w:t xml:space="preserve"> </w:t>
            </w:r>
            <w:r w:rsidR="008555F8" w:rsidRPr="00C66550">
              <w:rPr>
                <w:color w:val="000000"/>
                <w:szCs w:val="20"/>
                <w:vertAlign w:val="superscript"/>
              </w:rPr>
              <w:t>22</w:t>
            </w:r>
          </w:p>
        </w:tc>
        <w:tc>
          <w:tcPr>
            <w:tcW w:w="4290" w:type="pct"/>
          </w:tcPr>
          <w:p w:rsidR="008618AC" w:rsidRPr="00C66550" w:rsidRDefault="004C04CE" w:rsidP="00EC4E14">
            <w:pPr>
              <w:cnfStyle w:val="000000000000"/>
              <w:rPr>
                <w:szCs w:val="20"/>
              </w:rPr>
            </w:pPr>
            <w:r w:rsidRPr="00C66550">
              <w:rPr>
                <w:szCs w:val="20"/>
              </w:rPr>
              <w:t xml:space="preserve">Large volumes of landfill capacity </w:t>
            </w:r>
            <w:r w:rsidR="00094B26" w:rsidRPr="00C66550">
              <w:rPr>
                <w:szCs w:val="20"/>
              </w:rPr>
              <w:t>i</w:t>
            </w:r>
            <w:r w:rsidRPr="00C66550">
              <w:rPr>
                <w:szCs w:val="20"/>
              </w:rPr>
              <w:t>n close proximity to Melbourne, resulting in a competitive landfill market and relatively cheap landfill disposal (when compared to the cost of recovery).</w:t>
            </w:r>
            <w:r w:rsidR="00E5424C" w:rsidRPr="00C66550">
              <w:rPr>
                <w:szCs w:val="20"/>
              </w:rPr>
              <w:t xml:space="preserve"> </w:t>
            </w:r>
            <w:r w:rsidRPr="00C66550">
              <w:rPr>
                <w:szCs w:val="20"/>
              </w:rPr>
              <w:t>A limited range of resource recovery technologies in operation.</w:t>
            </w:r>
            <w:r w:rsidR="004B24C1" w:rsidRPr="00C66550">
              <w:rPr>
                <w:szCs w:val="20"/>
              </w:rPr>
              <w:t xml:space="preserve"> Limited source-</w:t>
            </w:r>
            <w:r w:rsidR="004C7B8A" w:rsidRPr="00C66550">
              <w:rPr>
                <w:szCs w:val="20"/>
              </w:rPr>
              <w:t>separation and/or sorting at landfill to enable recovery of homogeneous waste streams.</w:t>
            </w:r>
            <w:r w:rsidRPr="00C66550">
              <w:rPr>
                <w:szCs w:val="20"/>
              </w:rPr>
              <w:t xml:space="preserve"> Historical issues with odour generation from organics recovery facilities, resulting in the closure of some </w:t>
            </w:r>
            <w:r w:rsidR="007D32CE" w:rsidRPr="00C66550">
              <w:rPr>
                <w:szCs w:val="20"/>
              </w:rPr>
              <w:t xml:space="preserve">facilities </w:t>
            </w:r>
            <w:r w:rsidRPr="00C66550">
              <w:rPr>
                <w:szCs w:val="20"/>
              </w:rPr>
              <w:t xml:space="preserve">and the restriction of capacity at other sites, resulting in current organics recovery facilities operating at capacity. </w:t>
            </w:r>
            <w:r w:rsidR="00EC4E14" w:rsidRPr="00C66550">
              <w:rPr>
                <w:szCs w:val="20"/>
              </w:rPr>
              <w:t>O</w:t>
            </w:r>
            <w:r w:rsidR="004C7B8A" w:rsidRPr="00C66550">
              <w:rPr>
                <w:szCs w:val="20"/>
              </w:rPr>
              <w:t>dour</w:t>
            </w:r>
            <w:r w:rsidR="00EC4E14" w:rsidRPr="00C66550">
              <w:rPr>
                <w:szCs w:val="20"/>
              </w:rPr>
              <w:t xml:space="preserve"> problems</w:t>
            </w:r>
            <w:r w:rsidR="004C7B8A" w:rsidRPr="00C66550">
              <w:rPr>
                <w:szCs w:val="20"/>
              </w:rPr>
              <w:t xml:space="preserve"> have </w:t>
            </w:r>
            <w:r w:rsidR="00EC4E14" w:rsidRPr="00C66550">
              <w:rPr>
                <w:szCs w:val="20"/>
              </w:rPr>
              <w:t>closed some composting operations and created difficulties</w:t>
            </w:r>
            <w:r w:rsidR="004C7B8A" w:rsidRPr="00C66550">
              <w:rPr>
                <w:szCs w:val="20"/>
              </w:rPr>
              <w:t xml:space="preserve"> in locating new resource recovery facilities. </w:t>
            </w:r>
          </w:p>
        </w:tc>
      </w:tr>
      <w:tr w:rsidR="008618AC" w:rsidRPr="00C66550" w:rsidTr="00DB2465">
        <w:tc>
          <w:tcPr>
            <w:cnfStyle w:val="001000000000"/>
            <w:tcW w:w="710" w:type="pct"/>
          </w:tcPr>
          <w:p w:rsidR="008618AC" w:rsidRPr="00C66550" w:rsidRDefault="008618AC" w:rsidP="00DB2465">
            <w:pPr>
              <w:rPr>
                <w:color w:val="000000"/>
                <w:szCs w:val="20"/>
              </w:rPr>
            </w:pPr>
            <w:r w:rsidRPr="00C66550">
              <w:rPr>
                <w:color w:val="000000"/>
                <w:szCs w:val="20"/>
              </w:rPr>
              <w:t>WA</w:t>
            </w:r>
          </w:p>
        </w:tc>
        <w:tc>
          <w:tcPr>
            <w:tcW w:w="4290" w:type="pct"/>
          </w:tcPr>
          <w:p w:rsidR="008618AC" w:rsidRPr="00C66550" w:rsidRDefault="006C0234" w:rsidP="00B9660B">
            <w:pPr>
              <w:cnfStyle w:val="000000000000"/>
              <w:rPr>
                <w:szCs w:val="20"/>
              </w:rPr>
            </w:pPr>
            <w:r w:rsidRPr="00C66550">
              <w:rPr>
                <w:szCs w:val="20"/>
              </w:rPr>
              <w:t>Very l</w:t>
            </w:r>
            <w:r w:rsidR="00DB2465" w:rsidRPr="00C66550">
              <w:rPr>
                <w:szCs w:val="20"/>
              </w:rPr>
              <w:t>imited local reprocessing infrastructure due to low economies of scale</w:t>
            </w:r>
            <w:r w:rsidRPr="00C66550">
              <w:rPr>
                <w:szCs w:val="20"/>
              </w:rPr>
              <w:t>,</w:t>
            </w:r>
            <w:r w:rsidR="00DB2465" w:rsidRPr="00C66550">
              <w:rPr>
                <w:szCs w:val="20"/>
              </w:rPr>
              <w:t xml:space="preserve"> this means the distances to markets are great (generally Asia), which means recycling is a volatile and financially marginal business</w:t>
            </w:r>
            <w:r w:rsidRPr="00C66550">
              <w:rPr>
                <w:szCs w:val="20"/>
              </w:rPr>
              <w:t>. F</w:t>
            </w:r>
            <w:r w:rsidR="00DB2465" w:rsidRPr="00C66550">
              <w:rPr>
                <w:szCs w:val="20"/>
              </w:rPr>
              <w:t xml:space="preserve">or regional areas, it can cost more to transport the collected recyclables to </w:t>
            </w:r>
            <w:r w:rsidR="007D32CE" w:rsidRPr="00C66550">
              <w:rPr>
                <w:szCs w:val="20"/>
              </w:rPr>
              <w:t>an</w:t>
            </w:r>
            <w:r w:rsidR="00DB2465" w:rsidRPr="00C66550">
              <w:rPr>
                <w:szCs w:val="20"/>
              </w:rPr>
              <w:t xml:space="preserve"> aggregation point for export than they get for the material</w:t>
            </w:r>
            <w:r w:rsidRPr="00C66550">
              <w:rPr>
                <w:szCs w:val="20"/>
              </w:rPr>
              <w:t>.</w:t>
            </w:r>
            <w:r w:rsidR="00B9660B" w:rsidRPr="00C66550">
              <w:rPr>
                <w:szCs w:val="20"/>
              </w:rPr>
              <w:t xml:space="preserve"> </w:t>
            </w:r>
            <w:r w:rsidR="00DB2465" w:rsidRPr="00C66550">
              <w:rPr>
                <w:szCs w:val="20"/>
              </w:rPr>
              <w:t>As WA's population grows, these problems are reducing, but are still major barriers</w:t>
            </w:r>
          </w:p>
        </w:tc>
      </w:tr>
    </w:tbl>
    <w:p w:rsidR="008618AC" w:rsidRPr="00C66550" w:rsidRDefault="008618AC" w:rsidP="00C81D5A">
      <w:pPr>
        <w:pStyle w:val="BodyText"/>
      </w:pPr>
    </w:p>
    <w:p w:rsidR="00B21793" w:rsidRDefault="00B21793" w:rsidP="00C81D5A">
      <w:pPr>
        <w:pStyle w:val="BodyText"/>
      </w:pPr>
    </w:p>
    <w:p w:rsidR="00123852" w:rsidRPr="00C66550" w:rsidRDefault="00123852" w:rsidP="00C81D5A">
      <w:pPr>
        <w:pStyle w:val="BodyText"/>
      </w:pPr>
    </w:p>
    <w:p w:rsidR="00B21793" w:rsidRPr="00C66550" w:rsidRDefault="008555F8" w:rsidP="008618AC">
      <w:pPr>
        <w:pStyle w:val="BodyText"/>
      </w:pPr>
      <w:r w:rsidRPr="00C66550">
        <w:lastRenderedPageBreak/>
        <w:t>L</w:t>
      </w:r>
      <w:r w:rsidR="0053575F" w:rsidRPr="00C66550">
        <w:t>ack of</w:t>
      </w:r>
      <w:r w:rsidR="00BA35AE" w:rsidRPr="00C66550">
        <w:t xml:space="preserve"> resource recovery </w:t>
      </w:r>
      <w:r w:rsidR="0053575F" w:rsidRPr="00C66550">
        <w:t>infrastructure</w:t>
      </w:r>
      <w:r w:rsidRPr="00C66550">
        <w:t xml:space="preserve"> can be a significant barrier to higher resource recovery</w:t>
      </w:r>
      <w:r w:rsidR="0053575F" w:rsidRPr="00C66550">
        <w:t xml:space="preserve">. </w:t>
      </w:r>
      <w:r w:rsidR="00125057" w:rsidRPr="00C66550">
        <w:t>A desktop assessment</w:t>
      </w:r>
      <w:r w:rsidRPr="00C66550">
        <w:t xml:space="preserve"> was undertaken</w:t>
      </w:r>
      <w:r w:rsidR="00125057" w:rsidRPr="00C66550">
        <w:t xml:space="preserve"> of the</w:t>
      </w:r>
      <w:r w:rsidRPr="00C66550">
        <w:t xml:space="preserve"> </w:t>
      </w:r>
      <w:r w:rsidR="00125057" w:rsidRPr="00C66550">
        <w:t xml:space="preserve">AWT capacity in each jurisdiction and the results compared to the waste generation and waste disposal for each jurisdiction (see </w:t>
      </w:r>
      <w:r w:rsidR="0062001A" w:rsidRPr="00C66550">
        <w:fldChar w:fldCharType="begin"/>
      </w:r>
      <w:r w:rsidR="00FD1559" w:rsidRPr="00C66550">
        <w:instrText xml:space="preserve"> REF _Ref349651035 \h </w:instrText>
      </w:r>
      <w:r w:rsidR="0062001A" w:rsidRPr="00C66550">
        <w:fldChar w:fldCharType="separate"/>
      </w:r>
      <w:r w:rsidR="00D96003" w:rsidRPr="00C66550">
        <w:t xml:space="preserve">Table </w:t>
      </w:r>
      <w:r w:rsidR="00D96003">
        <w:rPr>
          <w:noProof/>
        </w:rPr>
        <w:t>19</w:t>
      </w:r>
      <w:r w:rsidR="0062001A" w:rsidRPr="00C66550">
        <w:fldChar w:fldCharType="end"/>
      </w:r>
      <w:r w:rsidR="00125057" w:rsidRPr="00C66550">
        <w:t xml:space="preserve"> below). </w:t>
      </w:r>
      <w:r w:rsidRPr="00C66550">
        <w:t xml:space="preserve">Note that </w:t>
      </w:r>
      <w:r w:rsidR="00125057" w:rsidRPr="00C66550">
        <w:t xml:space="preserve">maximum capacity tonnage throughputs </w:t>
      </w:r>
      <w:r w:rsidRPr="00C66550">
        <w:t xml:space="preserve">were </w:t>
      </w:r>
      <w:r w:rsidR="00125057" w:rsidRPr="00C66550">
        <w:t xml:space="preserve">used </w:t>
      </w:r>
      <w:r w:rsidRPr="00C66550">
        <w:t xml:space="preserve">(as reported on the various providers’ websites), but </w:t>
      </w:r>
      <w:r w:rsidR="00125057" w:rsidRPr="00C66550">
        <w:t>often AWT</w:t>
      </w:r>
      <w:r w:rsidR="00BA35AE" w:rsidRPr="00C66550">
        <w:t>s</w:t>
      </w:r>
      <w:r w:rsidR="00125057" w:rsidRPr="00C66550">
        <w:t xml:space="preserve"> </w:t>
      </w:r>
      <w:r w:rsidRPr="00C66550">
        <w:t>operate</w:t>
      </w:r>
      <w:r w:rsidR="00125057" w:rsidRPr="00C66550">
        <w:t xml:space="preserve"> at</w:t>
      </w:r>
      <w:r w:rsidRPr="00C66550">
        <w:t xml:space="preserve"> less than</w:t>
      </w:r>
      <w:r w:rsidR="00125057" w:rsidRPr="00C66550">
        <w:t xml:space="preserve"> the listed maximum throughput capacity.</w:t>
      </w:r>
    </w:p>
    <w:p w:rsidR="008618AC" w:rsidRPr="00C66550" w:rsidRDefault="008618AC" w:rsidP="008618AC">
      <w:pPr>
        <w:pStyle w:val="BodyText"/>
      </w:pPr>
    </w:p>
    <w:p w:rsidR="00B21793" w:rsidRPr="00C66550" w:rsidRDefault="00B21793" w:rsidP="00FB4820">
      <w:pPr>
        <w:pStyle w:val="Figures"/>
      </w:pPr>
      <w:bookmarkStart w:id="232" w:name="_Ref349651035"/>
      <w:bookmarkStart w:id="233" w:name="_Toc365038863"/>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19</w:t>
      </w:r>
      <w:r w:rsidR="0062001A" w:rsidRPr="00C66550">
        <w:rPr>
          <w:noProof/>
        </w:rPr>
        <w:fldChar w:fldCharType="end"/>
      </w:r>
      <w:bookmarkEnd w:id="232"/>
      <w:r w:rsidR="003715E1" w:rsidRPr="00C66550">
        <w:t>:</w:t>
      </w:r>
      <w:r w:rsidR="003715E1" w:rsidRPr="00C66550">
        <w:tab/>
      </w:r>
      <w:r w:rsidRPr="00C66550">
        <w:t xml:space="preserve">AWT </w:t>
      </w:r>
      <w:r w:rsidR="007D32CE" w:rsidRPr="00C66550">
        <w:t xml:space="preserve">maximum listed </w:t>
      </w:r>
      <w:r w:rsidRPr="00C66550">
        <w:t>capacity compared to waste generation and disposal tonnages</w:t>
      </w:r>
      <w:bookmarkEnd w:id="233"/>
      <w:r w:rsidRPr="00C66550">
        <w:t xml:space="preserve"> </w:t>
      </w:r>
    </w:p>
    <w:tbl>
      <w:tblPr>
        <w:tblStyle w:val="BETable1"/>
        <w:tblW w:w="4970" w:type="pct"/>
        <w:tblInd w:w="0" w:type="dxa"/>
        <w:tblLook w:val="04A0"/>
      </w:tblPr>
      <w:tblGrid>
        <w:gridCol w:w="1337"/>
        <w:gridCol w:w="2692"/>
        <w:gridCol w:w="2692"/>
        <w:gridCol w:w="2692"/>
      </w:tblGrid>
      <w:tr w:rsidR="00055BC0" w:rsidRPr="00C66550" w:rsidTr="00C0220C">
        <w:trPr>
          <w:cnfStyle w:val="100000000000"/>
        </w:trPr>
        <w:tc>
          <w:tcPr>
            <w:cnfStyle w:val="001000000000"/>
            <w:tcW w:w="710" w:type="pct"/>
            <w:tcBorders>
              <w:bottom w:val="single" w:sz="4" w:space="0" w:color="7F7F7F" w:themeColor="background2"/>
            </w:tcBorders>
            <w:vAlign w:val="bottom"/>
          </w:tcPr>
          <w:p w:rsidR="00055BC0" w:rsidRPr="00C66550" w:rsidRDefault="00055BC0">
            <w:pPr>
              <w:rPr>
                <w:color w:val="000000"/>
                <w:sz w:val="22"/>
              </w:rPr>
            </w:pPr>
            <w:r w:rsidRPr="00C66550">
              <w:rPr>
                <w:color w:val="000000"/>
                <w:sz w:val="22"/>
              </w:rPr>
              <w:t>State</w:t>
            </w:r>
          </w:p>
        </w:tc>
        <w:tc>
          <w:tcPr>
            <w:tcW w:w="1430" w:type="pct"/>
            <w:tcBorders>
              <w:bottom w:val="single" w:sz="4" w:space="0" w:color="7F7F7F" w:themeColor="background2"/>
            </w:tcBorders>
            <w:vAlign w:val="bottom"/>
          </w:tcPr>
          <w:p w:rsidR="00055BC0" w:rsidRPr="00C66550" w:rsidRDefault="00055BC0" w:rsidP="008765D4">
            <w:pPr>
              <w:jc w:val="center"/>
              <w:cnfStyle w:val="100000000000"/>
              <w:rPr>
                <w:color w:val="000000"/>
                <w:sz w:val="22"/>
              </w:rPr>
            </w:pPr>
            <w:r w:rsidRPr="00C66550">
              <w:rPr>
                <w:color w:val="000000"/>
                <w:sz w:val="22"/>
              </w:rPr>
              <w:t>AWT maximum capacity listed (kt)</w:t>
            </w:r>
          </w:p>
        </w:tc>
        <w:tc>
          <w:tcPr>
            <w:tcW w:w="1430" w:type="pct"/>
            <w:tcBorders>
              <w:bottom w:val="single" w:sz="4" w:space="0" w:color="7F7F7F" w:themeColor="background2"/>
            </w:tcBorders>
            <w:vAlign w:val="bottom"/>
          </w:tcPr>
          <w:p w:rsidR="00055BC0" w:rsidRPr="00C66550" w:rsidRDefault="00055BC0" w:rsidP="008765D4">
            <w:pPr>
              <w:jc w:val="center"/>
              <w:cnfStyle w:val="100000000000"/>
              <w:rPr>
                <w:color w:val="000000"/>
                <w:sz w:val="22"/>
              </w:rPr>
            </w:pPr>
            <w:r w:rsidRPr="00C66550">
              <w:rPr>
                <w:color w:val="000000"/>
                <w:sz w:val="22"/>
              </w:rPr>
              <w:t>AWT capacity as percentage of waste generation in 2010/11</w:t>
            </w:r>
          </w:p>
        </w:tc>
        <w:tc>
          <w:tcPr>
            <w:tcW w:w="1430" w:type="pct"/>
            <w:tcBorders>
              <w:bottom w:val="single" w:sz="4" w:space="0" w:color="7F7F7F" w:themeColor="background2"/>
            </w:tcBorders>
            <w:vAlign w:val="bottom"/>
          </w:tcPr>
          <w:p w:rsidR="00055BC0" w:rsidRPr="00C66550" w:rsidRDefault="00055BC0" w:rsidP="008765D4">
            <w:pPr>
              <w:jc w:val="center"/>
              <w:cnfStyle w:val="100000000000"/>
              <w:rPr>
                <w:color w:val="000000"/>
                <w:sz w:val="22"/>
              </w:rPr>
            </w:pPr>
            <w:r w:rsidRPr="00C66550">
              <w:rPr>
                <w:color w:val="000000"/>
                <w:sz w:val="22"/>
              </w:rPr>
              <w:t>AWT capacity as percentage of disposal in 2010/11</w:t>
            </w:r>
          </w:p>
        </w:tc>
      </w:tr>
      <w:tr w:rsidR="007D32CE" w:rsidRPr="00C66550" w:rsidTr="00C0220C">
        <w:tc>
          <w:tcPr>
            <w:cnfStyle w:val="001000000000"/>
            <w:tcW w:w="710" w:type="pct"/>
            <w:tcBorders>
              <w:bottom w:val="nil"/>
            </w:tcBorders>
            <w:vAlign w:val="bottom"/>
          </w:tcPr>
          <w:p w:rsidR="007D32CE" w:rsidRPr="00C66550" w:rsidRDefault="007D32CE">
            <w:pPr>
              <w:rPr>
                <w:color w:val="000000"/>
                <w:sz w:val="22"/>
              </w:rPr>
            </w:pPr>
            <w:r w:rsidRPr="00C66550">
              <w:rPr>
                <w:color w:val="000000"/>
                <w:sz w:val="22"/>
              </w:rPr>
              <w:t>ACT</w:t>
            </w:r>
          </w:p>
        </w:tc>
        <w:tc>
          <w:tcPr>
            <w:tcW w:w="1430" w:type="pct"/>
            <w:tcBorders>
              <w:bottom w:val="nil"/>
            </w:tcBorders>
            <w:vAlign w:val="center"/>
          </w:tcPr>
          <w:p w:rsidR="007D32CE" w:rsidRPr="00C66550" w:rsidRDefault="007D32CE" w:rsidP="0096305E">
            <w:pPr>
              <w:jc w:val="center"/>
              <w:cnfStyle w:val="000000000000"/>
            </w:pPr>
            <w:r w:rsidRPr="00C66550">
              <w:t>0</w:t>
            </w:r>
          </w:p>
        </w:tc>
        <w:tc>
          <w:tcPr>
            <w:tcW w:w="1430" w:type="pct"/>
            <w:tcBorders>
              <w:bottom w:val="nil"/>
            </w:tcBorders>
            <w:vAlign w:val="center"/>
          </w:tcPr>
          <w:p w:rsidR="007D32CE" w:rsidRPr="00C66550" w:rsidRDefault="007D32CE" w:rsidP="0096305E">
            <w:pPr>
              <w:jc w:val="center"/>
              <w:cnfStyle w:val="000000000000"/>
            </w:pPr>
            <w:r w:rsidRPr="00C66550">
              <w:t>0%</w:t>
            </w:r>
          </w:p>
        </w:tc>
        <w:tc>
          <w:tcPr>
            <w:tcW w:w="1430" w:type="pct"/>
            <w:tcBorders>
              <w:bottom w:val="nil"/>
            </w:tcBorders>
            <w:vAlign w:val="center"/>
          </w:tcPr>
          <w:p w:rsidR="007D32CE" w:rsidRPr="00C66550" w:rsidRDefault="007D32CE" w:rsidP="0096305E">
            <w:pPr>
              <w:jc w:val="center"/>
              <w:cnfStyle w:val="000000000000"/>
            </w:pPr>
            <w:r w:rsidRPr="00C66550">
              <w:t>0%</w:t>
            </w:r>
          </w:p>
        </w:tc>
      </w:tr>
      <w:tr w:rsidR="007D32CE" w:rsidRPr="00C66550" w:rsidTr="00C0220C">
        <w:tc>
          <w:tcPr>
            <w:cnfStyle w:val="001000000000"/>
            <w:tcW w:w="710" w:type="pct"/>
            <w:tcBorders>
              <w:top w:val="nil"/>
              <w:bottom w:val="nil"/>
            </w:tcBorders>
            <w:vAlign w:val="bottom"/>
          </w:tcPr>
          <w:p w:rsidR="007D32CE" w:rsidRPr="00C66550" w:rsidRDefault="007D32CE">
            <w:pPr>
              <w:rPr>
                <w:color w:val="000000"/>
                <w:sz w:val="22"/>
              </w:rPr>
            </w:pPr>
            <w:r w:rsidRPr="00C66550">
              <w:rPr>
                <w:color w:val="000000"/>
                <w:sz w:val="22"/>
              </w:rPr>
              <w:t>NSW</w:t>
            </w:r>
          </w:p>
        </w:tc>
        <w:tc>
          <w:tcPr>
            <w:tcW w:w="1430" w:type="pct"/>
            <w:tcBorders>
              <w:top w:val="nil"/>
              <w:bottom w:val="nil"/>
            </w:tcBorders>
            <w:vAlign w:val="center"/>
          </w:tcPr>
          <w:p w:rsidR="007D32CE" w:rsidRPr="00C66550" w:rsidRDefault="007D32CE" w:rsidP="0096305E">
            <w:pPr>
              <w:jc w:val="center"/>
              <w:cnfStyle w:val="000000000000"/>
            </w:pPr>
            <w:r w:rsidRPr="00C66550">
              <w:t>524</w:t>
            </w:r>
          </w:p>
        </w:tc>
        <w:tc>
          <w:tcPr>
            <w:tcW w:w="1430" w:type="pct"/>
            <w:tcBorders>
              <w:top w:val="nil"/>
              <w:bottom w:val="nil"/>
            </w:tcBorders>
            <w:vAlign w:val="center"/>
          </w:tcPr>
          <w:p w:rsidR="007D32CE" w:rsidRPr="00C66550" w:rsidRDefault="007D32CE" w:rsidP="0096305E">
            <w:pPr>
              <w:jc w:val="center"/>
              <w:cnfStyle w:val="000000000000"/>
            </w:pPr>
            <w:r w:rsidRPr="00C66550">
              <w:t>3%</w:t>
            </w:r>
          </w:p>
        </w:tc>
        <w:tc>
          <w:tcPr>
            <w:tcW w:w="1430" w:type="pct"/>
            <w:tcBorders>
              <w:top w:val="nil"/>
              <w:bottom w:val="nil"/>
            </w:tcBorders>
            <w:vAlign w:val="center"/>
          </w:tcPr>
          <w:p w:rsidR="007D32CE" w:rsidRPr="00C66550" w:rsidRDefault="007D32CE" w:rsidP="0096305E">
            <w:pPr>
              <w:jc w:val="center"/>
              <w:cnfStyle w:val="000000000000"/>
            </w:pPr>
            <w:r w:rsidRPr="00C66550">
              <w:t>9%</w:t>
            </w:r>
          </w:p>
        </w:tc>
      </w:tr>
      <w:tr w:rsidR="007D32CE" w:rsidRPr="00C66550" w:rsidTr="00C0220C">
        <w:tc>
          <w:tcPr>
            <w:cnfStyle w:val="001000000000"/>
            <w:tcW w:w="710" w:type="pct"/>
            <w:tcBorders>
              <w:top w:val="nil"/>
              <w:bottom w:val="nil"/>
            </w:tcBorders>
            <w:vAlign w:val="bottom"/>
          </w:tcPr>
          <w:p w:rsidR="007D32CE" w:rsidRPr="00C66550" w:rsidRDefault="007D32CE">
            <w:pPr>
              <w:rPr>
                <w:color w:val="000000"/>
                <w:sz w:val="22"/>
              </w:rPr>
            </w:pPr>
            <w:r w:rsidRPr="00C66550">
              <w:rPr>
                <w:color w:val="000000"/>
                <w:sz w:val="22"/>
              </w:rPr>
              <w:t>NT</w:t>
            </w:r>
          </w:p>
        </w:tc>
        <w:tc>
          <w:tcPr>
            <w:tcW w:w="1430" w:type="pct"/>
            <w:tcBorders>
              <w:top w:val="nil"/>
              <w:bottom w:val="nil"/>
            </w:tcBorders>
            <w:vAlign w:val="center"/>
          </w:tcPr>
          <w:p w:rsidR="007D32CE" w:rsidRPr="00C66550" w:rsidRDefault="007D32CE" w:rsidP="0096305E">
            <w:pPr>
              <w:jc w:val="center"/>
              <w:cnfStyle w:val="000000000000"/>
            </w:pPr>
            <w:r w:rsidRPr="00C66550">
              <w:t>0</w:t>
            </w:r>
          </w:p>
        </w:tc>
        <w:tc>
          <w:tcPr>
            <w:tcW w:w="1430" w:type="pct"/>
            <w:tcBorders>
              <w:top w:val="nil"/>
              <w:bottom w:val="nil"/>
            </w:tcBorders>
            <w:vAlign w:val="center"/>
          </w:tcPr>
          <w:p w:rsidR="007D32CE" w:rsidRPr="00C66550" w:rsidRDefault="007D32CE" w:rsidP="0096305E">
            <w:pPr>
              <w:jc w:val="center"/>
              <w:cnfStyle w:val="000000000000"/>
            </w:pPr>
            <w:r w:rsidRPr="00C66550">
              <w:t>0%</w:t>
            </w:r>
          </w:p>
        </w:tc>
        <w:tc>
          <w:tcPr>
            <w:tcW w:w="1430" w:type="pct"/>
            <w:tcBorders>
              <w:top w:val="nil"/>
              <w:bottom w:val="nil"/>
            </w:tcBorders>
            <w:vAlign w:val="center"/>
          </w:tcPr>
          <w:p w:rsidR="007D32CE" w:rsidRPr="00C66550" w:rsidRDefault="007D32CE" w:rsidP="0096305E">
            <w:pPr>
              <w:jc w:val="center"/>
              <w:cnfStyle w:val="000000000000"/>
            </w:pPr>
            <w:r w:rsidRPr="00C66550">
              <w:t>0%</w:t>
            </w:r>
          </w:p>
        </w:tc>
      </w:tr>
      <w:tr w:rsidR="007D32CE" w:rsidRPr="00C66550" w:rsidTr="00C0220C">
        <w:tc>
          <w:tcPr>
            <w:cnfStyle w:val="001000000000"/>
            <w:tcW w:w="710" w:type="pct"/>
            <w:tcBorders>
              <w:top w:val="nil"/>
              <w:bottom w:val="nil"/>
            </w:tcBorders>
            <w:vAlign w:val="bottom"/>
          </w:tcPr>
          <w:p w:rsidR="007D32CE" w:rsidRPr="00C66550" w:rsidRDefault="007D32CE">
            <w:pPr>
              <w:rPr>
                <w:color w:val="000000"/>
                <w:sz w:val="22"/>
              </w:rPr>
            </w:pPr>
            <w:r w:rsidRPr="00C66550">
              <w:rPr>
                <w:color w:val="000000"/>
                <w:sz w:val="22"/>
              </w:rPr>
              <w:t>Qld</w:t>
            </w:r>
          </w:p>
        </w:tc>
        <w:tc>
          <w:tcPr>
            <w:tcW w:w="1430" w:type="pct"/>
            <w:tcBorders>
              <w:top w:val="nil"/>
              <w:bottom w:val="nil"/>
            </w:tcBorders>
            <w:vAlign w:val="center"/>
          </w:tcPr>
          <w:p w:rsidR="007D32CE" w:rsidRPr="00C66550" w:rsidRDefault="007D32CE" w:rsidP="0096305E">
            <w:pPr>
              <w:jc w:val="center"/>
              <w:cnfStyle w:val="000000000000"/>
            </w:pPr>
            <w:r w:rsidRPr="00C66550">
              <w:t>313</w:t>
            </w:r>
          </w:p>
        </w:tc>
        <w:tc>
          <w:tcPr>
            <w:tcW w:w="1430" w:type="pct"/>
            <w:tcBorders>
              <w:top w:val="nil"/>
              <w:bottom w:val="nil"/>
            </w:tcBorders>
            <w:vAlign w:val="center"/>
          </w:tcPr>
          <w:p w:rsidR="007D32CE" w:rsidRPr="00C66550" w:rsidRDefault="007D32CE" w:rsidP="0096305E">
            <w:pPr>
              <w:jc w:val="center"/>
              <w:cnfStyle w:val="000000000000"/>
            </w:pPr>
            <w:r w:rsidRPr="00C66550">
              <w:t>4%</w:t>
            </w:r>
          </w:p>
        </w:tc>
        <w:tc>
          <w:tcPr>
            <w:tcW w:w="1430" w:type="pct"/>
            <w:tcBorders>
              <w:top w:val="nil"/>
              <w:bottom w:val="nil"/>
            </w:tcBorders>
            <w:vAlign w:val="center"/>
          </w:tcPr>
          <w:p w:rsidR="007D32CE" w:rsidRPr="00C66550" w:rsidRDefault="007D32CE" w:rsidP="0096305E">
            <w:pPr>
              <w:jc w:val="center"/>
              <w:cnfStyle w:val="000000000000"/>
            </w:pPr>
            <w:r w:rsidRPr="00C66550">
              <w:t>9%</w:t>
            </w:r>
          </w:p>
        </w:tc>
      </w:tr>
      <w:tr w:rsidR="007D32CE" w:rsidRPr="00C66550" w:rsidTr="00C0220C">
        <w:tc>
          <w:tcPr>
            <w:cnfStyle w:val="001000000000"/>
            <w:tcW w:w="710" w:type="pct"/>
            <w:tcBorders>
              <w:top w:val="nil"/>
              <w:bottom w:val="nil"/>
            </w:tcBorders>
            <w:vAlign w:val="bottom"/>
          </w:tcPr>
          <w:p w:rsidR="007D32CE" w:rsidRPr="00C66550" w:rsidRDefault="007D32CE">
            <w:pPr>
              <w:rPr>
                <w:color w:val="000000"/>
                <w:sz w:val="22"/>
              </w:rPr>
            </w:pPr>
            <w:r w:rsidRPr="00C66550">
              <w:rPr>
                <w:color w:val="000000"/>
                <w:sz w:val="22"/>
              </w:rPr>
              <w:t>SA</w:t>
            </w:r>
          </w:p>
        </w:tc>
        <w:tc>
          <w:tcPr>
            <w:tcW w:w="1430" w:type="pct"/>
            <w:tcBorders>
              <w:top w:val="nil"/>
              <w:bottom w:val="nil"/>
            </w:tcBorders>
            <w:vAlign w:val="center"/>
          </w:tcPr>
          <w:p w:rsidR="007D32CE" w:rsidRPr="00C66550" w:rsidRDefault="007D32CE" w:rsidP="0096305E">
            <w:pPr>
              <w:jc w:val="center"/>
              <w:cnfStyle w:val="000000000000"/>
            </w:pPr>
            <w:r w:rsidRPr="00C66550">
              <w:t>350</w:t>
            </w:r>
          </w:p>
        </w:tc>
        <w:tc>
          <w:tcPr>
            <w:tcW w:w="1430" w:type="pct"/>
            <w:tcBorders>
              <w:top w:val="nil"/>
              <w:bottom w:val="nil"/>
            </w:tcBorders>
            <w:vAlign w:val="center"/>
          </w:tcPr>
          <w:p w:rsidR="007D32CE" w:rsidRPr="00C66550" w:rsidRDefault="007D32CE" w:rsidP="0096305E">
            <w:pPr>
              <w:jc w:val="center"/>
              <w:cnfStyle w:val="000000000000"/>
            </w:pPr>
            <w:r w:rsidRPr="00C66550">
              <w:t>9%</w:t>
            </w:r>
          </w:p>
        </w:tc>
        <w:tc>
          <w:tcPr>
            <w:tcW w:w="1430" w:type="pct"/>
            <w:tcBorders>
              <w:top w:val="nil"/>
              <w:bottom w:val="nil"/>
            </w:tcBorders>
            <w:vAlign w:val="center"/>
          </w:tcPr>
          <w:p w:rsidR="007D32CE" w:rsidRPr="00C66550" w:rsidRDefault="007D32CE" w:rsidP="0096305E">
            <w:pPr>
              <w:jc w:val="center"/>
              <w:cnfStyle w:val="000000000000"/>
            </w:pPr>
            <w:r w:rsidRPr="00C66550">
              <w:t>40%</w:t>
            </w:r>
          </w:p>
        </w:tc>
      </w:tr>
      <w:tr w:rsidR="007D32CE" w:rsidRPr="00C66550" w:rsidTr="00C0220C">
        <w:tc>
          <w:tcPr>
            <w:cnfStyle w:val="001000000000"/>
            <w:tcW w:w="710" w:type="pct"/>
            <w:tcBorders>
              <w:top w:val="nil"/>
              <w:bottom w:val="nil"/>
            </w:tcBorders>
            <w:vAlign w:val="bottom"/>
          </w:tcPr>
          <w:p w:rsidR="007D32CE" w:rsidRPr="00C66550" w:rsidRDefault="007D32CE">
            <w:pPr>
              <w:rPr>
                <w:color w:val="000000"/>
                <w:sz w:val="22"/>
              </w:rPr>
            </w:pPr>
            <w:r w:rsidRPr="00C66550">
              <w:rPr>
                <w:color w:val="000000"/>
                <w:sz w:val="22"/>
              </w:rPr>
              <w:t>Tas</w:t>
            </w:r>
          </w:p>
        </w:tc>
        <w:tc>
          <w:tcPr>
            <w:tcW w:w="1430" w:type="pct"/>
            <w:tcBorders>
              <w:top w:val="nil"/>
              <w:bottom w:val="nil"/>
            </w:tcBorders>
            <w:vAlign w:val="center"/>
          </w:tcPr>
          <w:p w:rsidR="007D32CE" w:rsidRPr="00C66550" w:rsidRDefault="007D32CE" w:rsidP="0096305E">
            <w:pPr>
              <w:jc w:val="center"/>
              <w:cnfStyle w:val="000000000000"/>
            </w:pPr>
            <w:r w:rsidRPr="00C66550">
              <w:t>0</w:t>
            </w:r>
          </w:p>
        </w:tc>
        <w:tc>
          <w:tcPr>
            <w:tcW w:w="1430" w:type="pct"/>
            <w:tcBorders>
              <w:top w:val="nil"/>
              <w:bottom w:val="nil"/>
            </w:tcBorders>
            <w:vAlign w:val="center"/>
          </w:tcPr>
          <w:p w:rsidR="007D32CE" w:rsidRPr="00C66550" w:rsidRDefault="007D32CE" w:rsidP="0096305E">
            <w:pPr>
              <w:jc w:val="center"/>
              <w:cnfStyle w:val="000000000000"/>
            </w:pPr>
            <w:r w:rsidRPr="00C66550">
              <w:t>0%</w:t>
            </w:r>
          </w:p>
        </w:tc>
        <w:tc>
          <w:tcPr>
            <w:tcW w:w="1430" w:type="pct"/>
            <w:tcBorders>
              <w:top w:val="nil"/>
              <w:bottom w:val="nil"/>
            </w:tcBorders>
            <w:vAlign w:val="center"/>
          </w:tcPr>
          <w:p w:rsidR="007D32CE" w:rsidRPr="00C66550" w:rsidRDefault="007D32CE" w:rsidP="0096305E">
            <w:pPr>
              <w:jc w:val="center"/>
              <w:cnfStyle w:val="000000000000"/>
            </w:pPr>
            <w:r w:rsidRPr="00C66550">
              <w:t>0%</w:t>
            </w:r>
          </w:p>
        </w:tc>
      </w:tr>
      <w:tr w:rsidR="007D32CE" w:rsidRPr="00C66550" w:rsidTr="00C0220C">
        <w:tc>
          <w:tcPr>
            <w:cnfStyle w:val="001000000000"/>
            <w:tcW w:w="710" w:type="pct"/>
            <w:tcBorders>
              <w:top w:val="nil"/>
              <w:bottom w:val="nil"/>
            </w:tcBorders>
            <w:vAlign w:val="bottom"/>
          </w:tcPr>
          <w:p w:rsidR="007D32CE" w:rsidRPr="00C66550" w:rsidRDefault="007D32CE">
            <w:pPr>
              <w:rPr>
                <w:color w:val="000000"/>
                <w:sz w:val="22"/>
              </w:rPr>
            </w:pPr>
            <w:r w:rsidRPr="00C66550">
              <w:rPr>
                <w:color w:val="000000"/>
                <w:sz w:val="22"/>
              </w:rPr>
              <w:t>Vic</w:t>
            </w:r>
          </w:p>
        </w:tc>
        <w:tc>
          <w:tcPr>
            <w:tcW w:w="1430" w:type="pct"/>
            <w:tcBorders>
              <w:top w:val="nil"/>
              <w:bottom w:val="nil"/>
            </w:tcBorders>
            <w:vAlign w:val="center"/>
          </w:tcPr>
          <w:p w:rsidR="007D32CE" w:rsidRPr="00C66550" w:rsidRDefault="007D32CE" w:rsidP="0096305E">
            <w:pPr>
              <w:jc w:val="center"/>
              <w:cnfStyle w:val="000000000000"/>
            </w:pPr>
            <w:r w:rsidRPr="00C66550">
              <w:t>30</w:t>
            </w:r>
          </w:p>
        </w:tc>
        <w:tc>
          <w:tcPr>
            <w:tcW w:w="1430" w:type="pct"/>
            <w:tcBorders>
              <w:top w:val="nil"/>
              <w:bottom w:val="nil"/>
            </w:tcBorders>
            <w:vAlign w:val="center"/>
          </w:tcPr>
          <w:p w:rsidR="007D32CE" w:rsidRPr="00C66550" w:rsidRDefault="007D32CE" w:rsidP="0096305E">
            <w:pPr>
              <w:jc w:val="center"/>
              <w:cnfStyle w:val="000000000000"/>
            </w:pPr>
            <w:r w:rsidRPr="00C66550">
              <w:t>0%</w:t>
            </w:r>
          </w:p>
        </w:tc>
        <w:tc>
          <w:tcPr>
            <w:tcW w:w="1430" w:type="pct"/>
            <w:tcBorders>
              <w:top w:val="nil"/>
              <w:bottom w:val="nil"/>
            </w:tcBorders>
            <w:vAlign w:val="center"/>
          </w:tcPr>
          <w:p w:rsidR="007D32CE" w:rsidRPr="00C66550" w:rsidRDefault="007D32CE" w:rsidP="0096305E">
            <w:pPr>
              <w:jc w:val="center"/>
              <w:cnfStyle w:val="000000000000"/>
            </w:pPr>
            <w:r w:rsidRPr="00C66550">
              <w:t>1%</w:t>
            </w:r>
          </w:p>
        </w:tc>
      </w:tr>
      <w:tr w:rsidR="007D32CE" w:rsidRPr="00C66550" w:rsidTr="00C0220C">
        <w:tc>
          <w:tcPr>
            <w:cnfStyle w:val="001000000000"/>
            <w:tcW w:w="710" w:type="pct"/>
            <w:tcBorders>
              <w:top w:val="nil"/>
              <w:bottom w:val="single" w:sz="4" w:space="0" w:color="808080" w:themeColor="background1" w:themeShade="80"/>
            </w:tcBorders>
            <w:vAlign w:val="bottom"/>
          </w:tcPr>
          <w:p w:rsidR="007D32CE" w:rsidRPr="00C66550" w:rsidRDefault="007D32CE">
            <w:pPr>
              <w:rPr>
                <w:color w:val="000000"/>
                <w:sz w:val="22"/>
              </w:rPr>
            </w:pPr>
            <w:r w:rsidRPr="00C66550">
              <w:rPr>
                <w:color w:val="000000"/>
                <w:sz w:val="22"/>
              </w:rPr>
              <w:t>WA</w:t>
            </w:r>
          </w:p>
        </w:tc>
        <w:tc>
          <w:tcPr>
            <w:tcW w:w="1430" w:type="pct"/>
            <w:tcBorders>
              <w:top w:val="nil"/>
              <w:bottom w:val="single" w:sz="4" w:space="0" w:color="808080" w:themeColor="background1" w:themeShade="80"/>
            </w:tcBorders>
            <w:vAlign w:val="center"/>
          </w:tcPr>
          <w:p w:rsidR="007D32CE" w:rsidRPr="00C66550" w:rsidRDefault="007D32CE" w:rsidP="0096305E">
            <w:pPr>
              <w:jc w:val="center"/>
              <w:cnfStyle w:val="000000000000"/>
            </w:pPr>
            <w:r w:rsidRPr="00C66550">
              <w:t>255</w:t>
            </w:r>
          </w:p>
        </w:tc>
        <w:tc>
          <w:tcPr>
            <w:tcW w:w="1430" w:type="pct"/>
            <w:tcBorders>
              <w:top w:val="nil"/>
              <w:bottom w:val="single" w:sz="4" w:space="0" w:color="808080" w:themeColor="background1" w:themeShade="80"/>
            </w:tcBorders>
            <w:vAlign w:val="center"/>
          </w:tcPr>
          <w:p w:rsidR="007D32CE" w:rsidRPr="00C66550" w:rsidRDefault="007D32CE" w:rsidP="0096305E">
            <w:pPr>
              <w:jc w:val="center"/>
              <w:cnfStyle w:val="000000000000"/>
            </w:pPr>
            <w:r w:rsidRPr="00C66550">
              <w:t>4%</w:t>
            </w:r>
          </w:p>
        </w:tc>
        <w:tc>
          <w:tcPr>
            <w:tcW w:w="1430" w:type="pct"/>
            <w:tcBorders>
              <w:top w:val="nil"/>
              <w:bottom w:val="single" w:sz="4" w:space="0" w:color="808080" w:themeColor="background1" w:themeShade="80"/>
            </w:tcBorders>
            <w:vAlign w:val="center"/>
          </w:tcPr>
          <w:p w:rsidR="007D32CE" w:rsidRPr="00C66550" w:rsidRDefault="007D32CE" w:rsidP="0096305E">
            <w:pPr>
              <w:jc w:val="center"/>
              <w:cnfStyle w:val="000000000000"/>
            </w:pPr>
            <w:r w:rsidRPr="00C66550">
              <w:t>7%</w:t>
            </w:r>
          </w:p>
        </w:tc>
      </w:tr>
    </w:tbl>
    <w:p w:rsidR="00125057" w:rsidRPr="00C66550" w:rsidRDefault="00125057" w:rsidP="00C81D5A">
      <w:pPr>
        <w:pStyle w:val="BodyText"/>
      </w:pPr>
    </w:p>
    <w:p w:rsidR="00125057" w:rsidRPr="00C66550" w:rsidRDefault="0062001A" w:rsidP="00C81D5A">
      <w:pPr>
        <w:pStyle w:val="BodyText"/>
      </w:pPr>
      <w:r w:rsidRPr="00C66550">
        <w:fldChar w:fldCharType="begin"/>
      </w:r>
      <w:r w:rsidR="00B21793" w:rsidRPr="00C66550">
        <w:instrText xml:space="preserve"> REF _Ref349651035 \h </w:instrText>
      </w:r>
      <w:r w:rsidRPr="00C66550">
        <w:fldChar w:fldCharType="separate"/>
      </w:r>
      <w:r w:rsidR="00D96003" w:rsidRPr="00C66550">
        <w:t xml:space="preserve">Table </w:t>
      </w:r>
      <w:r w:rsidR="00D96003">
        <w:rPr>
          <w:noProof/>
        </w:rPr>
        <w:t>19</w:t>
      </w:r>
      <w:r w:rsidRPr="00C66550">
        <w:fldChar w:fldCharType="end"/>
      </w:r>
      <w:r w:rsidR="00B21793" w:rsidRPr="00C66550">
        <w:t xml:space="preserve"> shows that NSW has the highest capacity of AWTs in operation in Australia</w:t>
      </w:r>
      <w:r w:rsidR="00851324" w:rsidRPr="00C66550">
        <w:t xml:space="preserve">. However, </w:t>
      </w:r>
      <w:r w:rsidR="00B21793" w:rsidRPr="00C66550">
        <w:t>when compared to the tonnages of waste disposed</w:t>
      </w:r>
      <w:r w:rsidR="00851324" w:rsidRPr="00C66550">
        <w:t>,</w:t>
      </w:r>
      <w:r w:rsidR="00B21793" w:rsidRPr="00C66550">
        <w:t xml:space="preserve"> SA has the highest results</w:t>
      </w:r>
      <w:r w:rsidR="00851324" w:rsidRPr="00C66550">
        <w:t>,</w:t>
      </w:r>
      <w:r w:rsidR="00B21793" w:rsidRPr="00C66550">
        <w:t xml:space="preserve"> with the equivalent of </w:t>
      </w:r>
      <w:r w:rsidR="0096305E" w:rsidRPr="00C66550">
        <w:t>40</w:t>
      </w:r>
      <w:r w:rsidR="00B21793" w:rsidRPr="00C66550">
        <w:t xml:space="preserve">% of </w:t>
      </w:r>
      <w:r w:rsidR="008555F8" w:rsidRPr="00C66550">
        <w:t xml:space="preserve">2010/11 </w:t>
      </w:r>
      <w:r w:rsidR="00B21793" w:rsidRPr="00C66550">
        <w:t xml:space="preserve">waste disposal tonnage </w:t>
      </w:r>
      <w:r w:rsidR="0096305E" w:rsidRPr="00C66550">
        <w:t xml:space="preserve">listed </w:t>
      </w:r>
      <w:r w:rsidR="008555F8" w:rsidRPr="00C66550">
        <w:t>processable in</w:t>
      </w:r>
      <w:r w:rsidR="00B21793" w:rsidRPr="00C66550">
        <w:t xml:space="preserve"> the </w:t>
      </w:r>
      <w:r w:rsidR="00AE63CE" w:rsidRPr="00C66550">
        <w:t>SITA</w:t>
      </w:r>
      <w:r w:rsidR="00B21793" w:rsidRPr="00C66550">
        <w:t xml:space="preserve"> Resource Co facility. </w:t>
      </w:r>
    </w:p>
    <w:p w:rsidR="00B21793" w:rsidRPr="00C66550" w:rsidRDefault="00B21793" w:rsidP="00C81D5A">
      <w:pPr>
        <w:pStyle w:val="BodyText"/>
      </w:pPr>
    </w:p>
    <w:p w:rsidR="00C81D5A" w:rsidRPr="00C66550" w:rsidRDefault="00C81D5A">
      <w:pPr>
        <w:spacing w:line="240" w:lineRule="auto"/>
      </w:pPr>
      <w:r w:rsidRPr="00C66550">
        <w:br w:type="page"/>
      </w:r>
    </w:p>
    <w:p w:rsidR="007D175C" w:rsidRPr="00C66550" w:rsidRDefault="007D175C" w:rsidP="006D25F9">
      <w:pPr>
        <w:pStyle w:val="Heading1"/>
      </w:pPr>
      <w:bookmarkStart w:id="234" w:name="_Toc347947918"/>
      <w:bookmarkStart w:id="235" w:name="_Ref349634998"/>
      <w:bookmarkStart w:id="236" w:name="_Ref349637092"/>
      <w:bookmarkStart w:id="237" w:name="_Ref354658324"/>
      <w:bookmarkStart w:id="238" w:name="_Ref354658777"/>
      <w:bookmarkStart w:id="239" w:name="_Toc379466401"/>
      <w:r w:rsidRPr="00C66550">
        <w:lastRenderedPageBreak/>
        <w:t>The environmental impacts of waste management</w:t>
      </w:r>
      <w:bookmarkEnd w:id="234"/>
      <w:bookmarkEnd w:id="235"/>
      <w:bookmarkEnd w:id="236"/>
      <w:bookmarkEnd w:id="237"/>
      <w:bookmarkEnd w:id="238"/>
      <w:bookmarkEnd w:id="239"/>
    </w:p>
    <w:p w:rsidR="007D175C" w:rsidRPr="00C66550" w:rsidRDefault="007D175C" w:rsidP="003715E1">
      <w:pPr>
        <w:pStyle w:val="BodyText"/>
      </w:pPr>
      <w:r w:rsidRPr="00C66550">
        <w:t>The environmental impacts of waste management can be examined from the perspective of costs and benefits. Each waste management pathway has its environmental costs, and some have environmental benefits</w:t>
      </w:r>
      <w:r w:rsidR="00A9634B" w:rsidRPr="00C66550">
        <w:t>—</w:t>
      </w:r>
      <w:r w:rsidRPr="00C66550">
        <w:t xml:space="preserve">particularly those that result in products that offset the need for production of goods from virgin materials, or which generate energy from renewable resources. </w:t>
      </w:r>
    </w:p>
    <w:p w:rsidR="007D175C" w:rsidRPr="00C66550" w:rsidRDefault="007D175C" w:rsidP="003715E1">
      <w:pPr>
        <w:pStyle w:val="BodyText"/>
      </w:pPr>
    </w:p>
    <w:p w:rsidR="007D175C" w:rsidRPr="00C66550" w:rsidRDefault="007D175C" w:rsidP="003715E1">
      <w:pPr>
        <w:pStyle w:val="BodyText"/>
      </w:pPr>
      <w:r w:rsidRPr="00C66550">
        <w:t xml:space="preserve">This </w:t>
      </w:r>
      <w:r w:rsidR="00912151" w:rsidRPr="00C66550">
        <w:t>section</w:t>
      </w:r>
      <w:r w:rsidRPr="00C66550">
        <w:t xml:space="preserve"> examines the broad environmental impacts of waste management, covering the environmental benefits of resource recovery, the environmental impact of landfills, the environmental impacts of other waste facilities, and the effects of solid waste that escapes into the environment.</w:t>
      </w:r>
      <w:r w:rsidR="00FF12A8" w:rsidRPr="00C66550">
        <w:t xml:space="preserve"> </w:t>
      </w:r>
    </w:p>
    <w:p w:rsidR="003715E1" w:rsidRPr="00C66550" w:rsidRDefault="003715E1" w:rsidP="003715E1">
      <w:pPr>
        <w:pStyle w:val="BodyText"/>
      </w:pPr>
    </w:p>
    <w:p w:rsidR="007D175C" w:rsidRPr="00C66550" w:rsidRDefault="007D175C" w:rsidP="006D25F9">
      <w:pPr>
        <w:pStyle w:val="Heading2"/>
      </w:pPr>
      <w:bookmarkStart w:id="240" w:name="_Toc347947919"/>
      <w:bookmarkStart w:id="241" w:name="_Toc379466402"/>
      <w:r w:rsidRPr="00C66550">
        <w:t>The environmental impact of landfills</w:t>
      </w:r>
      <w:bookmarkEnd w:id="240"/>
      <w:bookmarkEnd w:id="241"/>
    </w:p>
    <w:p w:rsidR="007D175C" w:rsidRPr="00C66550" w:rsidRDefault="007D175C" w:rsidP="006D25F9">
      <w:pPr>
        <w:pStyle w:val="Heading3"/>
      </w:pPr>
      <w:r w:rsidRPr="00C66550">
        <w:t>Landfills in Australia</w:t>
      </w:r>
    </w:p>
    <w:p w:rsidR="007D175C" w:rsidRPr="00C66550" w:rsidRDefault="007D175C" w:rsidP="003715E1">
      <w:pPr>
        <w:pStyle w:val="BodyText"/>
      </w:pPr>
      <w:r w:rsidRPr="00C66550">
        <w:t xml:space="preserve">Nearly all Australian waste that is not reused, recycled or used for energy recovery is disposed of in landfill. Landfills are usually in sited in large holes left by quarrying operations. They generally fall into three categories: inert, putrescible and hazardous, as described in </w:t>
      </w:r>
      <w:fldSimple w:instr=" REF _Ref347833168 \h  \* MERGEFORMAT ">
        <w:r w:rsidR="00D96003" w:rsidRPr="00D96003">
          <w:rPr>
            <w:rFonts w:cs="Calibri"/>
            <w:color w:val="auto"/>
            <w:szCs w:val="20"/>
          </w:rPr>
          <w:t xml:space="preserve">Table </w:t>
        </w:r>
        <w:r w:rsidR="00D96003" w:rsidRPr="00D96003">
          <w:rPr>
            <w:rFonts w:cs="Calibri"/>
            <w:noProof/>
            <w:color w:val="auto"/>
            <w:szCs w:val="20"/>
          </w:rPr>
          <w:t>20</w:t>
        </w:r>
      </w:fldSimple>
      <w:r w:rsidRPr="00C66550">
        <w:t xml:space="preserve">. These categories are not absolute: some jurisdictions have no inert sites; some or all hazardous wastes can be sent to high-quality engineered putrescible sites; and NSW has a special landfill category for C&amp;I waste. </w:t>
      </w:r>
    </w:p>
    <w:p w:rsidR="007D175C" w:rsidRPr="00C66550" w:rsidRDefault="007D175C" w:rsidP="007D175C">
      <w:pPr>
        <w:tabs>
          <w:tab w:val="left" w:pos="4080"/>
        </w:tabs>
        <w:spacing w:line="240" w:lineRule="auto"/>
        <w:rPr>
          <w:color w:val="080808"/>
          <w:spacing w:val="3"/>
          <w:sz w:val="22"/>
        </w:rPr>
      </w:pPr>
      <w:r w:rsidRPr="00C66550">
        <w:rPr>
          <w:color w:val="080808"/>
          <w:spacing w:val="3"/>
          <w:sz w:val="22"/>
        </w:rPr>
        <w:tab/>
      </w:r>
    </w:p>
    <w:p w:rsidR="007D175C" w:rsidRPr="00C66550" w:rsidRDefault="007D175C" w:rsidP="00FB4820">
      <w:pPr>
        <w:pStyle w:val="Figures"/>
      </w:pPr>
      <w:bookmarkStart w:id="242" w:name="_bookmark89"/>
      <w:bookmarkStart w:id="243" w:name="_Ref347833168"/>
      <w:bookmarkStart w:id="244" w:name="_Toc347947941"/>
      <w:bookmarkStart w:id="245" w:name="_Toc365038864"/>
      <w:bookmarkEnd w:id="242"/>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20</w:t>
      </w:r>
      <w:r w:rsidR="0062001A" w:rsidRPr="00C66550">
        <w:fldChar w:fldCharType="end"/>
      </w:r>
      <w:bookmarkEnd w:id="243"/>
      <w:r w:rsidR="003715E1" w:rsidRPr="00C66550">
        <w:t>:</w:t>
      </w:r>
      <w:r w:rsidR="003715E1" w:rsidRPr="00C66550">
        <w:tab/>
      </w:r>
      <w:r w:rsidRPr="00C66550">
        <w:t>Landfill types and wastes received</w:t>
      </w:r>
      <w:bookmarkEnd w:id="244"/>
      <w:bookmarkEnd w:id="245"/>
    </w:p>
    <w:tbl>
      <w:tblPr>
        <w:tblStyle w:val="BETable12"/>
        <w:tblW w:w="9070" w:type="dxa"/>
        <w:tblLayout w:type="fixed"/>
        <w:tblLook w:val="04A0"/>
      </w:tblPr>
      <w:tblGrid>
        <w:gridCol w:w="1418"/>
        <w:gridCol w:w="7652"/>
      </w:tblGrid>
      <w:tr w:rsidR="007D175C" w:rsidRPr="00C66550" w:rsidTr="00E45618">
        <w:trPr>
          <w:cnfStyle w:val="100000000000"/>
        </w:trPr>
        <w:tc>
          <w:tcPr>
            <w:cnfStyle w:val="001000000000"/>
            <w:tcW w:w="1418" w:type="dxa"/>
            <w:tcBorders>
              <w:bottom w:val="single" w:sz="4" w:space="0" w:color="7F7F7F" w:themeColor="background2"/>
            </w:tcBorders>
          </w:tcPr>
          <w:p w:rsidR="007D175C" w:rsidRPr="00C66550" w:rsidRDefault="007D175C" w:rsidP="007D175C">
            <w:pPr>
              <w:rPr>
                <w:b w:val="0"/>
              </w:rPr>
            </w:pPr>
            <w:r w:rsidRPr="00C66550">
              <w:t>Landfill type</w:t>
            </w:r>
          </w:p>
        </w:tc>
        <w:tc>
          <w:tcPr>
            <w:tcW w:w="7652" w:type="dxa"/>
            <w:tcBorders>
              <w:bottom w:val="single" w:sz="4" w:space="0" w:color="7F7F7F" w:themeColor="background2"/>
            </w:tcBorders>
          </w:tcPr>
          <w:p w:rsidR="007D175C" w:rsidRPr="00C66550" w:rsidRDefault="007D175C" w:rsidP="007D175C">
            <w:pPr>
              <w:cnfStyle w:val="100000000000"/>
              <w:rPr>
                <w:b w:val="0"/>
              </w:rPr>
            </w:pPr>
            <w:r w:rsidRPr="00C66550">
              <w:t>Wastes received</w:t>
            </w:r>
          </w:p>
        </w:tc>
      </w:tr>
      <w:tr w:rsidR="007D175C" w:rsidRPr="00C66550" w:rsidTr="00E45618">
        <w:tc>
          <w:tcPr>
            <w:cnfStyle w:val="001000000000"/>
            <w:tcW w:w="1418" w:type="dxa"/>
            <w:tcBorders>
              <w:bottom w:val="nil"/>
            </w:tcBorders>
          </w:tcPr>
          <w:p w:rsidR="007D175C" w:rsidRPr="00C66550" w:rsidRDefault="007D175C" w:rsidP="007D175C">
            <w:r w:rsidRPr="00C66550">
              <w:t>Hazardous</w:t>
            </w:r>
          </w:p>
        </w:tc>
        <w:tc>
          <w:tcPr>
            <w:tcW w:w="7652" w:type="dxa"/>
            <w:tcBorders>
              <w:bottom w:val="nil"/>
            </w:tcBorders>
          </w:tcPr>
          <w:p w:rsidR="007D175C" w:rsidRPr="00C66550" w:rsidRDefault="007D175C" w:rsidP="007D175C">
            <w:pPr>
              <w:cnfStyle w:val="000000000000"/>
              <w:rPr>
                <w:rFonts w:asciiTheme="minorHAnsi" w:hAnsiTheme="minorHAnsi"/>
                <w:szCs w:val="20"/>
              </w:rPr>
            </w:pPr>
            <w:r w:rsidRPr="00C66550">
              <w:rPr>
                <w:rFonts w:asciiTheme="minorHAnsi" w:eastAsia="Arial" w:hAnsiTheme="minorHAnsi" w:cs="Arial"/>
                <w:szCs w:val="20"/>
              </w:rPr>
              <w:t>Ind</w:t>
            </w:r>
            <w:r w:rsidRPr="00C66550">
              <w:rPr>
                <w:rFonts w:asciiTheme="minorHAnsi" w:eastAsia="Arial" w:hAnsiTheme="minorHAnsi" w:cs="Arial"/>
                <w:spacing w:val="-2"/>
                <w:szCs w:val="20"/>
              </w:rPr>
              <w:t>u</w:t>
            </w:r>
            <w:r w:rsidRPr="00C66550">
              <w:rPr>
                <w:rFonts w:asciiTheme="minorHAnsi" w:eastAsia="Arial" w:hAnsiTheme="minorHAnsi" w:cs="Arial"/>
                <w:spacing w:val="1"/>
                <w:szCs w:val="20"/>
              </w:rPr>
              <w:t>s</w:t>
            </w:r>
            <w:r w:rsidRPr="00C66550">
              <w:rPr>
                <w:rFonts w:asciiTheme="minorHAnsi" w:eastAsia="Arial" w:hAnsiTheme="minorHAnsi" w:cs="Arial"/>
                <w:szCs w:val="20"/>
              </w:rPr>
              <w:t>tri</w:t>
            </w:r>
            <w:r w:rsidRPr="00C66550">
              <w:rPr>
                <w:rFonts w:asciiTheme="minorHAnsi" w:eastAsia="Arial" w:hAnsiTheme="minorHAnsi" w:cs="Arial"/>
                <w:spacing w:val="-2"/>
                <w:szCs w:val="20"/>
              </w:rPr>
              <w:t>a</w:t>
            </w:r>
            <w:r w:rsidRPr="00C66550">
              <w:rPr>
                <w:rFonts w:asciiTheme="minorHAnsi" w:eastAsia="Arial" w:hAnsiTheme="minorHAnsi" w:cs="Arial"/>
                <w:szCs w:val="20"/>
              </w:rPr>
              <w:t>l</w:t>
            </w:r>
            <w:r w:rsidRPr="00C66550">
              <w:rPr>
                <w:rFonts w:asciiTheme="minorHAnsi" w:eastAsia="Arial" w:hAnsiTheme="minorHAnsi" w:cs="Arial"/>
                <w:spacing w:val="1"/>
                <w:szCs w:val="20"/>
              </w:rPr>
              <w:t xml:space="preserve"> </w:t>
            </w:r>
            <w:r w:rsidRPr="00C66550">
              <w:rPr>
                <w:rFonts w:asciiTheme="minorHAnsi" w:eastAsia="Arial" w:hAnsiTheme="minorHAnsi" w:cs="Arial"/>
                <w:spacing w:val="-3"/>
                <w:szCs w:val="20"/>
              </w:rPr>
              <w:t>w</w:t>
            </w:r>
            <w:r w:rsidRPr="00C66550">
              <w:rPr>
                <w:rFonts w:asciiTheme="minorHAnsi" w:eastAsia="Arial" w:hAnsiTheme="minorHAnsi" w:cs="Arial"/>
                <w:szCs w:val="20"/>
              </w:rPr>
              <w:t>a</w:t>
            </w:r>
            <w:r w:rsidRPr="00C66550">
              <w:rPr>
                <w:rFonts w:asciiTheme="minorHAnsi" w:eastAsia="Arial" w:hAnsiTheme="minorHAnsi" w:cs="Arial"/>
                <w:spacing w:val="1"/>
                <w:szCs w:val="20"/>
              </w:rPr>
              <w:t>s</w:t>
            </w:r>
            <w:r w:rsidRPr="00C66550">
              <w:rPr>
                <w:rFonts w:asciiTheme="minorHAnsi" w:eastAsia="Arial" w:hAnsiTheme="minorHAnsi" w:cs="Arial"/>
                <w:szCs w:val="20"/>
              </w:rPr>
              <w:t>te,</w:t>
            </w:r>
            <w:r w:rsidRPr="00C66550">
              <w:rPr>
                <w:rFonts w:asciiTheme="minorHAnsi" w:eastAsia="Arial" w:hAnsiTheme="minorHAnsi" w:cs="Arial"/>
                <w:spacing w:val="-2"/>
                <w:szCs w:val="20"/>
              </w:rPr>
              <w:t xml:space="preserve"> </w:t>
            </w:r>
            <w:r w:rsidRPr="00C66550">
              <w:rPr>
                <w:rFonts w:asciiTheme="minorHAnsi" w:eastAsia="Arial" w:hAnsiTheme="minorHAnsi" w:cs="Arial"/>
                <w:spacing w:val="1"/>
                <w:szCs w:val="20"/>
              </w:rPr>
              <w:t>c</w:t>
            </w:r>
            <w:r w:rsidRPr="00C66550">
              <w:rPr>
                <w:rFonts w:asciiTheme="minorHAnsi" w:eastAsia="Arial" w:hAnsiTheme="minorHAnsi" w:cs="Arial"/>
                <w:szCs w:val="20"/>
              </w:rPr>
              <w:t>on</w:t>
            </w:r>
            <w:r w:rsidRPr="00C66550">
              <w:rPr>
                <w:rFonts w:asciiTheme="minorHAnsi" w:eastAsia="Arial" w:hAnsiTheme="minorHAnsi" w:cs="Arial"/>
                <w:spacing w:val="-2"/>
                <w:szCs w:val="20"/>
              </w:rPr>
              <w:t>t</w:t>
            </w:r>
            <w:r w:rsidRPr="00C66550">
              <w:rPr>
                <w:rFonts w:asciiTheme="minorHAnsi" w:eastAsia="Arial" w:hAnsiTheme="minorHAnsi" w:cs="Arial"/>
                <w:szCs w:val="20"/>
              </w:rPr>
              <w:t>a</w:t>
            </w:r>
            <w:r w:rsidRPr="00C66550">
              <w:rPr>
                <w:rFonts w:asciiTheme="minorHAnsi" w:eastAsia="Arial" w:hAnsiTheme="minorHAnsi" w:cs="Arial"/>
                <w:spacing w:val="-2"/>
                <w:szCs w:val="20"/>
              </w:rPr>
              <w:t>m</w:t>
            </w:r>
            <w:r w:rsidRPr="00C66550">
              <w:rPr>
                <w:rFonts w:asciiTheme="minorHAnsi" w:eastAsia="Arial" w:hAnsiTheme="minorHAnsi" w:cs="Arial"/>
                <w:szCs w:val="20"/>
              </w:rPr>
              <w:t>ina</w:t>
            </w:r>
            <w:r w:rsidRPr="00C66550">
              <w:rPr>
                <w:rFonts w:asciiTheme="minorHAnsi" w:eastAsia="Arial" w:hAnsiTheme="minorHAnsi" w:cs="Arial"/>
                <w:spacing w:val="-2"/>
                <w:szCs w:val="20"/>
              </w:rPr>
              <w:t>t</w:t>
            </w:r>
            <w:r w:rsidRPr="00C66550">
              <w:rPr>
                <w:rFonts w:asciiTheme="minorHAnsi" w:eastAsia="Arial" w:hAnsiTheme="minorHAnsi" w:cs="Arial"/>
                <w:szCs w:val="20"/>
              </w:rPr>
              <w:t>ed</w:t>
            </w:r>
            <w:r w:rsidRPr="00C66550">
              <w:rPr>
                <w:rFonts w:asciiTheme="minorHAnsi" w:eastAsia="Arial" w:hAnsiTheme="minorHAnsi" w:cs="Arial"/>
                <w:spacing w:val="-2"/>
                <w:szCs w:val="20"/>
              </w:rPr>
              <w:t xml:space="preserve"> </w:t>
            </w:r>
            <w:r w:rsidRPr="00C66550">
              <w:rPr>
                <w:rFonts w:asciiTheme="minorHAnsi" w:eastAsia="Arial" w:hAnsiTheme="minorHAnsi" w:cs="Arial"/>
                <w:spacing w:val="1"/>
                <w:szCs w:val="20"/>
              </w:rPr>
              <w:t>s</w:t>
            </w:r>
            <w:r w:rsidRPr="00C66550">
              <w:rPr>
                <w:rFonts w:asciiTheme="minorHAnsi" w:eastAsia="Arial" w:hAnsiTheme="minorHAnsi" w:cs="Arial"/>
                <w:szCs w:val="20"/>
              </w:rPr>
              <w:t>o</w:t>
            </w:r>
            <w:r w:rsidRPr="00C66550">
              <w:rPr>
                <w:rFonts w:asciiTheme="minorHAnsi" w:eastAsia="Arial" w:hAnsiTheme="minorHAnsi" w:cs="Arial"/>
                <w:spacing w:val="-2"/>
                <w:szCs w:val="20"/>
              </w:rPr>
              <w:t>i</w:t>
            </w:r>
            <w:r w:rsidRPr="00C66550">
              <w:rPr>
                <w:rFonts w:asciiTheme="minorHAnsi" w:eastAsia="Arial" w:hAnsiTheme="minorHAnsi" w:cs="Arial"/>
                <w:szCs w:val="20"/>
              </w:rPr>
              <w:t>l</w:t>
            </w:r>
            <w:r w:rsidRPr="00C66550">
              <w:rPr>
                <w:rFonts w:asciiTheme="minorHAnsi" w:eastAsia="Arial" w:hAnsiTheme="minorHAnsi" w:cs="Arial"/>
                <w:spacing w:val="1"/>
                <w:szCs w:val="20"/>
              </w:rPr>
              <w:t xml:space="preserve"> </w:t>
            </w:r>
            <w:r w:rsidRPr="00C66550">
              <w:rPr>
                <w:rFonts w:asciiTheme="minorHAnsi" w:eastAsia="Arial" w:hAnsiTheme="minorHAnsi" w:cs="Arial"/>
                <w:szCs w:val="20"/>
              </w:rPr>
              <w:t>a</w:t>
            </w:r>
            <w:r w:rsidRPr="00C66550">
              <w:rPr>
                <w:rFonts w:asciiTheme="minorHAnsi" w:eastAsia="Arial" w:hAnsiTheme="minorHAnsi" w:cs="Arial"/>
                <w:spacing w:val="-2"/>
                <w:szCs w:val="20"/>
              </w:rPr>
              <w:t>n</w:t>
            </w:r>
            <w:r w:rsidRPr="00C66550">
              <w:rPr>
                <w:rFonts w:asciiTheme="minorHAnsi" w:eastAsia="Arial" w:hAnsiTheme="minorHAnsi" w:cs="Arial"/>
                <w:szCs w:val="20"/>
              </w:rPr>
              <w:t>d</w:t>
            </w:r>
            <w:r w:rsidRPr="00C66550">
              <w:rPr>
                <w:rFonts w:asciiTheme="minorHAnsi" w:eastAsia="Arial" w:hAnsiTheme="minorHAnsi" w:cs="Arial"/>
                <w:spacing w:val="1"/>
                <w:szCs w:val="20"/>
              </w:rPr>
              <w:t xml:space="preserve"> </w:t>
            </w:r>
            <w:r w:rsidRPr="00C66550">
              <w:rPr>
                <w:rFonts w:asciiTheme="minorHAnsi" w:eastAsia="Arial" w:hAnsiTheme="minorHAnsi" w:cs="Arial"/>
                <w:spacing w:val="-2"/>
                <w:szCs w:val="20"/>
              </w:rPr>
              <w:t>s</w:t>
            </w:r>
            <w:r w:rsidRPr="00C66550">
              <w:rPr>
                <w:rFonts w:asciiTheme="minorHAnsi" w:eastAsia="Arial" w:hAnsiTheme="minorHAnsi" w:cs="Arial"/>
                <w:szCs w:val="20"/>
              </w:rPr>
              <w:t>i</w:t>
            </w:r>
            <w:r w:rsidRPr="00C66550">
              <w:rPr>
                <w:rFonts w:asciiTheme="minorHAnsi" w:eastAsia="Arial" w:hAnsiTheme="minorHAnsi" w:cs="Arial"/>
                <w:spacing w:val="1"/>
                <w:szCs w:val="20"/>
              </w:rPr>
              <w:t>m</w:t>
            </w:r>
            <w:r w:rsidRPr="00C66550">
              <w:rPr>
                <w:rFonts w:asciiTheme="minorHAnsi" w:eastAsia="Arial" w:hAnsiTheme="minorHAnsi" w:cs="Arial"/>
                <w:spacing w:val="-2"/>
                <w:szCs w:val="20"/>
              </w:rPr>
              <w:t>i</w:t>
            </w:r>
            <w:r w:rsidRPr="00C66550">
              <w:rPr>
                <w:rFonts w:asciiTheme="minorHAnsi" w:eastAsia="Arial" w:hAnsiTheme="minorHAnsi" w:cs="Arial"/>
                <w:szCs w:val="20"/>
              </w:rPr>
              <w:t>lar</w:t>
            </w:r>
          </w:p>
        </w:tc>
      </w:tr>
      <w:tr w:rsidR="007D175C" w:rsidRPr="00C66550" w:rsidTr="00E45618">
        <w:tc>
          <w:tcPr>
            <w:cnfStyle w:val="001000000000"/>
            <w:tcW w:w="1418" w:type="dxa"/>
            <w:tcBorders>
              <w:top w:val="nil"/>
              <w:bottom w:val="nil"/>
            </w:tcBorders>
          </w:tcPr>
          <w:p w:rsidR="007D175C" w:rsidRPr="00C66550" w:rsidRDefault="007D175C" w:rsidP="007D175C">
            <w:r w:rsidRPr="00C66550">
              <w:t>Putrescible</w:t>
            </w:r>
          </w:p>
        </w:tc>
        <w:tc>
          <w:tcPr>
            <w:tcW w:w="7652" w:type="dxa"/>
            <w:tcBorders>
              <w:top w:val="nil"/>
              <w:bottom w:val="nil"/>
            </w:tcBorders>
          </w:tcPr>
          <w:p w:rsidR="007D175C" w:rsidRPr="00C66550" w:rsidRDefault="007D175C" w:rsidP="007D175C">
            <w:pPr>
              <w:cnfStyle w:val="000000000000"/>
              <w:rPr>
                <w:rFonts w:asciiTheme="minorHAnsi" w:eastAsia="Arial" w:hAnsiTheme="minorHAnsi" w:cs="Arial"/>
                <w:szCs w:val="20"/>
              </w:rPr>
            </w:pPr>
            <w:r w:rsidRPr="00C66550">
              <w:rPr>
                <w:rFonts w:asciiTheme="minorHAnsi" w:eastAsia="Arial" w:hAnsiTheme="minorHAnsi" w:cs="Arial"/>
                <w:szCs w:val="20"/>
              </w:rPr>
              <w:t>Organic-rich materials, mainly from MSW and C&amp;I sources</w:t>
            </w:r>
          </w:p>
        </w:tc>
      </w:tr>
      <w:tr w:rsidR="007D175C" w:rsidRPr="00C66550" w:rsidTr="00E45618">
        <w:tc>
          <w:tcPr>
            <w:cnfStyle w:val="001000000000"/>
            <w:tcW w:w="1418" w:type="dxa"/>
            <w:tcBorders>
              <w:top w:val="nil"/>
              <w:bottom w:val="single" w:sz="4" w:space="0" w:color="808080" w:themeColor="background1" w:themeShade="80"/>
            </w:tcBorders>
          </w:tcPr>
          <w:p w:rsidR="007D175C" w:rsidRPr="00C66550" w:rsidRDefault="007D175C" w:rsidP="007D175C">
            <w:r w:rsidRPr="00C66550">
              <w:t>Inert</w:t>
            </w:r>
          </w:p>
        </w:tc>
        <w:tc>
          <w:tcPr>
            <w:tcW w:w="7652" w:type="dxa"/>
            <w:tcBorders>
              <w:top w:val="nil"/>
              <w:bottom w:val="single" w:sz="4" w:space="0" w:color="808080" w:themeColor="background1" w:themeShade="80"/>
            </w:tcBorders>
          </w:tcPr>
          <w:p w:rsidR="007D175C" w:rsidRPr="00C66550" w:rsidRDefault="007D175C" w:rsidP="007D175C">
            <w:pPr>
              <w:cnfStyle w:val="000000000000"/>
              <w:rPr>
                <w:rFonts w:asciiTheme="minorHAnsi" w:eastAsia="Arial" w:hAnsiTheme="minorHAnsi" w:cs="Arial"/>
                <w:szCs w:val="20"/>
              </w:rPr>
            </w:pPr>
            <w:r w:rsidRPr="00C66550">
              <w:rPr>
                <w:rFonts w:asciiTheme="minorHAnsi" w:eastAsia="Arial" w:hAnsiTheme="minorHAnsi" w:cs="Arial"/>
                <w:szCs w:val="20"/>
              </w:rPr>
              <w:t>Low organic and not readily degradable material; mainly from C&amp;D; also some C&amp;I sources</w:t>
            </w:r>
          </w:p>
        </w:tc>
      </w:tr>
    </w:tbl>
    <w:p w:rsidR="007D175C" w:rsidRPr="00C66550" w:rsidRDefault="007D175C" w:rsidP="007D175C">
      <w:pPr>
        <w:spacing w:line="200" w:lineRule="exact"/>
        <w:rPr>
          <w:szCs w:val="20"/>
        </w:rPr>
      </w:pPr>
    </w:p>
    <w:p w:rsidR="007D175C" w:rsidRPr="00C66550" w:rsidRDefault="007D175C" w:rsidP="003715E1">
      <w:pPr>
        <w:pStyle w:val="BodyText"/>
      </w:pPr>
      <w:r w:rsidRPr="00C66550">
        <w:t>Modern putrescible landfills are engineered structures, with clay and geomembrane composite lining systems and with capacity to collect and treat leachate and gas. Waste is usually placed in contained cells and covered daily, typically with soil, to control odour emission, pests and litter. When cells are completed they are covered, capped and rehabilitated for use as parkland or sports fields. Higher management standards are generally prescribed for hazardous waste landfills, and lower standards for inert sites.</w:t>
      </w:r>
    </w:p>
    <w:p w:rsidR="007D175C" w:rsidRPr="00C66550" w:rsidRDefault="007D175C" w:rsidP="003715E1">
      <w:pPr>
        <w:pStyle w:val="BodyText"/>
      </w:pPr>
    </w:p>
    <w:p w:rsidR="007D175C" w:rsidRPr="00C66550" w:rsidRDefault="007D175C" w:rsidP="003715E1">
      <w:pPr>
        <w:pStyle w:val="BodyText"/>
      </w:pPr>
      <w:r w:rsidRPr="00C66550">
        <w:t xml:space="preserve">These activities are highly regulated in most jurisdictions. Government approval is needed, usually from a specialist environment agency, at each stage of the siting, design, operation and rehabilitation phases. There is typically an operational licensing arrangement including performance monitoring and reporting, which may extend for up to 30 years post-closure. </w:t>
      </w:r>
    </w:p>
    <w:p w:rsidR="007D175C" w:rsidRPr="00C66550" w:rsidRDefault="007D175C" w:rsidP="003715E1">
      <w:pPr>
        <w:pStyle w:val="BodyText"/>
      </w:pPr>
    </w:p>
    <w:p w:rsidR="007D175C" w:rsidRPr="00C66550" w:rsidRDefault="007D175C" w:rsidP="003715E1">
      <w:pPr>
        <w:pStyle w:val="BodyText"/>
      </w:pPr>
      <w:r w:rsidRPr="00C66550">
        <w:t xml:space="preserve">Landfills are mostly owned by local governments or private waste management companies. Over time, the proportion of private landfills has increased, especially in urban areas. Many council-owned sites are now managed by private operators on a contract basis. Over the past two decades many smaller landfills have closed, driven by stricter environmental standards and the better economies of scale obtained at larger regional facilities. Recycling facilities and transfer stations have often been established in place of closed landfills. Despite these closures, the majority of landfills still service smaller population centres and a few large sites accept the waste from the major cities (see </w:t>
      </w:r>
      <w:fldSimple w:instr=" REF _Ref347847473 \h  \* MERGEFORMAT ">
        <w:r w:rsidR="00D96003" w:rsidRPr="00D96003">
          <w:rPr>
            <w:rStyle w:val="BodyTextChar"/>
          </w:rPr>
          <w:t>Figure 44</w:t>
        </w:r>
      </w:fldSimple>
      <w:r w:rsidRPr="00C66550">
        <w:t>).</w:t>
      </w:r>
    </w:p>
    <w:p w:rsidR="007D175C" w:rsidRPr="00C66550" w:rsidRDefault="007D175C" w:rsidP="007D175C">
      <w:pPr>
        <w:spacing w:line="240" w:lineRule="auto"/>
        <w:rPr>
          <w:color w:val="080808"/>
          <w:spacing w:val="3"/>
          <w:sz w:val="22"/>
        </w:rPr>
      </w:pPr>
    </w:p>
    <w:p w:rsidR="003715E1" w:rsidRPr="00C66550" w:rsidRDefault="003715E1" w:rsidP="007D175C">
      <w:pPr>
        <w:spacing w:line="240" w:lineRule="auto"/>
        <w:rPr>
          <w:color w:val="080808"/>
          <w:spacing w:val="3"/>
          <w:sz w:val="22"/>
        </w:rPr>
      </w:pPr>
    </w:p>
    <w:p w:rsidR="007D175C" w:rsidRPr="00C66550" w:rsidRDefault="007D175C" w:rsidP="00FB4820">
      <w:pPr>
        <w:pStyle w:val="Figures"/>
      </w:pPr>
      <w:bookmarkStart w:id="246" w:name="_Ref347847473"/>
      <w:bookmarkStart w:id="247" w:name="_Ref347847451"/>
      <w:bookmarkStart w:id="248" w:name="_Toc347947959"/>
      <w:bookmarkStart w:id="249" w:name="_Toc365385053"/>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44</w:t>
      </w:r>
      <w:r w:rsidR="0062001A" w:rsidRPr="00C66550">
        <w:fldChar w:fldCharType="end"/>
      </w:r>
      <w:bookmarkEnd w:id="246"/>
      <w:r w:rsidR="003715E1" w:rsidRPr="00C66550">
        <w:t>:</w:t>
      </w:r>
      <w:r w:rsidR="003715E1" w:rsidRPr="00C66550">
        <w:tab/>
      </w:r>
      <w:r w:rsidRPr="00C66550">
        <w:t>Landfill sizes and receipts in Australia</w:t>
      </w:r>
      <w:bookmarkEnd w:id="247"/>
      <w:bookmarkEnd w:id="248"/>
      <w:bookmarkEnd w:id="249"/>
    </w:p>
    <w:p w:rsidR="007D175C" w:rsidRPr="00C66550" w:rsidRDefault="007D175C" w:rsidP="007D175C">
      <w:pPr>
        <w:spacing w:line="240" w:lineRule="auto"/>
        <w:rPr>
          <w:color w:val="080808"/>
          <w:spacing w:val="3"/>
          <w:sz w:val="22"/>
        </w:rPr>
      </w:pPr>
      <w:r w:rsidRPr="00C66550">
        <w:rPr>
          <w:noProof/>
          <w:color w:val="080808"/>
          <w:sz w:val="22"/>
          <w:lang w:eastAsia="en-AU"/>
        </w:rPr>
        <w:lastRenderedPageBreak/>
        <w:drawing>
          <wp:inline distT="0" distB="0" distL="0" distR="0">
            <wp:extent cx="4591050" cy="2600325"/>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rcRect b="5862"/>
                    <a:stretch>
                      <a:fillRect/>
                    </a:stretch>
                  </pic:blipFill>
                  <pic:spPr>
                    <a:xfrm>
                      <a:off x="0" y="0"/>
                      <a:ext cx="4591050" cy="2600325"/>
                    </a:xfrm>
                    <a:prstGeom prst="rect">
                      <a:avLst/>
                    </a:prstGeom>
                  </pic:spPr>
                </pic:pic>
              </a:graphicData>
            </a:graphic>
          </wp:inline>
        </w:drawing>
      </w:r>
    </w:p>
    <w:p w:rsidR="007D175C" w:rsidRPr="00C548DF" w:rsidRDefault="007D175C" w:rsidP="007D175C">
      <w:pPr>
        <w:spacing w:before="80" w:line="240" w:lineRule="auto"/>
        <w:rPr>
          <w:rFonts w:cs="Arial"/>
          <w:i/>
          <w:color w:val="0000FF"/>
          <w:szCs w:val="20"/>
        </w:rPr>
      </w:pPr>
      <w:r w:rsidRPr="00C548DF">
        <w:rPr>
          <w:rFonts w:cs="Arial"/>
          <w:i/>
          <w:color w:val="0000FF"/>
          <w:szCs w:val="20"/>
        </w:rPr>
        <w:t>Source: Waste Management Association of Australia</w:t>
      </w:r>
      <w:r w:rsidR="000118E2" w:rsidRPr="00C548DF">
        <w:rPr>
          <w:rFonts w:cs="Arial"/>
          <w:i/>
          <w:color w:val="0000FF"/>
          <w:szCs w:val="20"/>
        </w:rPr>
        <w:t>(WMAA)</w:t>
      </w:r>
      <w:r w:rsidRPr="00C548DF">
        <w:rPr>
          <w:rFonts w:cs="Arial"/>
          <w:i/>
          <w:color w:val="0000FF"/>
          <w:szCs w:val="20"/>
        </w:rPr>
        <w:t xml:space="preserve"> landfill database</w:t>
      </w:r>
      <w:r w:rsidRPr="00C548DF">
        <w:rPr>
          <w:rFonts w:cs="Arial"/>
          <w:i/>
          <w:color w:val="0000FF"/>
          <w:szCs w:val="20"/>
          <w:vertAlign w:val="superscript"/>
        </w:rPr>
        <w:footnoteReference w:id="26"/>
      </w:r>
    </w:p>
    <w:p w:rsidR="007D175C" w:rsidRPr="00C66550" w:rsidRDefault="007D175C" w:rsidP="007D175C">
      <w:pPr>
        <w:spacing w:line="240" w:lineRule="auto"/>
        <w:rPr>
          <w:color w:val="080808"/>
          <w:spacing w:val="3"/>
          <w:sz w:val="22"/>
        </w:rPr>
      </w:pPr>
    </w:p>
    <w:p w:rsidR="007D175C" w:rsidRPr="00C66550" w:rsidRDefault="007D175C" w:rsidP="007D175C">
      <w:pPr>
        <w:spacing w:line="240" w:lineRule="auto"/>
        <w:rPr>
          <w:color w:val="080808"/>
          <w:spacing w:val="3"/>
          <w:sz w:val="22"/>
        </w:rPr>
      </w:pPr>
      <w:r w:rsidRPr="00C66550">
        <w:rPr>
          <w:color w:val="080808"/>
          <w:spacing w:val="3"/>
          <w:sz w:val="22"/>
        </w:rPr>
        <w:t>Landfill emissions result mainly from the decomposition of organic wastes. These chemical processes occur in a predictable sequence but over a timeframe that varies between, and sometimes within landfills. The types, quantities and timeframes of landfill emissions are therefore uncertain.</w:t>
      </w:r>
      <w:r w:rsidR="00E1569B" w:rsidRPr="00C66550">
        <w:rPr>
          <w:color w:val="080808"/>
          <w:spacing w:val="3"/>
          <w:sz w:val="22"/>
        </w:rPr>
        <w:t xml:space="preserve"> Landfills generate liquid emissions </w:t>
      </w:r>
      <w:r w:rsidRPr="00C66550">
        <w:rPr>
          <w:color w:val="080808"/>
          <w:spacing w:val="3"/>
          <w:sz w:val="22"/>
        </w:rPr>
        <w:t xml:space="preserve">(leachate) and </w:t>
      </w:r>
      <w:r w:rsidR="00E1569B" w:rsidRPr="00C66550">
        <w:rPr>
          <w:color w:val="080808"/>
          <w:spacing w:val="3"/>
          <w:sz w:val="22"/>
        </w:rPr>
        <w:t>gaseous emissions</w:t>
      </w:r>
      <w:r w:rsidRPr="00C66550">
        <w:rPr>
          <w:color w:val="080808"/>
          <w:spacing w:val="3"/>
          <w:sz w:val="22"/>
        </w:rPr>
        <w:t xml:space="preserve"> that can be environmentally damaging. </w:t>
      </w:r>
    </w:p>
    <w:p w:rsidR="007D175C" w:rsidRPr="00C66550" w:rsidRDefault="007D175C" w:rsidP="006D25F9">
      <w:pPr>
        <w:pStyle w:val="Heading3"/>
      </w:pPr>
      <w:r w:rsidRPr="00C66550">
        <w:t>La</w:t>
      </w:r>
      <w:r w:rsidRPr="00C66550">
        <w:rPr>
          <w:spacing w:val="-2"/>
        </w:rPr>
        <w:t>nd</w:t>
      </w:r>
      <w:r w:rsidRPr="00C66550">
        <w:rPr>
          <w:spacing w:val="2"/>
        </w:rPr>
        <w:t>f</w:t>
      </w:r>
      <w:r w:rsidRPr="00C66550">
        <w:rPr>
          <w:spacing w:val="-1"/>
        </w:rPr>
        <w:t>il</w:t>
      </w:r>
      <w:r w:rsidRPr="00C66550">
        <w:t xml:space="preserve">l </w:t>
      </w:r>
      <w:r w:rsidRPr="00C66550">
        <w:rPr>
          <w:spacing w:val="-1"/>
        </w:rPr>
        <w:t>l</w:t>
      </w:r>
      <w:r w:rsidRPr="00C66550">
        <w:t>eac</w:t>
      </w:r>
      <w:r w:rsidRPr="00C66550">
        <w:rPr>
          <w:spacing w:val="-2"/>
        </w:rPr>
        <w:t>h</w:t>
      </w:r>
      <w:r w:rsidRPr="00C66550">
        <w:t>ate</w:t>
      </w:r>
      <w:r w:rsidRPr="00C66550">
        <w:rPr>
          <w:spacing w:val="-1"/>
        </w:rPr>
        <w:t xml:space="preserve"> </w:t>
      </w:r>
      <w:r w:rsidRPr="00C66550">
        <w:rPr>
          <w:spacing w:val="-2"/>
        </w:rPr>
        <w:t>a</w:t>
      </w:r>
      <w:r w:rsidRPr="00C66550">
        <w:t xml:space="preserve">nd its </w:t>
      </w:r>
      <w:r w:rsidRPr="00C66550">
        <w:rPr>
          <w:spacing w:val="1"/>
        </w:rPr>
        <w:t>m</w:t>
      </w:r>
      <w:r w:rsidRPr="00C66550">
        <w:rPr>
          <w:spacing w:val="-2"/>
        </w:rPr>
        <w:t>a</w:t>
      </w:r>
      <w:r w:rsidRPr="00C66550">
        <w:t>na</w:t>
      </w:r>
      <w:r w:rsidRPr="00C66550">
        <w:rPr>
          <w:spacing w:val="-2"/>
        </w:rPr>
        <w:t>g</w:t>
      </w:r>
      <w:r w:rsidRPr="00C66550">
        <w:t>e</w:t>
      </w:r>
      <w:r w:rsidRPr="00C66550">
        <w:rPr>
          <w:spacing w:val="-1"/>
        </w:rPr>
        <w:t>m</w:t>
      </w:r>
      <w:r w:rsidRPr="00C66550">
        <w:t>ent</w:t>
      </w:r>
    </w:p>
    <w:p w:rsidR="007D175C" w:rsidRPr="00C66550" w:rsidRDefault="007D175C" w:rsidP="007D175C">
      <w:pPr>
        <w:spacing w:line="240" w:lineRule="auto"/>
        <w:rPr>
          <w:color w:val="080808"/>
          <w:sz w:val="22"/>
        </w:rPr>
      </w:pPr>
      <w:r w:rsidRPr="00C66550">
        <w:rPr>
          <w:color w:val="080808"/>
          <w:spacing w:val="3"/>
          <w:sz w:val="22"/>
        </w:rPr>
        <w:t xml:space="preserve">Landfill leachate contains a mix of pollutants including </w:t>
      </w:r>
      <w:r w:rsidRPr="00C66550">
        <w:rPr>
          <w:color w:val="080808"/>
          <w:sz w:val="22"/>
        </w:rPr>
        <w:t xml:space="preserve">dissolved organic matter, heavy metals, hydrocarbons and salts. </w:t>
      </w:r>
      <w:r w:rsidRPr="00C66550">
        <w:rPr>
          <w:color w:val="080808"/>
          <w:spacing w:val="3"/>
          <w:sz w:val="22"/>
        </w:rPr>
        <w:t>The potential for leachate to contaminate groundwater varies between sites with factors such as t</w:t>
      </w:r>
      <w:r w:rsidRPr="00C66550">
        <w:rPr>
          <w:color w:val="080808"/>
          <w:sz w:val="22"/>
        </w:rPr>
        <w:t xml:space="preserve">he height of the water table, permeability of the soil, waste types, landfill construction and landfill management. </w:t>
      </w:r>
    </w:p>
    <w:p w:rsidR="007D175C" w:rsidRPr="00C66550" w:rsidRDefault="007D175C" w:rsidP="007D175C">
      <w:pPr>
        <w:spacing w:before="9" w:line="200" w:lineRule="exact"/>
        <w:rPr>
          <w:szCs w:val="20"/>
        </w:rPr>
      </w:pPr>
    </w:p>
    <w:p w:rsidR="007D175C" w:rsidRPr="00C66550" w:rsidRDefault="007D175C" w:rsidP="007D175C">
      <w:pPr>
        <w:spacing w:line="240" w:lineRule="auto"/>
        <w:rPr>
          <w:color w:val="080808"/>
          <w:spacing w:val="3"/>
          <w:sz w:val="22"/>
        </w:rPr>
      </w:pPr>
      <w:r w:rsidRPr="00C66550">
        <w:rPr>
          <w:color w:val="080808"/>
          <w:spacing w:val="3"/>
          <w:sz w:val="22"/>
        </w:rPr>
        <w:t>Regulatory requirements generally do not permit discharge to groundwater, but it is also broadly recognised that all landfills will emit some leachate. Mechanisms to minimise the environmental impacts of leachate include:</w:t>
      </w:r>
    </w:p>
    <w:p w:rsidR="007D175C" w:rsidRPr="00C66550" w:rsidRDefault="007D175C" w:rsidP="0027004C">
      <w:pPr>
        <w:pStyle w:val="Bullet1"/>
      </w:pPr>
      <w:r w:rsidRPr="00C66550">
        <w:t>not siting landfills in areas where ground water is of good</w:t>
      </w:r>
      <w:r w:rsidR="00E1569B" w:rsidRPr="00C66550">
        <w:t xml:space="preserve"> (drinkable)</w:t>
      </w:r>
      <w:r w:rsidRPr="00C66550">
        <w:t xml:space="preserve"> quality, or </w:t>
      </w:r>
      <w:r w:rsidR="00E1569B" w:rsidRPr="00C66550">
        <w:t xml:space="preserve">where the water table height </w:t>
      </w:r>
      <w:r w:rsidRPr="00C66550">
        <w:t xml:space="preserve">is </w:t>
      </w:r>
      <w:r w:rsidR="00E1569B" w:rsidRPr="00C66550">
        <w:t xml:space="preserve">above </w:t>
      </w:r>
      <w:r w:rsidR="00601DC9" w:rsidRPr="00C66550">
        <w:t xml:space="preserve">the </w:t>
      </w:r>
      <w:r w:rsidR="00E1569B" w:rsidRPr="00C66550">
        <w:t xml:space="preserve">height of the </w:t>
      </w:r>
      <w:r w:rsidRPr="00C66550">
        <w:t xml:space="preserve">landfill </w:t>
      </w:r>
      <w:r w:rsidR="00E1569B" w:rsidRPr="00C66550">
        <w:t xml:space="preserve">cell </w:t>
      </w:r>
      <w:r w:rsidRPr="00C66550">
        <w:t>base</w:t>
      </w:r>
    </w:p>
    <w:p w:rsidR="007D175C" w:rsidRPr="00C66550" w:rsidRDefault="007D175C" w:rsidP="0027004C">
      <w:pPr>
        <w:pStyle w:val="Bullet1"/>
      </w:pPr>
      <w:r w:rsidRPr="00C66550">
        <w:t>lining cells with compressed clay, often enhanced by plastic or a geomembrane (Vic, NSW, WA and SA)</w:t>
      </w:r>
    </w:p>
    <w:p w:rsidR="007D175C" w:rsidRPr="00C66550" w:rsidRDefault="007D175C" w:rsidP="0027004C">
      <w:pPr>
        <w:pStyle w:val="Bullet1"/>
      </w:pPr>
      <w:r w:rsidRPr="00C66550">
        <w:t>using small cells that are rapidly filled and capped, so stormwater ingress is limited</w:t>
      </w:r>
    </w:p>
    <w:p w:rsidR="007D175C" w:rsidRPr="00C66550" w:rsidRDefault="007D175C" w:rsidP="0027004C">
      <w:pPr>
        <w:pStyle w:val="Bullet1"/>
      </w:pPr>
      <w:r w:rsidRPr="00C66550">
        <w:t xml:space="preserve">funnelling leachate to collection points using an engineered slope and a drainage layer, </w:t>
      </w:r>
      <w:r w:rsidR="00192C44" w:rsidRPr="00C66550">
        <w:t>and then</w:t>
      </w:r>
      <w:r w:rsidRPr="00C66550">
        <w:t xml:space="preserve"> collecting the leachate for treatment and disposal.</w:t>
      </w:r>
    </w:p>
    <w:p w:rsidR="007D175C" w:rsidRPr="00C66550" w:rsidRDefault="007D175C" w:rsidP="007D175C">
      <w:pPr>
        <w:spacing w:line="240" w:lineRule="auto"/>
        <w:rPr>
          <w:color w:val="080808"/>
          <w:spacing w:val="3"/>
          <w:sz w:val="22"/>
        </w:rPr>
      </w:pPr>
    </w:p>
    <w:p w:rsidR="007D175C" w:rsidRPr="00C66550" w:rsidRDefault="007D175C" w:rsidP="007D175C">
      <w:pPr>
        <w:spacing w:line="240" w:lineRule="auto"/>
        <w:rPr>
          <w:color w:val="080808"/>
          <w:spacing w:val="3"/>
          <w:sz w:val="22"/>
        </w:rPr>
      </w:pPr>
      <w:r w:rsidRPr="00C66550">
        <w:rPr>
          <w:color w:val="080808"/>
          <w:spacing w:val="3"/>
          <w:sz w:val="22"/>
        </w:rPr>
        <w:t>In drier environments such as WA, leachate can be evaporated in shallow ponds and the residue returned to the landfill. Some facilities treat the leachate on-site then spread the treated liquid on the site for dust control. Others discharge to sewer, often after pre-treatment. In some cases, leachate is recycled back through landfill, partly as a means of promoting decomposition</w:t>
      </w:r>
      <w:r w:rsidR="00E1569B" w:rsidRPr="00C66550">
        <w:rPr>
          <w:color w:val="080808"/>
          <w:spacing w:val="3"/>
          <w:sz w:val="22"/>
        </w:rPr>
        <w:t xml:space="preserve"> of organics in the landfill</w:t>
      </w:r>
      <w:r w:rsidRPr="00C66550">
        <w:rPr>
          <w:color w:val="080808"/>
          <w:spacing w:val="3"/>
          <w:sz w:val="22"/>
        </w:rPr>
        <w:t xml:space="preserve"> and so reducing the period of post-closure aftercare.</w:t>
      </w:r>
    </w:p>
    <w:p w:rsidR="007D175C" w:rsidRPr="00C66550" w:rsidRDefault="007D175C" w:rsidP="007D175C">
      <w:pPr>
        <w:spacing w:line="240" w:lineRule="auto"/>
        <w:rPr>
          <w:color w:val="080808"/>
          <w:spacing w:val="3"/>
          <w:sz w:val="22"/>
        </w:rPr>
      </w:pPr>
    </w:p>
    <w:p w:rsidR="007D175C" w:rsidRPr="00C66550" w:rsidRDefault="00E1569B" w:rsidP="007D175C">
      <w:pPr>
        <w:spacing w:line="240" w:lineRule="auto"/>
        <w:rPr>
          <w:color w:val="080808"/>
          <w:spacing w:val="3"/>
          <w:sz w:val="22"/>
        </w:rPr>
      </w:pPr>
      <w:r w:rsidRPr="00C66550">
        <w:rPr>
          <w:color w:val="080808"/>
          <w:spacing w:val="3"/>
          <w:sz w:val="22"/>
        </w:rPr>
        <w:t>Some o</w:t>
      </w:r>
      <w:r w:rsidR="007D175C" w:rsidRPr="00C66550">
        <w:rPr>
          <w:color w:val="080808"/>
          <w:spacing w:val="3"/>
          <w:sz w:val="22"/>
        </w:rPr>
        <w:t xml:space="preserve">lder landfills lack good leachate </w:t>
      </w:r>
      <w:r w:rsidRPr="00C66550">
        <w:rPr>
          <w:color w:val="080808"/>
          <w:spacing w:val="3"/>
          <w:sz w:val="22"/>
        </w:rPr>
        <w:t xml:space="preserve">collection and </w:t>
      </w:r>
      <w:r w:rsidR="007D175C" w:rsidRPr="00C66550">
        <w:rPr>
          <w:color w:val="080808"/>
          <w:spacing w:val="3"/>
          <w:sz w:val="22"/>
        </w:rPr>
        <w:t>treatment</w:t>
      </w:r>
      <w:r w:rsidRPr="00C66550">
        <w:rPr>
          <w:color w:val="080808"/>
          <w:spacing w:val="3"/>
          <w:sz w:val="22"/>
        </w:rPr>
        <w:t xml:space="preserve"> or have no collection and treatment system in place</w:t>
      </w:r>
      <w:r w:rsidR="007D175C" w:rsidRPr="00C66550">
        <w:rPr>
          <w:color w:val="080808"/>
          <w:spacing w:val="3"/>
          <w:sz w:val="22"/>
        </w:rPr>
        <w:t xml:space="preserve">. These </w:t>
      </w:r>
      <w:r w:rsidR="0027004C" w:rsidRPr="00C66550">
        <w:rPr>
          <w:color w:val="080808"/>
          <w:spacing w:val="3"/>
          <w:sz w:val="22"/>
        </w:rPr>
        <w:t xml:space="preserve">landfills </w:t>
      </w:r>
      <w:r w:rsidR="007D175C" w:rsidRPr="00C66550">
        <w:rPr>
          <w:color w:val="080808"/>
          <w:spacing w:val="3"/>
          <w:sz w:val="22"/>
        </w:rPr>
        <w:t xml:space="preserve">are </w:t>
      </w:r>
      <w:r w:rsidR="0027004C" w:rsidRPr="00C66550">
        <w:rPr>
          <w:color w:val="080808"/>
          <w:spacing w:val="3"/>
          <w:sz w:val="22"/>
        </w:rPr>
        <w:t xml:space="preserve">generally </w:t>
      </w:r>
      <w:r w:rsidR="007D175C" w:rsidRPr="00C66550">
        <w:rPr>
          <w:color w:val="080808"/>
          <w:spacing w:val="3"/>
          <w:sz w:val="22"/>
        </w:rPr>
        <w:t xml:space="preserve">being phased out as they fill. Leachate pollutant </w:t>
      </w:r>
      <w:r w:rsidR="007D175C" w:rsidRPr="00C66550">
        <w:rPr>
          <w:color w:val="080808"/>
          <w:spacing w:val="3"/>
          <w:sz w:val="22"/>
        </w:rPr>
        <w:lastRenderedPageBreak/>
        <w:t>concentrations tend to attenuate as the leachate plume passes through clay in the soil.</w:t>
      </w:r>
      <w:r w:rsidR="0027004C" w:rsidRPr="00C66550">
        <w:rPr>
          <w:color w:val="080808"/>
          <w:spacing w:val="3"/>
          <w:sz w:val="22"/>
        </w:rPr>
        <w:t xml:space="preserve"> The clay content on surrounding soils </w:t>
      </w:r>
      <w:r w:rsidR="006D0FD7" w:rsidRPr="00C66550">
        <w:rPr>
          <w:color w:val="080808"/>
          <w:spacing w:val="3"/>
          <w:sz w:val="22"/>
        </w:rPr>
        <w:t xml:space="preserve">affects </w:t>
      </w:r>
      <w:r w:rsidR="0027004C" w:rsidRPr="00C66550">
        <w:rPr>
          <w:color w:val="080808"/>
          <w:spacing w:val="3"/>
          <w:sz w:val="22"/>
        </w:rPr>
        <w:t>the distance that leachate plumes travel and leachate plumes will travel much further in sandy soils then in heavy clays.</w:t>
      </w:r>
    </w:p>
    <w:p w:rsidR="007D175C" w:rsidRPr="00C66550" w:rsidRDefault="007D175C" w:rsidP="006D25F9">
      <w:pPr>
        <w:pStyle w:val="Heading3"/>
      </w:pPr>
      <w:r w:rsidRPr="00C66550">
        <w:t>La</w:t>
      </w:r>
      <w:r w:rsidRPr="00C66550">
        <w:rPr>
          <w:spacing w:val="-2"/>
        </w:rPr>
        <w:t>nd</w:t>
      </w:r>
      <w:r w:rsidRPr="00C66550">
        <w:rPr>
          <w:spacing w:val="2"/>
        </w:rPr>
        <w:t>f</w:t>
      </w:r>
      <w:r w:rsidRPr="00C66550">
        <w:rPr>
          <w:spacing w:val="-1"/>
        </w:rPr>
        <w:t>il</w:t>
      </w:r>
      <w:r w:rsidRPr="00C66550">
        <w:t xml:space="preserve">l </w:t>
      </w:r>
      <w:r w:rsidRPr="00C66550">
        <w:rPr>
          <w:spacing w:val="-2"/>
        </w:rPr>
        <w:t>g</w:t>
      </w:r>
      <w:r w:rsidRPr="00C66550">
        <w:t>as and</w:t>
      </w:r>
      <w:r w:rsidRPr="00C66550">
        <w:rPr>
          <w:spacing w:val="-1"/>
        </w:rPr>
        <w:t xml:space="preserve"> its </w:t>
      </w:r>
      <w:r w:rsidRPr="00C66550">
        <w:rPr>
          <w:spacing w:val="1"/>
        </w:rPr>
        <w:t>m</w:t>
      </w:r>
      <w:r w:rsidRPr="00C66550">
        <w:rPr>
          <w:spacing w:val="-2"/>
        </w:rPr>
        <w:t>a</w:t>
      </w:r>
      <w:r w:rsidRPr="00C66550">
        <w:t>na</w:t>
      </w:r>
      <w:r w:rsidRPr="00C66550">
        <w:rPr>
          <w:spacing w:val="-2"/>
        </w:rPr>
        <w:t>ge</w:t>
      </w:r>
      <w:r w:rsidRPr="00C66550">
        <w:rPr>
          <w:spacing w:val="1"/>
        </w:rPr>
        <w:t>m</w:t>
      </w:r>
      <w:r w:rsidRPr="00C66550">
        <w:t>e</w:t>
      </w:r>
      <w:r w:rsidRPr="00C66550">
        <w:rPr>
          <w:spacing w:val="-2"/>
        </w:rPr>
        <w:t>n</w:t>
      </w:r>
      <w:r w:rsidRPr="00C66550">
        <w:t>t</w:t>
      </w:r>
    </w:p>
    <w:p w:rsidR="007D175C" w:rsidRPr="00C66550" w:rsidRDefault="007D175C" w:rsidP="007D175C">
      <w:pPr>
        <w:spacing w:line="240" w:lineRule="auto"/>
        <w:rPr>
          <w:color w:val="080808"/>
          <w:spacing w:val="3"/>
          <w:sz w:val="22"/>
        </w:rPr>
      </w:pPr>
      <w:r w:rsidRPr="00C66550">
        <w:rPr>
          <w:color w:val="080808"/>
          <w:spacing w:val="3"/>
          <w:sz w:val="22"/>
        </w:rPr>
        <w:t>Landfill gas is a</w:t>
      </w:r>
      <w:r w:rsidRPr="00C66550">
        <w:rPr>
          <w:color w:val="080808"/>
          <w:sz w:val="22"/>
        </w:rPr>
        <w:t xml:space="preserve"> mixture of gases </w:t>
      </w:r>
      <w:r w:rsidRPr="00C66550">
        <w:rPr>
          <w:color w:val="080808"/>
          <w:spacing w:val="3"/>
          <w:sz w:val="22"/>
        </w:rPr>
        <w:t>typically consisting of approximately equal measures of carbon dioxide (CO</w:t>
      </w:r>
      <w:r w:rsidRPr="00C66550">
        <w:rPr>
          <w:color w:val="080808"/>
          <w:spacing w:val="3"/>
          <w:sz w:val="22"/>
          <w:vertAlign w:val="subscript"/>
        </w:rPr>
        <w:t>2</w:t>
      </w:r>
      <w:r w:rsidRPr="00C66550">
        <w:rPr>
          <w:color w:val="080808"/>
          <w:spacing w:val="3"/>
          <w:sz w:val="22"/>
        </w:rPr>
        <w:t>) and methane (CH</w:t>
      </w:r>
      <w:r w:rsidRPr="00C66550">
        <w:rPr>
          <w:color w:val="080808"/>
          <w:spacing w:val="3"/>
          <w:sz w:val="22"/>
          <w:vertAlign w:val="subscript"/>
        </w:rPr>
        <w:t>4</w:t>
      </w:r>
      <w:r w:rsidRPr="00C66550">
        <w:rPr>
          <w:color w:val="080808"/>
          <w:spacing w:val="3"/>
          <w:sz w:val="22"/>
        </w:rPr>
        <w:t>), with traces of other gases. There are several reasons why landfills may need to manage their landfill gas, including that:</w:t>
      </w:r>
    </w:p>
    <w:p w:rsidR="007D175C" w:rsidRPr="00C66550" w:rsidRDefault="007D175C" w:rsidP="0027004C">
      <w:pPr>
        <w:pStyle w:val="Bullet1"/>
      </w:pPr>
      <w:r w:rsidRPr="00C66550">
        <w:t>accumulations and migration of off-site landfill gas can give rise to risks of explosions or asphyxiation</w:t>
      </w:r>
    </w:p>
    <w:p w:rsidR="007D175C" w:rsidRPr="00C66550" w:rsidRDefault="007D175C" w:rsidP="0027004C">
      <w:pPr>
        <w:pStyle w:val="Bullet1"/>
      </w:pPr>
      <w:r w:rsidRPr="00C66550">
        <w:rPr>
          <w:spacing w:val="-1"/>
        </w:rPr>
        <w:t>la</w:t>
      </w:r>
      <w:r w:rsidRPr="00C66550">
        <w:rPr>
          <w:spacing w:val="2"/>
        </w:rPr>
        <w:t>n</w:t>
      </w:r>
      <w:r w:rsidRPr="00C66550">
        <w:rPr>
          <w:spacing w:val="-1"/>
        </w:rPr>
        <w:t>d</w:t>
      </w:r>
      <w:r w:rsidRPr="00C66550">
        <w:rPr>
          <w:spacing w:val="2"/>
        </w:rPr>
        <w:t>f</w:t>
      </w:r>
      <w:r w:rsidRPr="00C66550">
        <w:rPr>
          <w:spacing w:val="-1"/>
        </w:rPr>
        <w:t>il</w:t>
      </w:r>
      <w:r w:rsidRPr="00C66550">
        <w:t>l</w:t>
      </w:r>
      <w:r w:rsidRPr="00C66550">
        <w:rPr>
          <w:spacing w:val="26"/>
        </w:rPr>
        <w:t xml:space="preserve"> </w:t>
      </w:r>
      <w:r w:rsidRPr="00C66550">
        <w:rPr>
          <w:spacing w:val="2"/>
        </w:rPr>
        <w:t>g</w:t>
      </w:r>
      <w:r w:rsidRPr="00C66550">
        <w:rPr>
          <w:spacing w:val="-1"/>
        </w:rPr>
        <w:t>a</w:t>
      </w:r>
      <w:r w:rsidRPr="00C66550">
        <w:t>s</w:t>
      </w:r>
      <w:r w:rsidRPr="00C66550">
        <w:rPr>
          <w:spacing w:val="29"/>
        </w:rPr>
        <w:t xml:space="preserve"> </w:t>
      </w:r>
      <w:r w:rsidRPr="00C66550">
        <w:rPr>
          <w:spacing w:val="-1"/>
        </w:rPr>
        <w:t>i</w:t>
      </w:r>
      <w:r w:rsidRPr="00C66550">
        <w:t>s</w:t>
      </w:r>
      <w:r w:rsidRPr="00C66550">
        <w:rPr>
          <w:spacing w:val="29"/>
        </w:rPr>
        <w:t xml:space="preserve"> </w:t>
      </w:r>
      <w:r w:rsidRPr="00C66550">
        <w:rPr>
          <w:spacing w:val="-1"/>
        </w:rPr>
        <w:t>odorous and</w:t>
      </w:r>
      <w:r w:rsidRPr="00C66550">
        <w:rPr>
          <w:spacing w:val="27"/>
        </w:rPr>
        <w:t xml:space="preserve"> </w:t>
      </w:r>
      <w:r w:rsidRPr="00C66550">
        <w:rPr>
          <w:spacing w:val="1"/>
        </w:rPr>
        <w:t>c</w:t>
      </w:r>
      <w:r w:rsidRPr="00C66550">
        <w:rPr>
          <w:spacing w:val="-1"/>
        </w:rPr>
        <w:t>a</w:t>
      </w:r>
      <w:r w:rsidRPr="00C66550">
        <w:t>n</w:t>
      </w:r>
      <w:r w:rsidRPr="00C66550">
        <w:rPr>
          <w:spacing w:val="30"/>
        </w:rPr>
        <w:t xml:space="preserve"> </w:t>
      </w:r>
      <w:r w:rsidRPr="00C66550">
        <w:rPr>
          <w:spacing w:val="-1"/>
        </w:rPr>
        <w:t>i</w:t>
      </w:r>
      <w:r w:rsidRPr="00C66550">
        <w:rPr>
          <w:spacing w:val="4"/>
        </w:rPr>
        <w:t>m</w:t>
      </w:r>
      <w:r w:rsidRPr="00C66550">
        <w:rPr>
          <w:spacing w:val="-1"/>
        </w:rPr>
        <w:t>pa</w:t>
      </w:r>
      <w:r w:rsidRPr="00C66550">
        <w:rPr>
          <w:spacing w:val="1"/>
        </w:rPr>
        <w:t>c</w:t>
      </w:r>
      <w:r w:rsidRPr="00C66550">
        <w:t>t</w:t>
      </w:r>
      <w:r w:rsidRPr="00C66550">
        <w:rPr>
          <w:spacing w:val="28"/>
        </w:rPr>
        <w:t xml:space="preserve"> </w:t>
      </w:r>
      <w:r w:rsidRPr="00C66550">
        <w:rPr>
          <w:spacing w:val="-1"/>
        </w:rPr>
        <w:t>o</w:t>
      </w:r>
      <w:r w:rsidRPr="00C66550">
        <w:t>n</w:t>
      </w:r>
      <w:r w:rsidRPr="00C66550">
        <w:rPr>
          <w:spacing w:val="27"/>
        </w:rPr>
        <w:t xml:space="preserve"> </w:t>
      </w:r>
      <w:r w:rsidRPr="00C66550">
        <w:rPr>
          <w:spacing w:val="-1"/>
        </w:rPr>
        <w:t>nei</w:t>
      </w:r>
      <w:r w:rsidRPr="00C66550">
        <w:rPr>
          <w:spacing w:val="2"/>
        </w:rPr>
        <w:t>g</w:t>
      </w:r>
      <w:r w:rsidRPr="00C66550">
        <w:rPr>
          <w:spacing w:val="-1"/>
        </w:rPr>
        <w:t>h</w:t>
      </w:r>
      <w:r w:rsidRPr="00C66550">
        <w:rPr>
          <w:spacing w:val="2"/>
        </w:rPr>
        <w:t>b</w:t>
      </w:r>
      <w:r w:rsidRPr="00C66550">
        <w:rPr>
          <w:spacing w:val="-1"/>
        </w:rPr>
        <w:t>ou</w:t>
      </w:r>
      <w:r w:rsidRPr="00C66550">
        <w:t>rs</w:t>
      </w:r>
      <w:r w:rsidRPr="00C66550">
        <w:rPr>
          <w:spacing w:val="29"/>
        </w:rPr>
        <w:t xml:space="preserve"> </w:t>
      </w:r>
      <w:r w:rsidRPr="00C66550">
        <w:rPr>
          <w:spacing w:val="-1"/>
        </w:rPr>
        <w:t>an</w:t>
      </w:r>
      <w:r w:rsidRPr="00C66550">
        <w:t>d</w:t>
      </w:r>
      <w:r w:rsidRPr="00C66550">
        <w:rPr>
          <w:spacing w:val="28"/>
        </w:rPr>
        <w:t xml:space="preserve"> </w:t>
      </w:r>
      <w:r w:rsidRPr="00C66550">
        <w:rPr>
          <w:spacing w:val="1"/>
        </w:rPr>
        <w:t>c</w:t>
      </w:r>
      <w:r w:rsidRPr="00C66550">
        <w:rPr>
          <w:spacing w:val="-1"/>
        </w:rPr>
        <w:t>on</w:t>
      </w:r>
      <w:r w:rsidRPr="00C66550">
        <w:rPr>
          <w:spacing w:val="2"/>
        </w:rPr>
        <w:t>t</w:t>
      </w:r>
      <w:r w:rsidRPr="00C66550">
        <w:t>r</w:t>
      </w:r>
      <w:r w:rsidRPr="00C66550">
        <w:rPr>
          <w:spacing w:val="-1"/>
        </w:rPr>
        <w:t>ibut</w:t>
      </w:r>
      <w:r w:rsidRPr="00C66550">
        <w:t>e</w:t>
      </w:r>
      <w:r w:rsidRPr="00C66550">
        <w:rPr>
          <w:spacing w:val="27"/>
        </w:rPr>
        <w:t xml:space="preserve"> </w:t>
      </w:r>
      <w:r w:rsidRPr="00C66550">
        <w:rPr>
          <w:spacing w:val="2"/>
        </w:rPr>
        <w:t>t</w:t>
      </w:r>
      <w:r w:rsidRPr="00C66550">
        <w:t>o</w:t>
      </w:r>
      <w:r w:rsidRPr="00C66550">
        <w:rPr>
          <w:w w:val="99"/>
        </w:rPr>
        <w:t xml:space="preserve"> </w:t>
      </w:r>
      <w:r w:rsidRPr="00C66550">
        <w:t>r</w:t>
      </w:r>
      <w:r w:rsidRPr="00C66550">
        <w:rPr>
          <w:spacing w:val="-1"/>
        </w:rPr>
        <w:t>edu</w:t>
      </w:r>
      <w:r w:rsidRPr="00C66550">
        <w:rPr>
          <w:spacing w:val="1"/>
        </w:rPr>
        <w:t>c</w:t>
      </w:r>
      <w:r w:rsidRPr="00C66550">
        <w:rPr>
          <w:spacing w:val="-1"/>
        </w:rPr>
        <w:t>e</w:t>
      </w:r>
      <w:r w:rsidRPr="00C66550">
        <w:t>d</w:t>
      </w:r>
      <w:r w:rsidRPr="00C66550">
        <w:rPr>
          <w:spacing w:val="12"/>
        </w:rPr>
        <w:t xml:space="preserve"> </w:t>
      </w:r>
      <w:r w:rsidRPr="00C66550">
        <w:rPr>
          <w:spacing w:val="2"/>
        </w:rPr>
        <w:t>a</w:t>
      </w:r>
      <w:r w:rsidRPr="00C66550">
        <w:rPr>
          <w:spacing w:val="-1"/>
        </w:rPr>
        <w:t>i</w:t>
      </w:r>
      <w:r w:rsidRPr="00C66550">
        <w:t>r</w:t>
      </w:r>
      <w:r w:rsidRPr="00C66550">
        <w:rPr>
          <w:spacing w:val="12"/>
        </w:rPr>
        <w:t xml:space="preserve"> </w:t>
      </w:r>
      <w:r w:rsidRPr="00C66550">
        <w:rPr>
          <w:spacing w:val="-1"/>
        </w:rPr>
        <w:t>q</w:t>
      </w:r>
      <w:r w:rsidRPr="00C66550">
        <w:rPr>
          <w:spacing w:val="2"/>
        </w:rPr>
        <w:t>u</w:t>
      </w:r>
      <w:r w:rsidRPr="00C66550">
        <w:rPr>
          <w:spacing w:val="-1"/>
        </w:rPr>
        <w:t>a</w:t>
      </w:r>
      <w:r w:rsidRPr="00C66550">
        <w:rPr>
          <w:spacing w:val="1"/>
        </w:rPr>
        <w:t>l</w:t>
      </w:r>
      <w:r w:rsidRPr="00C66550">
        <w:rPr>
          <w:spacing w:val="-1"/>
        </w:rPr>
        <w:t>i</w:t>
      </w:r>
      <w:r w:rsidRPr="00C66550">
        <w:rPr>
          <w:spacing w:val="4"/>
        </w:rPr>
        <w:t>t</w:t>
      </w:r>
      <w:r w:rsidRPr="00C66550">
        <w:rPr>
          <w:spacing w:val="-5"/>
        </w:rPr>
        <w:t>y</w:t>
      </w:r>
    </w:p>
    <w:p w:rsidR="007D175C" w:rsidRPr="00C66550" w:rsidRDefault="007D175C" w:rsidP="0027004C">
      <w:pPr>
        <w:pStyle w:val="Bullet1"/>
      </w:pPr>
      <w:r w:rsidRPr="00C66550">
        <w:t>methane is a powerful greenhouse gas</w:t>
      </w:r>
      <w:r w:rsidR="006D0FD7" w:rsidRPr="00C66550">
        <w:t>—</w:t>
      </w:r>
      <w:r w:rsidRPr="00C66550">
        <w:t xml:space="preserve">this is discussed </w:t>
      </w:r>
      <w:r w:rsidR="008555F8" w:rsidRPr="00C66550">
        <w:t>below</w:t>
      </w:r>
      <w:r w:rsidRPr="00C66550">
        <w:t>.</w:t>
      </w:r>
    </w:p>
    <w:p w:rsidR="007D175C" w:rsidRPr="00C66550" w:rsidRDefault="007D175C" w:rsidP="008555F8">
      <w:pPr>
        <w:tabs>
          <w:tab w:val="left" w:pos="6447"/>
        </w:tabs>
        <w:spacing w:before="80" w:line="240" w:lineRule="auto"/>
        <w:ind w:left="454" w:hanging="454"/>
        <w:rPr>
          <w:sz w:val="22"/>
        </w:rPr>
      </w:pPr>
    </w:p>
    <w:p w:rsidR="007D175C" w:rsidRPr="00C66550" w:rsidRDefault="007D175C" w:rsidP="007D175C">
      <w:pPr>
        <w:spacing w:line="240" w:lineRule="auto"/>
        <w:rPr>
          <w:color w:val="080808"/>
          <w:spacing w:val="3"/>
          <w:sz w:val="22"/>
        </w:rPr>
      </w:pPr>
      <w:r w:rsidRPr="00C66550">
        <w:rPr>
          <w:color w:val="080808"/>
          <w:spacing w:val="3"/>
          <w:sz w:val="22"/>
        </w:rPr>
        <w:t xml:space="preserve">Management of landfill gas can involve a range of techniques of varying degrees of sophistication and capital cost. Offsite migration can usually be controlled by venting alone, so long as groundwater levels are contained. Flares can be used to manage odours and greenhouse impacts by oxidising methane. At larger sites, landfill gas capture for energy generation can be profitable. Greenhouse policy responses have helped to spread this practice by pushing up the price for renewable energy. </w:t>
      </w:r>
    </w:p>
    <w:p w:rsidR="007D175C" w:rsidRPr="00C66550" w:rsidRDefault="007D175C" w:rsidP="006D25F9">
      <w:pPr>
        <w:pStyle w:val="Heading3"/>
      </w:pPr>
      <w:r w:rsidRPr="00C66550">
        <w:rPr>
          <w:spacing w:val="1"/>
        </w:rPr>
        <w:t>G</w:t>
      </w:r>
      <w:r w:rsidRPr="00C66550">
        <w:t>reenhouse</w:t>
      </w:r>
      <w:r w:rsidRPr="00C66550">
        <w:rPr>
          <w:spacing w:val="-10"/>
        </w:rPr>
        <w:t xml:space="preserve"> </w:t>
      </w:r>
      <w:r w:rsidRPr="00C66550">
        <w:rPr>
          <w:spacing w:val="3"/>
        </w:rPr>
        <w:t>g</w:t>
      </w:r>
      <w:r w:rsidRPr="00C66550">
        <w:t>as</w:t>
      </w:r>
      <w:r w:rsidRPr="00C66550">
        <w:rPr>
          <w:spacing w:val="-8"/>
        </w:rPr>
        <w:t xml:space="preserve"> </w:t>
      </w:r>
      <w:r w:rsidRPr="00C66550">
        <w:t>emi</w:t>
      </w:r>
      <w:r w:rsidRPr="00C66550">
        <w:rPr>
          <w:spacing w:val="2"/>
        </w:rPr>
        <w:t>s</w:t>
      </w:r>
      <w:r w:rsidRPr="00C66550">
        <w:t>si</w:t>
      </w:r>
      <w:r w:rsidRPr="00C66550">
        <w:rPr>
          <w:spacing w:val="3"/>
        </w:rPr>
        <w:t>o</w:t>
      </w:r>
      <w:r w:rsidRPr="00C66550">
        <w:t>ns</w:t>
      </w:r>
      <w:r w:rsidRPr="00C66550">
        <w:rPr>
          <w:spacing w:val="-10"/>
        </w:rPr>
        <w:t xml:space="preserve"> </w:t>
      </w:r>
      <w:r w:rsidRPr="00C66550">
        <w:t>from</w:t>
      </w:r>
      <w:r w:rsidRPr="00C66550">
        <w:rPr>
          <w:spacing w:val="-9"/>
        </w:rPr>
        <w:t xml:space="preserve"> </w:t>
      </w:r>
      <w:r w:rsidRPr="00C66550">
        <w:t>landfill</w:t>
      </w:r>
    </w:p>
    <w:p w:rsidR="007D175C" w:rsidRPr="00C66550" w:rsidRDefault="007D175C" w:rsidP="007D175C">
      <w:pPr>
        <w:spacing w:line="240" w:lineRule="auto"/>
        <w:rPr>
          <w:color w:val="080808"/>
          <w:spacing w:val="3"/>
          <w:sz w:val="22"/>
        </w:rPr>
      </w:pPr>
      <w:r w:rsidRPr="00C66550">
        <w:rPr>
          <w:color w:val="080808"/>
          <w:spacing w:val="3"/>
          <w:sz w:val="22"/>
        </w:rPr>
        <w:t xml:space="preserve">Landfills are the major source of greenhouse gas emissions from the waste sector and are covered by the National Greenhouse and Energy Reporting System (NGERS) and the Carbon Pricing Mechanism. The Department of </w:t>
      </w:r>
      <w:r w:rsidR="008C6864" w:rsidRPr="00C66550">
        <w:rPr>
          <w:color w:val="080808"/>
          <w:spacing w:val="3"/>
          <w:sz w:val="22"/>
        </w:rPr>
        <w:t>Industry, Innovation, Climate Change, Science, Research and Tertiary Education</w:t>
      </w:r>
      <w:r w:rsidR="006D0FD7" w:rsidRPr="00C66550">
        <w:rPr>
          <w:color w:val="080808"/>
          <w:spacing w:val="3"/>
          <w:sz w:val="22"/>
        </w:rPr>
        <w:t xml:space="preserve"> (D</w:t>
      </w:r>
      <w:r w:rsidR="008C6864" w:rsidRPr="00C66550">
        <w:rPr>
          <w:color w:val="080808"/>
          <w:spacing w:val="3"/>
          <w:sz w:val="22"/>
        </w:rPr>
        <w:t>II</w:t>
      </w:r>
      <w:r w:rsidR="006D0FD7" w:rsidRPr="00C66550">
        <w:rPr>
          <w:color w:val="080808"/>
          <w:spacing w:val="3"/>
          <w:sz w:val="22"/>
        </w:rPr>
        <w:t>CC</w:t>
      </w:r>
      <w:r w:rsidR="008C6864" w:rsidRPr="00C66550">
        <w:rPr>
          <w:color w:val="080808"/>
          <w:spacing w:val="3"/>
          <w:sz w:val="22"/>
        </w:rPr>
        <w:t>SRTE</w:t>
      </w:r>
      <w:r w:rsidR="006D0FD7" w:rsidRPr="00C66550">
        <w:rPr>
          <w:color w:val="080808"/>
          <w:spacing w:val="3"/>
          <w:sz w:val="22"/>
        </w:rPr>
        <w:t>)</w:t>
      </w:r>
      <w:r w:rsidRPr="00C66550">
        <w:rPr>
          <w:color w:val="080808"/>
          <w:spacing w:val="3"/>
          <w:sz w:val="22"/>
        </w:rPr>
        <w:t xml:space="preserve"> collates NGERS reports with other sources to derive annual estimates of emissions of landfill methane</w:t>
      </w:r>
      <w:r w:rsidRPr="00C66550">
        <w:rPr>
          <w:color w:val="080808"/>
          <w:spacing w:val="3"/>
          <w:sz w:val="22"/>
          <w:vertAlign w:val="superscript"/>
        </w:rPr>
        <w:footnoteReference w:id="27"/>
      </w:r>
      <w:r w:rsidRPr="00C66550">
        <w:rPr>
          <w:color w:val="080808"/>
          <w:spacing w:val="3"/>
          <w:sz w:val="22"/>
        </w:rPr>
        <w:t>. In 2009/10, the most recent year for which data are available, landfills emitted an estimated 11.1 Mt CO</w:t>
      </w:r>
      <w:r w:rsidRPr="00C66550">
        <w:rPr>
          <w:color w:val="080808"/>
          <w:spacing w:val="3"/>
          <w:sz w:val="22"/>
          <w:vertAlign w:val="subscript"/>
        </w:rPr>
        <w:t>2</w:t>
      </w:r>
      <w:r w:rsidRPr="00C66550">
        <w:rPr>
          <w:color w:val="080808"/>
          <w:spacing w:val="3"/>
          <w:sz w:val="22"/>
        </w:rPr>
        <w:t>-e and captured and oxidised 4.3 Mt CO</w:t>
      </w:r>
      <w:r w:rsidRPr="00C66550">
        <w:rPr>
          <w:color w:val="080808"/>
          <w:spacing w:val="3"/>
          <w:sz w:val="22"/>
          <w:vertAlign w:val="subscript"/>
        </w:rPr>
        <w:t>2</w:t>
      </w:r>
      <w:r w:rsidRPr="00C66550">
        <w:rPr>
          <w:color w:val="080808"/>
          <w:spacing w:val="3"/>
          <w:sz w:val="22"/>
        </w:rPr>
        <w:t>-e, or 26% of the methane generated in landfills</w:t>
      </w:r>
      <w:r w:rsidRPr="00C66550">
        <w:rPr>
          <w:color w:val="080808"/>
          <w:spacing w:val="3"/>
          <w:sz w:val="22"/>
          <w:vertAlign w:val="superscript"/>
        </w:rPr>
        <w:footnoteReference w:id="28"/>
      </w:r>
      <w:r w:rsidRPr="00C66550">
        <w:rPr>
          <w:color w:val="080808"/>
          <w:spacing w:val="3"/>
          <w:sz w:val="22"/>
          <w:vertAlign w:val="superscript"/>
        </w:rPr>
        <w:t xml:space="preserve"> </w:t>
      </w:r>
      <w:r w:rsidRPr="00C66550">
        <w:rPr>
          <w:color w:val="080808"/>
          <w:spacing w:val="3"/>
          <w:sz w:val="22"/>
          <w:vertAlign w:val="superscript"/>
        </w:rPr>
        <w:footnoteReference w:id="29"/>
      </w:r>
      <w:r w:rsidRPr="00C66550">
        <w:rPr>
          <w:color w:val="080808"/>
          <w:spacing w:val="3"/>
          <w:sz w:val="22"/>
        </w:rPr>
        <w:t xml:space="preserve">. Emissions from landfills represented 2.0% of Australia’s total emissions. </w:t>
      </w:r>
    </w:p>
    <w:p w:rsidR="007D175C" w:rsidRPr="00C66550" w:rsidRDefault="007D175C" w:rsidP="007D175C">
      <w:pPr>
        <w:spacing w:line="240" w:lineRule="auto"/>
        <w:rPr>
          <w:color w:val="080808"/>
          <w:spacing w:val="3"/>
          <w:sz w:val="22"/>
        </w:rPr>
      </w:pPr>
    </w:p>
    <w:p w:rsidR="00FF0C93" w:rsidRPr="00C66550" w:rsidRDefault="00C96DE6" w:rsidP="008555F8">
      <w:pPr>
        <w:spacing w:line="240" w:lineRule="auto"/>
        <w:rPr>
          <w:color w:val="080808"/>
          <w:spacing w:val="3"/>
          <w:sz w:val="22"/>
        </w:rPr>
      </w:pPr>
      <w:r w:rsidRPr="00C66550">
        <w:rPr>
          <w:color w:val="080808"/>
          <w:spacing w:val="3"/>
          <w:sz w:val="22"/>
        </w:rPr>
        <w:t>The trend in landfill methane emissions and gas capture is shown in</w:t>
      </w:r>
      <w:r w:rsidR="009B4CE5" w:rsidRPr="00C66550">
        <w:rPr>
          <w:color w:val="080808"/>
          <w:spacing w:val="3"/>
          <w:sz w:val="22"/>
        </w:rPr>
        <w:t xml:space="preserve"> </w:t>
      </w:r>
      <w:fldSimple w:instr=" REF _Ref347864992 \h  \* MERGEFORMAT ">
        <w:r w:rsidR="00D96003" w:rsidRPr="00D96003">
          <w:rPr>
            <w:color w:val="080808"/>
            <w:spacing w:val="3"/>
            <w:sz w:val="22"/>
          </w:rPr>
          <w:t>Figure 45</w:t>
        </w:r>
      </w:fldSimple>
      <w:r w:rsidR="00207FD3" w:rsidRPr="00C66550">
        <w:rPr>
          <w:color w:val="080808"/>
          <w:spacing w:val="3"/>
          <w:sz w:val="22"/>
        </w:rPr>
        <w:t>. Gas capture is shown to have increased rapidly during the mid-1990s to mid-2000s, causing methane emissions to decline. Since then, gas capture has levelled off and emissions have begun to increase. It is understood that gas capture is increasing in response to carbon pricing, so the downward emission trend is likely to resume.</w:t>
      </w:r>
    </w:p>
    <w:p w:rsidR="009B4CE5" w:rsidRDefault="009B4CE5" w:rsidP="008555F8">
      <w:pPr>
        <w:spacing w:line="240" w:lineRule="auto"/>
        <w:rPr>
          <w:color w:val="080808"/>
          <w:spacing w:val="3"/>
          <w:sz w:val="22"/>
        </w:rPr>
      </w:pPr>
    </w:p>
    <w:p w:rsidR="002E623C" w:rsidRPr="00C66550" w:rsidRDefault="002E623C" w:rsidP="008555F8">
      <w:pPr>
        <w:spacing w:line="240" w:lineRule="auto"/>
        <w:rPr>
          <w:color w:val="080808"/>
          <w:spacing w:val="3"/>
          <w:sz w:val="22"/>
        </w:rPr>
      </w:pPr>
    </w:p>
    <w:p w:rsidR="007D175C" w:rsidRPr="00C66550" w:rsidRDefault="007D175C" w:rsidP="00FB4820">
      <w:pPr>
        <w:pStyle w:val="Figures"/>
      </w:pPr>
      <w:bookmarkStart w:id="250" w:name="_Ref347864992"/>
      <w:bookmarkStart w:id="251" w:name="_Ref349920795"/>
      <w:bookmarkStart w:id="252" w:name="_Toc347947960"/>
      <w:bookmarkStart w:id="253" w:name="_Toc365385054"/>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45</w:t>
      </w:r>
      <w:r w:rsidR="0062001A" w:rsidRPr="00C66550">
        <w:fldChar w:fldCharType="end"/>
      </w:r>
      <w:bookmarkEnd w:id="250"/>
      <w:bookmarkEnd w:id="251"/>
      <w:r w:rsidR="003715E1" w:rsidRPr="00C66550">
        <w:t>:</w:t>
      </w:r>
      <w:r w:rsidR="003715E1" w:rsidRPr="00C66550">
        <w:tab/>
      </w:r>
      <w:r w:rsidRPr="00C66550">
        <w:t>The trend in landfill methane emissions and capture</w:t>
      </w:r>
      <w:bookmarkEnd w:id="252"/>
      <w:bookmarkEnd w:id="253"/>
    </w:p>
    <w:p w:rsidR="007D175C" w:rsidRPr="00C66550" w:rsidRDefault="007D175C" w:rsidP="007D175C">
      <w:pPr>
        <w:spacing w:line="240" w:lineRule="auto"/>
        <w:rPr>
          <w:color w:val="080808"/>
          <w:spacing w:val="3"/>
          <w:sz w:val="22"/>
        </w:rPr>
      </w:pPr>
      <w:r w:rsidRPr="00C66550">
        <w:rPr>
          <w:noProof/>
          <w:color w:val="080808"/>
          <w:sz w:val="22"/>
          <w:lang w:eastAsia="en-AU"/>
        </w:rPr>
        <w:lastRenderedPageBreak/>
        <w:drawing>
          <wp:inline distT="0" distB="0" distL="0" distR="0">
            <wp:extent cx="4210050" cy="2762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4210050" cy="2762250"/>
                    </a:xfrm>
                    <a:prstGeom prst="rect">
                      <a:avLst/>
                    </a:prstGeom>
                    <a:noFill/>
                    <a:ln w="9525">
                      <a:noFill/>
                      <a:miter lim="800000"/>
                      <a:headEnd/>
                      <a:tailEnd/>
                    </a:ln>
                  </pic:spPr>
                </pic:pic>
              </a:graphicData>
            </a:graphic>
          </wp:inline>
        </w:drawing>
      </w:r>
    </w:p>
    <w:p w:rsidR="007D175C" w:rsidRPr="00C548DF" w:rsidRDefault="007D175C" w:rsidP="007D175C">
      <w:pPr>
        <w:spacing w:before="80" w:line="240" w:lineRule="auto"/>
        <w:rPr>
          <w:rFonts w:cs="Arial"/>
          <w:i/>
          <w:color w:val="0000FF"/>
          <w:szCs w:val="20"/>
        </w:rPr>
      </w:pPr>
      <w:r w:rsidRPr="00C548DF">
        <w:rPr>
          <w:rFonts w:cs="Arial"/>
          <w:i/>
          <w:color w:val="0000FF"/>
          <w:szCs w:val="20"/>
        </w:rPr>
        <w:t>Source:</w:t>
      </w:r>
      <w:r w:rsidRPr="00C548DF">
        <w:rPr>
          <w:rFonts w:cs="Arial"/>
          <w:i/>
          <w:color w:val="0000FF"/>
          <w:szCs w:val="20"/>
        </w:rPr>
        <w:tab/>
        <w:t xml:space="preserve">Australian Greenhouse Emissions Information System, </w:t>
      </w:r>
      <w:r w:rsidR="00356A74" w:rsidRPr="00C548DF">
        <w:rPr>
          <w:rFonts w:cs="Arial"/>
          <w:i/>
          <w:color w:val="0000FF"/>
          <w:szCs w:val="20"/>
        </w:rPr>
        <w:t>DCCEE</w:t>
      </w:r>
      <w:r w:rsidRPr="00C548DF">
        <w:rPr>
          <w:rFonts w:cs="Arial"/>
          <w:i/>
          <w:color w:val="0000FF"/>
          <w:szCs w:val="20"/>
        </w:rPr>
        <w:t xml:space="preserve">, </w:t>
      </w:r>
      <w:hyperlink r:id="rId137" w:history="1">
        <w:r w:rsidRPr="00C548DF">
          <w:rPr>
            <w:rFonts w:cs="Arial"/>
            <w:i/>
            <w:color w:val="0000FF"/>
            <w:szCs w:val="20"/>
            <w:u w:val="single"/>
          </w:rPr>
          <w:t>http://ageis.climatechange.gov.au/</w:t>
        </w:r>
      </w:hyperlink>
      <w:r w:rsidRPr="00C548DF">
        <w:rPr>
          <w:rFonts w:cs="Arial"/>
          <w:i/>
          <w:color w:val="0000FF"/>
          <w:szCs w:val="20"/>
        </w:rPr>
        <w:t xml:space="preserve"> </w:t>
      </w:r>
    </w:p>
    <w:p w:rsidR="007D175C" w:rsidRPr="00C66550" w:rsidRDefault="007D175C" w:rsidP="007D175C">
      <w:pPr>
        <w:spacing w:line="240" w:lineRule="auto"/>
        <w:rPr>
          <w:color w:val="080808"/>
          <w:spacing w:val="3"/>
          <w:sz w:val="22"/>
        </w:rPr>
      </w:pPr>
    </w:p>
    <w:p w:rsidR="007D175C" w:rsidRPr="00C66550" w:rsidRDefault="007D175C" w:rsidP="007D175C">
      <w:pPr>
        <w:spacing w:line="240" w:lineRule="auto"/>
        <w:rPr>
          <w:color w:val="080808"/>
          <w:spacing w:val="3"/>
          <w:sz w:val="22"/>
        </w:rPr>
      </w:pPr>
      <w:r w:rsidRPr="00C66550">
        <w:rPr>
          <w:color w:val="080808"/>
          <w:spacing w:val="3"/>
          <w:sz w:val="22"/>
        </w:rPr>
        <w:t xml:space="preserve">Landfill emissions from the various jurisdictions are shown in </w:t>
      </w:r>
      <w:fldSimple w:instr=" REF _Ref347866938 \h  \* MERGEFORMAT ">
        <w:r w:rsidR="00D96003" w:rsidRPr="00C66550">
          <w:t xml:space="preserve">Table </w:t>
        </w:r>
        <w:r w:rsidR="00D96003">
          <w:rPr>
            <w:noProof/>
          </w:rPr>
          <w:t>21</w:t>
        </w:r>
      </w:fldSimple>
      <w:r w:rsidRPr="00C66550">
        <w:rPr>
          <w:color w:val="080808"/>
          <w:spacing w:val="3"/>
          <w:sz w:val="22"/>
        </w:rPr>
        <w:t xml:space="preserve"> on a total and a per capita basis. </w:t>
      </w:r>
    </w:p>
    <w:p w:rsidR="007D175C" w:rsidRPr="00C66550" w:rsidRDefault="007D175C" w:rsidP="007D175C">
      <w:pPr>
        <w:spacing w:line="240" w:lineRule="auto"/>
        <w:rPr>
          <w:color w:val="080808"/>
          <w:spacing w:val="3"/>
          <w:sz w:val="22"/>
        </w:rPr>
      </w:pPr>
    </w:p>
    <w:p w:rsidR="007D175C" w:rsidRPr="00C66550" w:rsidRDefault="007D175C" w:rsidP="00FB4820">
      <w:pPr>
        <w:pStyle w:val="Figures"/>
      </w:pPr>
      <w:bookmarkStart w:id="254" w:name="_Ref347866938"/>
      <w:bookmarkStart w:id="255" w:name="_Toc347947942"/>
      <w:bookmarkStart w:id="256" w:name="_Toc365038865"/>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21</w:t>
      </w:r>
      <w:r w:rsidR="0062001A" w:rsidRPr="00C66550">
        <w:fldChar w:fldCharType="end"/>
      </w:r>
      <w:bookmarkEnd w:id="254"/>
      <w:r w:rsidRPr="00C66550">
        <w:t xml:space="preserve">: </w:t>
      </w:r>
      <w:r w:rsidRPr="00C66550">
        <w:tab/>
        <w:t>Landfill methane emissions by jurisdiction, 2009/10</w:t>
      </w:r>
      <w:bookmarkEnd w:id="255"/>
      <w:bookmarkEnd w:id="256"/>
    </w:p>
    <w:tbl>
      <w:tblPr>
        <w:tblStyle w:val="BETable12"/>
        <w:tblW w:w="6593" w:type="dxa"/>
        <w:tblLayout w:type="fixed"/>
        <w:tblLook w:val="04A0"/>
      </w:tblPr>
      <w:tblGrid>
        <w:gridCol w:w="1843"/>
        <w:gridCol w:w="724"/>
        <w:gridCol w:w="671"/>
        <w:gridCol w:w="671"/>
        <w:gridCol w:w="671"/>
        <w:gridCol w:w="671"/>
        <w:gridCol w:w="671"/>
        <w:gridCol w:w="671"/>
      </w:tblGrid>
      <w:tr w:rsidR="007D175C" w:rsidRPr="00C66550" w:rsidTr="00342134">
        <w:trPr>
          <w:cnfStyle w:val="100000000000"/>
        </w:trPr>
        <w:tc>
          <w:tcPr>
            <w:cnfStyle w:val="001000000000"/>
            <w:tcW w:w="1843" w:type="dxa"/>
            <w:tcBorders>
              <w:bottom w:val="single" w:sz="4" w:space="0" w:color="7F7F7F" w:themeColor="background2"/>
            </w:tcBorders>
          </w:tcPr>
          <w:p w:rsidR="007D175C" w:rsidRPr="00C66550" w:rsidRDefault="007D175C" w:rsidP="007D175C">
            <w:pPr>
              <w:jc w:val="right"/>
              <w:rPr>
                <w:b w:val="0"/>
              </w:rPr>
            </w:pPr>
          </w:p>
        </w:tc>
        <w:tc>
          <w:tcPr>
            <w:tcW w:w="724" w:type="dxa"/>
            <w:tcBorders>
              <w:bottom w:val="single" w:sz="4" w:space="0" w:color="7F7F7F" w:themeColor="background2"/>
            </w:tcBorders>
          </w:tcPr>
          <w:p w:rsidR="007D175C" w:rsidRPr="00C66550" w:rsidRDefault="007D175C" w:rsidP="007D175C">
            <w:pPr>
              <w:jc w:val="center"/>
              <w:cnfStyle w:val="100000000000"/>
              <w:rPr>
                <w:b w:val="0"/>
              </w:rPr>
            </w:pPr>
            <w:r w:rsidRPr="00C66550">
              <w:t>NSW</w:t>
            </w:r>
          </w:p>
        </w:tc>
        <w:tc>
          <w:tcPr>
            <w:tcW w:w="671" w:type="dxa"/>
            <w:tcBorders>
              <w:bottom w:val="single" w:sz="4" w:space="0" w:color="7F7F7F" w:themeColor="background2"/>
            </w:tcBorders>
          </w:tcPr>
          <w:p w:rsidR="007D175C" w:rsidRPr="00C66550" w:rsidRDefault="007D175C" w:rsidP="007D175C">
            <w:pPr>
              <w:jc w:val="center"/>
              <w:cnfStyle w:val="100000000000"/>
              <w:rPr>
                <w:b w:val="0"/>
              </w:rPr>
            </w:pPr>
            <w:r w:rsidRPr="00C66550">
              <w:t>NT</w:t>
            </w:r>
          </w:p>
        </w:tc>
        <w:tc>
          <w:tcPr>
            <w:tcW w:w="671" w:type="dxa"/>
            <w:tcBorders>
              <w:bottom w:val="single" w:sz="4" w:space="0" w:color="7F7F7F" w:themeColor="background2"/>
            </w:tcBorders>
          </w:tcPr>
          <w:p w:rsidR="007D175C" w:rsidRPr="00C66550" w:rsidRDefault="007D175C" w:rsidP="007D175C">
            <w:pPr>
              <w:jc w:val="center"/>
              <w:cnfStyle w:val="100000000000"/>
              <w:rPr>
                <w:b w:val="0"/>
              </w:rPr>
            </w:pPr>
            <w:r w:rsidRPr="00C66550">
              <w:t>Qld</w:t>
            </w:r>
          </w:p>
        </w:tc>
        <w:tc>
          <w:tcPr>
            <w:tcW w:w="671" w:type="dxa"/>
            <w:tcBorders>
              <w:bottom w:val="single" w:sz="4" w:space="0" w:color="7F7F7F" w:themeColor="background2"/>
            </w:tcBorders>
          </w:tcPr>
          <w:p w:rsidR="007D175C" w:rsidRPr="00C66550" w:rsidRDefault="007D175C" w:rsidP="007D175C">
            <w:pPr>
              <w:jc w:val="center"/>
              <w:cnfStyle w:val="100000000000"/>
              <w:rPr>
                <w:b w:val="0"/>
              </w:rPr>
            </w:pPr>
            <w:r w:rsidRPr="00C66550">
              <w:t>SA</w:t>
            </w:r>
          </w:p>
        </w:tc>
        <w:tc>
          <w:tcPr>
            <w:tcW w:w="671" w:type="dxa"/>
            <w:tcBorders>
              <w:bottom w:val="single" w:sz="4" w:space="0" w:color="7F7F7F" w:themeColor="background2"/>
            </w:tcBorders>
          </w:tcPr>
          <w:p w:rsidR="007D175C" w:rsidRPr="00C66550" w:rsidRDefault="007D175C" w:rsidP="007D175C">
            <w:pPr>
              <w:jc w:val="center"/>
              <w:cnfStyle w:val="100000000000"/>
              <w:rPr>
                <w:b w:val="0"/>
              </w:rPr>
            </w:pPr>
            <w:r w:rsidRPr="00C66550">
              <w:t>Tas</w:t>
            </w:r>
          </w:p>
        </w:tc>
        <w:tc>
          <w:tcPr>
            <w:tcW w:w="671" w:type="dxa"/>
            <w:tcBorders>
              <w:bottom w:val="single" w:sz="4" w:space="0" w:color="7F7F7F" w:themeColor="background2"/>
            </w:tcBorders>
          </w:tcPr>
          <w:p w:rsidR="007D175C" w:rsidRPr="00C66550" w:rsidRDefault="007D175C" w:rsidP="007D175C">
            <w:pPr>
              <w:jc w:val="center"/>
              <w:cnfStyle w:val="100000000000"/>
              <w:rPr>
                <w:b w:val="0"/>
              </w:rPr>
            </w:pPr>
            <w:r w:rsidRPr="00C66550">
              <w:t>Vic</w:t>
            </w:r>
          </w:p>
        </w:tc>
        <w:tc>
          <w:tcPr>
            <w:tcW w:w="671" w:type="dxa"/>
            <w:tcBorders>
              <w:bottom w:val="single" w:sz="4" w:space="0" w:color="7F7F7F" w:themeColor="background2"/>
            </w:tcBorders>
          </w:tcPr>
          <w:p w:rsidR="007D175C" w:rsidRPr="00C66550" w:rsidRDefault="007D175C" w:rsidP="007D175C">
            <w:pPr>
              <w:jc w:val="center"/>
              <w:cnfStyle w:val="100000000000"/>
              <w:rPr>
                <w:b w:val="0"/>
              </w:rPr>
            </w:pPr>
            <w:r w:rsidRPr="00C66550">
              <w:t>WA</w:t>
            </w:r>
          </w:p>
        </w:tc>
      </w:tr>
      <w:tr w:rsidR="007D175C" w:rsidRPr="00C66550" w:rsidTr="00342134">
        <w:tc>
          <w:tcPr>
            <w:cnfStyle w:val="001000000000"/>
            <w:tcW w:w="1843" w:type="dxa"/>
            <w:tcBorders>
              <w:bottom w:val="nil"/>
            </w:tcBorders>
          </w:tcPr>
          <w:p w:rsidR="007D175C" w:rsidRPr="00C66550" w:rsidRDefault="007D175C" w:rsidP="007D175C">
            <w:r w:rsidRPr="00C66550">
              <w:t>Total (Mt CO</w:t>
            </w:r>
            <w:r w:rsidRPr="00C66550">
              <w:rPr>
                <w:vertAlign w:val="subscript"/>
              </w:rPr>
              <w:t>2</w:t>
            </w:r>
            <w:r w:rsidRPr="00C66550">
              <w:t>-e)</w:t>
            </w:r>
          </w:p>
        </w:tc>
        <w:tc>
          <w:tcPr>
            <w:tcW w:w="724" w:type="dxa"/>
            <w:tcBorders>
              <w:bottom w:val="nil"/>
            </w:tcBorders>
          </w:tcPr>
          <w:p w:rsidR="007D175C" w:rsidRPr="00C66550" w:rsidRDefault="007D175C" w:rsidP="007D175C">
            <w:pPr>
              <w:jc w:val="center"/>
              <w:cnfStyle w:val="000000000000"/>
              <w:rPr>
                <w:color w:val="181818"/>
                <w:szCs w:val="20"/>
              </w:rPr>
            </w:pPr>
            <w:r w:rsidRPr="00C66550">
              <w:rPr>
                <w:color w:val="181818"/>
                <w:szCs w:val="20"/>
              </w:rPr>
              <w:t>4.2</w:t>
            </w:r>
          </w:p>
        </w:tc>
        <w:tc>
          <w:tcPr>
            <w:tcW w:w="671" w:type="dxa"/>
            <w:tcBorders>
              <w:bottom w:val="nil"/>
            </w:tcBorders>
          </w:tcPr>
          <w:p w:rsidR="007D175C" w:rsidRPr="00C66550" w:rsidRDefault="007D175C" w:rsidP="007D175C">
            <w:pPr>
              <w:jc w:val="center"/>
              <w:cnfStyle w:val="000000000000"/>
              <w:rPr>
                <w:color w:val="181818"/>
                <w:szCs w:val="20"/>
              </w:rPr>
            </w:pPr>
            <w:r w:rsidRPr="00C66550">
              <w:rPr>
                <w:color w:val="181818"/>
                <w:szCs w:val="20"/>
              </w:rPr>
              <w:t>0.1</w:t>
            </w:r>
          </w:p>
        </w:tc>
        <w:tc>
          <w:tcPr>
            <w:tcW w:w="671" w:type="dxa"/>
            <w:tcBorders>
              <w:bottom w:val="nil"/>
            </w:tcBorders>
          </w:tcPr>
          <w:p w:rsidR="007D175C" w:rsidRPr="00C66550" w:rsidRDefault="007D175C" w:rsidP="007D175C">
            <w:pPr>
              <w:jc w:val="center"/>
              <w:cnfStyle w:val="000000000000"/>
              <w:rPr>
                <w:color w:val="181818"/>
                <w:szCs w:val="20"/>
              </w:rPr>
            </w:pPr>
            <w:r w:rsidRPr="00C66550">
              <w:rPr>
                <w:color w:val="181818"/>
                <w:szCs w:val="20"/>
              </w:rPr>
              <w:t>2.7</w:t>
            </w:r>
          </w:p>
        </w:tc>
        <w:tc>
          <w:tcPr>
            <w:tcW w:w="671" w:type="dxa"/>
            <w:tcBorders>
              <w:bottom w:val="nil"/>
            </w:tcBorders>
          </w:tcPr>
          <w:p w:rsidR="007D175C" w:rsidRPr="00C66550" w:rsidRDefault="007D175C" w:rsidP="007D175C">
            <w:pPr>
              <w:jc w:val="center"/>
              <w:cnfStyle w:val="000000000000"/>
              <w:rPr>
                <w:color w:val="181818"/>
                <w:szCs w:val="20"/>
              </w:rPr>
            </w:pPr>
            <w:r w:rsidRPr="00C66550">
              <w:rPr>
                <w:color w:val="181818"/>
                <w:szCs w:val="20"/>
              </w:rPr>
              <w:t>0.6</w:t>
            </w:r>
          </w:p>
        </w:tc>
        <w:tc>
          <w:tcPr>
            <w:tcW w:w="671" w:type="dxa"/>
            <w:tcBorders>
              <w:bottom w:val="nil"/>
            </w:tcBorders>
          </w:tcPr>
          <w:p w:rsidR="007D175C" w:rsidRPr="00C66550" w:rsidRDefault="007D175C" w:rsidP="007D175C">
            <w:pPr>
              <w:jc w:val="center"/>
              <w:cnfStyle w:val="000000000000"/>
              <w:rPr>
                <w:color w:val="181818"/>
                <w:szCs w:val="20"/>
              </w:rPr>
            </w:pPr>
            <w:r w:rsidRPr="00C66550">
              <w:rPr>
                <w:color w:val="181818"/>
                <w:szCs w:val="20"/>
              </w:rPr>
              <w:t>0.2</w:t>
            </w:r>
          </w:p>
        </w:tc>
        <w:tc>
          <w:tcPr>
            <w:tcW w:w="671" w:type="dxa"/>
            <w:tcBorders>
              <w:bottom w:val="nil"/>
            </w:tcBorders>
          </w:tcPr>
          <w:p w:rsidR="007D175C" w:rsidRPr="00C66550" w:rsidRDefault="007D175C" w:rsidP="007D175C">
            <w:pPr>
              <w:jc w:val="center"/>
              <w:cnfStyle w:val="000000000000"/>
              <w:rPr>
                <w:color w:val="181818"/>
                <w:szCs w:val="20"/>
              </w:rPr>
            </w:pPr>
            <w:r w:rsidRPr="00C66550">
              <w:rPr>
                <w:color w:val="181818"/>
                <w:szCs w:val="20"/>
              </w:rPr>
              <w:t>2.1</w:t>
            </w:r>
          </w:p>
        </w:tc>
        <w:tc>
          <w:tcPr>
            <w:tcW w:w="671" w:type="dxa"/>
            <w:tcBorders>
              <w:bottom w:val="nil"/>
            </w:tcBorders>
          </w:tcPr>
          <w:p w:rsidR="007D175C" w:rsidRPr="00C66550" w:rsidRDefault="007D175C" w:rsidP="007D175C">
            <w:pPr>
              <w:jc w:val="center"/>
              <w:cnfStyle w:val="000000000000"/>
              <w:rPr>
                <w:color w:val="181818"/>
                <w:szCs w:val="20"/>
              </w:rPr>
            </w:pPr>
            <w:r w:rsidRPr="00C66550">
              <w:rPr>
                <w:color w:val="181818"/>
                <w:szCs w:val="20"/>
              </w:rPr>
              <w:t>1.2</w:t>
            </w:r>
          </w:p>
        </w:tc>
      </w:tr>
      <w:tr w:rsidR="007D175C" w:rsidRPr="00C66550" w:rsidTr="00342134">
        <w:tc>
          <w:tcPr>
            <w:cnfStyle w:val="001000000000"/>
            <w:tcW w:w="1843" w:type="dxa"/>
            <w:tcBorders>
              <w:top w:val="nil"/>
              <w:bottom w:val="single" w:sz="4" w:space="0" w:color="808080" w:themeColor="background1" w:themeShade="80"/>
            </w:tcBorders>
          </w:tcPr>
          <w:p w:rsidR="007D175C" w:rsidRPr="00C66550" w:rsidRDefault="007D175C" w:rsidP="007D175C">
            <w:r w:rsidRPr="00C66550">
              <w:t>Per capita (t CO</w:t>
            </w:r>
            <w:r w:rsidRPr="00C66550">
              <w:rPr>
                <w:vertAlign w:val="subscript"/>
              </w:rPr>
              <w:t>2</w:t>
            </w:r>
            <w:r w:rsidRPr="00C66550">
              <w:t>-e)</w:t>
            </w:r>
          </w:p>
        </w:tc>
        <w:tc>
          <w:tcPr>
            <w:tcW w:w="724" w:type="dxa"/>
            <w:tcBorders>
              <w:top w:val="nil"/>
              <w:bottom w:val="single" w:sz="4" w:space="0" w:color="808080" w:themeColor="background1" w:themeShade="80"/>
            </w:tcBorders>
          </w:tcPr>
          <w:p w:rsidR="007D175C" w:rsidRPr="00C66550" w:rsidRDefault="007D175C" w:rsidP="007D175C">
            <w:pPr>
              <w:jc w:val="center"/>
              <w:cnfStyle w:val="000000000000"/>
              <w:rPr>
                <w:color w:val="181818"/>
                <w:szCs w:val="20"/>
              </w:rPr>
            </w:pPr>
            <w:r w:rsidRPr="00C66550">
              <w:rPr>
                <w:color w:val="181818"/>
                <w:szCs w:val="20"/>
              </w:rPr>
              <w:t>0.58</w:t>
            </w:r>
          </w:p>
        </w:tc>
        <w:tc>
          <w:tcPr>
            <w:tcW w:w="671" w:type="dxa"/>
            <w:tcBorders>
              <w:top w:val="nil"/>
              <w:bottom w:val="single" w:sz="4" w:space="0" w:color="808080" w:themeColor="background1" w:themeShade="80"/>
            </w:tcBorders>
          </w:tcPr>
          <w:p w:rsidR="007D175C" w:rsidRPr="00C66550" w:rsidRDefault="007D175C" w:rsidP="007D175C">
            <w:pPr>
              <w:jc w:val="center"/>
              <w:cnfStyle w:val="000000000000"/>
              <w:rPr>
                <w:color w:val="181818"/>
                <w:szCs w:val="20"/>
              </w:rPr>
            </w:pPr>
            <w:r w:rsidRPr="00C66550">
              <w:rPr>
                <w:color w:val="181818"/>
                <w:szCs w:val="20"/>
              </w:rPr>
              <w:t>0.49</w:t>
            </w:r>
          </w:p>
        </w:tc>
        <w:tc>
          <w:tcPr>
            <w:tcW w:w="671" w:type="dxa"/>
            <w:tcBorders>
              <w:top w:val="nil"/>
              <w:bottom w:val="single" w:sz="4" w:space="0" w:color="808080" w:themeColor="background1" w:themeShade="80"/>
            </w:tcBorders>
          </w:tcPr>
          <w:p w:rsidR="007D175C" w:rsidRPr="00C66550" w:rsidRDefault="007D175C" w:rsidP="007D175C">
            <w:pPr>
              <w:jc w:val="center"/>
              <w:cnfStyle w:val="000000000000"/>
              <w:rPr>
                <w:color w:val="181818"/>
                <w:szCs w:val="20"/>
              </w:rPr>
            </w:pPr>
            <w:r w:rsidRPr="00C66550">
              <w:rPr>
                <w:color w:val="181818"/>
                <w:szCs w:val="20"/>
              </w:rPr>
              <w:t>0.61</w:t>
            </w:r>
          </w:p>
        </w:tc>
        <w:tc>
          <w:tcPr>
            <w:tcW w:w="671" w:type="dxa"/>
            <w:tcBorders>
              <w:top w:val="nil"/>
              <w:bottom w:val="single" w:sz="4" w:space="0" w:color="808080" w:themeColor="background1" w:themeShade="80"/>
            </w:tcBorders>
          </w:tcPr>
          <w:p w:rsidR="007D175C" w:rsidRPr="00C66550" w:rsidRDefault="007D175C" w:rsidP="007D175C">
            <w:pPr>
              <w:jc w:val="center"/>
              <w:cnfStyle w:val="000000000000"/>
              <w:rPr>
                <w:color w:val="181818"/>
                <w:szCs w:val="20"/>
              </w:rPr>
            </w:pPr>
            <w:r w:rsidRPr="00C66550">
              <w:rPr>
                <w:color w:val="181818"/>
                <w:szCs w:val="20"/>
              </w:rPr>
              <w:t>0.38</w:t>
            </w:r>
          </w:p>
        </w:tc>
        <w:tc>
          <w:tcPr>
            <w:tcW w:w="671" w:type="dxa"/>
            <w:tcBorders>
              <w:top w:val="nil"/>
              <w:bottom w:val="single" w:sz="4" w:space="0" w:color="808080" w:themeColor="background1" w:themeShade="80"/>
            </w:tcBorders>
          </w:tcPr>
          <w:p w:rsidR="007D175C" w:rsidRPr="00C66550" w:rsidRDefault="007D175C" w:rsidP="007D175C">
            <w:pPr>
              <w:jc w:val="center"/>
              <w:cnfStyle w:val="000000000000"/>
              <w:rPr>
                <w:color w:val="181818"/>
                <w:szCs w:val="20"/>
              </w:rPr>
            </w:pPr>
            <w:r w:rsidRPr="00C66550">
              <w:rPr>
                <w:color w:val="181818"/>
                <w:szCs w:val="20"/>
              </w:rPr>
              <w:t>0.43</w:t>
            </w:r>
          </w:p>
        </w:tc>
        <w:tc>
          <w:tcPr>
            <w:tcW w:w="671" w:type="dxa"/>
            <w:tcBorders>
              <w:top w:val="nil"/>
              <w:bottom w:val="single" w:sz="4" w:space="0" w:color="808080" w:themeColor="background1" w:themeShade="80"/>
            </w:tcBorders>
          </w:tcPr>
          <w:p w:rsidR="007D175C" w:rsidRPr="00C66550" w:rsidRDefault="007D175C" w:rsidP="007D175C">
            <w:pPr>
              <w:jc w:val="center"/>
              <w:cnfStyle w:val="000000000000"/>
              <w:rPr>
                <w:color w:val="181818"/>
                <w:szCs w:val="20"/>
              </w:rPr>
            </w:pPr>
            <w:r w:rsidRPr="00C66550">
              <w:rPr>
                <w:color w:val="181818"/>
                <w:szCs w:val="20"/>
              </w:rPr>
              <w:t>0.38</w:t>
            </w:r>
          </w:p>
        </w:tc>
        <w:tc>
          <w:tcPr>
            <w:tcW w:w="671" w:type="dxa"/>
            <w:tcBorders>
              <w:top w:val="nil"/>
              <w:bottom w:val="single" w:sz="4" w:space="0" w:color="808080" w:themeColor="background1" w:themeShade="80"/>
            </w:tcBorders>
          </w:tcPr>
          <w:p w:rsidR="007D175C" w:rsidRPr="00C66550" w:rsidRDefault="007D175C" w:rsidP="007D175C">
            <w:pPr>
              <w:jc w:val="center"/>
              <w:cnfStyle w:val="000000000000"/>
              <w:rPr>
                <w:color w:val="181818"/>
                <w:szCs w:val="20"/>
              </w:rPr>
            </w:pPr>
            <w:r w:rsidRPr="00C66550">
              <w:rPr>
                <w:color w:val="181818"/>
                <w:szCs w:val="20"/>
              </w:rPr>
              <w:t>0.51</w:t>
            </w:r>
          </w:p>
        </w:tc>
      </w:tr>
    </w:tbl>
    <w:p w:rsidR="007D175C" w:rsidRPr="00C66550" w:rsidRDefault="007D175C" w:rsidP="007D175C">
      <w:pPr>
        <w:spacing w:before="80" w:line="240" w:lineRule="auto"/>
        <w:rPr>
          <w:rFonts w:cs="Arial"/>
          <w:i/>
          <w:color w:val="0000FF"/>
          <w:sz w:val="22"/>
          <w:szCs w:val="20"/>
        </w:rPr>
      </w:pPr>
      <w:r w:rsidRPr="00C66550">
        <w:rPr>
          <w:rFonts w:cs="Arial"/>
          <w:i/>
          <w:color w:val="0000FF"/>
          <w:sz w:val="22"/>
          <w:szCs w:val="20"/>
        </w:rPr>
        <w:t>Source:</w:t>
      </w:r>
      <w:r w:rsidRPr="00C66550">
        <w:rPr>
          <w:rFonts w:cs="Arial"/>
          <w:i/>
          <w:color w:val="0000FF"/>
          <w:sz w:val="22"/>
          <w:szCs w:val="20"/>
        </w:rPr>
        <w:tab/>
        <w:t xml:space="preserve">DCCEE (2012). </w:t>
      </w:r>
      <w:r w:rsidR="00342134" w:rsidRPr="00C66550">
        <w:rPr>
          <w:rFonts w:cs="Arial"/>
          <w:i/>
          <w:color w:val="0000FF"/>
          <w:sz w:val="22"/>
          <w:szCs w:val="20"/>
        </w:rPr>
        <w:t>No</w:t>
      </w:r>
      <w:r w:rsidRPr="00C66550">
        <w:rPr>
          <w:rFonts w:cs="Arial"/>
          <w:i/>
          <w:color w:val="0000FF"/>
          <w:sz w:val="22"/>
          <w:szCs w:val="20"/>
        </w:rPr>
        <w:t xml:space="preserve"> landfill emission datum</w:t>
      </w:r>
      <w:r w:rsidR="00342134" w:rsidRPr="00C66550">
        <w:rPr>
          <w:rFonts w:cs="Arial"/>
          <w:i/>
          <w:color w:val="0000FF"/>
          <w:sz w:val="22"/>
          <w:szCs w:val="20"/>
        </w:rPr>
        <w:t xml:space="preserve"> is available</w:t>
      </w:r>
      <w:r w:rsidRPr="00C66550">
        <w:rPr>
          <w:rFonts w:cs="Arial"/>
          <w:i/>
          <w:color w:val="0000FF"/>
          <w:sz w:val="22"/>
          <w:szCs w:val="20"/>
        </w:rPr>
        <w:t xml:space="preserve"> for the ACT</w:t>
      </w:r>
    </w:p>
    <w:p w:rsidR="007D175C" w:rsidRPr="00C66550" w:rsidRDefault="007D175C" w:rsidP="007D175C">
      <w:pPr>
        <w:spacing w:line="240" w:lineRule="auto"/>
        <w:rPr>
          <w:color w:val="080808"/>
          <w:spacing w:val="3"/>
          <w:sz w:val="22"/>
        </w:rPr>
      </w:pPr>
      <w:bookmarkStart w:id="257" w:name="_Ref347868689"/>
    </w:p>
    <w:p w:rsidR="007D175C" w:rsidRPr="00C66550" w:rsidRDefault="007D175C" w:rsidP="007D175C">
      <w:pPr>
        <w:spacing w:line="240" w:lineRule="auto"/>
        <w:rPr>
          <w:color w:val="080808"/>
          <w:spacing w:val="3"/>
          <w:sz w:val="22"/>
        </w:rPr>
      </w:pPr>
      <w:r w:rsidRPr="00C66550">
        <w:rPr>
          <w:color w:val="080808"/>
          <w:spacing w:val="3"/>
          <w:sz w:val="22"/>
        </w:rPr>
        <w:t>The waste materials giving rise to Australia’s landfill methane emissions can be estimated using NGERS default factors for carbon content, decay behaviours, and waste stream composition. This is illustrated in</w:t>
      </w:r>
      <w:r w:rsidR="009148D9" w:rsidRPr="00C66550">
        <w:rPr>
          <w:color w:val="080808"/>
          <w:spacing w:val="3"/>
          <w:sz w:val="22"/>
        </w:rPr>
        <w:t xml:space="preserve"> </w:t>
      </w:r>
      <w:fldSimple w:instr=" REF _Ref349778125 \h  \* MERGEFORMAT ">
        <w:r w:rsidR="00D96003" w:rsidRPr="00D96003">
          <w:rPr>
            <w:rFonts w:cs="Calibri"/>
            <w:color w:val="auto"/>
            <w:sz w:val="22"/>
            <w:szCs w:val="20"/>
          </w:rPr>
          <w:t xml:space="preserve">Figure </w:t>
        </w:r>
        <w:r w:rsidR="00D96003" w:rsidRPr="00D96003">
          <w:rPr>
            <w:rFonts w:cs="Calibri"/>
            <w:noProof/>
            <w:color w:val="auto"/>
            <w:sz w:val="22"/>
            <w:szCs w:val="20"/>
          </w:rPr>
          <w:t>46</w:t>
        </w:r>
      </w:fldSimple>
      <w:r w:rsidR="00342134" w:rsidRPr="00C66550">
        <w:t xml:space="preserve"> (overleaf)</w:t>
      </w:r>
      <w:r w:rsidRPr="00C66550">
        <w:rPr>
          <w:color w:val="auto"/>
          <w:spacing w:val="3"/>
          <w:sz w:val="22"/>
        </w:rPr>
        <w:t>.</w:t>
      </w:r>
      <w:r w:rsidR="00342134" w:rsidRPr="00C66550">
        <w:rPr>
          <w:color w:val="auto"/>
          <w:spacing w:val="3"/>
          <w:sz w:val="22"/>
        </w:rPr>
        <w:t xml:space="preserve"> Food waste and paper (including cardboard) are the main sources of emissions. </w:t>
      </w:r>
    </w:p>
    <w:p w:rsidR="00342134" w:rsidRPr="00C66550" w:rsidRDefault="00342134">
      <w:pPr>
        <w:spacing w:line="240" w:lineRule="auto"/>
        <w:rPr>
          <w:color w:val="080808"/>
          <w:spacing w:val="3"/>
          <w:sz w:val="22"/>
        </w:rPr>
      </w:pPr>
    </w:p>
    <w:p w:rsidR="00342134" w:rsidRPr="00C66550" w:rsidRDefault="00342134" w:rsidP="00342134">
      <w:pPr>
        <w:spacing w:line="240" w:lineRule="auto"/>
        <w:rPr>
          <w:color w:val="080808"/>
          <w:spacing w:val="3"/>
          <w:sz w:val="22"/>
        </w:rPr>
      </w:pPr>
      <w:r w:rsidRPr="00C66550">
        <w:rPr>
          <w:color w:val="080808"/>
          <w:spacing w:val="3"/>
          <w:sz w:val="22"/>
        </w:rPr>
        <w:t xml:space="preserve">The discussion above is based on standard inventory and accounting approaches for emissions from landfills using DIICCSRTE factors and methods. When landfilling is considered from a more holistic life cycle perspective, two types of greenhouse benefit are revealed: the </w:t>
      </w:r>
      <w:r w:rsidRPr="00C66550">
        <w:rPr>
          <w:color w:val="080808"/>
          <w:sz w:val="22"/>
        </w:rPr>
        <w:t xml:space="preserve">offsetting of fossil fuel associated with generating electricity from landfill gas (which is derived from renewable sources); and the long-term storage of organic carbon in landfills, which prevents its degradation to carbon dioxide. </w:t>
      </w:r>
      <w:r w:rsidRPr="00C66550">
        <w:rPr>
          <w:color w:val="080808"/>
          <w:spacing w:val="3"/>
          <w:sz w:val="22"/>
        </w:rPr>
        <w:t xml:space="preserve">The significance of these two types of benefit varies with the waste types and the greenhouse profile of the offset electricity. Using standard DIICCSRTE factors and modelling to consider a landfill in </w:t>
      </w:r>
      <w:r w:rsidR="00DF4FB7">
        <w:rPr>
          <w:color w:val="080808"/>
          <w:spacing w:val="3"/>
          <w:sz w:val="22"/>
        </w:rPr>
        <w:t>Vic</w:t>
      </w:r>
      <w:r w:rsidRPr="00C66550">
        <w:rPr>
          <w:color w:val="080808"/>
          <w:spacing w:val="3"/>
          <w:sz w:val="22"/>
        </w:rPr>
        <w:t>, which has the most greenhouse-intensive electricity in Australia, inclusion of these two factors in the balance means that a landfill could be considered ‘carbon neutral’ by recovering about 60% of the landfill gas it generates over its whole life-cycle. This rate is achievable at a well-managed landfill.</w:t>
      </w:r>
    </w:p>
    <w:p w:rsidR="001777DA" w:rsidRPr="00C66550" w:rsidRDefault="001777DA">
      <w:pPr>
        <w:spacing w:line="240" w:lineRule="auto"/>
        <w:rPr>
          <w:color w:val="080808"/>
          <w:spacing w:val="3"/>
          <w:sz w:val="22"/>
        </w:rPr>
      </w:pPr>
      <w:r w:rsidRPr="00C66550">
        <w:rPr>
          <w:color w:val="080808"/>
          <w:spacing w:val="3"/>
          <w:sz w:val="22"/>
        </w:rPr>
        <w:br w:type="page"/>
      </w:r>
    </w:p>
    <w:p w:rsidR="007D175C" w:rsidRPr="00C66550" w:rsidRDefault="007D175C" w:rsidP="00FB4820">
      <w:pPr>
        <w:pStyle w:val="Figures"/>
      </w:pPr>
      <w:bookmarkStart w:id="258" w:name="_Ref349778125"/>
      <w:bookmarkStart w:id="259" w:name="_Toc347947961"/>
      <w:bookmarkStart w:id="260" w:name="_Toc365385055"/>
      <w:r w:rsidRPr="00C66550">
        <w:lastRenderedPageBreak/>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46</w:t>
      </w:r>
      <w:r w:rsidR="0062001A" w:rsidRPr="00C66550">
        <w:fldChar w:fldCharType="end"/>
      </w:r>
      <w:bookmarkEnd w:id="257"/>
      <w:bookmarkEnd w:id="258"/>
      <w:r w:rsidRPr="00C66550">
        <w:t xml:space="preserve">: </w:t>
      </w:r>
      <w:r w:rsidRPr="00C66550">
        <w:tab/>
      </w:r>
      <w:r w:rsidR="00FC2D1C">
        <w:t>M</w:t>
      </w:r>
      <w:r w:rsidRPr="00C66550">
        <w:t>aterials giving rise to Australia’s landfill methane emissions, based on NGERS defaults</w:t>
      </w:r>
      <w:bookmarkEnd w:id="259"/>
      <w:bookmarkEnd w:id="260"/>
      <w:r w:rsidRPr="00C66550">
        <w:t xml:space="preserve"> </w:t>
      </w:r>
    </w:p>
    <w:p w:rsidR="007D175C" w:rsidRPr="00C66550" w:rsidRDefault="007D175C" w:rsidP="007D175C">
      <w:pPr>
        <w:spacing w:line="240" w:lineRule="auto"/>
        <w:rPr>
          <w:color w:val="080808"/>
          <w:sz w:val="22"/>
          <w:szCs w:val="20"/>
        </w:rPr>
      </w:pPr>
      <w:r w:rsidRPr="00C66550">
        <w:rPr>
          <w:noProof/>
          <w:color w:val="080808"/>
          <w:sz w:val="22"/>
          <w:lang w:eastAsia="en-AU"/>
        </w:rPr>
        <w:drawing>
          <wp:inline distT="0" distB="0" distL="0" distR="0">
            <wp:extent cx="3181350" cy="306705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srcRect b="11050"/>
                    <a:stretch>
                      <a:fillRect/>
                    </a:stretch>
                  </pic:blipFill>
                  <pic:spPr bwMode="auto">
                    <a:xfrm>
                      <a:off x="0" y="0"/>
                      <a:ext cx="3181350" cy="3067050"/>
                    </a:xfrm>
                    <a:prstGeom prst="rect">
                      <a:avLst/>
                    </a:prstGeom>
                    <a:noFill/>
                    <a:ln w="9525">
                      <a:noFill/>
                      <a:miter lim="800000"/>
                      <a:headEnd/>
                      <a:tailEnd/>
                    </a:ln>
                  </pic:spPr>
                </pic:pic>
              </a:graphicData>
            </a:graphic>
          </wp:inline>
        </w:drawing>
      </w:r>
      <w:bookmarkStart w:id="261" w:name="_bookmark95"/>
      <w:bookmarkEnd w:id="261"/>
    </w:p>
    <w:p w:rsidR="00342134" w:rsidRPr="00C66550" w:rsidRDefault="00342134" w:rsidP="007D175C">
      <w:pPr>
        <w:spacing w:line="240" w:lineRule="auto"/>
        <w:rPr>
          <w:color w:val="080808"/>
          <w:spacing w:val="3"/>
          <w:sz w:val="22"/>
        </w:rPr>
      </w:pPr>
    </w:p>
    <w:p w:rsidR="007D175C" w:rsidRPr="00C66550" w:rsidRDefault="007D175C" w:rsidP="007D175C">
      <w:pPr>
        <w:spacing w:line="240" w:lineRule="auto"/>
        <w:rPr>
          <w:color w:val="080808"/>
          <w:spacing w:val="3"/>
          <w:sz w:val="22"/>
        </w:rPr>
      </w:pPr>
      <w:r w:rsidRPr="00C66550">
        <w:rPr>
          <w:color w:val="080808"/>
          <w:spacing w:val="3"/>
          <w:sz w:val="22"/>
        </w:rPr>
        <w:t>Methods for reducing methane emissions from landfills include:</w:t>
      </w:r>
    </w:p>
    <w:p w:rsidR="007D175C" w:rsidRPr="00C66550" w:rsidRDefault="007D175C" w:rsidP="004D1F08">
      <w:pPr>
        <w:pStyle w:val="Bullet1"/>
      </w:pPr>
      <w:r w:rsidRPr="00C66550">
        <w:t>maximising methane capture and oxidation</w:t>
      </w:r>
    </w:p>
    <w:p w:rsidR="007D175C" w:rsidRPr="00C66550" w:rsidRDefault="007D175C" w:rsidP="004D1F08">
      <w:pPr>
        <w:pStyle w:val="Bullet1"/>
      </w:pPr>
      <w:r w:rsidRPr="00C66550">
        <w:t>diversion of organic materials, especially garden and food waste, to composting and other organic processing methods</w:t>
      </w:r>
    </w:p>
    <w:p w:rsidR="007D175C" w:rsidRPr="00C66550" w:rsidRDefault="007D175C" w:rsidP="004D1F08">
      <w:pPr>
        <w:pStyle w:val="Bullet1"/>
      </w:pPr>
      <w:r w:rsidRPr="00C66550">
        <w:t>increasing the oxidation of methane as it migrates through the aerobic upper layers of the landfill through the use of cover and capping materials that provide a good substrate for the relevant microbes</w:t>
      </w:r>
    </w:p>
    <w:p w:rsidR="007D175C" w:rsidRPr="00C66550" w:rsidRDefault="007D175C" w:rsidP="004D1F08">
      <w:pPr>
        <w:pStyle w:val="Bullet1"/>
      </w:pPr>
      <w:r w:rsidRPr="00C66550">
        <w:t>constructing small cells that are rapidly capped so that gas collection can start quickly</w:t>
      </w:r>
    </w:p>
    <w:p w:rsidR="00342134" w:rsidRDefault="007D175C" w:rsidP="00342134">
      <w:pPr>
        <w:pStyle w:val="Bullet1"/>
      </w:pPr>
      <w:r w:rsidRPr="00C66550">
        <w:t>managing sites as bioreactors, where waste degradation is optimised so that gas generation occurs over more concentrated timeframe</w:t>
      </w:r>
      <w:r w:rsidR="00783ED8" w:rsidRPr="00C66550">
        <w:t>—</w:t>
      </w:r>
      <w:r w:rsidRPr="00C66550">
        <w:t>this enhances the financial viability of methane capture.</w:t>
      </w:r>
    </w:p>
    <w:p w:rsidR="002E623C" w:rsidRPr="002E623C" w:rsidRDefault="002E623C" w:rsidP="002E623C">
      <w:pPr>
        <w:spacing w:line="240" w:lineRule="auto"/>
        <w:rPr>
          <w:color w:val="080808"/>
          <w:sz w:val="22"/>
        </w:rPr>
      </w:pPr>
    </w:p>
    <w:p w:rsidR="007D175C" w:rsidRPr="00C66550" w:rsidRDefault="007D175C" w:rsidP="006D25F9">
      <w:pPr>
        <w:pStyle w:val="Heading2"/>
      </w:pPr>
      <w:bookmarkStart w:id="262" w:name="_Toc347947920"/>
      <w:bookmarkStart w:id="263" w:name="_Toc379466403"/>
      <w:r w:rsidRPr="00C66550">
        <w:t>The environmental impacts of other waste operations</w:t>
      </w:r>
      <w:bookmarkEnd w:id="262"/>
      <w:bookmarkEnd w:id="263"/>
    </w:p>
    <w:p w:rsidR="007D175C" w:rsidRPr="00C66550" w:rsidRDefault="00F23F6E" w:rsidP="007D175C">
      <w:pPr>
        <w:spacing w:line="240" w:lineRule="auto"/>
        <w:rPr>
          <w:color w:val="080808"/>
          <w:sz w:val="22"/>
        </w:rPr>
      </w:pPr>
      <w:r w:rsidRPr="00C66550">
        <w:rPr>
          <w:color w:val="080808"/>
          <w:sz w:val="22"/>
        </w:rPr>
        <w:t xml:space="preserve">Most </w:t>
      </w:r>
      <w:r w:rsidR="007D175C" w:rsidRPr="00C66550">
        <w:rPr>
          <w:color w:val="080808"/>
          <w:sz w:val="22"/>
        </w:rPr>
        <w:t>waste operation</w:t>
      </w:r>
      <w:r w:rsidRPr="00C66550">
        <w:rPr>
          <w:color w:val="080808"/>
          <w:sz w:val="22"/>
        </w:rPr>
        <w:t>s</w:t>
      </w:r>
      <w:r w:rsidR="007D175C" w:rsidRPr="00C66550">
        <w:rPr>
          <w:color w:val="080808"/>
          <w:sz w:val="22"/>
        </w:rPr>
        <w:t xml:space="preserve"> pose amenity risks such as noise, dust and litter. In addition to landfills</w:t>
      </w:r>
      <w:r w:rsidRPr="00C66550">
        <w:rPr>
          <w:color w:val="080808"/>
          <w:sz w:val="22"/>
        </w:rPr>
        <w:t>, historically there have been particular concerns</w:t>
      </w:r>
      <w:r w:rsidR="007D175C" w:rsidRPr="00C66550">
        <w:rPr>
          <w:color w:val="080808"/>
          <w:sz w:val="22"/>
        </w:rPr>
        <w:t xml:space="preserve"> with hazardous waste treatment facilities and organic </w:t>
      </w:r>
      <w:r w:rsidRPr="00C66550">
        <w:rPr>
          <w:color w:val="080808"/>
          <w:sz w:val="22"/>
        </w:rPr>
        <w:t xml:space="preserve">waste </w:t>
      </w:r>
      <w:r w:rsidR="007D175C" w:rsidRPr="00C66550">
        <w:rPr>
          <w:color w:val="080808"/>
          <w:sz w:val="22"/>
        </w:rPr>
        <w:t>processing</w:t>
      </w:r>
      <w:r w:rsidRPr="00C66550">
        <w:rPr>
          <w:color w:val="080808"/>
          <w:sz w:val="22"/>
        </w:rPr>
        <w:t xml:space="preserve"> (composting)</w:t>
      </w:r>
      <w:r w:rsidR="007D175C" w:rsidRPr="00C66550">
        <w:rPr>
          <w:color w:val="080808"/>
          <w:sz w:val="22"/>
        </w:rPr>
        <w:t xml:space="preserve">. </w:t>
      </w:r>
    </w:p>
    <w:p w:rsidR="007D175C" w:rsidRPr="00C66550" w:rsidRDefault="007D175C" w:rsidP="007D175C">
      <w:pPr>
        <w:spacing w:line="240" w:lineRule="auto"/>
        <w:rPr>
          <w:color w:val="080808"/>
          <w:sz w:val="22"/>
        </w:rPr>
      </w:pPr>
    </w:p>
    <w:p w:rsidR="007D175C" w:rsidRPr="00C66550" w:rsidRDefault="007D175C" w:rsidP="007D175C">
      <w:pPr>
        <w:spacing w:line="240" w:lineRule="auto"/>
        <w:rPr>
          <w:color w:val="080808"/>
          <w:sz w:val="22"/>
        </w:rPr>
      </w:pPr>
      <w:r w:rsidRPr="00C66550">
        <w:rPr>
          <w:color w:val="080808"/>
          <w:sz w:val="22"/>
        </w:rPr>
        <w:t>There is a variety of hazardous waste treatment facilities, including thermal incinerators of hospital waste, chemical stabilisation treatments and processors of contaminated soil. The common feature is the risk of mobilisation</w:t>
      </w:r>
      <w:r w:rsidR="00783ED8" w:rsidRPr="00C66550">
        <w:rPr>
          <w:color w:val="080808"/>
          <w:sz w:val="22"/>
        </w:rPr>
        <w:t>—</w:t>
      </w:r>
      <w:r w:rsidRPr="00C66550">
        <w:rPr>
          <w:color w:val="080808"/>
          <w:sz w:val="22"/>
        </w:rPr>
        <w:t>in dust, leaks or stacks</w:t>
      </w:r>
      <w:r w:rsidR="00783ED8" w:rsidRPr="00C66550">
        <w:rPr>
          <w:color w:val="080808"/>
          <w:sz w:val="22"/>
        </w:rPr>
        <w:t>—</w:t>
      </w:r>
      <w:r w:rsidRPr="00C66550">
        <w:rPr>
          <w:color w:val="080808"/>
          <w:sz w:val="22"/>
        </w:rPr>
        <w:t>of hazardous contaminants. These types of facilities are tightly regulated to reduce these risks.</w:t>
      </w:r>
    </w:p>
    <w:p w:rsidR="007D175C" w:rsidRPr="00C66550" w:rsidRDefault="007D175C" w:rsidP="007D175C">
      <w:pPr>
        <w:spacing w:line="240" w:lineRule="auto"/>
        <w:rPr>
          <w:color w:val="080808"/>
          <w:sz w:val="22"/>
        </w:rPr>
      </w:pPr>
    </w:p>
    <w:p w:rsidR="00451632" w:rsidRPr="00C66550" w:rsidRDefault="007D175C" w:rsidP="007D175C">
      <w:pPr>
        <w:spacing w:line="240" w:lineRule="auto"/>
        <w:rPr>
          <w:color w:val="080808"/>
          <w:sz w:val="22"/>
        </w:rPr>
      </w:pPr>
      <w:r w:rsidRPr="00C66550">
        <w:rPr>
          <w:color w:val="080808"/>
          <w:sz w:val="22"/>
        </w:rPr>
        <w:t xml:space="preserve">Organic processing operations pose risks in relation to odour and greenhouse gas emissions. </w:t>
      </w:r>
      <w:r w:rsidRPr="00C66550">
        <w:rPr>
          <w:color w:val="auto"/>
          <w:sz w:val="22"/>
        </w:rPr>
        <w:t xml:space="preserve">Over the past five years, several large composting facilities in </w:t>
      </w:r>
      <w:r w:rsidR="00DF4FB7">
        <w:rPr>
          <w:color w:val="auto"/>
          <w:sz w:val="22"/>
        </w:rPr>
        <w:t>Vic</w:t>
      </w:r>
      <w:r w:rsidR="008A1A56">
        <w:rPr>
          <w:color w:val="auto"/>
          <w:sz w:val="22"/>
        </w:rPr>
        <w:t xml:space="preserve"> </w:t>
      </w:r>
      <w:r w:rsidRPr="00C66550">
        <w:rPr>
          <w:color w:val="auto"/>
          <w:sz w:val="22"/>
        </w:rPr>
        <w:t>have closed due to on-going serious odour issues, and organic processing facilities in WA and NSW have also been the subject of strong community complaints over odour.</w:t>
      </w:r>
      <w:r w:rsidRPr="00C66550">
        <w:rPr>
          <w:color w:val="080808"/>
          <w:sz w:val="22"/>
        </w:rPr>
        <w:t xml:space="preserve"> The greenhouse gas emissions from composting include both methane and nitrous oxide, but are generally small compared with landfills. Both odour and greenhouse gas emissions can be reduced through more frequent turning of composting piles and use of more sophisticated technologies such as forced aeration and biofiltration of air out-takes.</w:t>
      </w:r>
    </w:p>
    <w:p w:rsidR="000F065B" w:rsidRPr="00C66550" w:rsidRDefault="000F065B" w:rsidP="006D25F9">
      <w:pPr>
        <w:pStyle w:val="Heading2"/>
      </w:pPr>
      <w:bookmarkStart w:id="264" w:name="_Toc379466404"/>
      <w:bookmarkStart w:id="265" w:name="_Ref349059095"/>
      <w:bookmarkStart w:id="266" w:name="_Toc347947922"/>
      <w:r w:rsidRPr="00C66550">
        <w:lastRenderedPageBreak/>
        <w:t xml:space="preserve">Environmental impacts of </w:t>
      </w:r>
      <w:r w:rsidR="00EB6E4D" w:rsidRPr="00C66550">
        <w:t>waste electrical and electronic equipment</w:t>
      </w:r>
      <w:bookmarkEnd w:id="264"/>
      <w:r w:rsidR="00EB6E4D" w:rsidRPr="00C66550">
        <w:t xml:space="preserve"> </w:t>
      </w:r>
      <w:bookmarkEnd w:id="265"/>
    </w:p>
    <w:p w:rsidR="009D29F0" w:rsidRPr="00C66550" w:rsidRDefault="00994A1E" w:rsidP="000F065B">
      <w:pPr>
        <w:pStyle w:val="BodyText"/>
      </w:pPr>
      <w:r w:rsidRPr="00C66550">
        <w:t>Waste electrical and electronic equipment (</w:t>
      </w:r>
      <w:r w:rsidR="00EB6E4D" w:rsidRPr="00C66550">
        <w:t>WEEE</w:t>
      </w:r>
      <w:r w:rsidRPr="00C66550">
        <w:t>)</w:t>
      </w:r>
      <w:r w:rsidR="00EB6E4D" w:rsidRPr="00C66550">
        <w:t xml:space="preserve"> </w:t>
      </w:r>
      <w:r w:rsidR="00342134" w:rsidRPr="00C66550">
        <w:t xml:space="preserve">includes a broad range of discarded products such as computers, office electronic equipment, entertainment devices, mobile phones, TVs, and fridges and washing machines (see </w:t>
      </w:r>
      <w:r w:rsidR="0062001A" w:rsidRPr="00C66550">
        <w:fldChar w:fldCharType="begin"/>
      </w:r>
      <w:r w:rsidR="00342134" w:rsidRPr="00C66550">
        <w:instrText xml:space="preserve"> REF _Ref349034490 \h </w:instrText>
      </w:r>
      <w:r w:rsidR="0062001A" w:rsidRPr="00C66550">
        <w:fldChar w:fldCharType="separate"/>
      </w:r>
      <w:r w:rsidR="00D96003" w:rsidRPr="00C66550">
        <w:t xml:space="preserve">Figure </w:t>
      </w:r>
      <w:r w:rsidR="00D96003">
        <w:rPr>
          <w:noProof/>
        </w:rPr>
        <w:t>47</w:t>
      </w:r>
      <w:r w:rsidR="0062001A" w:rsidRPr="00C66550">
        <w:fldChar w:fldCharType="end"/>
      </w:r>
      <w:r w:rsidR="00342134" w:rsidRPr="00C66550">
        <w:t xml:space="preserve">). WEEE </w:t>
      </w:r>
      <w:r w:rsidR="009D29F0" w:rsidRPr="00C66550">
        <w:t>management has the potential for significant environmental impact</w:t>
      </w:r>
      <w:r w:rsidR="003C2406" w:rsidRPr="00C66550">
        <w:t xml:space="preserve"> through the </w:t>
      </w:r>
      <w:r w:rsidR="00342134" w:rsidRPr="00C66550">
        <w:t>loss</w:t>
      </w:r>
      <w:r w:rsidR="003C2406" w:rsidRPr="00C66550">
        <w:t xml:space="preserve"> of scarce resources and leaching of toxic metals in landfill. </w:t>
      </w:r>
      <w:r w:rsidR="00342134" w:rsidRPr="00C66550">
        <w:t>As rates of consumption escalate, t</w:t>
      </w:r>
      <w:r w:rsidR="009D29F0" w:rsidRPr="00C66550">
        <w:t xml:space="preserve">he volumes of </w:t>
      </w:r>
      <w:r w:rsidR="003C2406" w:rsidRPr="00C66550">
        <w:t xml:space="preserve">WEEE </w:t>
      </w:r>
      <w:r w:rsidR="009D29F0" w:rsidRPr="00C66550">
        <w:t xml:space="preserve">and </w:t>
      </w:r>
      <w:r w:rsidR="00342134" w:rsidRPr="00C66550">
        <w:t xml:space="preserve">associated </w:t>
      </w:r>
      <w:r w:rsidR="009D29F0" w:rsidRPr="00C66550">
        <w:t>environmental risks are increasing rapidly.</w:t>
      </w:r>
      <w:r w:rsidR="00B548F3" w:rsidRPr="00C66550">
        <w:t xml:space="preserve"> </w:t>
      </w:r>
    </w:p>
    <w:p w:rsidR="009D29F0" w:rsidRPr="00C66550" w:rsidRDefault="009D29F0" w:rsidP="000F065B">
      <w:pPr>
        <w:pStyle w:val="BodyText"/>
      </w:pPr>
    </w:p>
    <w:p w:rsidR="001E5C3C" w:rsidRPr="00C66550" w:rsidRDefault="001E5C3C" w:rsidP="00FB4820">
      <w:pPr>
        <w:pStyle w:val="Figures"/>
      </w:pPr>
      <w:bookmarkStart w:id="267" w:name="_Ref349034490"/>
      <w:bookmarkStart w:id="268" w:name="_Toc365385056"/>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47</w:t>
      </w:r>
      <w:r w:rsidR="0062001A" w:rsidRPr="00C66550">
        <w:fldChar w:fldCharType="end"/>
      </w:r>
      <w:bookmarkEnd w:id="267"/>
      <w:r w:rsidRPr="00C66550">
        <w:t xml:space="preserve">: </w:t>
      </w:r>
      <w:r w:rsidRPr="00C66550">
        <w:tab/>
        <w:t>Typical composition of WEEE</w:t>
      </w:r>
      <w:bookmarkEnd w:id="268"/>
      <w:r w:rsidRPr="00C66550">
        <w:t xml:space="preserve"> </w:t>
      </w:r>
    </w:p>
    <w:p w:rsidR="00452964" w:rsidRPr="00C66550" w:rsidRDefault="00452964" w:rsidP="009D29F0">
      <w:pPr>
        <w:pStyle w:val="BodyText"/>
      </w:pPr>
      <w:r w:rsidRPr="00C66550">
        <w:rPr>
          <w:noProof/>
          <w:lang w:eastAsia="en-AU"/>
        </w:rPr>
        <w:drawing>
          <wp:anchor distT="36195" distB="180340" distL="215900" distR="215900" simplePos="0" relativeHeight="251698176" behindDoc="0" locked="0" layoutInCell="1" allowOverlap="1">
            <wp:simplePos x="0" y="0"/>
            <wp:positionH relativeFrom="column">
              <wp:posOffset>10160</wp:posOffset>
            </wp:positionH>
            <wp:positionV relativeFrom="paragraph">
              <wp:posOffset>90805</wp:posOffset>
            </wp:positionV>
            <wp:extent cx="2310765" cy="53670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0765" cy="5367020"/>
                    </a:xfrm>
                    <a:prstGeom prst="rect">
                      <a:avLst/>
                    </a:prstGeom>
                  </pic:spPr>
                </pic:pic>
              </a:graphicData>
            </a:graphic>
          </wp:anchor>
        </w:drawing>
      </w:r>
    </w:p>
    <w:p w:rsidR="00602DAD" w:rsidRPr="00C66550" w:rsidRDefault="00602DAD" w:rsidP="009D29F0">
      <w:pPr>
        <w:pStyle w:val="BodyText"/>
        <w:rPr>
          <w:i/>
        </w:rPr>
      </w:pPr>
      <w:r w:rsidRPr="00C66550">
        <w:t>D</w:t>
      </w:r>
      <w:r w:rsidR="00B548F3" w:rsidRPr="00C66550">
        <w:t xml:space="preserve">ata on the total amount of </w:t>
      </w:r>
      <w:r w:rsidR="001E5C3C" w:rsidRPr="00C66550">
        <w:t>WEEE</w:t>
      </w:r>
      <w:r w:rsidR="00452964" w:rsidRPr="00C66550">
        <w:t xml:space="preserve"> produced in Australia</w:t>
      </w:r>
      <w:r w:rsidR="00B548F3" w:rsidRPr="00C66550">
        <w:t xml:space="preserve"> </w:t>
      </w:r>
      <w:r w:rsidR="001E5C3C" w:rsidRPr="00C66550">
        <w:t>is</w:t>
      </w:r>
      <w:r w:rsidR="00B548F3" w:rsidRPr="00C66550">
        <w:t xml:space="preserve"> not available</w:t>
      </w:r>
      <w:r w:rsidRPr="00C66550">
        <w:t>. D</w:t>
      </w:r>
      <w:r w:rsidR="006D626B" w:rsidRPr="00C66550">
        <w:t xml:space="preserve">ata </w:t>
      </w:r>
      <w:r w:rsidR="00452964" w:rsidRPr="00C66550">
        <w:t>in relation to</w:t>
      </w:r>
      <w:r w:rsidR="006D626B" w:rsidRPr="00C66550">
        <w:t xml:space="preserve"> TVs and computers </w:t>
      </w:r>
      <w:r w:rsidR="00452964" w:rsidRPr="00C66550">
        <w:t xml:space="preserve">from </w:t>
      </w:r>
      <w:r w:rsidR="001E5C3C" w:rsidRPr="00C66550">
        <w:t>EPHC</w:t>
      </w:r>
      <w:r w:rsidR="00452964" w:rsidRPr="00C66550">
        <w:t xml:space="preserve"> (2009 p.3) is given </w:t>
      </w:r>
      <w:r w:rsidR="008E6A4C" w:rsidRPr="00C66550">
        <w:t xml:space="preserve">in Section </w:t>
      </w:r>
      <w:r w:rsidR="0062001A" w:rsidRPr="00C66550">
        <w:fldChar w:fldCharType="begin"/>
      </w:r>
      <w:r w:rsidR="008E6A4C" w:rsidRPr="00C66550">
        <w:instrText xml:space="preserve"> REF _Ref360653028 \r \h </w:instrText>
      </w:r>
      <w:r w:rsidR="0062001A" w:rsidRPr="00C66550">
        <w:fldChar w:fldCharType="separate"/>
      </w:r>
      <w:r w:rsidR="00D96003">
        <w:t>16.1</w:t>
      </w:r>
      <w:r w:rsidR="0062001A" w:rsidRPr="00C66550">
        <w:fldChar w:fldCharType="end"/>
      </w:r>
      <w:r w:rsidR="00452964" w:rsidRPr="00C66550">
        <w:t xml:space="preserve"> </w:t>
      </w:r>
    </w:p>
    <w:p w:rsidR="008E6A4C" w:rsidRPr="00C66550" w:rsidRDefault="008E6A4C" w:rsidP="009D29F0">
      <w:pPr>
        <w:pStyle w:val="BodyText"/>
      </w:pPr>
    </w:p>
    <w:p w:rsidR="00495C44" w:rsidRPr="00C66550" w:rsidRDefault="002F0F2B" w:rsidP="009D29F0">
      <w:pPr>
        <w:pStyle w:val="BodyText"/>
      </w:pPr>
      <w:r w:rsidRPr="00C66550">
        <w:t>The United Nations Environment Program</w:t>
      </w:r>
      <w:r w:rsidR="004848A3" w:rsidRPr="00C66550">
        <w:t xml:space="preserve"> (UNEP)</w:t>
      </w:r>
      <w:r w:rsidRPr="00C66550">
        <w:t xml:space="preserve"> </w:t>
      </w:r>
      <w:r w:rsidR="00495C44" w:rsidRPr="00C66550">
        <w:t xml:space="preserve">and </w:t>
      </w:r>
      <w:r w:rsidRPr="00C66550">
        <w:t>United Nations University</w:t>
      </w:r>
      <w:r w:rsidR="00495C44" w:rsidRPr="00C66550">
        <w:t>’s</w:t>
      </w:r>
      <w:r w:rsidRPr="00C66550">
        <w:t xml:space="preserve"> </w:t>
      </w:r>
      <w:r w:rsidRPr="00C66550">
        <w:rPr>
          <w:i/>
        </w:rPr>
        <w:t>Recycling from e-waste to resources, July 2009</w:t>
      </w:r>
      <w:r w:rsidR="00495C44" w:rsidRPr="00C66550">
        <w:t>—a</w:t>
      </w:r>
      <w:r w:rsidRPr="00C66550">
        <w:t xml:space="preserve"> detailed analysis of WEEE environmental impacts</w:t>
      </w:r>
      <w:r w:rsidR="00495C44" w:rsidRPr="00C66550">
        <w:t>—states that</w:t>
      </w:r>
      <w:r w:rsidRPr="00C66550">
        <w:t xml:space="preserve"> </w:t>
      </w:r>
      <w:r w:rsidR="003C29DC" w:rsidRPr="00C66550">
        <w:t>WEEE contains a</w:t>
      </w:r>
      <w:r w:rsidR="00495C44" w:rsidRPr="00C66550">
        <w:t>:</w:t>
      </w:r>
    </w:p>
    <w:p w:rsidR="00495C44" w:rsidRPr="00C66550" w:rsidRDefault="00495C44" w:rsidP="009D29F0">
      <w:pPr>
        <w:pStyle w:val="BodyText"/>
      </w:pPr>
    </w:p>
    <w:p w:rsidR="00FF0C93" w:rsidRPr="00C66550" w:rsidRDefault="00207FD3" w:rsidP="00994A1E">
      <w:pPr>
        <w:pStyle w:val="BodyText"/>
        <w:ind w:left="567" w:right="567"/>
      </w:pPr>
      <w:r w:rsidRPr="00C66550">
        <w:rPr>
          <w:i/>
        </w:rPr>
        <w:t>“...wide range of components made of metals, plastics and other substances… For example, a mobile phone can contain over 40 elements from the periodic table including base metals like copper (Cu) and tin (Sn), special metals such as cobalt (Co), indium (In) and antimony (Sb), and precious metals including silver (Ag), gold (Au) and palladium (Pd)”</w:t>
      </w:r>
      <w:r w:rsidR="003C29DC" w:rsidRPr="00C66550">
        <w:t xml:space="preserve"> (UNEP 2009, </w:t>
      </w:r>
      <w:r w:rsidR="008E6A4C" w:rsidRPr="00C66550">
        <w:t>p.</w:t>
      </w:r>
      <w:r w:rsidR="003C29DC" w:rsidRPr="00C66550">
        <w:t>7</w:t>
      </w:r>
      <w:r w:rsidR="004848A3" w:rsidRPr="00C66550">
        <w:t>).</w:t>
      </w:r>
    </w:p>
    <w:p w:rsidR="004848A3" w:rsidRPr="00C66550" w:rsidRDefault="004848A3" w:rsidP="009D29F0">
      <w:pPr>
        <w:pStyle w:val="BodyText"/>
      </w:pPr>
    </w:p>
    <w:p w:rsidR="007751F6" w:rsidRPr="00C66550" w:rsidRDefault="003C29DC" w:rsidP="009D29F0">
      <w:pPr>
        <w:pStyle w:val="BodyText"/>
      </w:pPr>
      <w:r w:rsidRPr="00C66550">
        <w:t xml:space="preserve">At a global level the consumption of base and precious metals to manufacture </w:t>
      </w:r>
      <w:r w:rsidR="00BA54DE" w:rsidRPr="00C66550">
        <w:t xml:space="preserve">electrical and electronic equipment </w:t>
      </w:r>
      <w:r w:rsidRPr="00C66550">
        <w:t>highlights the need to improve the resource recovery rates of WEEE</w:t>
      </w:r>
      <w:r w:rsidR="00344E43" w:rsidRPr="00C66550">
        <w:t xml:space="preserve">. </w:t>
      </w:r>
      <w:r w:rsidR="0062001A" w:rsidRPr="00C66550">
        <w:fldChar w:fldCharType="begin"/>
      </w:r>
      <w:r w:rsidR="0096514F" w:rsidRPr="00C66550">
        <w:instrText xml:space="preserve"> REF _Ref349391589 \h </w:instrText>
      </w:r>
      <w:r w:rsidR="0062001A" w:rsidRPr="00C66550">
        <w:fldChar w:fldCharType="separate"/>
      </w:r>
      <w:r w:rsidR="00D96003" w:rsidRPr="00C66550">
        <w:t xml:space="preserve">Table </w:t>
      </w:r>
      <w:r w:rsidR="00D96003">
        <w:rPr>
          <w:noProof/>
        </w:rPr>
        <w:t>22</w:t>
      </w:r>
      <w:r w:rsidR="0062001A" w:rsidRPr="00C66550">
        <w:fldChar w:fldCharType="end"/>
      </w:r>
      <w:r w:rsidR="0096514F" w:rsidRPr="00C66550">
        <w:t xml:space="preserve"> </w:t>
      </w:r>
      <w:r w:rsidR="00344E43" w:rsidRPr="00C66550">
        <w:t xml:space="preserve">provides </w:t>
      </w:r>
      <w:r w:rsidRPr="00C66550">
        <w:t>a summary of the 200</w:t>
      </w:r>
      <w:r w:rsidR="004F1107" w:rsidRPr="00C66550">
        <w:t>6</w:t>
      </w:r>
      <w:r w:rsidRPr="00C66550">
        <w:t xml:space="preserve"> production of critical metals and the tonnes used to produce </w:t>
      </w:r>
      <w:r w:rsidR="00BA54DE" w:rsidRPr="00C66550">
        <w:t xml:space="preserve">electrical and electronic equipment </w:t>
      </w:r>
      <w:r w:rsidRPr="00C66550">
        <w:t>and the market value of the metals.</w:t>
      </w:r>
      <w:r w:rsidR="00A50391" w:rsidRPr="00C66550">
        <w:t xml:space="preserve"> In 2006 demand for metals</w:t>
      </w:r>
      <w:r w:rsidR="00BA54DE" w:rsidRPr="00C66550">
        <w:t xml:space="preserve"> used in electrical and electronic equipment</w:t>
      </w:r>
      <w:r w:rsidR="00A50391" w:rsidRPr="00C66550">
        <w:t xml:space="preserve"> </w:t>
      </w:r>
      <w:r w:rsidR="002A0F13" w:rsidRPr="00C66550">
        <w:t>re</w:t>
      </w:r>
      <w:r w:rsidR="00A50391" w:rsidRPr="00C66550">
        <w:t>present</w:t>
      </w:r>
      <w:r w:rsidR="00594F29" w:rsidRPr="00C66550">
        <w:t>ed</w:t>
      </w:r>
      <w:r w:rsidR="00A50391" w:rsidRPr="00C66550">
        <w:t xml:space="preserve"> around 30% of the global demand </w:t>
      </w:r>
      <w:r w:rsidR="00344E43" w:rsidRPr="00C66550">
        <w:t>for these metals</w:t>
      </w:r>
      <w:r w:rsidR="002A0F13" w:rsidRPr="00C66550">
        <w:t>;</w:t>
      </w:r>
      <w:r w:rsidR="00E5424C" w:rsidRPr="00C66550">
        <w:t xml:space="preserve"> </w:t>
      </w:r>
      <w:r w:rsidR="00594F29" w:rsidRPr="00C66550">
        <w:t>around</w:t>
      </w:r>
      <w:r w:rsidR="00A50391" w:rsidRPr="00C66550">
        <w:t xml:space="preserve"> 80% of the world’s demand of indium (transparent conductive layers in LCD glass)</w:t>
      </w:r>
      <w:r w:rsidR="002A0F13" w:rsidRPr="00C66550">
        <w:t xml:space="preserve">; </w:t>
      </w:r>
      <w:r w:rsidR="00A50391" w:rsidRPr="00C66550">
        <w:t>over 80% of ruthenium (ma</w:t>
      </w:r>
      <w:r w:rsidR="005F79D5" w:rsidRPr="00C66550">
        <w:t>gnetic properties in hard disks</w:t>
      </w:r>
      <w:r w:rsidR="00A50391" w:rsidRPr="00C66550">
        <w:t>)</w:t>
      </w:r>
      <w:r w:rsidR="002A0F13" w:rsidRPr="00C66550">
        <w:t>;</w:t>
      </w:r>
      <w:r w:rsidR="00A50391" w:rsidRPr="00C66550">
        <w:t xml:space="preserve"> and 50% of antimony (flame retardants).</w:t>
      </w:r>
    </w:p>
    <w:p w:rsidR="0058297F" w:rsidRPr="00C66550" w:rsidRDefault="0058297F" w:rsidP="009D29F0">
      <w:pPr>
        <w:pStyle w:val="BodyText"/>
      </w:pPr>
    </w:p>
    <w:p w:rsidR="008E6A4C" w:rsidRPr="00C66550" w:rsidRDefault="008E6A4C" w:rsidP="009D29F0">
      <w:pPr>
        <w:pStyle w:val="BodyText"/>
      </w:pPr>
    </w:p>
    <w:p w:rsidR="008E6A4C" w:rsidRPr="00C66550" w:rsidRDefault="008E6A4C" w:rsidP="009D29F0">
      <w:pPr>
        <w:pStyle w:val="BodyText"/>
      </w:pPr>
    </w:p>
    <w:p w:rsidR="008E6A4C" w:rsidRPr="00C66550" w:rsidRDefault="008E6A4C" w:rsidP="009D29F0">
      <w:pPr>
        <w:pStyle w:val="BodyText"/>
      </w:pPr>
    </w:p>
    <w:p w:rsidR="008E6A4C" w:rsidRPr="00C66550" w:rsidRDefault="008E6A4C" w:rsidP="009D29F0">
      <w:pPr>
        <w:pStyle w:val="BodyText"/>
      </w:pPr>
    </w:p>
    <w:p w:rsidR="008E6A4C" w:rsidRPr="00C66550" w:rsidRDefault="008E6A4C" w:rsidP="009D29F0">
      <w:pPr>
        <w:pStyle w:val="BodyText"/>
      </w:pPr>
    </w:p>
    <w:p w:rsidR="008E6A4C" w:rsidRPr="00C66550" w:rsidRDefault="008E6A4C" w:rsidP="009D29F0">
      <w:pPr>
        <w:pStyle w:val="BodyText"/>
      </w:pPr>
    </w:p>
    <w:p w:rsidR="008E6A4C" w:rsidRDefault="008E6A4C" w:rsidP="009D29F0">
      <w:pPr>
        <w:pStyle w:val="BodyText"/>
      </w:pPr>
    </w:p>
    <w:p w:rsidR="00D86863" w:rsidRPr="00C66550" w:rsidRDefault="00D86863" w:rsidP="009D29F0">
      <w:pPr>
        <w:pStyle w:val="BodyText"/>
      </w:pPr>
    </w:p>
    <w:p w:rsidR="003C29DC" w:rsidRPr="00C66550" w:rsidRDefault="003C29DC" w:rsidP="00FB4820">
      <w:pPr>
        <w:pStyle w:val="Figures"/>
      </w:pPr>
      <w:bookmarkStart w:id="269" w:name="_Ref349391589"/>
      <w:bookmarkStart w:id="270" w:name="_Toc365038866"/>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22</w:t>
      </w:r>
      <w:r w:rsidR="0062001A" w:rsidRPr="00C66550">
        <w:fldChar w:fldCharType="end"/>
      </w:r>
      <w:bookmarkEnd w:id="269"/>
      <w:r w:rsidRPr="00C66550">
        <w:t xml:space="preserve">: </w:t>
      </w:r>
      <w:r w:rsidRPr="00C66550">
        <w:tab/>
      </w:r>
      <w:r w:rsidR="005E17AE">
        <w:t>G</w:t>
      </w:r>
      <w:r w:rsidR="004D7FB4" w:rsidRPr="00C66550">
        <w:t xml:space="preserve">lobal demand and </w:t>
      </w:r>
      <w:r w:rsidR="00BA54DE" w:rsidRPr="00C66550">
        <w:t>EEE</w:t>
      </w:r>
      <w:r w:rsidR="00D86863">
        <w:t>*</w:t>
      </w:r>
      <w:r w:rsidR="00BA54DE" w:rsidRPr="00C66550">
        <w:t xml:space="preserve"> </w:t>
      </w:r>
      <w:r w:rsidR="004D7FB4" w:rsidRPr="00C66550">
        <w:t>demand for</w:t>
      </w:r>
      <w:r w:rsidR="00BA54DE" w:rsidRPr="00C66550">
        <w:t xml:space="preserve"> certain</w:t>
      </w:r>
      <w:r w:rsidR="004D7FB4" w:rsidRPr="00C66550">
        <w:t xml:space="preserve"> metals</w:t>
      </w:r>
      <w:r w:rsidR="005E17AE">
        <w:t xml:space="preserve">, </w:t>
      </w:r>
      <w:r w:rsidR="005E17AE" w:rsidRPr="00C66550">
        <w:t>2006</w:t>
      </w:r>
      <w:bookmarkEnd w:id="270"/>
    </w:p>
    <w:tbl>
      <w:tblPr>
        <w:tblStyle w:val="BETable1"/>
        <w:tblW w:w="5240" w:type="pct"/>
        <w:tblInd w:w="-369" w:type="dxa"/>
        <w:tblLayout w:type="fixed"/>
        <w:tblLook w:val="04A0"/>
      </w:tblPr>
      <w:tblGrid>
        <w:gridCol w:w="1415"/>
        <w:gridCol w:w="1411"/>
        <w:gridCol w:w="1126"/>
        <w:gridCol w:w="986"/>
        <w:gridCol w:w="850"/>
        <w:gridCol w:w="706"/>
        <w:gridCol w:w="3370"/>
      </w:tblGrid>
      <w:tr w:rsidR="00650663" w:rsidRPr="00C66550" w:rsidTr="00650663">
        <w:trPr>
          <w:cnfStyle w:val="100000000000"/>
        </w:trPr>
        <w:tc>
          <w:tcPr>
            <w:cnfStyle w:val="001000000000"/>
            <w:tcW w:w="717" w:type="pct"/>
            <w:tcBorders>
              <w:bottom w:val="nil"/>
            </w:tcBorders>
            <w:tcMar>
              <w:left w:w="28" w:type="dxa"/>
              <w:right w:w="28" w:type="dxa"/>
            </w:tcMar>
          </w:tcPr>
          <w:p w:rsidR="00EF2812" w:rsidRPr="00C66550" w:rsidRDefault="00EF2812" w:rsidP="00BA54DE">
            <w:pPr>
              <w:jc w:val="center"/>
              <w:rPr>
                <w:rFonts w:asciiTheme="minorHAnsi" w:hAnsiTheme="minorHAnsi"/>
                <w:bCs/>
                <w:color w:val="000000"/>
                <w:szCs w:val="20"/>
              </w:rPr>
            </w:pPr>
            <w:r w:rsidRPr="00C66550">
              <w:rPr>
                <w:rFonts w:asciiTheme="minorHAnsi" w:eastAsia="Arial" w:hAnsiTheme="minorHAnsi"/>
                <w:bCs/>
                <w:color w:val="000000"/>
                <w:spacing w:val="-1"/>
                <w:szCs w:val="20"/>
              </w:rPr>
              <w:lastRenderedPageBreak/>
              <w:t>Metal</w:t>
            </w:r>
          </w:p>
        </w:tc>
        <w:tc>
          <w:tcPr>
            <w:tcW w:w="715" w:type="pct"/>
            <w:tcBorders>
              <w:bottom w:val="nil"/>
            </w:tcBorders>
            <w:tcMar>
              <w:left w:w="28" w:type="dxa"/>
              <w:right w:w="28" w:type="dxa"/>
            </w:tcMar>
          </w:tcPr>
          <w:p w:rsidR="00EF2812" w:rsidRPr="00C66550" w:rsidRDefault="00EF2812" w:rsidP="00BA54DE">
            <w:pPr>
              <w:jc w:val="center"/>
              <w:cnfStyle w:val="100000000000"/>
              <w:rPr>
                <w:rFonts w:asciiTheme="minorHAnsi" w:eastAsia="Arial" w:hAnsiTheme="minorHAnsi"/>
                <w:bCs/>
                <w:color w:val="000000"/>
                <w:szCs w:val="20"/>
              </w:rPr>
            </w:pPr>
            <w:r w:rsidRPr="00C66550">
              <w:rPr>
                <w:rFonts w:asciiTheme="minorHAnsi" w:eastAsia="Arial" w:hAnsiTheme="minorHAnsi"/>
                <w:bCs/>
                <w:color w:val="000000"/>
                <w:szCs w:val="20"/>
              </w:rPr>
              <w:t>Global primary production</w:t>
            </w:r>
          </w:p>
        </w:tc>
        <w:tc>
          <w:tcPr>
            <w:tcW w:w="571" w:type="pct"/>
            <w:tcBorders>
              <w:bottom w:val="nil"/>
            </w:tcBorders>
            <w:tcMar>
              <w:left w:w="28" w:type="dxa"/>
              <w:right w:w="28" w:type="dxa"/>
            </w:tcMar>
          </w:tcPr>
          <w:p w:rsidR="00EF2812" w:rsidRPr="00C66550" w:rsidRDefault="00EF2812" w:rsidP="00BA54DE">
            <w:pPr>
              <w:jc w:val="center"/>
              <w:cnfStyle w:val="100000000000"/>
              <w:rPr>
                <w:rFonts w:asciiTheme="minorHAnsi" w:eastAsia="Arial" w:hAnsiTheme="minorHAnsi"/>
                <w:bCs/>
                <w:color w:val="000000"/>
                <w:szCs w:val="20"/>
              </w:rPr>
            </w:pPr>
            <w:r w:rsidRPr="00C66550">
              <w:rPr>
                <w:rFonts w:asciiTheme="minorHAnsi" w:eastAsia="Arial" w:hAnsiTheme="minorHAnsi"/>
                <w:bCs/>
                <w:color w:val="000000"/>
                <w:szCs w:val="20"/>
              </w:rPr>
              <w:t xml:space="preserve">Demand for </w:t>
            </w:r>
            <w:r w:rsidR="00BA54DE" w:rsidRPr="00C66550">
              <w:rPr>
                <w:rFonts w:asciiTheme="minorHAnsi" w:eastAsia="Arial" w:hAnsiTheme="minorHAnsi"/>
                <w:bCs/>
                <w:color w:val="000000"/>
                <w:szCs w:val="20"/>
              </w:rPr>
              <w:t xml:space="preserve">use in </w:t>
            </w:r>
            <w:r w:rsidR="00BA54DE" w:rsidRPr="00C66550">
              <w:t>EEE</w:t>
            </w:r>
          </w:p>
        </w:tc>
        <w:tc>
          <w:tcPr>
            <w:tcW w:w="500" w:type="pct"/>
            <w:tcBorders>
              <w:bottom w:val="nil"/>
            </w:tcBorders>
            <w:tcMar>
              <w:left w:w="28" w:type="dxa"/>
              <w:right w:w="28" w:type="dxa"/>
            </w:tcMar>
          </w:tcPr>
          <w:p w:rsidR="00EF2812" w:rsidRPr="00C66550" w:rsidRDefault="00EF2812" w:rsidP="00BA54DE">
            <w:pPr>
              <w:jc w:val="center"/>
              <w:cnfStyle w:val="100000000000"/>
              <w:rPr>
                <w:rFonts w:asciiTheme="minorHAnsi" w:eastAsia="Arial" w:hAnsiTheme="minorHAnsi"/>
                <w:bCs/>
                <w:color w:val="000000"/>
                <w:szCs w:val="20"/>
              </w:rPr>
            </w:pPr>
            <w:r w:rsidRPr="00C66550">
              <w:rPr>
                <w:rFonts w:asciiTheme="minorHAnsi" w:eastAsia="Arial" w:hAnsiTheme="minorHAnsi"/>
                <w:bCs/>
                <w:color w:val="000000"/>
                <w:szCs w:val="20"/>
              </w:rPr>
              <w:t>Demand/ production</w:t>
            </w:r>
          </w:p>
        </w:tc>
        <w:tc>
          <w:tcPr>
            <w:tcW w:w="431" w:type="pct"/>
            <w:tcBorders>
              <w:bottom w:val="nil"/>
            </w:tcBorders>
            <w:tcMar>
              <w:left w:w="28" w:type="dxa"/>
              <w:right w:w="28" w:type="dxa"/>
            </w:tcMar>
          </w:tcPr>
          <w:p w:rsidR="00EF2812" w:rsidRPr="00C66550" w:rsidRDefault="00EF2812" w:rsidP="00BA54DE">
            <w:pPr>
              <w:jc w:val="center"/>
              <w:cnfStyle w:val="100000000000"/>
              <w:rPr>
                <w:rFonts w:asciiTheme="minorHAnsi" w:eastAsia="Arial" w:hAnsiTheme="minorHAnsi"/>
                <w:bCs/>
                <w:color w:val="000000"/>
                <w:szCs w:val="20"/>
              </w:rPr>
            </w:pPr>
            <w:r w:rsidRPr="00C66550">
              <w:rPr>
                <w:rFonts w:asciiTheme="minorHAnsi" w:eastAsia="Arial" w:hAnsiTheme="minorHAnsi"/>
                <w:bCs/>
                <w:color w:val="000000"/>
                <w:szCs w:val="20"/>
              </w:rPr>
              <w:t>Price</w:t>
            </w:r>
          </w:p>
        </w:tc>
        <w:tc>
          <w:tcPr>
            <w:tcW w:w="358" w:type="pct"/>
            <w:tcBorders>
              <w:bottom w:val="nil"/>
            </w:tcBorders>
            <w:tcMar>
              <w:left w:w="28" w:type="dxa"/>
              <w:right w:w="28" w:type="dxa"/>
            </w:tcMar>
          </w:tcPr>
          <w:p w:rsidR="00EF2812" w:rsidRPr="00C66550" w:rsidRDefault="00EF2812" w:rsidP="00BA54DE">
            <w:pPr>
              <w:jc w:val="center"/>
              <w:cnfStyle w:val="100000000000"/>
              <w:rPr>
                <w:rFonts w:asciiTheme="minorHAnsi" w:eastAsia="Arial" w:hAnsiTheme="minorHAnsi"/>
                <w:bCs/>
                <w:color w:val="000000"/>
                <w:szCs w:val="20"/>
              </w:rPr>
            </w:pPr>
            <w:r w:rsidRPr="00C66550">
              <w:rPr>
                <w:rFonts w:asciiTheme="minorHAnsi" w:eastAsia="Arial" w:hAnsiTheme="minorHAnsi"/>
                <w:bCs/>
                <w:color w:val="000000"/>
                <w:szCs w:val="20"/>
              </w:rPr>
              <w:t>Value in EEE</w:t>
            </w:r>
          </w:p>
        </w:tc>
        <w:tc>
          <w:tcPr>
            <w:tcW w:w="1709" w:type="pct"/>
            <w:tcBorders>
              <w:bottom w:val="nil"/>
            </w:tcBorders>
            <w:tcMar>
              <w:left w:w="28" w:type="dxa"/>
              <w:right w:w="28" w:type="dxa"/>
            </w:tcMar>
          </w:tcPr>
          <w:p w:rsidR="00EF2812" w:rsidRPr="00C66550" w:rsidRDefault="00EF2812" w:rsidP="00BA54DE">
            <w:pPr>
              <w:jc w:val="center"/>
              <w:cnfStyle w:val="100000000000"/>
              <w:rPr>
                <w:rFonts w:asciiTheme="minorHAnsi" w:eastAsia="Arial" w:hAnsiTheme="minorHAnsi"/>
                <w:bCs/>
                <w:color w:val="000000"/>
                <w:szCs w:val="20"/>
              </w:rPr>
            </w:pPr>
            <w:r w:rsidRPr="00C66550">
              <w:rPr>
                <w:rFonts w:asciiTheme="minorHAnsi" w:eastAsia="Arial" w:hAnsiTheme="minorHAnsi"/>
                <w:bCs/>
                <w:color w:val="000000"/>
                <w:szCs w:val="20"/>
              </w:rPr>
              <w:t>Main applications</w:t>
            </w:r>
          </w:p>
        </w:tc>
      </w:tr>
      <w:tr w:rsidR="00650663" w:rsidRPr="00C66550" w:rsidTr="00650663">
        <w:tc>
          <w:tcPr>
            <w:cnfStyle w:val="001000000000"/>
            <w:tcW w:w="717" w:type="pct"/>
            <w:tcBorders>
              <w:top w:val="nil"/>
              <w:bottom w:val="single" w:sz="4" w:space="0" w:color="7F7F7F" w:themeColor="background2"/>
            </w:tcBorders>
          </w:tcPr>
          <w:p w:rsidR="00EF2812" w:rsidRPr="00C66550" w:rsidRDefault="00EF2812" w:rsidP="00594F29">
            <w:pPr>
              <w:jc w:val="center"/>
              <w:rPr>
                <w:rFonts w:asciiTheme="minorHAnsi" w:hAnsiTheme="minorHAnsi"/>
                <w:b/>
                <w:color w:val="000000"/>
                <w:szCs w:val="20"/>
              </w:rPr>
            </w:pPr>
          </w:p>
        </w:tc>
        <w:tc>
          <w:tcPr>
            <w:tcW w:w="715" w:type="pct"/>
            <w:tcBorders>
              <w:top w:val="nil"/>
              <w:bottom w:val="single" w:sz="4" w:space="0" w:color="7F7F7F" w:themeColor="background2"/>
            </w:tcBorders>
            <w:vAlign w:val="center"/>
          </w:tcPr>
          <w:p w:rsidR="00EF2812" w:rsidRPr="00C66550" w:rsidRDefault="00994A1E" w:rsidP="00994A1E">
            <w:pPr>
              <w:jc w:val="center"/>
              <w:cnfStyle w:val="000000000000"/>
              <w:rPr>
                <w:rFonts w:asciiTheme="minorHAnsi" w:eastAsia="Arial" w:hAnsiTheme="minorHAnsi"/>
                <w:bCs/>
                <w:i/>
                <w:color w:val="000000"/>
                <w:szCs w:val="20"/>
              </w:rPr>
            </w:pPr>
            <w:r w:rsidRPr="00C66550">
              <w:rPr>
                <w:rFonts w:asciiTheme="minorHAnsi" w:eastAsia="Arial" w:hAnsiTheme="minorHAnsi"/>
                <w:bCs/>
                <w:i/>
                <w:color w:val="000000"/>
                <w:szCs w:val="20"/>
              </w:rPr>
              <w:t>Tonnes</w:t>
            </w:r>
          </w:p>
        </w:tc>
        <w:tc>
          <w:tcPr>
            <w:tcW w:w="571" w:type="pct"/>
            <w:tcBorders>
              <w:top w:val="nil"/>
              <w:bottom w:val="single" w:sz="4" w:space="0" w:color="7F7F7F" w:themeColor="background2"/>
            </w:tcBorders>
            <w:vAlign w:val="center"/>
          </w:tcPr>
          <w:p w:rsidR="00EF2812" w:rsidRPr="00C66550" w:rsidRDefault="00994A1E" w:rsidP="00994A1E">
            <w:pPr>
              <w:jc w:val="center"/>
              <w:cnfStyle w:val="000000000000"/>
              <w:rPr>
                <w:rFonts w:asciiTheme="minorHAnsi" w:eastAsia="Arial" w:hAnsiTheme="minorHAnsi"/>
                <w:bCs/>
                <w:i/>
                <w:color w:val="000000"/>
                <w:szCs w:val="20"/>
              </w:rPr>
            </w:pPr>
            <w:r w:rsidRPr="00C66550">
              <w:rPr>
                <w:rFonts w:asciiTheme="minorHAnsi" w:eastAsia="Arial" w:hAnsiTheme="minorHAnsi"/>
                <w:bCs/>
                <w:i/>
                <w:color w:val="000000"/>
                <w:szCs w:val="20"/>
              </w:rPr>
              <w:t>Tonnes</w:t>
            </w:r>
          </w:p>
        </w:tc>
        <w:tc>
          <w:tcPr>
            <w:tcW w:w="500" w:type="pct"/>
            <w:tcBorders>
              <w:top w:val="nil"/>
              <w:bottom w:val="single" w:sz="4" w:space="0" w:color="7F7F7F" w:themeColor="background2"/>
            </w:tcBorders>
            <w:vAlign w:val="center"/>
          </w:tcPr>
          <w:p w:rsidR="00EF2812" w:rsidRPr="00C66550" w:rsidRDefault="00EF2812" w:rsidP="00994A1E">
            <w:pPr>
              <w:jc w:val="center"/>
              <w:cnfStyle w:val="000000000000"/>
              <w:rPr>
                <w:rFonts w:asciiTheme="minorHAnsi" w:eastAsia="Arial" w:hAnsiTheme="minorHAnsi"/>
                <w:bCs/>
                <w:i/>
                <w:color w:val="000000"/>
                <w:szCs w:val="20"/>
              </w:rPr>
            </w:pPr>
            <w:r w:rsidRPr="00C66550">
              <w:rPr>
                <w:rFonts w:asciiTheme="minorHAnsi" w:eastAsia="Arial" w:hAnsiTheme="minorHAnsi"/>
                <w:bCs/>
                <w:i/>
                <w:color w:val="000000"/>
                <w:szCs w:val="20"/>
              </w:rPr>
              <w:t>%</w:t>
            </w:r>
          </w:p>
        </w:tc>
        <w:tc>
          <w:tcPr>
            <w:tcW w:w="431" w:type="pct"/>
            <w:tcBorders>
              <w:top w:val="nil"/>
              <w:bottom w:val="single" w:sz="4" w:space="0" w:color="7F7F7F" w:themeColor="background2"/>
            </w:tcBorders>
            <w:vAlign w:val="center"/>
          </w:tcPr>
          <w:p w:rsidR="00EF2812" w:rsidRPr="00C66550" w:rsidRDefault="00994A1E" w:rsidP="00994A1E">
            <w:pPr>
              <w:jc w:val="center"/>
              <w:cnfStyle w:val="000000000000"/>
              <w:rPr>
                <w:rFonts w:asciiTheme="minorHAnsi" w:eastAsia="Arial" w:hAnsiTheme="minorHAnsi"/>
                <w:bCs/>
                <w:i/>
                <w:color w:val="000000"/>
                <w:szCs w:val="20"/>
              </w:rPr>
            </w:pPr>
            <w:r w:rsidRPr="00C66550">
              <w:rPr>
                <w:rFonts w:asciiTheme="minorHAnsi" w:eastAsia="Arial" w:hAnsiTheme="minorHAnsi"/>
                <w:bCs/>
                <w:i/>
                <w:color w:val="000000"/>
                <w:szCs w:val="20"/>
              </w:rPr>
              <w:t>$</w:t>
            </w:r>
            <w:r w:rsidR="00EF2812" w:rsidRPr="00C66550">
              <w:rPr>
                <w:rFonts w:asciiTheme="minorHAnsi" w:eastAsia="Arial" w:hAnsiTheme="minorHAnsi"/>
                <w:bCs/>
                <w:i/>
                <w:color w:val="000000"/>
                <w:szCs w:val="20"/>
              </w:rPr>
              <w:t>US/kg</w:t>
            </w:r>
          </w:p>
        </w:tc>
        <w:tc>
          <w:tcPr>
            <w:tcW w:w="358" w:type="pct"/>
            <w:tcBorders>
              <w:top w:val="nil"/>
              <w:bottom w:val="single" w:sz="4" w:space="0" w:color="7F7F7F" w:themeColor="background2"/>
            </w:tcBorders>
            <w:vAlign w:val="center"/>
          </w:tcPr>
          <w:p w:rsidR="00EF2812" w:rsidRPr="00C66550" w:rsidRDefault="00BA54DE" w:rsidP="00BA54DE">
            <w:pPr>
              <w:jc w:val="center"/>
              <w:cnfStyle w:val="000000000000"/>
              <w:rPr>
                <w:rFonts w:asciiTheme="minorHAnsi" w:eastAsia="Arial" w:hAnsiTheme="minorHAnsi"/>
                <w:bCs/>
                <w:i/>
                <w:color w:val="000000"/>
                <w:szCs w:val="20"/>
              </w:rPr>
            </w:pPr>
            <w:r w:rsidRPr="00C66550">
              <w:rPr>
                <w:rFonts w:asciiTheme="minorHAnsi" w:eastAsia="Arial" w:hAnsiTheme="minorHAnsi"/>
                <w:bCs/>
                <w:i/>
                <w:color w:val="000000"/>
                <w:szCs w:val="20"/>
              </w:rPr>
              <w:t>$US m</w:t>
            </w:r>
          </w:p>
        </w:tc>
        <w:tc>
          <w:tcPr>
            <w:tcW w:w="1709" w:type="pct"/>
            <w:tcBorders>
              <w:top w:val="nil"/>
              <w:bottom w:val="single" w:sz="4" w:space="0" w:color="7F7F7F" w:themeColor="background2"/>
            </w:tcBorders>
          </w:tcPr>
          <w:p w:rsidR="00EF2812" w:rsidRPr="00C66550" w:rsidRDefault="00EF2812" w:rsidP="003715E1">
            <w:pPr>
              <w:cnfStyle w:val="000000000000"/>
              <w:rPr>
                <w:rFonts w:asciiTheme="minorHAnsi" w:hAnsiTheme="minorHAnsi"/>
                <w:b/>
                <w:bCs/>
                <w:color w:val="000000"/>
                <w:szCs w:val="20"/>
              </w:rPr>
            </w:pPr>
            <w:r w:rsidRPr="00C66550">
              <w:rPr>
                <w:rFonts w:asciiTheme="minorHAnsi" w:hAnsiTheme="minorHAnsi"/>
                <w:b/>
                <w:bCs/>
                <w:color w:val="000000"/>
                <w:szCs w:val="20"/>
              </w:rPr>
              <w:t> </w:t>
            </w:r>
          </w:p>
        </w:tc>
      </w:tr>
      <w:tr w:rsidR="00650663" w:rsidRPr="00C66550" w:rsidTr="00650663">
        <w:tc>
          <w:tcPr>
            <w:cnfStyle w:val="001000000000"/>
            <w:tcW w:w="717" w:type="pct"/>
            <w:tcBorders>
              <w:top w:val="single" w:sz="4" w:space="0" w:color="7F7F7F" w:themeColor="background2"/>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Ag</w:t>
            </w:r>
            <w:r w:rsidR="005B59F9" w:rsidRPr="00C66550">
              <w:rPr>
                <w:rFonts w:asciiTheme="minorHAnsi" w:eastAsia="Arial" w:hAnsiTheme="minorHAnsi"/>
                <w:b/>
                <w:bCs/>
                <w:color w:val="000000"/>
                <w:szCs w:val="20"/>
              </w:rPr>
              <w:t xml:space="preserve"> (silver)</w:t>
            </w:r>
          </w:p>
        </w:tc>
        <w:tc>
          <w:tcPr>
            <w:tcW w:w="715" w:type="pct"/>
            <w:tcBorders>
              <w:top w:val="single" w:sz="4" w:space="0" w:color="7F7F7F" w:themeColor="background2"/>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20,000</w:t>
            </w:r>
          </w:p>
        </w:tc>
        <w:tc>
          <w:tcPr>
            <w:tcW w:w="571" w:type="pct"/>
            <w:tcBorders>
              <w:top w:val="single" w:sz="4" w:space="0" w:color="7F7F7F" w:themeColor="background2"/>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6,000</w:t>
            </w:r>
          </w:p>
        </w:tc>
        <w:tc>
          <w:tcPr>
            <w:tcW w:w="500" w:type="pct"/>
            <w:tcBorders>
              <w:top w:val="single" w:sz="4" w:space="0" w:color="7F7F7F" w:themeColor="background2"/>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30</w:t>
            </w:r>
          </w:p>
        </w:tc>
        <w:tc>
          <w:tcPr>
            <w:tcW w:w="431" w:type="pct"/>
            <w:tcBorders>
              <w:top w:val="single" w:sz="4" w:space="0" w:color="7F7F7F" w:themeColor="background2"/>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430</w:t>
            </w:r>
          </w:p>
        </w:tc>
        <w:tc>
          <w:tcPr>
            <w:tcW w:w="358" w:type="pct"/>
            <w:tcBorders>
              <w:top w:val="single" w:sz="4" w:space="0" w:color="7F7F7F" w:themeColor="background2"/>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w:t>
            </w:r>
          </w:p>
        </w:tc>
        <w:tc>
          <w:tcPr>
            <w:tcW w:w="1709" w:type="pct"/>
            <w:tcBorders>
              <w:top w:val="single" w:sz="4" w:space="0" w:color="7F7F7F" w:themeColor="background2"/>
              <w:bottom w:val="nil"/>
            </w:tcBorders>
          </w:tcPr>
          <w:p w:rsidR="00EF2812" w:rsidRPr="00C66550" w:rsidRDefault="00994A1E" w:rsidP="003715E1">
            <w:pPr>
              <w:cnfStyle w:val="000000000000"/>
              <w:rPr>
                <w:rFonts w:asciiTheme="minorHAnsi" w:hAnsiTheme="minorHAnsi"/>
                <w:color w:val="000000"/>
                <w:szCs w:val="20"/>
              </w:rPr>
            </w:pPr>
            <w:r w:rsidRPr="00C66550">
              <w:rPr>
                <w:rFonts w:asciiTheme="minorHAnsi" w:eastAsia="Arial" w:hAnsiTheme="minorHAnsi"/>
                <w:color w:val="000000"/>
                <w:spacing w:val="-1"/>
                <w:szCs w:val="20"/>
              </w:rPr>
              <w:t>Contacts, switches, solders</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Au</w:t>
            </w:r>
            <w:r w:rsidR="005B59F9" w:rsidRPr="00C66550">
              <w:rPr>
                <w:rFonts w:asciiTheme="minorHAnsi" w:eastAsia="Arial" w:hAnsiTheme="minorHAnsi"/>
                <w:b/>
                <w:bCs/>
                <w:color w:val="000000"/>
                <w:szCs w:val="20"/>
              </w:rPr>
              <w:t xml:space="preserve"> (gold)</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2,500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300</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12</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22,280</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7</w:t>
            </w: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Bonding wire, contacts, integrated circuits</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Pd</w:t>
            </w:r>
            <w:r w:rsidR="005B59F9" w:rsidRPr="00C66550">
              <w:rPr>
                <w:rFonts w:asciiTheme="minorHAnsi" w:eastAsia="Arial" w:hAnsiTheme="minorHAnsi"/>
                <w:b/>
                <w:bCs/>
                <w:color w:val="000000"/>
                <w:szCs w:val="20"/>
              </w:rPr>
              <w:t xml:space="preserve"> (palladium)</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230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33</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14</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11,413</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Multilayer capacitors, connectors</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Pt</w:t>
            </w:r>
            <w:r w:rsidR="005B59F9" w:rsidRPr="00C66550">
              <w:rPr>
                <w:rFonts w:asciiTheme="minorHAnsi" w:eastAsia="Arial" w:hAnsiTheme="minorHAnsi"/>
                <w:b/>
                <w:bCs/>
                <w:color w:val="000000"/>
                <w:szCs w:val="20"/>
              </w:rPr>
              <w:t xml:space="preserve"> (platinum)</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210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13</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6</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41,957</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w:t>
            </w: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Hard disk, thermocouple, fuel cell</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Ru</w:t>
            </w:r>
            <w:r w:rsidR="005B59F9" w:rsidRPr="00C66550">
              <w:rPr>
                <w:rFonts w:asciiTheme="minorHAnsi" w:eastAsia="Arial" w:hAnsiTheme="minorHAnsi"/>
                <w:b/>
                <w:bCs/>
                <w:color w:val="000000"/>
                <w:szCs w:val="20"/>
              </w:rPr>
              <w:t xml:space="preserve"> (ruthenium)</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32</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27</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84</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18,647</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w:t>
            </w: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Hard disk, plasma displays</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Cu</w:t>
            </w:r>
            <w:r w:rsidR="005B59F9" w:rsidRPr="00C66550">
              <w:rPr>
                <w:rFonts w:asciiTheme="minorHAnsi" w:eastAsia="Arial" w:hAnsiTheme="minorHAnsi"/>
                <w:b/>
                <w:bCs/>
                <w:color w:val="000000"/>
                <w:szCs w:val="20"/>
              </w:rPr>
              <w:t xml:space="preserve"> (copper)</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15,000,000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4,500,000</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30</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7</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32</w:t>
            </w: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Cable, wire, connector…</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Sn</w:t>
            </w:r>
            <w:r w:rsidR="005B59F9" w:rsidRPr="00C66550">
              <w:rPr>
                <w:rFonts w:asciiTheme="minorHAnsi" w:eastAsia="Arial" w:hAnsiTheme="minorHAnsi"/>
                <w:b/>
                <w:bCs/>
                <w:color w:val="000000"/>
                <w:szCs w:val="20"/>
              </w:rPr>
              <w:t xml:space="preserve"> (tin)</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275,000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90,000</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33</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15</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w:t>
            </w: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Solders</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Sb</w:t>
            </w:r>
            <w:r w:rsidR="005B59F9" w:rsidRPr="00C66550">
              <w:rPr>
                <w:rFonts w:asciiTheme="minorHAnsi" w:eastAsia="Arial" w:hAnsiTheme="minorHAnsi"/>
                <w:b/>
                <w:bCs/>
                <w:color w:val="000000"/>
                <w:szCs w:val="20"/>
              </w:rPr>
              <w:t xml:space="preserve"> (antimony)</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130,000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65,000</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50</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6</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p>
        </w:tc>
        <w:tc>
          <w:tcPr>
            <w:tcW w:w="1709" w:type="pct"/>
            <w:tcBorders>
              <w:top w:val="nil"/>
              <w:bottom w:val="nil"/>
            </w:tcBorders>
          </w:tcPr>
          <w:p w:rsidR="00EF2812" w:rsidRPr="00C66550" w:rsidRDefault="00EF2812" w:rsidP="00650663">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 xml:space="preserve">Flame retardant, </w:t>
            </w:r>
            <w:r w:rsidR="00650663" w:rsidRPr="00C66550">
              <w:rPr>
                <w:rFonts w:asciiTheme="minorHAnsi" w:eastAsia="Arial" w:hAnsiTheme="minorHAnsi"/>
                <w:color w:val="000000"/>
                <w:spacing w:val="-1"/>
                <w:szCs w:val="20"/>
              </w:rPr>
              <w:t>cathode ray tube</w:t>
            </w:r>
            <w:r w:rsidRPr="00C66550">
              <w:rPr>
                <w:rFonts w:asciiTheme="minorHAnsi" w:eastAsia="Arial" w:hAnsiTheme="minorHAnsi"/>
                <w:color w:val="000000"/>
                <w:spacing w:val="-1"/>
                <w:szCs w:val="20"/>
              </w:rPr>
              <w:t xml:space="preserve"> glass</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Co</w:t>
            </w:r>
            <w:r w:rsidR="005B59F9" w:rsidRPr="00C66550">
              <w:rPr>
                <w:rFonts w:asciiTheme="minorHAnsi" w:eastAsia="Arial" w:hAnsiTheme="minorHAnsi"/>
                <w:b/>
                <w:bCs/>
                <w:color w:val="000000"/>
                <w:szCs w:val="20"/>
              </w:rPr>
              <w:t xml:space="preserve"> (</w:t>
            </w:r>
            <w:r w:rsidR="0035333F" w:rsidRPr="00C66550">
              <w:rPr>
                <w:rFonts w:asciiTheme="minorHAnsi" w:eastAsia="Arial" w:hAnsiTheme="minorHAnsi"/>
                <w:b/>
                <w:bCs/>
                <w:color w:val="000000"/>
                <w:szCs w:val="20"/>
              </w:rPr>
              <w:t>cobalt</w:t>
            </w:r>
            <w:r w:rsidR="005B59F9" w:rsidRPr="00C66550">
              <w:rPr>
                <w:rFonts w:asciiTheme="minorHAnsi" w:eastAsia="Arial" w:hAnsiTheme="minorHAnsi"/>
                <w:b/>
                <w:bCs/>
                <w:color w:val="000000"/>
                <w:szCs w:val="20"/>
              </w:rPr>
              <w:t>)</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58,000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11,000</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19</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62</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w:t>
            </w: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Rechargeable batteries</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Bi</w:t>
            </w:r>
            <w:r w:rsidR="005B59F9" w:rsidRPr="00C66550">
              <w:rPr>
                <w:rFonts w:asciiTheme="minorHAnsi" w:eastAsia="Arial" w:hAnsiTheme="minorHAnsi"/>
                <w:b/>
                <w:bCs/>
                <w:color w:val="000000"/>
                <w:szCs w:val="20"/>
              </w:rPr>
              <w:t xml:space="preserve"> (bismuth)</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5,600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900</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16</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31</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Solders, capacitor, heat sink…</w:t>
            </w:r>
          </w:p>
        </w:tc>
      </w:tr>
      <w:tr w:rsidR="00650663" w:rsidRPr="00C66550" w:rsidTr="00650663">
        <w:tc>
          <w:tcPr>
            <w:cnfStyle w:val="001000000000"/>
            <w:tcW w:w="717" w:type="pct"/>
            <w:tcBorders>
              <w:top w:val="nil"/>
              <w:bottom w:val="nil"/>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Se</w:t>
            </w:r>
            <w:r w:rsidR="005B59F9" w:rsidRPr="00C66550">
              <w:rPr>
                <w:rFonts w:asciiTheme="minorHAnsi" w:eastAsia="Arial" w:hAnsiTheme="minorHAnsi"/>
                <w:b/>
                <w:bCs/>
                <w:color w:val="000000"/>
                <w:szCs w:val="20"/>
              </w:rPr>
              <w:t xml:space="preserve"> (selenium)</w:t>
            </w:r>
          </w:p>
        </w:tc>
        <w:tc>
          <w:tcPr>
            <w:tcW w:w="715"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1,400</w:t>
            </w:r>
          </w:p>
        </w:tc>
        <w:tc>
          <w:tcPr>
            <w:tcW w:w="57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240</w:t>
            </w:r>
          </w:p>
        </w:tc>
        <w:tc>
          <w:tcPr>
            <w:tcW w:w="500"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17</w:t>
            </w:r>
          </w:p>
        </w:tc>
        <w:tc>
          <w:tcPr>
            <w:tcW w:w="431"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72</w:t>
            </w:r>
          </w:p>
        </w:tc>
        <w:tc>
          <w:tcPr>
            <w:tcW w:w="358" w:type="pct"/>
            <w:tcBorders>
              <w:top w:val="nil"/>
              <w:bottom w:val="nil"/>
            </w:tcBorders>
          </w:tcPr>
          <w:p w:rsidR="00EF2812" w:rsidRPr="00C66550" w:rsidRDefault="00EF2812" w:rsidP="00A50391">
            <w:pPr>
              <w:jc w:val="right"/>
              <w:cnfStyle w:val="000000000000"/>
              <w:rPr>
                <w:rFonts w:asciiTheme="minorHAnsi" w:eastAsia="Arial" w:hAnsiTheme="minorHAnsi"/>
                <w:color w:val="000000"/>
                <w:szCs w:val="20"/>
              </w:rPr>
            </w:pPr>
          </w:p>
        </w:tc>
        <w:tc>
          <w:tcPr>
            <w:tcW w:w="1709" w:type="pct"/>
            <w:tcBorders>
              <w:top w:val="nil"/>
              <w:bottom w:val="nil"/>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Electro-optic, copier, solar cell</w:t>
            </w:r>
          </w:p>
        </w:tc>
      </w:tr>
      <w:tr w:rsidR="00650663" w:rsidRPr="00C66550" w:rsidTr="00650663">
        <w:tc>
          <w:tcPr>
            <w:cnfStyle w:val="001000000000"/>
            <w:tcW w:w="717" w:type="pct"/>
            <w:tcBorders>
              <w:top w:val="nil"/>
              <w:bottom w:val="single" w:sz="4" w:space="0" w:color="7F7F7F" w:themeColor="background2"/>
            </w:tcBorders>
          </w:tcPr>
          <w:p w:rsidR="00EF2812" w:rsidRPr="00C66550" w:rsidRDefault="00EF2812" w:rsidP="005B59F9">
            <w:pPr>
              <w:rPr>
                <w:rFonts w:asciiTheme="minorHAnsi" w:hAnsiTheme="minorHAnsi"/>
                <w:b/>
                <w:bCs/>
                <w:color w:val="000000"/>
                <w:szCs w:val="20"/>
              </w:rPr>
            </w:pPr>
            <w:r w:rsidRPr="00C66550">
              <w:rPr>
                <w:rFonts w:asciiTheme="minorHAnsi" w:eastAsia="Arial" w:hAnsiTheme="minorHAnsi"/>
                <w:b/>
                <w:bCs/>
                <w:color w:val="000000"/>
                <w:szCs w:val="20"/>
              </w:rPr>
              <w:t>In</w:t>
            </w:r>
            <w:r w:rsidR="005B59F9" w:rsidRPr="00C66550">
              <w:rPr>
                <w:rFonts w:asciiTheme="minorHAnsi" w:eastAsia="Arial" w:hAnsiTheme="minorHAnsi"/>
                <w:b/>
                <w:bCs/>
                <w:color w:val="000000"/>
                <w:szCs w:val="20"/>
              </w:rPr>
              <w:t xml:space="preserve"> (indium)</w:t>
            </w:r>
          </w:p>
        </w:tc>
        <w:tc>
          <w:tcPr>
            <w:tcW w:w="715" w:type="pct"/>
            <w:tcBorders>
              <w:top w:val="nil"/>
              <w:bottom w:val="single" w:sz="4" w:space="0" w:color="7F7F7F" w:themeColor="background2"/>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480</w:t>
            </w:r>
          </w:p>
        </w:tc>
        <w:tc>
          <w:tcPr>
            <w:tcW w:w="571" w:type="pct"/>
            <w:tcBorders>
              <w:top w:val="nil"/>
              <w:bottom w:val="single" w:sz="4" w:space="0" w:color="7F7F7F" w:themeColor="background2"/>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380</w:t>
            </w:r>
          </w:p>
        </w:tc>
        <w:tc>
          <w:tcPr>
            <w:tcW w:w="500" w:type="pct"/>
            <w:tcBorders>
              <w:top w:val="nil"/>
              <w:bottom w:val="single" w:sz="4" w:space="0" w:color="7F7F7F" w:themeColor="background2"/>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79</w:t>
            </w:r>
          </w:p>
        </w:tc>
        <w:tc>
          <w:tcPr>
            <w:tcW w:w="431" w:type="pct"/>
            <w:tcBorders>
              <w:top w:val="nil"/>
              <w:bottom w:val="single" w:sz="4" w:space="0" w:color="7F7F7F" w:themeColor="background2"/>
            </w:tcBorders>
          </w:tcPr>
          <w:p w:rsidR="00EF2812" w:rsidRPr="00C66550" w:rsidRDefault="00EF2812" w:rsidP="00A50391">
            <w:pPr>
              <w:jc w:val="right"/>
              <w:cnfStyle w:val="000000000000"/>
              <w:rPr>
                <w:rFonts w:asciiTheme="minorHAnsi" w:eastAsia="Arial" w:hAnsiTheme="minorHAnsi"/>
                <w:color w:val="000000"/>
                <w:szCs w:val="20"/>
              </w:rPr>
            </w:pPr>
            <w:r w:rsidRPr="00C66550">
              <w:rPr>
                <w:rFonts w:asciiTheme="minorHAnsi" w:eastAsia="Arial" w:hAnsiTheme="minorHAnsi"/>
                <w:color w:val="000000"/>
                <w:szCs w:val="20"/>
              </w:rPr>
              <w:t>682</w:t>
            </w:r>
          </w:p>
        </w:tc>
        <w:tc>
          <w:tcPr>
            <w:tcW w:w="358" w:type="pct"/>
            <w:tcBorders>
              <w:top w:val="nil"/>
              <w:bottom w:val="single" w:sz="4" w:space="0" w:color="7F7F7F" w:themeColor="background2"/>
            </w:tcBorders>
          </w:tcPr>
          <w:p w:rsidR="00EF2812" w:rsidRPr="00C66550" w:rsidRDefault="00EF2812" w:rsidP="00A50391">
            <w:pPr>
              <w:jc w:val="right"/>
              <w:cnfStyle w:val="000000000000"/>
              <w:rPr>
                <w:rFonts w:asciiTheme="minorHAnsi" w:eastAsia="Arial" w:hAnsiTheme="minorHAnsi"/>
                <w:color w:val="000000"/>
                <w:szCs w:val="20"/>
              </w:rPr>
            </w:pPr>
          </w:p>
        </w:tc>
        <w:tc>
          <w:tcPr>
            <w:tcW w:w="1709" w:type="pct"/>
            <w:tcBorders>
              <w:top w:val="nil"/>
              <w:bottom w:val="single" w:sz="4" w:space="0" w:color="7F7F7F" w:themeColor="background2"/>
            </w:tcBorders>
          </w:tcPr>
          <w:p w:rsidR="00EF2812" w:rsidRPr="00C66550" w:rsidRDefault="00EF2812" w:rsidP="003715E1">
            <w:pPr>
              <w:cnfStyle w:val="000000000000"/>
              <w:rPr>
                <w:rFonts w:asciiTheme="minorHAnsi" w:eastAsia="Arial" w:hAnsiTheme="minorHAnsi"/>
                <w:color w:val="000000"/>
                <w:spacing w:val="-1"/>
                <w:szCs w:val="20"/>
              </w:rPr>
            </w:pPr>
            <w:r w:rsidRPr="00C66550">
              <w:rPr>
                <w:rFonts w:asciiTheme="minorHAnsi" w:eastAsia="Arial" w:hAnsiTheme="minorHAnsi"/>
                <w:color w:val="000000"/>
                <w:spacing w:val="-1"/>
                <w:szCs w:val="20"/>
              </w:rPr>
              <w:t>LCD glass, solder, semiconductor</w:t>
            </w:r>
          </w:p>
        </w:tc>
      </w:tr>
      <w:tr w:rsidR="00650663" w:rsidRPr="00C66550" w:rsidTr="00650663">
        <w:tc>
          <w:tcPr>
            <w:cnfStyle w:val="001000000000"/>
            <w:tcW w:w="717" w:type="pct"/>
            <w:tcBorders>
              <w:top w:val="single" w:sz="4" w:space="0" w:color="7F7F7F" w:themeColor="background2"/>
            </w:tcBorders>
          </w:tcPr>
          <w:p w:rsidR="00EF2812" w:rsidRPr="00C66550" w:rsidRDefault="00EF2812" w:rsidP="00594F29">
            <w:pPr>
              <w:jc w:val="center"/>
              <w:rPr>
                <w:rFonts w:asciiTheme="minorHAnsi" w:hAnsiTheme="minorHAnsi"/>
                <w:b/>
                <w:bCs/>
                <w:color w:val="000000"/>
                <w:szCs w:val="20"/>
              </w:rPr>
            </w:pPr>
            <w:r w:rsidRPr="00C66550">
              <w:rPr>
                <w:rFonts w:asciiTheme="minorHAnsi" w:eastAsia="Arial" w:hAnsiTheme="minorHAnsi"/>
                <w:b/>
                <w:bCs/>
                <w:color w:val="000000"/>
                <w:szCs w:val="20"/>
              </w:rPr>
              <w:t>Total</w:t>
            </w:r>
          </w:p>
        </w:tc>
        <w:tc>
          <w:tcPr>
            <w:tcW w:w="715" w:type="pct"/>
            <w:tcBorders>
              <w:top w:val="single" w:sz="4" w:space="0" w:color="7F7F7F" w:themeColor="background2"/>
            </w:tcBorders>
          </w:tcPr>
          <w:p w:rsidR="00EF2812" w:rsidRPr="00C66550" w:rsidRDefault="00EF2812" w:rsidP="008E6A4C">
            <w:pPr>
              <w:jc w:val="right"/>
              <w:cnfStyle w:val="000000000000"/>
              <w:rPr>
                <w:rFonts w:asciiTheme="minorHAnsi" w:hAnsiTheme="minorHAnsi"/>
                <w:b/>
                <w:bCs/>
                <w:color w:val="000000"/>
                <w:szCs w:val="20"/>
              </w:rPr>
            </w:pPr>
            <w:r w:rsidRPr="00C66550">
              <w:rPr>
                <w:rFonts w:asciiTheme="minorHAnsi" w:hAnsiTheme="minorHAnsi"/>
                <w:b/>
                <w:bCs/>
                <w:color w:val="000000"/>
                <w:szCs w:val="20"/>
              </w:rPr>
              <w:t>15,493,</w:t>
            </w:r>
            <w:r w:rsidR="008E6A4C" w:rsidRPr="00C66550">
              <w:rPr>
                <w:rFonts w:asciiTheme="minorHAnsi" w:hAnsiTheme="minorHAnsi"/>
                <w:b/>
                <w:bCs/>
                <w:color w:val="000000"/>
                <w:szCs w:val="20"/>
              </w:rPr>
              <w:t>000</w:t>
            </w:r>
            <w:r w:rsidRPr="00C66550">
              <w:rPr>
                <w:rFonts w:asciiTheme="minorHAnsi" w:hAnsiTheme="minorHAnsi"/>
                <w:b/>
                <w:bCs/>
                <w:color w:val="000000"/>
                <w:szCs w:val="20"/>
              </w:rPr>
              <w:t xml:space="preserve"> </w:t>
            </w:r>
          </w:p>
        </w:tc>
        <w:tc>
          <w:tcPr>
            <w:tcW w:w="571" w:type="pct"/>
            <w:tcBorders>
              <w:top w:val="single" w:sz="4" w:space="0" w:color="7F7F7F" w:themeColor="background2"/>
            </w:tcBorders>
          </w:tcPr>
          <w:p w:rsidR="00EF2812" w:rsidRPr="00C66550" w:rsidRDefault="00E5424C" w:rsidP="003715E1">
            <w:pPr>
              <w:cnfStyle w:val="000000000000"/>
              <w:rPr>
                <w:rFonts w:asciiTheme="minorHAnsi" w:hAnsiTheme="minorHAnsi"/>
                <w:b/>
                <w:bCs/>
                <w:color w:val="000000"/>
                <w:szCs w:val="20"/>
              </w:rPr>
            </w:pPr>
            <w:r w:rsidRPr="00C66550">
              <w:rPr>
                <w:rFonts w:asciiTheme="minorHAnsi" w:eastAsia="Arial" w:hAnsiTheme="minorHAnsi"/>
                <w:b/>
                <w:bCs/>
                <w:color w:val="000000"/>
                <w:szCs w:val="20"/>
              </w:rPr>
              <w:t xml:space="preserve"> </w:t>
            </w:r>
            <w:r w:rsidR="00EF2812" w:rsidRPr="00C66550">
              <w:rPr>
                <w:rFonts w:asciiTheme="minorHAnsi" w:eastAsia="Arial" w:hAnsiTheme="minorHAnsi"/>
                <w:b/>
                <w:bCs/>
                <w:color w:val="000000"/>
                <w:szCs w:val="20"/>
              </w:rPr>
              <w:t>4,670,000</w:t>
            </w:r>
          </w:p>
        </w:tc>
        <w:tc>
          <w:tcPr>
            <w:tcW w:w="500" w:type="pct"/>
            <w:tcBorders>
              <w:top w:val="single" w:sz="4" w:space="0" w:color="7F7F7F" w:themeColor="background2"/>
            </w:tcBorders>
          </w:tcPr>
          <w:p w:rsidR="00EF2812" w:rsidRPr="00C66550" w:rsidRDefault="00EF2812" w:rsidP="00EF2812">
            <w:pPr>
              <w:jc w:val="right"/>
              <w:cnfStyle w:val="000000000000"/>
              <w:rPr>
                <w:rFonts w:asciiTheme="minorHAnsi" w:hAnsiTheme="minorHAnsi"/>
                <w:b/>
                <w:bCs/>
                <w:color w:val="000000"/>
                <w:szCs w:val="20"/>
              </w:rPr>
            </w:pPr>
            <w:r w:rsidRPr="00C66550">
              <w:rPr>
                <w:rFonts w:asciiTheme="minorHAnsi" w:hAnsiTheme="minorHAnsi"/>
                <w:b/>
                <w:bCs/>
                <w:color w:val="000000"/>
                <w:szCs w:val="20"/>
              </w:rPr>
              <w:t>30%</w:t>
            </w:r>
          </w:p>
        </w:tc>
        <w:tc>
          <w:tcPr>
            <w:tcW w:w="431" w:type="pct"/>
            <w:tcBorders>
              <w:top w:val="single" w:sz="4" w:space="0" w:color="7F7F7F" w:themeColor="background2"/>
            </w:tcBorders>
          </w:tcPr>
          <w:p w:rsidR="00EF2812" w:rsidRPr="00C66550" w:rsidRDefault="00EF2812" w:rsidP="00EF2812">
            <w:pPr>
              <w:jc w:val="right"/>
              <w:cnfStyle w:val="000000000000"/>
              <w:rPr>
                <w:rFonts w:asciiTheme="minorHAnsi" w:hAnsiTheme="minorHAnsi"/>
                <w:color w:val="000000"/>
                <w:szCs w:val="20"/>
              </w:rPr>
            </w:pPr>
            <w:r w:rsidRPr="00C66550">
              <w:rPr>
                <w:rFonts w:asciiTheme="minorHAnsi" w:hAnsiTheme="minorHAnsi"/>
                <w:color w:val="000000"/>
                <w:szCs w:val="20"/>
              </w:rPr>
              <w:t> </w:t>
            </w:r>
          </w:p>
        </w:tc>
        <w:tc>
          <w:tcPr>
            <w:tcW w:w="358" w:type="pct"/>
            <w:tcBorders>
              <w:top w:val="single" w:sz="4" w:space="0" w:color="7F7F7F" w:themeColor="background2"/>
            </w:tcBorders>
          </w:tcPr>
          <w:p w:rsidR="00EF2812" w:rsidRPr="00C66550" w:rsidRDefault="00EF2812" w:rsidP="00EF2812">
            <w:pPr>
              <w:jc w:val="right"/>
              <w:cnfStyle w:val="000000000000"/>
              <w:rPr>
                <w:rFonts w:asciiTheme="minorHAnsi" w:hAnsiTheme="minorHAnsi"/>
                <w:b/>
                <w:bCs/>
                <w:color w:val="000000"/>
                <w:szCs w:val="20"/>
              </w:rPr>
            </w:pPr>
            <w:r w:rsidRPr="00C66550">
              <w:rPr>
                <w:rFonts w:asciiTheme="minorHAnsi" w:eastAsia="Arial" w:hAnsiTheme="minorHAnsi"/>
                <w:b/>
                <w:bCs/>
                <w:color w:val="000000"/>
                <w:szCs w:val="20"/>
              </w:rPr>
              <w:t xml:space="preserve">45 </w:t>
            </w:r>
          </w:p>
        </w:tc>
        <w:tc>
          <w:tcPr>
            <w:tcW w:w="1709" w:type="pct"/>
            <w:tcBorders>
              <w:top w:val="single" w:sz="4" w:space="0" w:color="7F7F7F" w:themeColor="background2"/>
            </w:tcBorders>
          </w:tcPr>
          <w:p w:rsidR="00EF2812" w:rsidRPr="00C66550" w:rsidRDefault="00EF2812" w:rsidP="003715E1">
            <w:pPr>
              <w:cnfStyle w:val="000000000000"/>
              <w:rPr>
                <w:rFonts w:asciiTheme="minorHAnsi" w:hAnsiTheme="minorHAnsi"/>
                <w:color w:val="000000"/>
                <w:szCs w:val="20"/>
              </w:rPr>
            </w:pPr>
          </w:p>
        </w:tc>
      </w:tr>
    </w:tbl>
    <w:p w:rsidR="005E17AE" w:rsidRDefault="005E17AE" w:rsidP="0034285E">
      <w:pPr>
        <w:spacing w:before="80" w:line="240" w:lineRule="auto"/>
        <w:rPr>
          <w:rFonts w:cs="Arial"/>
          <w:i/>
          <w:color w:val="0000FF"/>
          <w:sz w:val="22"/>
          <w:szCs w:val="20"/>
        </w:rPr>
      </w:pPr>
      <w:r>
        <w:rPr>
          <w:rFonts w:cs="Arial"/>
          <w:i/>
          <w:color w:val="0000FF"/>
          <w:sz w:val="22"/>
          <w:szCs w:val="20"/>
        </w:rPr>
        <w:t>* electrical and electronic equipment</w:t>
      </w:r>
    </w:p>
    <w:p w:rsidR="0034285E" w:rsidRPr="00C66550" w:rsidRDefault="0034285E" w:rsidP="0034285E">
      <w:pPr>
        <w:spacing w:before="80" w:line="240" w:lineRule="auto"/>
        <w:rPr>
          <w:rFonts w:cs="Arial"/>
          <w:i/>
          <w:color w:val="0000FF"/>
          <w:sz w:val="22"/>
          <w:szCs w:val="20"/>
        </w:rPr>
      </w:pPr>
      <w:r w:rsidRPr="00C66550">
        <w:rPr>
          <w:rFonts w:cs="Arial"/>
          <w:i/>
          <w:color w:val="0000FF"/>
          <w:sz w:val="22"/>
          <w:szCs w:val="20"/>
        </w:rPr>
        <w:t>Source:</w:t>
      </w:r>
      <w:r w:rsidRPr="00C66550">
        <w:rPr>
          <w:rFonts w:cs="Arial"/>
          <w:i/>
          <w:color w:val="0000FF"/>
          <w:sz w:val="22"/>
          <w:szCs w:val="20"/>
        </w:rPr>
        <w:tab/>
        <w:t>UNEP 2009</w:t>
      </w:r>
    </w:p>
    <w:p w:rsidR="003715E1" w:rsidRPr="00C66550" w:rsidRDefault="003715E1" w:rsidP="00D92FD0">
      <w:pPr>
        <w:spacing w:line="240" w:lineRule="auto"/>
        <w:rPr>
          <w:color w:val="080808"/>
          <w:spacing w:val="3"/>
          <w:sz w:val="22"/>
        </w:rPr>
      </w:pPr>
    </w:p>
    <w:p w:rsidR="00505CB3" w:rsidRPr="00C66550" w:rsidRDefault="00D92FD0" w:rsidP="00D92FD0">
      <w:pPr>
        <w:spacing w:line="240" w:lineRule="auto"/>
        <w:rPr>
          <w:color w:val="080808"/>
          <w:spacing w:val="3"/>
          <w:sz w:val="22"/>
        </w:rPr>
      </w:pPr>
      <w:r w:rsidRPr="00C66550">
        <w:rPr>
          <w:color w:val="080808"/>
          <w:spacing w:val="3"/>
          <w:sz w:val="22"/>
        </w:rPr>
        <w:t>When WEEE is put into a landfill</w:t>
      </w:r>
      <w:r w:rsidR="002442F6" w:rsidRPr="00C66550">
        <w:rPr>
          <w:color w:val="080808"/>
          <w:spacing w:val="3"/>
          <w:sz w:val="22"/>
        </w:rPr>
        <w:t>,</w:t>
      </w:r>
      <w:r w:rsidRPr="00C66550">
        <w:rPr>
          <w:color w:val="080808"/>
          <w:spacing w:val="3"/>
          <w:sz w:val="22"/>
        </w:rPr>
        <w:t xml:space="preserve"> </w:t>
      </w:r>
      <w:r w:rsidR="000D3E35" w:rsidRPr="00C66550">
        <w:rPr>
          <w:color w:val="080808"/>
          <w:spacing w:val="3"/>
          <w:sz w:val="22"/>
        </w:rPr>
        <w:t xml:space="preserve">toxic metals such as arsenic, cadmium, cobalt, chromium and zinc </w:t>
      </w:r>
      <w:r w:rsidR="00805B2C" w:rsidRPr="00C66550">
        <w:rPr>
          <w:color w:val="080808"/>
          <w:spacing w:val="3"/>
          <w:sz w:val="22"/>
        </w:rPr>
        <w:t>as well as</w:t>
      </w:r>
      <w:r w:rsidR="000D3E35" w:rsidRPr="00C66550">
        <w:rPr>
          <w:color w:val="080808"/>
          <w:spacing w:val="3"/>
          <w:sz w:val="22"/>
        </w:rPr>
        <w:t xml:space="preserve"> halogenated aromatics </w:t>
      </w:r>
      <w:r w:rsidR="005B59F9" w:rsidRPr="00C66550">
        <w:rPr>
          <w:color w:val="080808"/>
          <w:spacing w:val="3"/>
          <w:sz w:val="22"/>
        </w:rPr>
        <w:t>(</w:t>
      </w:r>
      <w:r w:rsidR="000D3E35" w:rsidRPr="00C66550">
        <w:rPr>
          <w:color w:val="080808"/>
          <w:spacing w:val="3"/>
          <w:sz w:val="22"/>
        </w:rPr>
        <w:t>includ</w:t>
      </w:r>
      <w:r w:rsidR="00805B2C" w:rsidRPr="00C66550">
        <w:rPr>
          <w:color w:val="080808"/>
          <w:spacing w:val="3"/>
          <w:sz w:val="22"/>
        </w:rPr>
        <w:t>ing</w:t>
      </w:r>
      <w:r w:rsidR="000D3E35" w:rsidRPr="00C66550">
        <w:rPr>
          <w:color w:val="080808"/>
          <w:spacing w:val="3"/>
          <w:sz w:val="22"/>
        </w:rPr>
        <w:t xml:space="preserve"> polybrominated diphenyl ethers from flame retardant insulation cabling, which are known to be persistent organic pollutants</w:t>
      </w:r>
      <w:r w:rsidR="005B59F9" w:rsidRPr="00C66550">
        <w:rPr>
          <w:color w:val="080808"/>
          <w:spacing w:val="3"/>
          <w:sz w:val="22"/>
        </w:rPr>
        <w:t>)</w:t>
      </w:r>
      <w:r w:rsidR="000D3E35" w:rsidRPr="00C66550">
        <w:rPr>
          <w:color w:val="080808"/>
          <w:spacing w:val="3"/>
          <w:sz w:val="22"/>
        </w:rPr>
        <w:t xml:space="preserve"> </w:t>
      </w:r>
      <w:r w:rsidR="00805B2C" w:rsidRPr="00C66550">
        <w:rPr>
          <w:color w:val="080808"/>
          <w:spacing w:val="3"/>
          <w:sz w:val="22"/>
        </w:rPr>
        <w:t>are</w:t>
      </w:r>
      <w:r w:rsidRPr="00C66550">
        <w:rPr>
          <w:color w:val="080808"/>
          <w:spacing w:val="3"/>
          <w:sz w:val="22"/>
        </w:rPr>
        <w:t xml:space="preserve"> </w:t>
      </w:r>
      <w:r w:rsidR="006217AD" w:rsidRPr="00C66550">
        <w:rPr>
          <w:color w:val="080808"/>
          <w:spacing w:val="3"/>
          <w:sz w:val="22"/>
        </w:rPr>
        <w:t>likely</w:t>
      </w:r>
      <w:r w:rsidR="00805B2C" w:rsidRPr="00C66550">
        <w:rPr>
          <w:color w:val="080808"/>
          <w:spacing w:val="3"/>
          <w:sz w:val="22"/>
        </w:rPr>
        <w:t xml:space="preserve"> to </w:t>
      </w:r>
      <w:r w:rsidRPr="00C66550">
        <w:rPr>
          <w:color w:val="080808"/>
          <w:spacing w:val="3"/>
          <w:sz w:val="22"/>
        </w:rPr>
        <w:t xml:space="preserve">end up in landfill leachate and potentially be emitted from the landfill. </w:t>
      </w:r>
      <w:r w:rsidR="00805B2C" w:rsidRPr="00C66550">
        <w:rPr>
          <w:color w:val="080808"/>
          <w:spacing w:val="3"/>
          <w:sz w:val="22"/>
        </w:rPr>
        <w:t>In a recent commentary on increasing rates of contaminants in landfill leachate</w:t>
      </w:r>
      <w:r w:rsidR="00805B2C" w:rsidRPr="00C66550">
        <w:rPr>
          <w:rStyle w:val="FootnoteReference"/>
          <w:color w:val="080808"/>
          <w:spacing w:val="3"/>
          <w:sz w:val="22"/>
        </w:rPr>
        <w:footnoteReference w:id="30"/>
      </w:r>
      <w:r w:rsidR="00805B2C" w:rsidRPr="00C66550">
        <w:rPr>
          <w:color w:val="080808"/>
          <w:spacing w:val="3"/>
          <w:sz w:val="22"/>
        </w:rPr>
        <w:t>,</w:t>
      </w:r>
      <w:r w:rsidR="000D3E35" w:rsidRPr="00C66550">
        <w:rPr>
          <w:color w:val="080808"/>
          <w:spacing w:val="3"/>
          <w:sz w:val="22"/>
        </w:rPr>
        <w:t xml:space="preserve"> </w:t>
      </w:r>
      <w:r w:rsidRPr="00C66550">
        <w:rPr>
          <w:color w:val="080808"/>
          <w:spacing w:val="3"/>
          <w:sz w:val="22"/>
        </w:rPr>
        <w:t>Professor Ravi Naidu from the</w:t>
      </w:r>
      <w:r w:rsidR="00505CB3" w:rsidRPr="00C66550">
        <w:rPr>
          <w:color w:val="080808"/>
          <w:spacing w:val="3"/>
          <w:sz w:val="22"/>
        </w:rPr>
        <w:t xml:space="preserve"> </w:t>
      </w:r>
      <w:r w:rsidR="00650663" w:rsidRPr="00C66550">
        <w:rPr>
          <w:color w:val="080808"/>
          <w:spacing w:val="3"/>
          <w:sz w:val="22"/>
        </w:rPr>
        <w:t>Cooperative Research Centre</w:t>
      </w:r>
      <w:r w:rsidRPr="00C66550">
        <w:rPr>
          <w:color w:val="080808"/>
          <w:spacing w:val="3"/>
          <w:sz w:val="22"/>
        </w:rPr>
        <w:t xml:space="preserve"> for Contaminated Assessment and Remediation of the Environment </w:t>
      </w:r>
      <w:r w:rsidR="006217AD" w:rsidRPr="00C66550">
        <w:rPr>
          <w:color w:val="080808"/>
          <w:spacing w:val="3"/>
          <w:sz w:val="22"/>
        </w:rPr>
        <w:t>commented</w:t>
      </w:r>
      <w:r w:rsidR="00505CB3" w:rsidRPr="00C66550">
        <w:rPr>
          <w:color w:val="080808"/>
          <w:spacing w:val="3"/>
          <w:sz w:val="22"/>
        </w:rPr>
        <w:t xml:space="preserve"> that:</w:t>
      </w:r>
    </w:p>
    <w:p w:rsidR="00FF0C93" w:rsidRPr="00C66550" w:rsidRDefault="00207FD3" w:rsidP="00805B2C">
      <w:pPr>
        <w:spacing w:before="120" w:line="240" w:lineRule="auto"/>
        <w:ind w:left="709" w:right="992"/>
        <w:rPr>
          <w:rFonts w:cs="Arial"/>
          <w:i/>
          <w:color w:val="0000FF"/>
          <w:sz w:val="22"/>
          <w:szCs w:val="20"/>
        </w:rPr>
      </w:pPr>
      <w:r w:rsidRPr="00C66550">
        <w:rPr>
          <w:i/>
          <w:color w:val="080808"/>
          <w:spacing w:val="3"/>
          <w:sz w:val="22"/>
        </w:rPr>
        <w:t>“</w:t>
      </w:r>
      <w:r w:rsidR="00505CB3" w:rsidRPr="00C66550">
        <w:rPr>
          <w:i/>
          <w:color w:val="080808"/>
          <w:spacing w:val="3"/>
          <w:sz w:val="22"/>
        </w:rPr>
        <w:t>Most</w:t>
      </w:r>
      <w:r w:rsidRPr="00C66550">
        <w:rPr>
          <w:i/>
          <w:color w:val="080808"/>
          <w:spacing w:val="3"/>
          <w:sz w:val="22"/>
        </w:rPr>
        <w:t xml:space="preserve"> of these materials have probably leaked from electronic waste, which includes old computers, mobile phones, refrigerators, televisions, batteries, wires with flame-retardant casings and more</w:t>
      </w:r>
      <w:r w:rsidR="00805B2C" w:rsidRPr="00C66550">
        <w:rPr>
          <w:i/>
          <w:color w:val="080808"/>
          <w:spacing w:val="3"/>
          <w:sz w:val="22"/>
        </w:rPr>
        <w:t xml:space="preserve"> </w:t>
      </w:r>
      <w:r w:rsidRPr="00C66550">
        <w:rPr>
          <w:i/>
          <w:color w:val="080808"/>
          <w:spacing w:val="3"/>
          <w:sz w:val="22"/>
        </w:rPr>
        <w:t>... As e-waste only came into the picture 10 years or so ago, we used to dispose of most of it in landfills. Approximately 84% of e-waste was dumped, with only 10% being recycled in those days...Up until 2006 there was three times more e-waste going to landfill, and no fewer than 234 million electronic waste items were sent to landfill in 2009. The content of [polybrominated diphenyl ethers] found in Australian landfill leachates is much higher than those from Japan...</w:t>
      </w:r>
      <w:r w:rsidR="000118E2" w:rsidRPr="00C66550">
        <w:rPr>
          <w:i/>
          <w:color w:val="080808"/>
          <w:spacing w:val="3"/>
          <w:sz w:val="22"/>
        </w:rPr>
        <w:t xml:space="preserve"> </w:t>
      </w:r>
      <w:r w:rsidRPr="00C66550">
        <w:rPr>
          <w:i/>
          <w:color w:val="080808"/>
          <w:spacing w:val="3"/>
          <w:sz w:val="22"/>
        </w:rPr>
        <w:t xml:space="preserve">One reason for this is that Japan incinerates its waste, decreasing the toxicity, while Australia disposes of them to landfill. As many of our landfills are not actually designed to accommodate e-waste, we run a high level of risk if contaminated water escapes from them. The answer is to develop manufacturing systems that minimise contamination in the first place, and which close the loop by efficiently recycling materials back into electronics production pipeline." </w:t>
      </w:r>
    </w:p>
    <w:p w:rsidR="006C4BB1" w:rsidRPr="00C66550" w:rsidRDefault="006C4BB1" w:rsidP="00D92FD0">
      <w:pPr>
        <w:spacing w:line="240" w:lineRule="auto"/>
        <w:rPr>
          <w:color w:val="080808"/>
          <w:spacing w:val="3"/>
          <w:sz w:val="22"/>
        </w:rPr>
      </w:pPr>
    </w:p>
    <w:p w:rsidR="00805B2C" w:rsidRPr="00C66550" w:rsidRDefault="00805B2C" w:rsidP="00D92FD0">
      <w:pPr>
        <w:spacing w:line="240" w:lineRule="auto"/>
        <w:rPr>
          <w:color w:val="080808"/>
          <w:spacing w:val="3"/>
          <w:sz w:val="22"/>
        </w:rPr>
      </w:pPr>
    </w:p>
    <w:p w:rsidR="00805B2C" w:rsidRPr="00C66550" w:rsidRDefault="00805B2C" w:rsidP="00D92FD0">
      <w:pPr>
        <w:spacing w:line="240" w:lineRule="auto"/>
        <w:rPr>
          <w:color w:val="080808"/>
          <w:spacing w:val="3"/>
          <w:sz w:val="22"/>
        </w:rPr>
      </w:pPr>
    </w:p>
    <w:p w:rsidR="00451632" w:rsidRPr="00C66550" w:rsidRDefault="00451632" w:rsidP="006D25F9">
      <w:pPr>
        <w:pStyle w:val="Heading2"/>
      </w:pPr>
      <w:bookmarkStart w:id="271" w:name="_Toc379466405"/>
      <w:r w:rsidRPr="00C66550">
        <w:lastRenderedPageBreak/>
        <w:t>Dumping and littering</w:t>
      </w:r>
      <w:bookmarkEnd w:id="271"/>
    </w:p>
    <w:p w:rsidR="00451632" w:rsidRPr="00C66550" w:rsidRDefault="00451632" w:rsidP="00451632">
      <w:pPr>
        <w:spacing w:line="240" w:lineRule="auto"/>
        <w:rPr>
          <w:color w:val="080808"/>
          <w:sz w:val="22"/>
        </w:rPr>
      </w:pPr>
      <w:r w:rsidRPr="00C66550">
        <w:rPr>
          <w:color w:val="080808"/>
          <w:sz w:val="22"/>
        </w:rPr>
        <w:t xml:space="preserve">Illegal dumping involves significant quantities of material surreptitiously disposed of to avoid costs, while littering may be more thoughtless than malicious. Dumping and littering reduce </w:t>
      </w:r>
      <w:r w:rsidRPr="00C66550">
        <w:rPr>
          <w:color w:val="080808"/>
          <w:sz w:val="22"/>
          <w:lang w:eastAsia="en-AU"/>
        </w:rPr>
        <w:t xml:space="preserve">aesthetic </w:t>
      </w:r>
      <w:r w:rsidRPr="00C66550">
        <w:rPr>
          <w:color w:val="080808"/>
          <w:sz w:val="22"/>
        </w:rPr>
        <w:t>amenity and can be a danger to human health. Materials may be washed into waterways where they become a major hazard for aquatic animals through entanglement or ingestion.</w:t>
      </w:r>
    </w:p>
    <w:p w:rsidR="00451632" w:rsidRPr="00C66550" w:rsidRDefault="00451632" w:rsidP="00451632">
      <w:pPr>
        <w:spacing w:line="240" w:lineRule="auto"/>
        <w:rPr>
          <w:color w:val="080808"/>
          <w:sz w:val="22"/>
        </w:rPr>
      </w:pPr>
    </w:p>
    <w:p w:rsidR="00451632" w:rsidRPr="00C66550" w:rsidRDefault="00451632" w:rsidP="00451632">
      <w:pPr>
        <w:spacing w:line="240" w:lineRule="auto"/>
        <w:rPr>
          <w:noProof/>
          <w:color w:val="080808"/>
          <w:sz w:val="22"/>
          <w:lang w:eastAsia="en-AU"/>
        </w:rPr>
      </w:pPr>
      <w:r w:rsidRPr="00C66550">
        <w:rPr>
          <w:noProof/>
          <w:color w:val="080808"/>
          <w:sz w:val="22"/>
          <w:lang w:eastAsia="en-AU"/>
        </w:rPr>
        <w:t>Disposing of dumped and littered materials is an expensive burden on local governments and other agencies</w:t>
      </w:r>
      <w:r w:rsidR="000B64E1" w:rsidRPr="00C66550">
        <w:rPr>
          <w:noProof/>
          <w:color w:val="080808"/>
          <w:sz w:val="22"/>
          <w:lang w:eastAsia="en-AU"/>
        </w:rPr>
        <w:t xml:space="preserve">. </w:t>
      </w:r>
      <w:r w:rsidRPr="00C66550">
        <w:rPr>
          <w:noProof/>
          <w:color w:val="080808"/>
          <w:sz w:val="22"/>
          <w:lang w:eastAsia="en-AU"/>
        </w:rPr>
        <w:t>Vic</w:t>
      </w:r>
      <w:r w:rsidR="008A1A56">
        <w:rPr>
          <w:noProof/>
          <w:color w:val="080808"/>
          <w:sz w:val="22"/>
          <w:lang w:eastAsia="en-AU"/>
        </w:rPr>
        <w:t>torian</w:t>
      </w:r>
      <w:r w:rsidRPr="00C66550">
        <w:rPr>
          <w:noProof/>
          <w:color w:val="080808"/>
          <w:sz w:val="22"/>
          <w:lang w:eastAsia="en-AU"/>
        </w:rPr>
        <w:t xml:space="preserve"> local governments reported spending over $10</w:t>
      </w:r>
      <w:r w:rsidR="000B64E1" w:rsidRPr="00C66550">
        <w:rPr>
          <w:noProof/>
          <w:color w:val="080808"/>
          <w:sz w:val="22"/>
          <w:lang w:eastAsia="en-AU"/>
        </w:rPr>
        <w:t>m</w:t>
      </w:r>
      <w:r w:rsidRPr="00C66550">
        <w:rPr>
          <w:noProof/>
          <w:color w:val="080808"/>
          <w:sz w:val="22"/>
          <w:lang w:eastAsia="en-AU"/>
        </w:rPr>
        <w:t xml:space="preserve"> cleaning up litter and dumped rubbish during 2009/10 (Sustainability Victoria 2011 p.45). Ane</w:t>
      </w:r>
      <w:r w:rsidR="000B64E1" w:rsidRPr="00C66550">
        <w:rPr>
          <w:noProof/>
          <w:color w:val="080808"/>
          <w:sz w:val="22"/>
          <w:lang w:eastAsia="en-AU"/>
        </w:rPr>
        <w:t>c</w:t>
      </w:r>
      <w:r w:rsidRPr="00C66550">
        <w:rPr>
          <w:noProof/>
          <w:color w:val="080808"/>
          <w:sz w:val="22"/>
          <w:lang w:eastAsia="en-AU"/>
        </w:rPr>
        <w:t>dotally, dumping is claimed to increase with rising landfill costs. Cigarette butts are the most numerous littered item, and paper and plastic are the most voluminous (</w:t>
      </w:r>
      <w:r w:rsidRPr="00C66550">
        <w:rPr>
          <w:color w:val="080808"/>
          <w:sz w:val="22"/>
        </w:rPr>
        <w:t>McGregor Tan Research 2010 p.23).</w:t>
      </w:r>
    </w:p>
    <w:p w:rsidR="00451632" w:rsidRPr="00C66550" w:rsidRDefault="00451632" w:rsidP="00451632">
      <w:pPr>
        <w:spacing w:line="240" w:lineRule="auto"/>
        <w:rPr>
          <w:noProof/>
          <w:color w:val="080808"/>
          <w:sz w:val="22"/>
          <w:lang w:eastAsia="en-AU"/>
        </w:rPr>
      </w:pPr>
    </w:p>
    <w:p w:rsidR="00451632" w:rsidRPr="00C66550" w:rsidRDefault="00451632" w:rsidP="00451632">
      <w:pPr>
        <w:spacing w:line="240" w:lineRule="auto"/>
        <w:rPr>
          <w:color w:val="080808"/>
          <w:sz w:val="22"/>
        </w:rPr>
      </w:pPr>
      <w:r w:rsidRPr="00C66550">
        <w:rPr>
          <w:color w:val="080808"/>
          <w:sz w:val="22"/>
        </w:rPr>
        <w:t xml:space="preserve">The </w:t>
      </w:r>
      <w:r w:rsidR="000B64E1" w:rsidRPr="00C66550">
        <w:rPr>
          <w:color w:val="080808"/>
          <w:sz w:val="22"/>
          <w:lang w:eastAsia="en-AU"/>
        </w:rPr>
        <w:t>Commonwealth Scientific and Industrial Research Organisation (</w:t>
      </w:r>
      <w:r w:rsidRPr="00C66550">
        <w:rPr>
          <w:color w:val="080808"/>
          <w:sz w:val="22"/>
        </w:rPr>
        <w:t>CSIRO</w:t>
      </w:r>
      <w:r w:rsidR="000B64E1" w:rsidRPr="00C66550">
        <w:rPr>
          <w:color w:val="080808"/>
          <w:sz w:val="22"/>
        </w:rPr>
        <w:t>)</w:t>
      </w:r>
      <w:r w:rsidRPr="00C66550">
        <w:rPr>
          <w:color w:val="080808"/>
          <w:sz w:val="22"/>
        </w:rPr>
        <w:t xml:space="preserve"> recently undertook research into marine debris in Australian waters (Hardesty and Wilcox 2011). </w:t>
      </w:r>
      <w:r w:rsidRPr="00C66550">
        <w:rPr>
          <w:color w:val="080808"/>
          <w:sz w:val="22"/>
          <w:lang w:eastAsia="en-AU"/>
        </w:rPr>
        <w:t xml:space="preserve">It </w:t>
      </w:r>
      <w:r w:rsidRPr="00C66550">
        <w:rPr>
          <w:color w:val="080808"/>
          <w:sz w:val="22"/>
        </w:rPr>
        <w:t>found that marine debris is concentrated near major population centres,</w:t>
      </w:r>
      <w:r w:rsidRPr="00C66550">
        <w:rPr>
          <w:color w:val="080808"/>
          <w:sz w:val="22"/>
          <w:lang w:eastAsia="en-AU"/>
        </w:rPr>
        <w:t xml:space="preserve"> indicating that domestic sources are significant. The report noted that </w:t>
      </w:r>
      <w:r w:rsidR="00207FD3" w:rsidRPr="00C66550">
        <w:rPr>
          <w:i/>
          <w:color w:val="080808"/>
          <w:sz w:val="22"/>
          <w:lang w:eastAsia="en-AU"/>
        </w:rPr>
        <w:t>“Australia is probably a net exporter of debris to some neighbouring marine regions and surrounding countries”</w:t>
      </w:r>
      <w:r w:rsidRPr="00C66550">
        <w:rPr>
          <w:color w:val="080808"/>
          <w:sz w:val="22"/>
          <w:lang w:eastAsia="en-AU"/>
        </w:rPr>
        <w:t xml:space="preserve"> (p.20). </w:t>
      </w:r>
      <w:r w:rsidRPr="00C66550">
        <w:rPr>
          <w:color w:val="080808"/>
          <w:sz w:val="22"/>
        </w:rPr>
        <w:t>The main items observed as washed ashore included cigarette products and plastic bags.</w:t>
      </w:r>
    </w:p>
    <w:p w:rsidR="000B64E1" w:rsidRPr="00C66550" w:rsidRDefault="000B64E1">
      <w:pPr>
        <w:spacing w:line="240" w:lineRule="auto"/>
        <w:rPr>
          <w:color w:val="080808"/>
          <w:sz w:val="22"/>
          <w:lang w:eastAsia="en-AU"/>
        </w:rPr>
      </w:pPr>
    </w:p>
    <w:p w:rsidR="007D175C" w:rsidRPr="00C66550" w:rsidRDefault="007D175C" w:rsidP="006D25F9">
      <w:pPr>
        <w:pStyle w:val="Heading2"/>
      </w:pPr>
      <w:bookmarkStart w:id="272" w:name="_Toc379466406"/>
      <w:r w:rsidRPr="00C66550">
        <w:t>The environmental benefits of resource recovery</w:t>
      </w:r>
      <w:bookmarkEnd w:id="266"/>
      <w:bookmarkEnd w:id="272"/>
    </w:p>
    <w:p w:rsidR="00E45618" w:rsidRPr="00C66550" w:rsidRDefault="007D175C">
      <w:pPr>
        <w:spacing w:line="240" w:lineRule="auto"/>
        <w:rPr>
          <w:color w:val="080808"/>
          <w:spacing w:val="3"/>
          <w:sz w:val="22"/>
        </w:rPr>
      </w:pPr>
      <w:r w:rsidRPr="00C66550">
        <w:rPr>
          <w:color w:val="080808"/>
          <w:spacing w:val="3"/>
          <w:sz w:val="22"/>
        </w:rPr>
        <w:t xml:space="preserve">Life cycle assessments have consistently demonstrated that for most materials and most circumstances, recycling results in net savings in energy and net reductions in greenhouse gas emissions (Ackerman 1997, Grant </w:t>
      </w:r>
      <w:r w:rsidRPr="00C66550">
        <w:rPr>
          <w:i/>
          <w:color w:val="080808"/>
          <w:spacing w:val="3"/>
          <w:sz w:val="22"/>
        </w:rPr>
        <w:t>et al</w:t>
      </w:r>
      <w:r w:rsidRPr="00C66550">
        <w:rPr>
          <w:color w:val="080808"/>
          <w:spacing w:val="3"/>
          <w:sz w:val="22"/>
        </w:rPr>
        <w:t>. 2003, ACOR 2008). The latter report suggested that recycling saved about 8.8 Mt CO</w:t>
      </w:r>
      <w:r w:rsidRPr="00C66550">
        <w:rPr>
          <w:color w:val="080808"/>
          <w:spacing w:val="3"/>
          <w:sz w:val="22"/>
          <w:vertAlign w:val="subscript"/>
        </w:rPr>
        <w:t>2</w:t>
      </w:r>
      <w:r w:rsidRPr="00C66550">
        <w:rPr>
          <w:color w:val="080808"/>
          <w:spacing w:val="3"/>
          <w:sz w:val="22"/>
        </w:rPr>
        <w:t>-e in 2006</w:t>
      </w:r>
      <w:r w:rsidR="003B3614" w:rsidRPr="00C66550">
        <w:rPr>
          <w:color w:val="080808"/>
          <w:spacing w:val="3"/>
          <w:sz w:val="22"/>
        </w:rPr>
        <w:t>—</w:t>
      </w:r>
      <w:r w:rsidRPr="00C66550">
        <w:rPr>
          <w:color w:val="080808"/>
          <w:spacing w:val="3"/>
          <w:sz w:val="22"/>
        </w:rPr>
        <w:t>equivalent to about 1.5% of Australia’s total emissions</w:t>
      </w:r>
      <w:r w:rsidR="003B3614" w:rsidRPr="00C66550">
        <w:rPr>
          <w:color w:val="080808"/>
          <w:spacing w:val="3"/>
          <w:sz w:val="22"/>
        </w:rPr>
        <w:t>—</w:t>
      </w:r>
      <w:r w:rsidRPr="00C66550">
        <w:rPr>
          <w:color w:val="080808"/>
          <w:spacing w:val="3"/>
          <w:sz w:val="22"/>
        </w:rPr>
        <w:t xml:space="preserve">due mainly to the avoided need to manufacture materials from virgin sources. The report also identified significant savings in water and energy use due to recycling. The greenhouse benefits of recycling various materials are shown in </w:t>
      </w:r>
      <w:fldSimple w:instr=" REF _Ref347854209 \h  \* MERGEFORMAT ">
        <w:r w:rsidR="00D96003" w:rsidRPr="00C66550">
          <w:t xml:space="preserve">Figure </w:t>
        </w:r>
        <w:r w:rsidR="00D96003">
          <w:rPr>
            <w:noProof/>
          </w:rPr>
          <w:t>48</w:t>
        </w:r>
      </w:fldSimple>
      <w:r w:rsidRPr="00C66550">
        <w:rPr>
          <w:color w:val="080808"/>
          <w:spacing w:val="3"/>
          <w:sz w:val="22"/>
        </w:rPr>
        <w:t xml:space="preserve"> based on the </w:t>
      </w:r>
      <w:r w:rsidR="003B3614" w:rsidRPr="00C66550">
        <w:rPr>
          <w:color w:val="080808"/>
          <w:spacing w:val="3"/>
          <w:sz w:val="22"/>
        </w:rPr>
        <w:t>Australian Council of Recycling (</w:t>
      </w:r>
      <w:r w:rsidRPr="00C66550">
        <w:rPr>
          <w:color w:val="080808"/>
          <w:spacing w:val="3"/>
          <w:sz w:val="22"/>
        </w:rPr>
        <w:t>ACOR</w:t>
      </w:r>
      <w:r w:rsidR="003B3614" w:rsidRPr="00C66550">
        <w:rPr>
          <w:color w:val="080808"/>
          <w:spacing w:val="3"/>
          <w:sz w:val="22"/>
        </w:rPr>
        <w:t>)</w:t>
      </w:r>
      <w:r w:rsidRPr="00C66550">
        <w:rPr>
          <w:color w:val="080808"/>
          <w:spacing w:val="3"/>
          <w:sz w:val="22"/>
        </w:rPr>
        <w:t xml:space="preserve"> report. </w:t>
      </w:r>
    </w:p>
    <w:p w:rsidR="007D175C" w:rsidRPr="00C66550" w:rsidRDefault="007D175C" w:rsidP="007D175C">
      <w:pPr>
        <w:spacing w:line="240" w:lineRule="auto"/>
        <w:rPr>
          <w:color w:val="080808"/>
          <w:spacing w:val="3"/>
          <w:sz w:val="22"/>
        </w:rPr>
      </w:pPr>
    </w:p>
    <w:p w:rsidR="007D175C" w:rsidRPr="00C66550" w:rsidRDefault="007D175C" w:rsidP="00FB4820">
      <w:pPr>
        <w:pStyle w:val="Figures"/>
      </w:pPr>
      <w:bookmarkStart w:id="273" w:name="_Ref347854209"/>
      <w:bookmarkStart w:id="274" w:name="_Toc347947962"/>
      <w:bookmarkStart w:id="275" w:name="_Toc365385057"/>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48</w:t>
      </w:r>
      <w:r w:rsidR="0062001A" w:rsidRPr="00C66550">
        <w:fldChar w:fldCharType="end"/>
      </w:r>
      <w:bookmarkEnd w:id="273"/>
      <w:r w:rsidRPr="00C66550">
        <w:t xml:space="preserve">: </w:t>
      </w:r>
      <w:r w:rsidRPr="00C66550">
        <w:tab/>
        <w:t>The greenhouse benefits of recycling by material type</w:t>
      </w:r>
      <w:bookmarkEnd w:id="274"/>
      <w:bookmarkEnd w:id="275"/>
    </w:p>
    <w:p w:rsidR="007D175C" w:rsidRPr="00C66550" w:rsidRDefault="007D175C" w:rsidP="007D175C">
      <w:pPr>
        <w:spacing w:line="240" w:lineRule="auto"/>
        <w:rPr>
          <w:color w:val="080808"/>
          <w:spacing w:val="3"/>
          <w:sz w:val="22"/>
        </w:rPr>
      </w:pPr>
      <w:r w:rsidRPr="00C66550">
        <w:rPr>
          <w:noProof/>
          <w:color w:val="080808"/>
          <w:sz w:val="22"/>
          <w:lang w:eastAsia="en-AU"/>
        </w:rPr>
        <w:drawing>
          <wp:inline distT="0" distB="0" distL="0" distR="0">
            <wp:extent cx="4592084" cy="3179135"/>
            <wp:effectExtent l="0" t="0" r="0" b="25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srcRect/>
                    <a:stretch>
                      <a:fillRect/>
                    </a:stretch>
                  </pic:blipFill>
                  <pic:spPr bwMode="auto">
                    <a:xfrm>
                      <a:off x="0" y="0"/>
                      <a:ext cx="4590442" cy="3177998"/>
                    </a:xfrm>
                    <a:prstGeom prst="rect">
                      <a:avLst/>
                    </a:prstGeom>
                    <a:noFill/>
                    <a:ln w="9525">
                      <a:noFill/>
                      <a:miter lim="800000"/>
                      <a:headEnd/>
                      <a:tailEnd/>
                    </a:ln>
                  </pic:spPr>
                </pic:pic>
              </a:graphicData>
            </a:graphic>
          </wp:inline>
        </w:drawing>
      </w:r>
    </w:p>
    <w:p w:rsidR="007D175C" w:rsidRPr="00C548DF" w:rsidRDefault="007D175C" w:rsidP="007D175C">
      <w:pPr>
        <w:spacing w:before="80" w:line="240" w:lineRule="auto"/>
        <w:rPr>
          <w:rFonts w:cs="Arial"/>
          <w:i/>
          <w:color w:val="0000FF"/>
          <w:szCs w:val="20"/>
        </w:rPr>
      </w:pPr>
      <w:r w:rsidRPr="00C548DF">
        <w:rPr>
          <w:rFonts w:cs="Arial"/>
          <w:i/>
          <w:color w:val="0000FF"/>
          <w:szCs w:val="20"/>
        </w:rPr>
        <w:t>Source: ACOR (2008)</w:t>
      </w:r>
    </w:p>
    <w:p w:rsidR="007D175C" w:rsidRPr="00C66550" w:rsidRDefault="007D175C" w:rsidP="006B5486">
      <w:pPr>
        <w:pStyle w:val="BodyText"/>
        <w:rPr>
          <w:color w:val="auto"/>
        </w:rPr>
      </w:pPr>
    </w:p>
    <w:p w:rsidR="007D175C" w:rsidRPr="00C66550" w:rsidRDefault="007D175C" w:rsidP="006B5486">
      <w:pPr>
        <w:pStyle w:val="BodyText"/>
        <w:rPr>
          <w:color w:val="auto"/>
        </w:rPr>
      </w:pPr>
      <w:r w:rsidRPr="00C66550">
        <w:rPr>
          <w:color w:val="auto"/>
        </w:rPr>
        <w:t>The pr</w:t>
      </w:r>
      <w:r w:rsidR="0088315F" w:rsidRPr="00C66550">
        <w:rPr>
          <w:color w:val="auto"/>
        </w:rPr>
        <w:t xml:space="preserve">oduction of compost from wastes, where a quality compost product is generated, </w:t>
      </w:r>
      <w:r w:rsidRPr="00C66550">
        <w:rPr>
          <w:color w:val="auto"/>
        </w:rPr>
        <w:t>is environmentally beneficial because the products can improve soil quality, retain soil moisture, promote plant growth, build soil carbon, recycle phosphorus and substitute for energy</w:t>
      </w:r>
      <w:r w:rsidR="0011594E" w:rsidRPr="00C66550">
        <w:rPr>
          <w:color w:val="auto"/>
        </w:rPr>
        <w:t>-</w:t>
      </w:r>
      <w:r w:rsidRPr="00C66550">
        <w:rPr>
          <w:color w:val="auto"/>
        </w:rPr>
        <w:t xml:space="preserve">intensive fertilisers. </w:t>
      </w:r>
    </w:p>
    <w:p w:rsidR="007D175C" w:rsidRPr="00C66550" w:rsidRDefault="007D175C" w:rsidP="006B5486">
      <w:pPr>
        <w:pStyle w:val="BodyText"/>
        <w:rPr>
          <w:color w:val="auto"/>
        </w:rPr>
      </w:pPr>
    </w:p>
    <w:p w:rsidR="007D175C" w:rsidRPr="00C66550" w:rsidRDefault="007D175C" w:rsidP="006B5486">
      <w:pPr>
        <w:pStyle w:val="BodyText"/>
        <w:rPr>
          <w:color w:val="auto"/>
        </w:rPr>
      </w:pPr>
      <w:r w:rsidRPr="00C66550">
        <w:rPr>
          <w:color w:val="auto"/>
        </w:rPr>
        <w:t>Energy recovery from renewable organic wastes is beneficial because it offsets the need to generate energy from fossil fuels</w:t>
      </w:r>
      <w:r w:rsidR="00560F0A" w:rsidRPr="00C66550">
        <w:rPr>
          <w:color w:val="auto"/>
        </w:rPr>
        <w:t xml:space="preserve"> (e.g. coal and gas)</w:t>
      </w:r>
      <w:r w:rsidRPr="00C66550">
        <w:rPr>
          <w:color w:val="auto"/>
        </w:rPr>
        <w:t xml:space="preserve">. The major source of energy from waste in Australia is </w:t>
      </w:r>
      <w:r w:rsidR="00CF5A22" w:rsidRPr="00C66550">
        <w:rPr>
          <w:color w:val="auto"/>
        </w:rPr>
        <w:t xml:space="preserve">currently </w:t>
      </w:r>
      <w:r w:rsidRPr="00C66550">
        <w:rPr>
          <w:color w:val="auto"/>
        </w:rPr>
        <w:t xml:space="preserve">from landfill gas used to generate electricity. Energy recovery from landfill gas started in the early 1990s and now consumes about a quarter of the methane produced by Australian landfills (see </w:t>
      </w:r>
      <w:fldSimple w:instr=" REF _Ref347864992 \h  \* MERGEFORMAT ">
        <w:r w:rsidR="00D96003" w:rsidRPr="00D96003">
          <w:rPr>
            <w:color w:val="auto"/>
          </w:rPr>
          <w:t>Figure</w:t>
        </w:r>
        <w:r w:rsidR="00D96003" w:rsidRPr="00C66550">
          <w:t xml:space="preserve"> </w:t>
        </w:r>
        <w:r w:rsidR="00D96003">
          <w:rPr>
            <w:noProof/>
          </w:rPr>
          <w:t>45</w:t>
        </w:r>
      </w:fldSimple>
      <w:r w:rsidRPr="00C66550">
        <w:rPr>
          <w:color w:val="auto"/>
        </w:rPr>
        <w:t xml:space="preserve">). Various other waste processing facilities also generate minor amounts of electricity through anaerobic digestion. </w:t>
      </w:r>
    </w:p>
    <w:p w:rsidR="00805B2C" w:rsidRPr="00C66550" w:rsidRDefault="00805B2C">
      <w:pPr>
        <w:spacing w:line="240" w:lineRule="auto"/>
        <w:rPr>
          <w:color w:val="auto"/>
        </w:rPr>
      </w:pPr>
    </w:p>
    <w:p w:rsidR="007D175C" w:rsidRPr="00C66550" w:rsidRDefault="007D175C" w:rsidP="006D25F9">
      <w:pPr>
        <w:pStyle w:val="Heading3"/>
      </w:pPr>
      <w:r w:rsidRPr="00C66550">
        <w:t>Embodied greenhouse gas in waste disposal to landfill</w:t>
      </w:r>
    </w:p>
    <w:p w:rsidR="007D175C" w:rsidRPr="00C66550" w:rsidRDefault="007D175C" w:rsidP="006B5486">
      <w:pPr>
        <w:pStyle w:val="BodyText"/>
      </w:pPr>
      <w:r w:rsidRPr="00C66550">
        <w:t>The manufacture of inorganic materials</w:t>
      </w:r>
      <w:r w:rsidR="00086795" w:rsidRPr="00C66550">
        <w:t xml:space="preserve"> (e.g. metals and plastics)</w:t>
      </w:r>
      <w:r w:rsidRPr="00C66550">
        <w:t xml:space="preserve"> involves the use of energy and emission of greenhouse gases. When those materials are subsequently landfilled, these ‘embodied emissions’ can be considered </w:t>
      </w:r>
      <w:r w:rsidR="000C4313" w:rsidRPr="00C66550">
        <w:t>lost</w:t>
      </w:r>
      <w:r w:rsidR="00805B2C" w:rsidRPr="00C66550">
        <w:t xml:space="preserve"> as </w:t>
      </w:r>
      <w:r w:rsidR="000C4313" w:rsidRPr="00C66550">
        <w:t>new virgin materials would need to be generated to replace them</w:t>
      </w:r>
      <w:r w:rsidRPr="00C66550">
        <w:t xml:space="preserve">. </w:t>
      </w:r>
      <w:fldSimple w:instr=" REF _Ref347947642 \h  \* MERGEFORMAT ">
        <w:r w:rsidR="00D96003" w:rsidRPr="00D96003">
          <w:rPr>
            <w:rFonts w:cs="Calibri"/>
            <w:szCs w:val="20"/>
          </w:rPr>
          <w:t xml:space="preserve">Figure </w:t>
        </w:r>
        <w:r w:rsidR="00D96003" w:rsidRPr="00D96003">
          <w:rPr>
            <w:rFonts w:cs="Calibri"/>
            <w:noProof/>
            <w:szCs w:val="20"/>
          </w:rPr>
          <w:t>49</w:t>
        </w:r>
      </w:fldSimple>
      <w:r w:rsidRPr="00C66550">
        <w:t xml:space="preserve"> illustrates the embodied emissions in four categories of inorganic wastes sent to landfill in Australia. The greatest loss of embodied emissions is shown to be plastic wastes. Note that the factors used to generate this chart are based on world-wide averages. The high carbon intensity of Australian energy production means that the true values are likely to be higher than those shown. </w:t>
      </w:r>
    </w:p>
    <w:p w:rsidR="00B76A75" w:rsidRPr="00C66550" w:rsidRDefault="00B76A75" w:rsidP="007D175C">
      <w:pPr>
        <w:spacing w:line="240" w:lineRule="auto"/>
        <w:rPr>
          <w:color w:val="080808"/>
          <w:spacing w:val="3"/>
          <w:sz w:val="22"/>
        </w:rPr>
      </w:pPr>
    </w:p>
    <w:p w:rsidR="007D175C" w:rsidRPr="00C66550" w:rsidRDefault="007D175C" w:rsidP="00FB4820">
      <w:pPr>
        <w:pStyle w:val="Figures"/>
      </w:pPr>
      <w:bookmarkStart w:id="276" w:name="_Ref347947642"/>
      <w:bookmarkStart w:id="277" w:name="_Toc347947963"/>
      <w:bookmarkStart w:id="278" w:name="_Toc365385058"/>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49</w:t>
      </w:r>
      <w:r w:rsidR="0062001A" w:rsidRPr="00C66550">
        <w:fldChar w:fldCharType="end"/>
      </w:r>
      <w:bookmarkEnd w:id="276"/>
      <w:r w:rsidRPr="00C66550">
        <w:t xml:space="preserve">: </w:t>
      </w:r>
      <w:r w:rsidRPr="00C66550">
        <w:tab/>
      </w:r>
      <w:bookmarkEnd w:id="277"/>
      <w:r w:rsidRPr="00C66550">
        <w:t>The ‘embodied greenhouse gas emissions’ of key wastes sent to landfill in Australia in 20</w:t>
      </w:r>
      <w:r w:rsidR="00952A97" w:rsidRPr="00C66550">
        <w:t>10</w:t>
      </w:r>
      <w:r w:rsidRPr="00C66550">
        <w:t>/1</w:t>
      </w:r>
      <w:r w:rsidR="00952A97" w:rsidRPr="00C66550">
        <w:t>1</w:t>
      </w:r>
      <w:bookmarkEnd w:id="278"/>
    </w:p>
    <w:p w:rsidR="007D175C" w:rsidRPr="00C66550" w:rsidRDefault="008618AC" w:rsidP="007D175C">
      <w:pPr>
        <w:spacing w:line="240" w:lineRule="auto"/>
        <w:rPr>
          <w:color w:val="080808"/>
          <w:spacing w:val="3"/>
          <w:sz w:val="22"/>
        </w:rPr>
      </w:pPr>
      <w:r w:rsidRPr="00C66550">
        <w:rPr>
          <w:noProof/>
          <w:lang w:eastAsia="en-AU"/>
        </w:rPr>
        <w:drawing>
          <wp:inline distT="0" distB="0" distL="0" distR="0">
            <wp:extent cx="5162550" cy="305928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5161905" cy="3058907"/>
                    </a:xfrm>
                    <a:prstGeom prst="rect">
                      <a:avLst/>
                    </a:prstGeom>
                  </pic:spPr>
                </pic:pic>
              </a:graphicData>
            </a:graphic>
          </wp:inline>
        </w:drawing>
      </w:r>
    </w:p>
    <w:p w:rsidR="007D175C" w:rsidRPr="00C548DF" w:rsidRDefault="007D175C" w:rsidP="007D175C">
      <w:pPr>
        <w:spacing w:before="80" w:line="240" w:lineRule="auto"/>
        <w:rPr>
          <w:rFonts w:cs="Arial"/>
          <w:i/>
          <w:color w:val="0000FF"/>
          <w:szCs w:val="20"/>
        </w:rPr>
      </w:pPr>
      <w:r w:rsidRPr="00C548DF">
        <w:rPr>
          <w:rFonts w:cs="Arial"/>
          <w:i/>
          <w:color w:val="0000FF"/>
          <w:szCs w:val="20"/>
        </w:rPr>
        <w:t>Source of factor data:</w:t>
      </w:r>
      <w:r w:rsidR="00FF12A8" w:rsidRPr="00C548DF">
        <w:rPr>
          <w:rFonts w:cs="Arial"/>
          <w:i/>
          <w:color w:val="0000FF"/>
          <w:szCs w:val="20"/>
        </w:rPr>
        <w:t xml:space="preserve"> </w:t>
      </w:r>
      <w:r w:rsidRPr="00C548DF">
        <w:rPr>
          <w:rFonts w:cs="Arial"/>
          <w:i/>
          <w:color w:val="0000FF"/>
          <w:szCs w:val="20"/>
        </w:rPr>
        <w:t>Hammond and Jones (2008)</w:t>
      </w:r>
    </w:p>
    <w:p w:rsidR="007D175C" w:rsidRPr="00C66550" w:rsidRDefault="007D175C" w:rsidP="007D175C">
      <w:pPr>
        <w:spacing w:line="240" w:lineRule="auto"/>
        <w:rPr>
          <w:color w:val="080808"/>
          <w:spacing w:val="3"/>
          <w:sz w:val="22"/>
        </w:rPr>
      </w:pPr>
    </w:p>
    <w:p w:rsidR="007D175C" w:rsidRPr="00C66550" w:rsidRDefault="007D175C" w:rsidP="007D175C">
      <w:pPr>
        <w:spacing w:line="240" w:lineRule="auto"/>
      </w:pPr>
    </w:p>
    <w:p w:rsidR="00B165FA" w:rsidRPr="00C66550" w:rsidRDefault="00B165FA" w:rsidP="00121BCA">
      <w:pPr>
        <w:pStyle w:val="BodyText"/>
        <w:sectPr w:rsidR="00B165FA" w:rsidRPr="00C66550" w:rsidSect="00384FBD">
          <w:headerReference w:type="default" r:id="rId142"/>
          <w:footerReference w:type="default" r:id="rId143"/>
          <w:pgSz w:w="11907" w:h="16840" w:code="9"/>
          <w:pgMar w:top="1701" w:right="1077" w:bottom="851" w:left="1474" w:header="709" w:footer="709" w:gutter="0"/>
          <w:cols w:space="708"/>
          <w:docGrid w:linePitch="360"/>
        </w:sectPr>
      </w:pPr>
    </w:p>
    <w:p w:rsidR="00B165FA" w:rsidRPr="00C66550" w:rsidRDefault="008011D2" w:rsidP="006D25F9">
      <w:pPr>
        <w:pStyle w:val="Heading1"/>
      </w:pPr>
      <w:bookmarkStart w:id="279" w:name="_Ref349778975"/>
      <w:bookmarkStart w:id="280" w:name="_Toc379466407"/>
      <w:r w:rsidRPr="00C66550">
        <w:lastRenderedPageBreak/>
        <w:t>W</w:t>
      </w:r>
      <w:r w:rsidR="00994900" w:rsidRPr="00C66550">
        <w:t>aste data collation definitions</w:t>
      </w:r>
      <w:bookmarkEnd w:id="279"/>
      <w:bookmarkEnd w:id="280"/>
      <w:r w:rsidR="00FF12A8" w:rsidRPr="00C66550">
        <w:t xml:space="preserve"> </w:t>
      </w:r>
    </w:p>
    <w:p w:rsidR="003F1522" w:rsidRPr="00C66550" w:rsidRDefault="000C4313" w:rsidP="003F1522">
      <w:pPr>
        <w:spacing w:line="240" w:lineRule="auto"/>
        <w:rPr>
          <w:color w:val="080808"/>
          <w:sz w:val="22"/>
        </w:rPr>
      </w:pPr>
      <w:r w:rsidRPr="00C66550">
        <w:rPr>
          <w:color w:val="080808"/>
          <w:sz w:val="22"/>
        </w:rPr>
        <w:t>S</w:t>
      </w:r>
      <w:r w:rsidR="005D2DCA" w:rsidRPr="00C66550">
        <w:rPr>
          <w:color w:val="080808"/>
          <w:sz w:val="22"/>
        </w:rPr>
        <w:t xml:space="preserve">everal definitions </w:t>
      </w:r>
      <w:r w:rsidRPr="00C66550">
        <w:rPr>
          <w:color w:val="080808"/>
          <w:sz w:val="22"/>
        </w:rPr>
        <w:t xml:space="preserve">that </w:t>
      </w:r>
      <w:r w:rsidR="005D2DCA" w:rsidRPr="00C66550">
        <w:rPr>
          <w:color w:val="080808"/>
          <w:sz w:val="22"/>
        </w:rPr>
        <w:t xml:space="preserve">inform the broad scope of </w:t>
      </w:r>
      <w:r w:rsidR="005E5CEF">
        <w:rPr>
          <w:color w:val="080808"/>
          <w:sz w:val="22"/>
        </w:rPr>
        <w:t>the data in this report</w:t>
      </w:r>
      <w:r w:rsidRPr="00C66550">
        <w:rPr>
          <w:color w:val="080808"/>
          <w:sz w:val="22"/>
        </w:rPr>
        <w:t xml:space="preserve"> are discu</w:t>
      </w:r>
      <w:r w:rsidR="003F1522" w:rsidRPr="00C66550">
        <w:rPr>
          <w:color w:val="080808"/>
          <w:sz w:val="22"/>
        </w:rPr>
        <w:t>ssed in this section</w:t>
      </w:r>
      <w:r w:rsidR="00AC2001" w:rsidRPr="00C66550">
        <w:rPr>
          <w:rStyle w:val="FootnoteReference"/>
          <w:color w:val="080808"/>
          <w:sz w:val="22"/>
        </w:rPr>
        <w:footnoteReference w:id="31"/>
      </w:r>
      <w:r w:rsidR="003F1522" w:rsidRPr="00C66550">
        <w:rPr>
          <w:color w:val="080808"/>
          <w:sz w:val="22"/>
        </w:rPr>
        <w:t xml:space="preserve">, including: </w:t>
      </w:r>
    </w:p>
    <w:p w:rsidR="003F1522" w:rsidRPr="00C66550" w:rsidRDefault="000C4313" w:rsidP="003F1522">
      <w:pPr>
        <w:pStyle w:val="Bullet1"/>
        <w:rPr>
          <w:color w:val="080808"/>
        </w:rPr>
      </w:pPr>
      <w:r w:rsidRPr="00C66550">
        <w:t>‘</w:t>
      </w:r>
      <w:r w:rsidR="003F1522" w:rsidRPr="00C66550">
        <w:t>m</w:t>
      </w:r>
      <w:r w:rsidR="0047006A" w:rsidRPr="00C66550">
        <w:t>aterials consumption</w:t>
      </w:r>
      <w:r w:rsidRPr="00C66550">
        <w:t>’</w:t>
      </w:r>
    </w:p>
    <w:p w:rsidR="003F1522" w:rsidRPr="00C66550" w:rsidRDefault="000C4313" w:rsidP="003F1522">
      <w:pPr>
        <w:pStyle w:val="Bullet1"/>
        <w:rPr>
          <w:color w:val="080808"/>
        </w:rPr>
      </w:pPr>
      <w:r w:rsidRPr="00C66550">
        <w:t>‘</w:t>
      </w:r>
      <w:r w:rsidR="003F1522" w:rsidRPr="00C66550">
        <w:t>w</w:t>
      </w:r>
      <w:r w:rsidR="0047006A" w:rsidRPr="00C66550">
        <w:t>aste</w:t>
      </w:r>
      <w:r w:rsidRPr="00C66550">
        <w:t>’</w:t>
      </w:r>
    </w:p>
    <w:p w:rsidR="003F1522" w:rsidRPr="00C66550" w:rsidRDefault="003F1522" w:rsidP="003F1522">
      <w:pPr>
        <w:pStyle w:val="Bullet1"/>
        <w:rPr>
          <w:color w:val="080808"/>
        </w:rPr>
      </w:pPr>
      <w:r w:rsidRPr="00C66550">
        <w:t xml:space="preserve">the levels </w:t>
      </w:r>
      <w:r w:rsidR="00B165FA" w:rsidRPr="00C66550">
        <w:t>of the</w:t>
      </w:r>
      <w:r w:rsidR="000C4313" w:rsidRPr="00C66550">
        <w:t xml:space="preserve"> waste</w:t>
      </w:r>
      <w:r w:rsidR="00B165FA" w:rsidRPr="00C66550">
        <w:t xml:space="preserve"> hierarchy</w:t>
      </w:r>
      <w:r w:rsidR="009D0E30" w:rsidRPr="00C66550">
        <w:t xml:space="preserve"> </w:t>
      </w:r>
      <w:r w:rsidRPr="00C66550">
        <w:t xml:space="preserve">(see </w:t>
      </w:r>
      <w:fldSimple w:instr=" REF _Ref355165965 \h  \* MERGEFORMAT ">
        <w:r w:rsidR="00D96003" w:rsidRPr="00C66550">
          <w:t xml:space="preserve">Figure </w:t>
        </w:r>
        <w:r w:rsidR="00D96003">
          <w:rPr>
            <w:noProof/>
          </w:rPr>
          <w:t>50</w:t>
        </w:r>
      </w:fldSimple>
      <w:r w:rsidRPr="00C66550">
        <w:t xml:space="preserve">) </w:t>
      </w:r>
      <w:r w:rsidR="009D0E30" w:rsidRPr="00C66550">
        <w:t>f</w:t>
      </w:r>
      <w:r w:rsidR="0047006A" w:rsidRPr="00C66550">
        <w:t xml:space="preserve">rom </w:t>
      </w:r>
      <w:r w:rsidRPr="00C66550">
        <w:t>‘</w:t>
      </w:r>
      <w:r w:rsidR="0047006A" w:rsidRPr="00C66550">
        <w:t>waste avoidance</w:t>
      </w:r>
      <w:r w:rsidRPr="00C66550">
        <w:t>’</w:t>
      </w:r>
      <w:r w:rsidR="0047006A" w:rsidRPr="00C66550">
        <w:t xml:space="preserve"> </w:t>
      </w:r>
      <w:r w:rsidRPr="00C66550">
        <w:t xml:space="preserve">through </w:t>
      </w:r>
      <w:r w:rsidR="0047006A" w:rsidRPr="00C66550">
        <w:t xml:space="preserve">to </w:t>
      </w:r>
      <w:r w:rsidRPr="00C66550">
        <w:t>‘</w:t>
      </w:r>
      <w:r w:rsidR="0047006A" w:rsidRPr="00C66550">
        <w:t>disposal</w:t>
      </w:r>
      <w:r w:rsidRPr="00C66550">
        <w:t>’</w:t>
      </w:r>
    </w:p>
    <w:p w:rsidR="003F1522" w:rsidRPr="00C66550" w:rsidRDefault="003F1522" w:rsidP="003F1522">
      <w:pPr>
        <w:pStyle w:val="Bullet1"/>
        <w:rPr>
          <w:color w:val="080808"/>
        </w:rPr>
      </w:pPr>
      <w:r w:rsidRPr="00C66550">
        <w:t>various oth</w:t>
      </w:r>
      <w:r w:rsidR="005E5CEF">
        <w:t>er definitions that underlie this</w:t>
      </w:r>
      <w:r w:rsidRPr="00C66550">
        <w:t xml:space="preserve"> data collation including ‘waste generation’, ‘resource recovery’, and ‘resource recovery rate’</w:t>
      </w:r>
      <w:r w:rsidR="007F194F" w:rsidRPr="00C66550">
        <w:t xml:space="preserve">. </w:t>
      </w:r>
    </w:p>
    <w:p w:rsidR="003F1522" w:rsidRPr="00C66550" w:rsidRDefault="003F1522" w:rsidP="003F1522">
      <w:pPr>
        <w:spacing w:line="240" w:lineRule="auto"/>
        <w:rPr>
          <w:color w:val="080808"/>
          <w:sz w:val="22"/>
        </w:rPr>
      </w:pPr>
    </w:p>
    <w:p w:rsidR="00BE7641" w:rsidRPr="00C66550" w:rsidRDefault="003F1522" w:rsidP="003F1522">
      <w:pPr>
        <w:spacing w:line="240" w:lineRule="auto"/>
        <w:rPr>
          <w:sz w:val="22"/>
        </w:rPr>
      </w:pPr>
      <w:r w:rsidRPr="00C66550">
        <w:rPr>
          <w:color w:val="080808"/>
          <w:sz w:val="22"/>
        </w:rPr>
        <w:t>T</w:t>
      </w:r>
      <w:r w:rsidR="007F194F" w:rsidRPr="00C66550">
        <w:rPr>
          <w:color w:val="080808"/>
          <w:sz w:val="22"/>
        </w:rPr>
        <w:t xml:space="preserve">he principle of managing waste according to the waste hierarchy is written into legislation or regulation in every jurisdiction in Australia and many waste policy targets and data collations are based on the various </w:t>
      </w:r>
      <w:r w:rsidR="00947E86" w:rsidRPr="00C66550">
        <w:rPr>
          <w:color w:val="080808"/>
          <w:sz w:val="22"/>
        </w:rPr>
        <w:t>levels</w:t>
      </w:r>
      <w:r w:rsidR="007F194F" w:rsidRPr="00C66550">
        <w:rPr>
          <w:color w:val="080808"/>
          <w:sz w:val="22"/>
        </w:rPr>
        <w:t xml:space="preserve"> of the hierarchy.</w:t>
      </w:r>
    </w:p>
    <w:p w:rsidR="009D0E30" w:rsidRPr="00C66550" w:rsidRDefault="009D0E30" w:rsidP="00B165FA">
      <w:pPr>
        <w:spacing w:line="240" w:lineRule="auto"/>
        <w:rPr>
          <w:color w:val="080808"/>
          <w:sz w:val="22"/>
        </w:rPr>
      </w:pPr>
    </w:p>
    <w:p w:rsidR="002144EC" w:rsidRPr="00C66550" w:rsidRDefault="002144EC" w:rsidP="00FB4820">
      <w:pPr>
        <w:pStyle w:val="Figures"/>
      </w:pPr>
      <w:bookmarkStart w:id="281" w:name="_Ref355165965"/>
      <w:bookmarkStart w:id="282" w:name="_Toc365385059"/>
      <w:r w:rsidRPr="00C66550">
        <w:t xml:space="preserve">Figure </w:t>
      </w:r>
      <w:r w:rsidR="0062001A" w:rsidRPr="00C66550">
        <w:fldChar w:fldCharType="begin"/>
      </w:r>
      <w:r w:rsidR="00C324A1" w:rsidRPr="00C66550">
        <w:instrText xml:space="preserve"> SEQ Figure \* ARABIC </w:instrText>
      </w:r>
      <w:r w:rsidR="0062001A" w:rsidRPr="00C66550">
        <w:fldChar w:fldCharType="separate"/>
      </w:r>
      <w:r w:rsidR="00D96003">
        <w:rPr>
          <w:noProof/>
        </w:rPr>
        <w:t>50</w:t>
      </w:r>
      <w:r w:rsidR="0062001A" w:rsidRPr="00C66550">
        <w:fldChar w:fldCharType="end"/>
      </w:r>
      <w:bookmarkEnd w:id="281"/>
      <w:r w:rsidRPr="00C66550">
        <w:t xml:space="preserve">: </w:t>
      </w:r>
      <w:r w:rsidRPr="00C66550">
        <w:tab/>
        <w:t>The waste hierarchy</w:t>
      </w:r>
      <w:bookmarkEnd w:id="282"/>
      <w:r w:rsidRPr="00C66550">
        <w:t xml:space="preserve"> </w:t>
      </w:r>
    </w:p>
    <w:p w:rsidR="002144EC" w:rsidRPr="00C66550" w:rsidRDefault="002144EC" w:rsidP="00B165FA">
      <w:pPr>
        <w:spacing w:line="240" w:lineRule="auto"/>
        <w:rPr>
          <w:color w:val="080808"/>
          <w:sz w:val="22"/>
        </w:rPr>
      </w:pPr>
    </w:p>
    <w:p w:rsidR="00B165FA" w:rsidRPr="00C66550" w:rsidRDefault="00B165FA" w:rsidP="0049102D">
      <w:pPr>
        <w:spacing w:line="240" w:lineRule="auto"/>
        <w:jc w:val="center"/>
        <w:rPr>
          <w:color w:val="080808"/>
          <w:sz w:val="22"/>
        </w:rPr>
      </w:pPr>
      <w:r w:rsidRPr="00C66550">
        <w:rPr>
          <w:noProof/>
          <w:color w:val="080808"/>
          <w:sz w:val="22"/>
          <w:lang w:eastAsia="en-AU"/>
        </w:rPr>
        <w:drawing>
          <wp:inline distT="0" distB="0" distL="0" distR="0">
            <wp:extent cx="4619296" cy="3068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hierarchy.vsd.emf"/>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25614" cy="3073017"/>
                    </a:xfrm>
                    <a:prstGeom prst="rect">
                      <a:avLst/>
                    </a:prstGeom>
                  </pic:spPr>
                </pic:pic>
              </a:graphicData>
            </a:graphic>
          </wp:inline>
        </w:drawing>
      </w:r>
    </w:p>
    <w:p w:rsidR="003F1522" w:rsidRPr="00C66550" w:rsidRDefault="003F1522">
      <w:pPr>
        <w:spacing w:line="240" w:lineRule="auto"/>
      </w:pPr>
    </w:p>
    <w:p w:rsidR="003F1522" w:rsidRPr="00C66550" w:rsidRDefault="003F1522">
      <w:pPr>
        <w:spacing w:line="240" w:lineRule="auto"/>
      </w:pPr>
    </w:p>
    <w:p w:rsidR="008011D2" w:rsidRPr="00C66550" w:rsidRDefault="008011D2" w:rsidP="006D25F9">
      <w:pPr>
        <w:pStyle w:val="Heading2"/>
      </w:pPr>
      <w:bookmarkStart w:id="283" w:name="_Toc379466408"/>
      <w:r w:rsidRPr="00C66550">
        <w:t>Materials consumption</w:t>
      </w:r>
      <w:bookmarkEnd w:id="283"/>
    </w:p>
    <w:p w:rsidR="008011D2" w:rsidRPr="00C66550" w:rsidRDefault="008011D2" w:rsidP="002E623C">
      <w:pPr>
        <w:spacing w:line="240" w:lineRule="auto"/>
      </w:pPr>
      <w:r w:rsidRPr="00C66550">
        <w:rPr>
          <w:color w:val="080808"/>
          <w:sz w:val="22"/>
        </w:rPr>
        <w:t xml:space="preserve">It is useful to consider and define the various stages of materials consumption to understand how </w:t>
      </w:r>
      <w:r w:rsidR="00C26EA4" w:rsidRPr="00C66550">
        <w:rPr>
          <w:color w:val="080808"/>
          <w:sz w:val="22"/>
        </w:rPr>
        <w:t xml:space="preserve">materials </w:t>
      </w:r>
      <w:r w:rsidRPr="00C66550">
        <w:rPr>
          <w:color w:val="080808"/>
          <w:sz w:val="22"/>
        </w:rPr>
        <w:t xml:space="preserve">recycling, energy recovery and disposal relate to material consumption. </w:t>
      </w:r>
      <w:r w:rsidR="00C26EA4" w:rsidRPr="00C66550">
        <w:t xml:space="preserve">Materials consumption, for the purposes of waste data accounting and collation, </w:t>
      </w:r>
      <w:r w:rsidRPr="00C66550">
        <w:t xml:space="preserve">typically involves the following </w:t>
      </w:r>
      <w:r w:rsidR="00C26EA4" w:rsidRPr="00C66550">
        <w:t xml:space="preserve">five </w:t>
      </w:r>
      <w:r w:rsidRPr="00C66550">
        <w:t>stages:</w:t>
      </w:r>
    </w:p>
    <w:p w:rsidR="008011D2" w:rsidRPr="00C66550" w:rsidRDefault="008011D2" w:rsidP="00944615">
      <w:pPr>
        <w:pStyle w:val="ListNumber"/>
        <w:numPr>
          <w:ilvl w:val="0"/>
          <w:numId w:val="17"/>
        </w:numPr>
      </w:pPr>
      <w:r w:rsidRPr="00C66550">
        <w:t>primary production of raw materials (mining) and livestock (agriculture)</w:t>
      </w:r>
    </w:p>
    <w:p w:rsidR="008011D2" w:rsidRPr="00C66550" w:rsidRDefault="008011D2" w:rsidP="001E46D8">
      <w:pPr>
        <w:pStyle w:val="ListNumber"/>
      </w:pPr>
      <w:r w:rsidRPr="00C66550">
        <w:t>raw material processing</w:t>
      </w:r>
    </w:p>
    <w:p w:rsidR="008011D2" w:rsidRPr="00C66550" w:rsidRDefault="008011D2" w:rsidP="001E46D8">
      <w:pPr>
        <w:pStyle w:val="ListNumber"/>
      </w:pPr>
      <w:r w:rsidRPr="00C66550">
        <w:t>manufacturing of products and materials</w:t>
      </w:r>
    </w:p>
    <w:p w:rsidR="008011D2" w:rsidRPr="00C66550" w:rsidRDefault="008011D2" w:rsidP="001E46D8">
      <w:pPr>
        <w:pStyle w:val="ListNumber"/>
      </w:pPr>
      <w:r w:rsidRPr="00C66550">
        <w:lastRenderedPageBreak/>
        <w:t>consumer use (consumption)</w:t>
      </w:r>
    </w:p>
    <w:p w:rsidR="008011D2" w:rsidRPr="00C66550" w:rsidRDefault="008011D2" w:rsidP="001E46D8">
      <w:pPr>
        <w:pStyle w:val="ListNumber"/>
      </w:pPr>
      <w:r w:rsidRPr="00C66550">
        <w:t>waste generation.</w:t>
      </w:r>
    </w:p>
    <w:p w:rsidR="001E46D8" w:rsidRPr="00C66550" w:rsidRDefault="001E46D8" w:rsidP="001E46D8">
      <w:pPr>
        <w:pStyle w:val="BodyText"/>
      </w:pPr>
    </w:p>
    <w:p w:rsidR="00C26EA4" w:rsidRPr="00C66550" w:rsidRDefault="00C26EA4" w:rsidP="00351C00">
      <w:pPr>
        <w:shd w:val="clear" w:color="auto" w:fill="CCECFF"/>
        <w:spacing w:line="240" w:lineRule="auto"/>
        <w:outlineLvl w:val="2"/>
        <w:rPr>
          <w:rStyle w:val="BodyTextChar"/>
        </w:rPr>
      </w:pPr>
      <w:r w:rsidRPr="00C66550">
        <w:rPr>
          <w:rStyle w:val="BodyTextChar"/>
          <w:b/>
        </w:rPr>
        <w:t>Materials consumption:</w:t>
      </w:r>
      <w:r w:rsidRPr="00C66550">
        <w:rPr>
          <w:rStyle w:val="BodyTextChar"/>
        </w:rPr>
        <w:t xml:space="preserve"> </w:t>
      </w:r>
      <w:r w:rsidR="003F1522" w:rsidRPr="00C66550">
        <w:rPr>
          <w:rStyle w:val="BodyTextChar"/>
        </w:rPr>
        <w:t>is</w:t>
      </w:r>
      <w:r w:rsidRPr="00C66550">
        <w:rPr>
          <w:rStyle w:val="BodyTextChar"/>
        </w:rPr>
        <w:t xml:space="preserve"> defined as the process of taking natural resources, converting them to materials for manufacturing and use by consumers, and the </w:t>
      </w:r>
      <w:r w:rsidR="001E46D8" w:rsidRPr="00C66550">
        <w:rPr>
          <w:rStyle w:val="BodyTextChar"/>
        </w:rPr>
        <w:t>generation of wastes (which are either recovered or disposed).</w:t>
      </w:r>
    </w:p>
    <w:p w:rsidR="00351C00" w:rsidRPr="00C66550" w:rsidRDefault="00351C00" w:rsidP="00351C00">
      <w:pPr>
        <w:pStyle w:val="BodyText"/>
      </w:pPr>
      <w:bookmarkStart w:id="284" w:name="_Ref349778425"/>
    </w:p>
    <w:p w:rsidR="001E46D8" w:rsidRPr="00C66550" w:rsidRDefault="001E46D8" w:rsidP="006D25F9">
      <w:pPr>
        <w:pStyle w:val="Heading2"/>
      </w:pPr>
      <w:bookmarkStart w:id="285" w:name="_Toc379466409"/>
      <w:r w:rsidRPr="00C66550">
        <w:t>Waste</w:t>
      </w:r>
      <w:bookmarkEnd w:id="284"/>
      <w:bookmarkEnd w:id="285"/>
    </w:p>
    <w:p w:rsidR="001E46D8" w:rsidRPr="00C66550" w:rsidRDefault="001E46D8" w:rsidP="001E46D8">
      <w:pPr>
        <w:spacing w:line="240" w:lineRule="auto"/>
        <w:rPr>
          <w:color w:val="080808"/>
          <w:sz w:val="22"/>
        </w:rPr>
      </w:pPr>
      <w:r w:rsidRPr="00C66550">
        <w:rPr>
          <w:color w:val="080808"/>
          <w:sz w:val="22"/>
        </w:rPr>
        <w:t>To enable solid waste data to be collated consistently and accurately it is important t</w:t>
      </w:r>
      <w:r w:rsidR="00AC2001" w:rsidRPr="00C66550">
        <w:rPr>
          <w:color w:val="080808"/>
          <w:sz w:val="22"/>
        </w:rPr>
        <w:t xml:space="preserve">o define (solid) waste </w:t>
      </w:r>
      <w:r w:rsidRPr="00C66550">
        <w:rPr>
          <w:color w:val="080808"/>
          <w:sz w:val="22"/>
        </w:rPr>
        <w:t>for the purposes of data collation.</w:t>
      </w:r>
      <w:r w:rsidR="00AC2001" w:rsidRPr="00C66550">
        <w:rPr>
          <w:color w:val="080808"/>
          <w:sz w:val="22"/>
        </w:rPr>
        <w:t xml:space="preserve"> </w:t>
      </w:r>
    </w:p>
    <w:p w:rsidR="006007E9" w:rsidRPr="00C66550" w:rsidRDefault="006007E9" w:rsidP="006007E9">
      <w:pPr>
        <w:pStyle w:val="Heading3"/>
      </w:pPr>
      <w:r w:rsidRPr="00C66550">
        <w:t>All waste</w:t>
      </w:r>
    </w:p>
    <w:p w:rsidR="001E46D8" w:rsidRPr="00C66550" w:rsidRDefault="006007E9" w:rsidP="001E46D8">
      <w:pPr>
        <w:spacing w:line="240" w:lineRule="auto"/>
        <w:rPr>
          <w:color w:val="080808"/>
          <w:sz w:val="22"/>
        </w:rPr>
      </w:pPr>
      <w:r w:rsidRPr="00C66550">
        <w:rPr>
          <w:color w:val="080808"/>
          <w:sz w:val="22"/>
        </w:rPr>
        <w:t>The Victorian</w:t>
      </w:r>
      <w:r w:rsidR="001E46D8" w:rsidRPr="00C66550">
        <w:rPr>
          <w:color w:val="080808"/>
          <w:sz w:val="22"/>
        </w:rPr>
        <w:t xml:space="preserve"> </w:t>
      </w:r>
      <w:r w:rsidR="001E46D8" w:rsidRPr="00C66550">
        <w:rPr>
          <w:i/>
          <w:color w:val="080808"/>
          <w:sz w:val="22"/>
        </w:rPr>
        <w:t xml:space="preserve">Environment Protection Act 1970 </w:t>
      </w:r>
      <w:r w:rsidRPr="00C66550">
        <w:rPr>
          <w:color w:val="080808"/>
          <w:sz w:val="22"/>
        </w:rPr>
        <w:t xml:space="preserve">defines waste using </w:t>
      </w:r>
      <w:r w:rsidR="001E46D8" w:rsidRPr="00C66550">
        <w:rPr>
          <w:color w:val="080808"/>
          <w:sz w:val="22"/>
        </w:rPr>
        <w:t>several criteria</w:t>
      </w:r>
      <w:r w:rsidRPr="00C66550">
        <w:rPr>
          <w:color w:val="080808"/>
          <w:sz w:val="22"/>
        </w:rPr>
        <w:t xml:space="preserve">. The </w:t>
      </w:r>
      <w:r w:rsidR="001E46D8" w:rsidRPr="00C66550">
        <w:rPr>
          <w:color w:val="080808"/>
          <w:sz w:val="22"/>
        </w:rPr>
        <w:t>most relevant for solid waste are:</w:t>
      </w:r>
    </w:p>
    <w:p w:rsidR="001E46D8" w:rsidRPr="00C66550" w:rsidRDefault="001E46D8" w:rsidP="00AC2001">
      <w:pPr>
        <w:spacing w:before="120" w:line="240" w:lineRule="auto"/>
        <w:ind w:left="567"/>
        <w:rPr>
          <w:i/>
          <w:color w:val="080808"/>
          <w:sz w:val="22"/>
        </w:rPr>
      </w:pPr>
      <w:r w:rsidRPr="00C66550">
        <w:rPr>
          <w:i/>
          <w:color w:val="080808"/>
          <w:sz w:val="22"/>
        </w:rPr>
        <w:t xml:space="preserve">“(b) any discarded, rejected, unwanted, surplus or abandoned matter; </w:t>
      </w:r>
    </w:p>
    <w:p w:rsidR="001E46D8" w:rsidRPr="00C66550" w:rsidRDefault="00E5424C" w:rsidP="00AC2001">
      <w:pPr>
        <w:spacing w:before="60" w:line="240" w:lineRule="auto"/>
        <w:ind w:left="567"/>
        <w:rPr>
          <w:i/>
          <w:color w:val="080808"/>
          <w:sz w:val="22"/>
        </w:rPr>
      </w:pPr>
      <w:r w:rsidRPr="00C66550">
        <w:rPr>
          <w:i/>
          <w:color w:val="080808"/>
          <w:sz w:val="22"/>
        </w:rPr>
        <w:t xml:space="preserve"> </w:t>
      </w:r>
      <w:r w:rsidR="001E46D8" w:rsidRPr="00C66550">
        <w:rPr>
          <w:i/>
          <w:color w:val="080808"/>
          <w:sz w:val="22"/>
        </w:rPr>
        <w:t>(c) any otherwise discarded, rejected, abandoned, unwanted or surplus matter intended for</w:t>
      </w:r>
    </w:p>
    <w:p w:rsidR="001E46D8" w:rsidRPr="00C66550" w:rsidRDefault="001E46D8" w:rsidP="002E623C">
      <w:pPr>
        <w:spacing w:line="240" w:lineRule="auto"/>
        <w:ind w:left="1440"/>
        <w:rPr>
          <w:i/>
          <w:color w:val="080808"/>
          <w:sz w:val="22"/>
        </w:rPr>
      </w:pPr>
      <w:r w:rsidRPr="00C66550">
        <w:rPr>
          <w:i/>
          <w:color w:val="080808"/>
          <w:sz w:val="22"/>
        </w:rPr>
        <w:t>i) recycling, reprocessing, recovery or purification by a separate operation from that which produced the matter;</w:t>
      </w:r>
    </w:p>
    <w:p w:rsidR="001E46D8" w:rsidRPr="00C66550" w:rsidRDefault="001E46D8" w:rsidP="002E623C">
      <w:pPr>
        <w:spacing w:line="240" w:lineRule="auto"/>
        <w:ind w:left="720" w:firstLine="720"/>
        <w:rPr>
          <w:color w:val="080808"/>
          <w:sz w:val="22"/>
        </w:rPr>
      </w:pPr>
      <w:r w:rsidRPr="00C66550">
        <w:rPr>
          <w:i/>
          <w:color w:val="080808"/>
          <w:sz w:val="22"/>
        </w:rPr>
        <w:t>ii) sale”</w:t>
      </w:r>
    </w:p>
    <w:p w:rsidR="00AC2001" w:rsidRPr="00C66550" w:rsidRDefault="00AC2001" w:rsidP="001E46D8">
      <w:pPr>
        <w:spacing w:line="240" w:lineRule="auto"/>
        <w:rPr>
          <w:color w:val="080808"/>
          <w:sz w:val="22"/>
        </w:rPr>
      </w:pPr>
    </w:p>
    <w:p w:rsidR="001E46D8" w:rsidRPr="00C66550" w:rsidRDefault="001E46D8" w:rsidP="001E46D8">
      <w:pPr>
        <w:spacing w:line="240" w:lineRule="auto"/>
        <w:rPr>
          <w:color w:val="080808"/>
          <w:sz w:val="22"/>
        </w:rPr>
      </w:pPr>
      <w:r w:rsidRPr="00C66550">
        <w:rPr>
          <w:color w:val="080808"/>
          <w:sz w:val="22"/>
        </w:rPr>
        <w:t xml:space="preserve">The NSW </w:t>
      </w:r>
      <w:r w:rsidRPr="00C66550">
        <w:rPr>
          <w:i/>
          <w:color w:val="080808"/>
          <w:sz w:val="22"/>
        </w:rPr>
        <w:t>Protection of the Environment Operations Act 1997</w:t>
      </w:r>
      <w:r w:rsidRPr="00C66550">
        <w:rPr>
          <w:color w:val="080808"/>
          <w:sz w:val="22"/>
        </w:rPr>
        <w:t xml:space="preserve"> defines wastes in several ways. The most relevant are:</w:t>
      </w:r>
    </w:p>
    <w:p w:rsidR="001E46D8" w:rsidRPr="00C66550" w:rsidRDefault="001E46D8" w:rsidP="00AC2001">
      <w:pPr>
        <w:spacing w:before="120" w:line="240" w:lineRule="auto"/>
        <w:ind w:left="567" w:right="567"/>
        <w:rPr>
          <w:i/>
          <w:color w:val="080808"/>
          <w:sz w:val="22"/>
        </w:rPr>
      </w:pPr>
      <w:r w:rsidRPr="00C66550">
        <w:rPr>
          <w:i/>
          <w:color w:val="080808"/>
          <w:sz w:val="22"/>
        </w:rPr>
        <w:t>“a)</w:t>
      </w:r>
      <w:r w:rsidR="00E5424C" w:rsidRPr="00C66550">
        <w:rPr>
          <w:i/>
          <w:color w:val="080808"/>
          <w:sz w:val="22"/>
        </w:rPr>
        <w:t xml:space="preserve"> </w:t>
      </w:r>
      <w:r w:rsidRPr="00C66550">
        <w:rPr>
          <w:i/>
          <w:color w:val="080808"/>
          <w:sz w:val="22"/>
        </w:rPr>
        <w:t>any discarded, rejected, unwanted, surplus or abandoned substance, or</w:t>
      </w:r>
    </w:p>
    <w:p w:rsidR="001E46D8" w:rsidRPr="00C66550" w:rsidRDefault="00E5424C" w:rsidP="001E46D8">
      <w:pPr>
        <w:spacing w:before="60" w:line="240" w:lineRule="auto"/>
        <w:ind w:left="567" w:right="567"/>
        <w:rPr>
          <w:i/>
          <w:color w:val="080808"/>
          <w:sz w:val="22"/>
        </w:rPr>
      </w:pPr>
      <w:r w:rsidRPr="00C66550">
        <w:rPr>
          <w:i/>
          <w:color w:val="080808"/>
          <w:sz w:val="22"/>
        </w:rPr>
        <w:t xml:space="preserve"> </w:t>
      </w:r>
      <w:r w:rsidR="001E46D8" w:rsidRPr="00C66550">
        <w:rPr>
          <w:i/>
          <w:color w:val="080808"/>
          <w:sz w:val="22"/>
        </w:rPr>
        <w:t>b) any otherwise discarded, rejected, unwanted, surplus or abandoned substance</w:t>
      </w:r>
      <w:r w:rsidR="001E46D8" w:rsidRPr="00C66550">
        <w:rPr>
          <w:i/>
          <w:color w:val="080808"/>
          <w:sz w:val="22"/>
        </w:rPr>
        <w:br/>
      </w:r>
      <w:r w:rsidRPr="00C66550">
        <w:rPr>
          <w:i/>
          <w:color w:val="080808"/>
          <w:sz w:val="22"/>
        </w:rPr>
        <w:t xml:space="preserve">   </w:t>
      </w:r>
      <w:r w:rsidR="001E46D8" w:rsidRPr="00C66550">
        <w:rPr>
          <w:i/>
          <w:color w:val="080808"/>
          <w:sz w:val="22"/>
        </w:rPr>
        <w:t xml:space="preserve"> intended for sale or for recycling, processing, recovery or purification by a separate</w:t>
      </w:r>
      <w:r w:rsidR="001E46D8" w:rsidRPr="00C66550">
        <w:rPr>
          <w:i/>
          <w:color w:val="080808"/>
          <w:sz w:val="22"/>
        </w:rPr>
        <w:br/>
      </w:r>
      <w:r w:rsidRPr="00C66550">
        <w:rPr>
          <w:i/>
          <w:color w:val="080808"/>
          <w:sz w:val="22"/>
        </w:rPr>
        <w:t xml:space="preserve">   </w:t>
      </w:r>
      <w:r w:rsidR="001E46D8" w:rsidRPr="00C66550">
        <w:rPr>
          <w:i/>
          <w:color w:val="080808"/>
          <w:sz w:val="22"/>
        </w:rPr>
        <w:t xml:space="preserve"> operation from that which produced the substance, or </w:t>
      </w:r>
    </w:p>
    <w:p w:rsidR="001E46D8" w:rsidRPr="00C66550" w:rsidRDefault="00E5424C" w:rsidP="001E46D8">
      <w:pPr>
        <w:spacing w:before="60" w:line="240" w:lineRule="auto"/>
        <w:ind w:left="567" w:right="567"/>
        <w:rPr>
          <w:color w:val="080808"/>
          <w:sz w:val="22"/>
        </w:rPr>
      </w:pPr>
      <w:r w:rsidRPr="00C66550">
        <w:rPr>
          <w:i/>
          <w:color w:val="080808"/>
          <w:sz w:val="22"/>
        </w:rPr>
        <w:t xml:space="preserve"> </w:t>
      </w:r>
      <w:r w:rsidR="001E46D8" w:rsidRPr="00C66550">
        <w:rPr>
          <w:i/>
          <w:color w:val="080808"/>
          <w:sz w:val="22"/>
        </w:rPr>
        <w:t>c) any processed, recycled, reused or recovered substance produced wholly or partly from</w:t>
      </w:r>
      <w:r w:rsidR="001E46D8" w:rsidRPr="00C66550">
        <w:rPr>
          <w:i/>
          <w:color w:val="080808"/>
          <w:sz w:val="22"/>
        </w:rPr>
        <w:br/>
      </w:r>
      <w:r w:rsidRPr="00C66550">
        <w:rPr>
          <w:i/>
          <w:color w:val="080808"/>
          <w:sz w:val="22"/>
        </w:rPr>
        <w:t xml:space="preserve">   </w:t>
      </w:r>
      <w:r w:rsidR="001E46D8" w:rsidRPr="00C66550">
        <w:rPr>
          <w:i/>
          <w:color w:val="080808"/>
          <w:sz w:val="22"/>
        </w:rPr>
        <w:t>waste that is applied to land, or used as fuel, but only in the circumstances prescribed</w:t>
      </w:r>
      <w:r w:rsidR="001E46D8" w:rsidRPr="00C66550">
        <w:rPr>
          <w:i/>
          <w:color w:val="080808"/>
          <w:sz w:val="22"/>
        </w:rPr>
        <w:br/>
      </w:r>
      <w:r w:rsidRPr="00C66550">
        <w:rPr>
          <w:i/>
          <w:color w:val="080808"/>
          <w:sz w:val="22"/>
        </w:rPr>
        <w:t xml:space="preserve">   </w:t>
      </w:r>
      <w:r w:rsidR="001E46D8" w:rsidRPr="00C66550">
        <w:rPr>
          <w:i/>
          <w:color w:val="080808"/>
          <w:sz w:val="22"/>
        </w:rPr>
        <w:t>by the regulations…”</w:t>
      </w:r>
    </w:p>
    <w:p w:rsidR="001E46D8" w:rsidRPr="00C66550" w:rsidRDefault="001E46D8" w:rsidP="001E46D8">
      <w:pPr>
        <w:spacing w:line="240" w:lineRule="auto"/>
        <w:ind w:left="567" w:right="567"/>
        <w:rPr>
          <w:color w:val="080808"/>
          <w:sz w:val="22"/>
        </w:rPr>
      </w:pPr>
    </w:p>
    <w:p w:rsidR="001E46D8" w:rsidRPr="00C66550" w:rsidRDefault="001E46D8" w:rsidP="001E46D8">
      <w:pPr>
        <w:spacing w:line="240" w:lineRule="auto"/>
        <w:rPr>
          <w:color w:val="080808"/>
          <w:sz w:val="22"/>
        </w:rPr>
      </w:pPr>
      <w:r w:rsidRPr="00C66550">
        <w:rPr>
          <w:color w:val="080808"/>
          <w:sz w:val="22"/>
        </w:rPr>
        <w:t>The NSW Act also states that:</w:t>
      </w:r>
    </w:p>
    <w:p w:rsidR="001E46D8" w:rsidRPr="00C66550" w:rsidRDefault="001E46D8" w:rsidP="00AC2001">
      <w:pPr>
        <w:spacing w:before="120" w:line="240" w:lineRule="auto"/>
        <w:ind w:left="567" w:right="567"/>
        <w:rPr>
          <w:i/>
          <w:color w:val="080808"/>
          <w:sz w:val="22"/>
        </w:rPr>
      </w:pPr>
      <w:r w:rsidRPr="00C66550">
        <w:rPr>
          <w:i/>
          <w:color w:val="080808"/>
          <w:sz w:val="22"/>
        </w:rPr>
        <w:t>“A substance is not precluded from being waste for the purposes of this Act merely because it is or may be processed, recycled, reused or recovered”.</w:t>
      </w:r>
    </w:p>
    <w:p w:rsidR="001E46D8" w:rsidRPr="00C66550" w:rsidRDefault="001E46D8" w:rsidP="001E46D8">
      <w:pPr>
        <w:spacing w:line="240" w:lineRule="auto"/>
        <w:rPr>
          <w:color w:val="080808"/>
          <w:sz w:val="22"/>
        </w:rPr>
      </w:pPr>
    </w:p>
    <w:p w:rsidR="001E46D8" w:rsidRPr="00C66550" w:rsidRDefault="001E46D8" w:rsidP="001E46D8">
      <w:pPr>
        <w:spacing w:line="240" w:lineRule="auto"/>
        <w:rPr>
          <w:color w:val="080808"/>
          <w:sz w:val="22"/>
        </w:rPr>
      </w:pPr>
      <w:r w:rsidRPr="00C66550">
        <w:rPr>
          <w:color w:val="080808"/>
          <w:sz w:val="22"/>
        </w:rPr>
        <w:t xml:space="preserve">The </w:t>
      </w:r>
      <w:r w:rsidRPr="00C66550">
        <w:rPr>
          <w:i/>
          <w:color w:val="080808"/>
          <w:sz w:val="22"/>
        </w:rPr>
        <w:t xml:space="preserve">National Waste Report </w:t>
      </w:r>
      <w:r w:rsidRPr="00C66550">
        <w:rPr>
          <w:color w:val="080808"/>
          <w:sz w:val="22"/>
        </w:rPr>
        <w:t xml:space="preserve">(2010), published by the Standing Council on Environment and Water includes the following definition of waste: </w:t>
      </w:r>
    </w:p>
    <w:p w:rsidR="001E46D8" w:rsidRPr="00C66550" w:rsidRDefault="001E46D8" w:rsidP="00AC2001">
      <w:pPr>
        <w:spacing w:before="120" w:line="240" w:lineRule="auto"/>
        <w:ind w:left="567" w:right="567"/>
        <w:rPr>
          <w:i/>
          <w:color w:val="080808"/>
          <w:sz w:val="22"/>
        </w:rPr>
      </w:pPr>
      <w:r w:rsidRPr="00C66550">
        <w:rPr>
          <w:i/>
          <w:color w:val="080808"/>
          <w:sz w:val="22"/>
        </w:rPr>
        <w:t xml:space="preserve">“... discarded, rejected, unwanted, surplus or abandoned matter intended for recycling, re–processing, recovery, reuse, or purification by a separate operation from that which produced the matter, or for sale, whether of any value or not”. </w:t>
      </w:r>
    </w:p>
    <w:p w:rsidR="001E46D8" w:rsidRPr="00C66550" w:rsidRDefault="001E46D8" w:rsidP="001E46D8">
      <w:pPr>
        <w:spacing w:line="240" w:lineRule="auto"/>
        <w:rPr>
          <w:color w:val="080808"/>
          <w:sz w:val="22"/>
        </w:rPr>
      </w:pPr>
    </w:p>
    <w:p w:rsidR="001E46D8" w:rsidRPr="00C66550" w:rsidRDefault="001E46D8" w:rsidP="001E46D8">
      <w:pPr>
        <w:spacing w:line="240" w:lineRule="auto"/>
        <w:rPr>
          <w:color w:val="080808"/>
          <w:sz w:val="22"/>
        </w:rPr>
      </w:pPr>
      <w:r w:rsidRPr="00C66550">
        <w:rPr>
          <w:color w:val="080808"/>
          <w:sz w:val="22"/>
        </w:rPr>
        <w:t xml:space="preserve">In the European Union (EU) under the </w:t>
      </w:r>
      <w:r w:rsidRPr="00C66550">
        <w:rPr>
          <w:i/>
          <w:color w:val="080808"/>
          <w:sz w:val="22"/>
        </w:rPr>
        <w:t>Waste Framework Directive European Directive 2008/98/EC</w:t>
      </w:r>
      <w:r w:rsidRPr="00C66550">
        <w:rPr>
          <w:color w:val="080808"/>
          <w:sz w:val="22"/>
        </w:rPr>
        <w:t>, waste is defined as:</w:t>
      </w:r>
    </w:p>
    <w:p w:rsidR="001E46D8" w:rsidRPr="00C66550" w:rsidRDefault="001E46D8" w:rsidP="00AC2001">
      <w:pPr>
        <w:spacing w:before="120" w:line="240" w:lineRule="auto"/>
        <w:ind w:left="567" w:right="567"/>
        <w:rPr>
          <w:i/>
          <w:color w:val="080808"/>
          <w:sz w:val="22"/>
        </w:rPr>
      </w:pPr>
      <w:r w:rsidRPr="00C66550">
        <w:rPr>
          <w:i/>
          <w:color w:val="080808"/>
          <w:sz w:val="22"/>
        </w:rPr>
        <w:t xml:space="preserve">“an object the holder discards, intends to discard or is required to discard”. </w:t>
      </w:r>
    </w:p>
    <w:p w:rsidR="001E46D8" w:rsidRPr="00C66550" w:rsidRDefault="001E46D8" w:rsidP="001E46D8">
      <w:pPr>
        <w:spacing w:line="240" w:lineRule="auto"/>
        <w:rPr>
          <w:color w:val="080808"/>
          <w:sz w:val="22"/>
        </w:rPr>
      </w:pPr>
    </w:p>
    <w:p w:rsidR="001E46D8" w:rsidRPr="00C66550" w:rsidRDefault="001E46D8" w:rsidP="001E46D8">
      <w:pPr>
        <w:spacing w:line="240" w:lineRule="auto"/>
        <w:rPr>
          <w:color w:val="080808"/>
          <w:sz w:val="22"/>
        </w:rPr>
      </w:pPr>
      <w:r w:rsidRPr="00C66550">
        <w:rPr>
          <w:color w:val="080808"/>
          <w:sz w:val="22"/>
        </w:rPr>
        <w:t>The EU definition is illustrated below.</w:t>
      </w:r>
    </w:p>
    <w:p w:rsidR="001E46D8" w:rsidRPr="00C66550" w:rsidRDefault="001E46D8" w:rsidP="001E46D8">
      <w:pPr>
        <w:pStyle w:val="BodyText"/>
      </w:pPr>
    </w:p>
    <w:p w:rsidR="001E46D8" w:rsidRPr="00C66550" w:rsidRDefault="001E46D8" w:rsidP="00FB4820">
      <w:pPr>
        <w:pStyle w:val="Figures"/>
      </w:pPr>
      <w:bookmarkStart w:id="286" w:name="_Ref355206103"/>
      <w:bookmarkStart w:id="287" w:name="_Toc365385060"/>
      <w:r w:rsidRPr="00C66550">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51</w:t>
      </w:r>
      <w:r w:rsidR="0062001A" w:rsidRPr="00C66550">
        <w:fldChar w:fldCharType="end"/>
      </w:r>
      <w:bookmarkEnd w:id="286"/>
      <w:r w:rsidRPr="00C66550">
        <w:t>:</w:t>
      </w:r>
      <w:r w:rsidRPr="00C66550">
        <w:tab/>
        <w:t>EU illustration of the definition of waste</w:t>
      </w:r>
      <w:bookmarkEnd w:id="287"/>
    </w:p>
    <w:p w:rsidR="001E46D8" w:rsidRPr="00C66550" w:rsidRDefault="001E46D8" w:rsidP="001E46D8">
      <w:pPr>
        <w:spacing w:before="80" w:line="240" w:lineRule="auto"/>
      </w:pPr>
      <w:r w:rsidRPr="00C66550">
        <w:rPr>
          <w:noProof/>
          <w:color w:val="080808"/>
          <w:lang w:eastAsia="en-AU"/>
        </w:rPr>
        <w:drawing>
          <wp:anchor distT="0" distB="0" distL="114300" distR="114300" simplePos="0" relativeHeight="251799552" behindDoc="0" locked="0" layoutInCell="1" allowOverlap="1">
            <wp:simplePos x="0" y="0"/>
            <wp:positionH relativeFrom="column">
              <wp:posOffset>892175</wp:posOffset>
            </wp:positionH>
            <wp:positionV relativeFrom="paragraph">
              <wp:posOffset>19685</wp:posOffset>
            </wp:positionV>
            <wp:extent cx="4177665" cy="3366770"/>
            <wp:effectExtent l="0" t="0" r="0" b="5080"/>
            <wp:wrapSquare wrapText="bothSides"/>
            <wp:docPr id="17" name="Picture 17" descr="European_legal_definition_of_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_legal_definition_of_waste"/>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7665" cy="3366770"/>
                    </a:xfrm>
                    <a:prstGeom prst="rect">
                      <a:avLst/>
                    </a:prstGeom>
                    <a:noFill/>
                    <a:ln>
                      <a:noFill/>
                    </a:ln>
                  </pic:spPr>
                </pic:pic>
              </a:graphicData>
            </a:graphic>
          </wp:anchor>
        </w:drawing>
      </w:r>
      <w:r w:rsidRPr="00C66550">
        <w:t xml:space="preserve"> </w:t>
      </w: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before="80" w:line="240" w:lineRule="auto"/>
      </w:pPr>
    </w:p>
    <w:p w:rsidR="001E46D8" w:rsidRPr="00C66550" w:rsidRDefault="001E46D8" w:rsidP="001E46D8">
      <w:pPr>
        <w:spacing w:line="240" w:lineRule="auto"/>
        <w:rPr>
          <w:rFonts w:cs="Arial"/>
          <w:i/>
          <w:color w:val="0000FF"/>
          <w:sz w:val="22"/>
          <w:szCs w:val="20"/>
        </w:rPr>
      </w:pPr>
    </w:p>
    <w:p w:rsidR="001E46D8" w:rsidRPr="00C66550" w:rsidRDefault="001E46D8" w:rsidP="001E46D8">
      <w:pPr>
        <w:spacing w:line="240" w:lineRule="auto"/>
        <w:rPr>
          <w:rFonts w:cs="Arial"/>
          <w:i/>
          <w:color w:val="0000FF"/>
          <w:sz w:val="22"/>
          <w:szCs w:val="20"/>
        </w:rPr>
      </w:pPr>
    </w:p>
    <w:p w:rsidR="001E46D8" w:rsidRPr="00C66550" w:rsidRDefault="001E46D8" w:rsidP="001E46D8">
      <w:pPr>
        <w:spacing w:line="240" w:lineRule="auto"/>
        <w:rPr>
          <w:rFonts w:cs="Arial"/>
          <w:i/>
          <w:color w:val="0000FF"/>
          <w:sz w:val="22"/>
          <w:szCs w:val="20"/>
        </w:rPr>
      </w:pPr>
    </w:p>
    <w:p w:rsidR="001E46D8" w:rsidRPr="00C66550" w:rsidRDefault="001E46D8" w:rsidP="001E46D8">
      <w:pPr>
        <w:spacing w:line="240" w:lineRule="auto"/>
        <w:rPr>
          <w:rFonts w:cs="Arial"/>
          <w:i/>
          <w:color w:val="0000FF"/>
          <w:sz w:val="22"/>
          <w:szCs w:val="20"/>
        </w:rPr>
      </w:pPr>
    </w:p>
    <w:p w:rsidR="001E46D8" w:rsidRPr="00C66550" w:rsidRDefault="001E46D8" w:rsidP="001E46D8">
      <w:pPr>
        <w:spacing w:line="240" w:lineRule="auto"/>
        <w:rPr>
          <w:rFonts w:cs="Arial"/>
          <w:i/>
          <w:color w:val="0000FF"/>
          <w:sz w:val="22"/>
          <w:szCs w:val="20"/>
        </w:rPr>
      </w:pPr>
    </w:p>
    <w:p w:rsidR="001E46D8" w:rsidRPr="00C66550" w:rsidRDefault="001E46D8" w:rsidP="001E46D8">
      <w:pPr>
        <w:spacing w:line="240" w:lineRule="auto"/>
        <w:rPr>
          <w:rFonts w:cs="Arial"/>
          <w:i/>
          <w:color w:val="0000FF"/>
          <w:sz w:val="22"/>
          <w:szCs w:val="20"/>
        </w:rPr>
      </w:pPr>
    </w:p>
    <w:p w:rsidR="001E46D8" w:rsidRPr="00C66550" w:rsidRDefault="001E46D8" w:rsidP="001E46D8">
      <w:pPr>
        <w:spacing w:line="240" w:lineRule="auto"/>
        <w:rPr>
          <w:rFonts w:cs="Arial"/>
          <w:i/>
          <w:color w:val="0000FF"/>
          <w:sz w:val="22"/>
          <w:szCs w:val="20"/>
        </w:rPr>
      </w:pPr>
    </w:p>
    <w:p w:rsidR="001E46D8" w:rsidRPr="00C548DF" w:rsidRDefault="001E46D8" w:rsidP="001E46D8">
      <w:pPr>
        <w:spacing w:line="240" w:lineRule="auto"/>
        <w:rPr>
          <w:rFonts w:cs="Arial"/>
          <w:i/>
          <w:color w:val="0000FF"/>
          <w:szCs w:val="20"/>
        </w:rPr>
      </w:pPr>
      <w:r w:rsidRPr="00C548DF">
        <w:rPr>
          <w:rFonts w:cs="Arial"/>
          <w:i/>
          <w:color w:val="0000FF"/>
          <w:szCs w:val="20"/>
        </w:rPr>
        <w:t>Source: Waste Framework Directive European Directive 2008/98/EC</w:t>
      </w:r>
    </w:p>
    <w:p w:rsidR="001E46D8" w:rsidRPr="00C66550" w:rsidRDefault="001E46D8" w:rsidP="001E46D8">
      <w:pPr>
        <w:spacing w:line="240" w:lineRule="auto"/>
        <w:jc w:val="center"/>
        <w:rPr>
          <w:color w:val="080808"/>
          <w:sz w:val="22"/>
        </w:rPr>
      </w:pPr>
    </w:p>
    <w:p w:rsidR="001E46D8" w:rsidRPr="00C66550" w:rsidRDefault="00AC2001" w:rsidP="001E46D8">
      <w:pPr>
        <w:spacing w:line="240" w:lineRule="auto"/>
        <w:rPr>
          <w:color w:val="080808"/>
          <w:sz w:val="22"/>
        </w:rPr>
      </w:pPr>
      <w:r w:rsidRPr="00C66550">
        <w:rPr>
          <w:color w:val="080808"/>
          <w:sz w:val="22"/>
        </w:rPr>
        <w:t>The</w:t>
      </w:r>
      <w:r w:rsidR="001E46D8" w:rsidRPr="00C66550">
        <w:rPr>
          <w:color w:val="080808"/>
          <w:sz w:val="22"/>
        </w:rPr>
        <w:t xml:space="preserve"> definitions discussed above do not </w:t>
      </w:r>
      <w:r w:rsidRPr="00C66550">
        <w:rPr>
          <w:color w:val="080808"/>
          <w:sz w:val="22"/>
        </w:rPr>
        <w:t>characterise</w:t>
      </w:r>
      <w:r w:rsidR="001E46D8" w:rsidRPr="00C66550">
        <w:rPr>
          <w:color w:val="080808"/>
          <w:sz w:val="22"/>
        </w:rPr>
        <w:t xml:space="preserve"> waste </w:t>
      </w:r>
      <w:r w:rsidRPr="00C66550">
        <w:rPr>
          <w:color w:val="080808"/>
          <w:sz w:val="22"/>
        </w:rPr>
        <w:t>with reference to</w:t>
      </w:r>
      <w:r w:rsidR="001E46D8" w:rsidRPr="00C66550">
        <w:rPr>
          <w:color w:val="080808"/>
          <w:sz w:val="22"/>
        </w:rPr>
        <w:t xml:space="preserve"> its perceived monetary value at the point in time that the waste is generated. Most </w:t>
      </w:r>
      <w:r w:rsidRPr="00C66550">
        <w:rPr>
          <w:color w:val="080808"/>
          <w:sz w:val="22"/>
        </w:rPr>
        <w:t>emphasise</w:t>
      </w:r>
      <w:r w:rsidR="001E46D8" w:rsidRPr="00C66550">
        <w:rPr>
          <w:color w:val="080808"/>
          <w:sz w:val="22"/>
        </w:rPr>
        <w:t xml:space="preserve"> the behaviour or actions of the consumer as </w:t>
      </w:r>
      <w:r w:rsidRPr="00C66550">
        <w:rPr>
          <w:color w:val="080808"/>
          <w:sz w:val="22"/>
        </w:rPr>
        <w:t>much as</w:t>
      </w:r>
      <w:r w:rsidR="001E46D8" w:rsidRPr="00C66550">
        <w:rPr>
          <w:color w:val="080808"/>
          <w:sz w:val="22"/>
        </w:rPr>
        <w:t xml:space="preserve"> the waste material.</w:t>
      </w:r>
    </w:p>
    <w:p w:rsidR="001E46D8" w:rsidRPr="00C66550" w:rsidRDefault="001E46D8" w:rsidP="001E46D8">
      <w:pPr>
        <w:spacing w:line="240" w:lineRule="auto"/>
        <w:rPr>
          <w:color w:val="080808"/>
          <w:sz w:val="22"/>
        </w:rPr>
      </w:pPr>
    </w:p>
    <w:p w:rsidR="001E46D8" w:rsidRPr="00C66550" w:rsidRDefault="00420F5C" w:rsidP="001E46D8">
      <w:pPr>
        <w:spacing w:line="240" w:lineRule="auto"/>
        <w:rPr>
          <w:color w:val="080808"/>
          <w:sz w:val="22"/>
        </w:rPr>
      </w:pPr>
      <w:r w:rsidRPr="00C66550">
        <w:rPr>
          <w:color w:val="080808"/>
          <w:sz w:val="22"/>
        </w:rPr>
        <w:t>In</w:t>
      </w:r>
      <w:r w:rsidR="001E46D8" w:rsidRPr="00C66550">
        <w:rPr>
          <w:color w:val="080808"/>
          <w:sz w:val="22"/>
        </w:rPr>
        <w:t xml:space="preserve"> </w:t>
      </w:r>
      <w:r w:rsidR="001E46D8" w:rsidRPr="00C66550">
        <w:rPr>
          <w:i/>
          <w:color w:val="080808"/>
          <w:sz w:val="22"/>
        </w:rPr>
        <w:t>Waste and Recycling in Australia 2011</w:t>
      </w:r>
      <w:r w:rsidRPr="00C66550">
        <w:rPr>
          <w:color w:val="080808"/>
          <w:sz w:val="22"/>
        </w:rPr>
        <w:t>, the Commonwealth Government took the following position in establishing</w:t>
      </w:r>
      <w:r w:rsidR="001E46D8" w:rsidRPr="00C66550">
        <w:rPr>
          <w:color w:val="080808"/>
          <w:sz w:val="22"/>
        </w:rPr>
        <w:t xml:space="preserve"> the scope of what should be included in waste data reporting: </w:t>
      </w:r>
    </w:p>
    <w:p w:rsidR="001E46D8" w:rsidRPr="00C66550" w:rsidRDefault="001E46D8" w:rsidP="00AC2001">
      <w:pPr>
        <w:spacing w:before="120" w:line="240" w:lineRule="auto"/>
        <w:ind w:left="567" w:right="567"/>
        <w:rPr>
          <w:i/>
          <w:color w:val="080808"/>
          <w:sz w:val="22"/>
        </w:rPr>
      </w:pPr>
      <w:r w:rsidRPr="00C66550">
        <w:rPr>
          <w:i/>
          <w:color w:val="080808"/>
          <w:sz w:val="22"/>
        </w:rPr>
        <w:t xml:space="preserve">“Recommendation 1 … the scope should be limited to waste material that is recycled, recovered for energy, and disposed. Re-use is excluded from the scope”. </w:t>
      </w:r>
    </w:p>
    <w:p w:rsidR="001E46D8" w:rsidRPr="00C66550" w:rsidRDefault="001E46D8" w:rsidP="001E46D8">
      <w:pPr>
        <w:spacing w:line="240" w:lineRule="auto"/>
        <w:rPr>
          <w:color w:val="080808"/>
          <w:sz w:val="22"/>
        </w:rPr>
      </w:pPr>
    </w:p>
    <w:p w:rsidR="001E46D8" w:rsidRPr="00C66550" w:rsidRDefault="001E46D8" w:rsidP="001E46D8">
      <w:pPr>
        <w:spacing w:line="240" w:lineRule="auto"/>
        <w:rPr>
          <w:color w:val="080808"/>
          <w:sz w:val="22"/>
        </w:rPr>
      </w:pPr>
      <w:r w:rsidRPr="00C66550">
        <w:rPr>
          <w:color w:val="080808"/>
          <w:sz w:val="22"/>
        </w:rPr>
        <w:t xml:space="preserve">The definitions of waste (above) </w:t>
      </w:r>
      <w:r w:rsidR="00420F5C" w:rsidRPr="00C66550">
        <w:rPr>
          <w:color w:val="080808"/>
          <w:sz w:val="22"/>
        </w:rPr>
        <w:t>are inconsistent in relation to</w:t>
      </w:r>
      <w:r w:rsidRPr="00C66550">
        <w:rPr>
          <w:color w:val="080808"/>
          <w:sz w:val="22"/>
        </w:rPr>
        <w:t xml:space="preserve"> </w:t>
      </w:r>
      <w:r w:rsidR="00420F5C" w:rsidRPr="00C66550">
        <w:rPr>
          <w:color w:val="080808"/>
          <w:sz w:val="22"/>
        </w:rPr>
        <w:t xml:space="preserve">whether </w:t>
      </w:r>
      <w:r w:rsidRPr="00C66550">
        <w:rPr>
          <w:color w:val="080808"/>
          <w:sz w:val="22"/>
        </w:rPr>
        <w:t xml:space="preserve">products or materials that are reused </w:t>
      </w:r>
      <w:r w:rsidR="00420F5C" w:rsidRPr="00C66550">
        <w:rPr>
          <w:color w:val="080808"/>
          <w:sz w:val="22"/>
        </w:rPr>
        <w:t>can be included in</w:t>
      </w:r>
      <w:r w:rsidRPr="00C66550">
        <w:rPr>
          <w:color w:val="080808"/>
          <w:sz w:val="22"/>
        </w:rPr>
        <w:t xml:space="preserve"> the definition of waste</w:t>
      </w:r>
      <w:r w:rsidR="009E43C6" w:rsidRPr="00C66550">
        <w:rPr>
          <w:color w:val="080808"/>
          <w:sz w:val="22"/>
        </w:rPr>
        <w:t xml:space="preserve"> (‘reuse’ is defined</w:t>
      </w:r>
      <w:r w:rsidR="00A95CE1" w:rsidRPr="00C66550">
        <w:rPr>
          <w:color w:val="080808"/>
          <w:sz w:val="22"/>
        </w:rPr>
        <w:t xml:space="preserve"> below</w:t>
      </w:r>
      <w:r w:rsidR="009E43C6" w:rsidRPr="00C66550">
        <w:rPr>
          <w:color w:val="080808"/>
          <w:sz w:val="22"/>
        </w:rPr>
        <w:t xml:space="preserve"> in</w:t>
      </w:r>
      <w:r w:rsidR="00A95CE1" w:rsidRPr="00C66550">
        <w:rPr>
          <w:color w:val="080808"/>
          <w:sz w:val="22"/>
        </w:rPr>
        <w:t>)</w:t>
      </w:r>
      <w:r w:rsidRPr="00C66550">
        <w:rPr>
          <w:color w:val="080808"/>
          <w:sz w:val="22"/>
        </w:rPr>
        <w:t xml:space="preserve">. Several definitions </w:t>
      </w:r>
      <w:r w:rsidR="00F32E5C" w:rsidRPr="00C66550">
        <w:rPr>
          <w:color w:val="080808"/>
          <w:sz w:val="22"/>
        </w:rPr>
        <w:t>encompass at least some</w:t>
      </w:r>
      <w:r w:rsidRPr="00C66550">
        <w:rPr>
          <w:color w:val="080808"/>
          <w:sz w:val="22"/>
        </w:rPr>
        <w:t xml:space="preserve"> reuse </w:t>
      </w:r>
      <w:r w:rsidR="00F32E5C" w:rsidRPr="00C66550">
        <w:rPr>
          <w:color w:val="080808"/>
          <w:sz w:val="22"/>
        </w:rPr>
        <w:t>but</w:t>
      </w:r>
      <w:r w:rsidRPr="00C66550">
        <w:rPr>
          <w:color w:val="080808"/>
          <w:sz w:val="22"/>
        </w:rPr>
        <w:t xml:space="preserve"> the EU excludes reuse</w:t>
      </w:r>
      <w:r w:rsidR="00F32E5C" w:rsidRPr="00C66550">
        <w:rPr>
          <w:color w:val="080808"/>
          <w:sz w:val="22"/>
        </w:rPr>
        <w:t xml:space="preserve"> from waste</w:t>
      </w:r>
      <w:r w:rsidRPr="00C66550">
        <w:rPr>
          <w:color w:val="080808"/>
          <w:sz w:val="22"/>
        </w:rPr>
        <w:t xml:space="preserve"> (as shown at </w:t>
      </w:r>
      <w:fldSimple w:instr=" REF _Ref355206103 \h  \* MERGEFORMAT ">
        <w:r w:rsidR="00D96003" w:rsidRPr="00D96003">
          <w:rPr>
            <w:sz w:val="22"/>
          </w:rPr>
          <w:t xml:space="preserve">Figure </w:t>
        </w:r>
        <w:r w:rsidR="00D96003" w:rsidRPr="00D96003">
          <w:rPr>
            <w:noProof/>
            <w:sz w:val="22"/>
          </w:rPr>
          <w:t>51</w:t>
        </w:r>
      </w:fldSimple>
      <w:r w:rsidRPr="00C66550">
        <w:rPr>
          <w:color w:val="080808"/>
          <w:sz w:val="22"/>
        </w:rPr>
        <w:t xml:space="preserve">). </w:t>
      </w:r>
      <w:r w:rsidR="00F32E5C" w:rsidRPr="00C66550">
        <w:rPr>
          <w:color w:val="080808"/>
          <w:sz w:val="22"/>
        </w:rPr>
        <w:t>Including</w:t>
      </w:r>
      <w:r w:rsidRPr="00C66550">
        <w:rPr>
          <w:color w:val="080808"/>
          <w:sz w:val="22"/>
        </w:rPr>
        <w:t xml:space="preserve"> reuse in the</w:t>
      </w:r>
      <w:r w:rsidR="00F32E5C" w:rsidRPr="00C66550">
        <w:rPr>
          <w:color w:val="080808"/>
          <w:sz w:val="22"/>
        </w:rPr>
        <w:t xml:space="preserve"> definition of</w:t>
      </w:r>
      <w:r w:rsidRPr="00C66550">
        <w:rPr>
          <w:color w:val="080808"/>
          <w:sz w:val="22"/>
        </w:rPr>
        <w:t xml:space="preserve"> waste is </w:t>
      </w:r>
      <w:r w:rsidR="00F32E5C" w:rsidRPr="00C66550">
        <w:rPr>
          <w:color w:val="080808"/>
          <w:sz w:val="22"/>
        </w:rPr>
        <w:t>im</w:t>
      </w:r>
      <w:r w:rsidRPr="00C66550">
        <w:rPr>
          <w:color w:val="080808"/>
          <w:sz w:val="22"/>
        </w:rPr>
        <w:t>practical for data collation purposes</w:t>
      </w:r>
      <w:r w:rsidRPr="00C66550">
        <w:rPr>
          <w:i/>
          <w:color w:val="080808"/>
          <w:sz w:val="22"/>
        </w:rPr>
        <w:t xml:space="preserve"> </w:t>
      </w:r>
      <w:r w:rsidRPr="00C66550">
        <w:rPr>
          <w:color w:val="080808"/>
          <w:sz w:val="22"/>
        </w:rPr>
        <w:t xml:space="preserve">because reuse is not readily quantifiable at a state or national level. Consistent with </w:t>
      </w:r>
      <w:r w:rsidR="004B1E3C" w:rsidRPr="00C66550">
        <w:rPr>
          <w:i/>
          <w:color w:val="080808"/>
          <w:sz w:val="22"/>
        </w:rPr>
        <w:t>Waste and Recycling in Australia 2011</w:t>
      </w:r>
      <w:r w:rsidRPr="00C66550">
        <w:rPr>
          <w:color w:val="080808"/>
          <w:sz w:val="22"/>
        </w:rPr>
        <w:t xml:space="preserve">, this report excludes reuse data </w:t>
      </w:r>
      <w:r w:rsidR="00BF003B" w:rsidRPr="00C66550">
        <w:rPr>
          <w:color w:val="080808"/>
          <w:sz w:val="22"/>
        </w:rPr>
        <w:t xml:space="preserve">(see </w:t>
      </w:r>
      <w:r w:rsidR="0062001A" w:rsidRPr="00C66550">
        <w:rPr>
          <w:color w:val="080808"/>
          <w:sz w:val="22"/>
        </w:rPr>
        <w:fldChar w:fldCharType="begin"/>
      </w:r>
      <w:r w:rsidR="00BF003B" w:rsidRPr="00C66550">
        <w:rPr>
          <w:color w:val="080808"/>
          <w:sz w:val="22"/>
        </w:rPr>
        <w:instrText xml:space="preserve"> REF _Ref349778205 \r \h </w:instrText>
      </w:r>
      <w:r w:rsidR="0062001A" w:rsidRPr="00C66550">
        <w:rPr>
          <w:color w:val="080808"/>
          <w:sz w:val="22"/>
        </w:rPr>
      </w:r>
      <w:r w:rsidR="0062001A" w:rsidRPr="00C66550">
        <w:rPr>
          <w:color w:val="080808"/>
          <w:sz w:val="22"/>
        </w:rPr>
        <w:fldChar w:fldCharType="separate"/>
      </w:r>
      <w:r w:rsidR="00D96003">
        <w:rPr>
          <w:color w:val="080808"/>
          <w:sz w:val="22"/>
        </w:rPr>
        <w:t>21.4</w:t>
      </w:r>
      <w:r w:rsidR="0062001A" w:rsidRPr="00C66550">
        <w:rPr>
          <w:color w:val="080808"/>
          <w:sz w:val="22"/>
        </w:rPr>
        <w:fldChar w:fldCharType="end"/>
      </w:r>
      <w:r w:rsidR="00BF003B" w:rsidRPr="00C66550">
        <w:rPr>
          <w:color w:val="080808"/>
          <w:sz w:val="22"/>
        </w:rPr>
        <w:t xml:space="preserve"> for further discussion)</w:t>
      </w:r>
      <w:r w:rsidR="00F32E5C" w:rsidRPr="00C66550">
        <w:rPr>
          <w:color w:val="080808"/>
          <w:sz w:val="22"/>
        </w:rPr>
        <w:t xml:space="preserve">. </w:t>
      </w:r>
    </w:p>
    <w:p w:rsidR="0055538A" w:rsidRPr="00C66550" w:rsidRDefault="0055538A" w:rsidP="001E46D8">
      <w:pPr>
        <w:spacing w:line="240" w:lineRule="auto"/>
        <w:rPr>
          <w:color w:val="080808"/>
          <w:sz w:val="22"/>
        </w:rPr>
      </w:pPr>
    </w:p>
    <w:p w:rsidR="001E46D8" w:rsidRPr="00C66550" w:rsidRDefault="001E46D8" w:rsidP="00351C00">
      <w:pPr>
        <w:shd w:val="clear" w:color="auto" w:fill="CCECFF"/>
        <w:spacing w:line="240" w:lineRule="auto"/>
        <w:outlineLvl w:val="2"/>
        <w:rPr>
          <w:rStyle w:val="BodyTextChar"/>
        </w:rPr>
      </w:pPr>
      <w:r w:rsidRPr="00C66550">
        <w:rPr>
          <w:rStyle w:val="BodyTextChar"/>
          <w:b/>
        </w:rPr>
        <w:t>Waste (for data collation purposes)</w:t>
      </w:r>
      <w:r w:rsidR="00BF003B" w:rsidRPr="00C66550">
        <w:rPr>
          <w:rStyle w:val="BodyTextChar"/>
          <w:b/>
        </w:rPr>
        <w:t>:</w:t>
      </w:r>
      <w:r w:rsidRPr="00C66550">
        <w:rPr>
          <w:rStyle w:val="BodyTextChar"/>
        </w:rPr>
        <w:t xml:space="preserve"> materials or products that are unwanted or have been discarded, rejected or abandoned. Waste includes materials or products that are recycled, converted to energy, or disposed. Materials and products that are reused (for their original or another purpose without reprocessing) are not waste because they remain in use.</w:t>
      </w:r>
    </w:p>
    <w:p w:rsidR="006007E9" w:rsidRPr="00C66550" w:rsidRDefault="006007E9" w:rsidP="006007E9">
      <w:pPr>
        <w:pStyle w:val="BodyText"/>
      </w:pPr>
    </w:p>
    <w:p w:rsidR="001E46D8" w:rsidRDefault="001E46D8" w:rsidP="006007E9">
      <w:pPr>
        <w:pStyle w:val="BodyText"/>
      </w:pPr>
      <w:r w:rsidRPr="00C66550">
        <w:t xml:space="preserve">This definition of waste </w:t>
      </w:r>
      <w:r w:rsidR="006007E9" w:rsidRPr="00C66550">
        <w:t>sets</w:t>
      </w:r>
      <w:r w:rsidRPr="00C66550">
        <w:t xml:space="preserve"> the broad scope of reporting </w:t>
      </w:r>
      <w:r w:rsidR="006007E9" w:rsidRPr="00C66550">
        <w:t>in this document</w:t>
      </w:r>
      <w:r w:rsidRPr="00C66550">
        <w:t xml:space="preserve">. </w:t>
      </w:r>
      <w:r w:rsidR="006007E9" w:rsidRPr="00C66550">
        <w:t xml:space="preserve">Its </w:t>
      </w:r>
      <w:r w:rsidRPr="00C66550">
        <w:t xml:space="preserve">application requires </w:t>
      </w:r>
      <w:r w:rsidR="006007E9" w:rsidRPr="00C66550">
        <w:t xml:space="preserve">a number of </w:t>
      </w:r>
      <w:r w:rsidRPr="00C66550">
        <w:t>additional assumptions and considerations</w:t>
      </w:r>
      <w:r w:rsidR="006007E9" w:rsidRPr="00C66550">
        <w:t>,</w:t>
      </w:r>
      <w:r w:rsidRPr="00C66550">
        <w:t xml:space="preserve"> which are further discussed in section </w:t>
      </w:r>
      <w:fldSimple w:instr=" REF _Ref349778477 \r \h  \* MERGEFORMAT ">
        <w:r w:rsidR="00D96003">
          <w:t>23</w:t>
        </w:r>
      </w:fldSimple>
      <w:r w:rsidRPr="00C66550">
        <w:t xml:space="preserve">. </w:t>
      </w:r>
    </w:p>
    <w:p w:rsidR="00BF4183" w:rsidRPr="00C66550" w:rsidRDefault="00BF4183" w:rsidP="006007E9">
      <w:pPr>
        <w:pStyle w:val="BodyText"/>
      </w:pPr>
    </w:p>
    <w:p w:rsidR="001E46D8" w:rsidRPr="00C66550" w:rsidRDefault="001E46D8" w:rsidP="006D25F9">
      <w:pPr>
        <w:pStyle w:val="Heading3"/>
      </w:pPr>
      <w:r w:rsidRPr="00C66550">
        <w:t>Solid waste</w:t>
      </w:r>
    </w:p>
    <w:p w:rsidR="001E46D8" w:rsidRPr="00C66550" w:rsidRDefault="001E46D8" w:rsidP="001E46D8">
      <w:pPr>
        <w:spacing w:line="240" w:lineRule="auto"/>
        <w:rPr>
          <w:color w:val="080808"/>
          <w:sz w:val="22"/>
        </w:rPr>
      </w:pPr>
      <w:r w:rsidRPr="00C66550">
        <w:rPr>
          <w:color w:val="080808"/>
          <w:sz w:val="22"/>
        </w:rPr>
        <w:lastRenderedPageBreak/>
        <w:t>Practical definitions for ‘solid’ are generally inadequate</w:t>
      </w:r>
      <w:r w:rsidR="00B46473" w:rsidRPr="00C66550">
        <w:rPr>
          <w:color w:val="080808"/>
          <w:sz w:val="22"/>
        </w:rPr>
        <w:t xml:space="preserve"> in the waste context</w:t>
      </w:r>
      <w:r w:rsidRPr="00C66550">
        <w:rPr>
          <w:color w:val="080808"/>
          <w:sz w:val="22"/>
        </w:rPr>
        <w:t xml:space="preserve">. Materials such as processed sludges are often disposed to landfill as solid waste but can have a high liquid waste content. </w:t>
      </w:r>
    </w:p>
    <w:p w:rsidR="001E46D8" w:rsidRPr="00C66550" w:rsidRDefault="001E46D8" w:rsidP="001E46D8">
      <w:pPr>
        <w:spacing w:line="240" w:lineRule="auto"/>
        <w:rPr>
          <w:color w:val="080808"/>
          <w:sz w:val="22"/>
        </w:rPr>
      </w:pPr>
    </w:p>
    <w:p w:rsidR="001E46D8" w:rsidRPr="00C66550" w:rsidRDefault="00B46473" w:rsidP="001E46D8">
      <w:pPr>
        <w:spacing w:line="240" w:lineRule="auto"/>
        <w:rPr>
          <w:color w:val="080808"/>
          <w:sz w:val="22"/>
        </w:rPr>
      </w:pPr>
      <w:r w:rsidRPr="00C66550">
        <w:rPr>
          <w:color w:val="080808"/>
          <w:sz w:val="22"/>
        </w:rPr>
        <w:t>DECCW (2009</w:t>
      </w:r>
      <w:r w:rsidR="0039015B" w:rsidRPr="00C66550">
        <w:rPr>
          <w:color w:val="080808"/>
          <w:sz w:val="22"/>
        </w:rPr>
        <w:t xml:space="preserve"> p.5</w:t>
      </w:r>
      <w:r w:rsidRPr="00C66550">
        <w:rPr>
          <w:color w:val="080808"/>
          <w:sz w:val="22"/>
        </w:rPr>
        <w:t xml:space="preserve">) </w:t>
      </w:r>
      <w:r w:rsidR="001E46D8" w:rsidRPr="00C66550">
        <w:rPr>
          <w:color w:val="080808"/>
          <w:sz w:val="22"/>
        </w:rPr>
        <w:t>defines liquid waste as follows:</w:t>
      </w:r>
    </w:p>
    <w:p w:rsidR="001E46D8" w:rsidRPr="00C66550" w:rsidRDefault="001E46D8" w:rsidP="00EE4997">
      <w:pPr>
        <w:spacing w:before="120" w:line="240" w:lineRule="auto"/>
        <w:ind w:left="567" w:right="567"/>
        <w:rPr>
          <w:i/>
          <w:color w:val="080808"/>
          <w:sz w:val="22"/>
        </w:rPr>
      </w:pPr>
      <w:r w:rsidRPr="00C66550">
        <w:rPr>
          <w:i/>
          <w:color w:val="080808"/>
          <w:sz w:val="22"/>
        </w:rPr>
        <w:t>“Liquid waste means any waste that:</w:t>
      </w:r>
    </w:p>
    <w:p w:rsidR="001E46D8" w:rsidRPr="00C66550" w:rsidRDefault="001E46D8" w:rsidP="00944615">
      <w:pPr>
        <w:pStyle w:val="Bullet3"/>
        <w:numPr>
          <w:ilvl w:val="2"/>
          <w:numId w:val="13"/>
        </w:numPr>
        <w:rPr>
          <w:i/>
        </w:rPr>
      </w:pPr>
      <w:r w:rsidRPr="00C66550">
        <w:rPr>
          <w:i/>
        </w:rPr>
        <w:t>has an angle of repose of less than 5 degrees above horizontal, or</w:t>
      </w:r>
    </w:p>
    <w:p w:rsidR="001E46D8" w:rsidRPr="00C66550" w:rsidRDefault="001E46D8" w:rsidP="00944615">
      <w:pPr>
        <w:pStyle w:val="Bullet3"/>
        <w:numPr>
          <w:ilvl w:val="2"/>
          <w:numId w:val="13"/>
        </w:numPr>
        <w:rPr>
          <w:i/>
        </w:rPr>
      </w:pPr>
      <w:r w:rsidRPr="00C66550">
        <w:rPr>
          <w:i/>
        </w:rPr>
        <w:t>becomes free-flowing at or below 60 degrees Celsius or when it is transported, or</w:t>
      </w:r>
    </w:p>
    <w:p w:rsidR="001E46D8" w:rsidRPr="00C66550" w:rsidRDefault="001E46D8" w:rsidP="00944615">
      <w:pPr>
        <w:pStyle w:val="Bullet3"/>
        <w:numPr>
          <w:ilvl w:val="2"/>
          <w:numId w:val="13"/>
        </w:numPr>
        <w:rPr>
          <w:i/>
        </w:rPr>
      </w:pPr>
      <w:r w:rsidRPr="00C66550">
        <w:rPr>
          <w:i/>
        </w:rPr>
        <w:t>is generally not capable of being picked up by a spade or shovel.”</w:t>
      </w:r>
    </w:p>
    <w:p w:rsidR="00EE4997" w:rsidRPr="00C66550" w:rsidRDefault="00EE4997" w:rsidP="00EE4997">
      <w:pPr>
        <w:pStyle w:val="BodyText"/>
      </w:pPr>
    </w:p>
    <w:p w:rsidR="001E46D8" w:rsidRPr="00C66550" w:rsidRDefault="00EE4997" w:rsidP="00EE4997">
      <w:pPr>
        <w:pStyle w:val="BodyText"/>
      </w:pPr>
      <w:r w:rsidRPr="00C66550">
        <w:t xml:space="preserve">Adopting this approach, </w:t>
      </w:r>
      <w:r w:rsidR="001E46D8" w:rsidRPr="00C66550">
        <w:t xml:space="preserve">solid waste </w:t>
      </w:r>
      <w:r w:rsidRPr="00C66550">
        <w:t>can be defined as below</w:t>
      </w:r>
      <w:r w:rsidR="001E46D8" w:rsidRPr="00C66550">
        <w:t>.</w:t>
      </w:r>
    </w:p>
    <w:p w:rsidR="001E46D8" w:rsidRPr="00C66550" w:rsidRDefault="001E46D8" w:rsidP="00576D0D">
      <w:pPr>
        <w:spacing w:line="240" w:lineRule="auto"/>
        <w:rPr>
          <w:b/>
          <w:color w:val="080808"/>
          <w:sz w:val="22"/>
        </w:rPr>
      </w:pPr>
    </w:p>
    <w:p w:rsidR="001E46D8" w:rsidRPr="00C66550" w:rsidRDefault="00EE4997" w:rsidP="00576D0D">
      <w:pPr>
        <w:shd w:val="clear" w:color="auto" w:fill="CCECFF"/>
        <w:spacing w:after="120" w:line="240" w:lineRule="auto"/>
        <w:outlineLvl w:val="2"/>
        <w:rPr>
          <w:rStyle w:val="BodyTextChar"/>
          <w:b/>
        </w:rPr>
      </w:pPr>
      <w:r w:rsidRPr="00C66550">
        <w:rPr>
          <w:rStyle w:val="BodyTextChar"/>
          <w:b/>
        </w:rPr>
        <w:t>Solid waste is</w:t>
      </w:r>
      <w:r w:rsidR="001E46D8" w:rsidRPr="00C66550">
        <w:rPr>
          <w:rStyle w:val="BodyTextChar"/>
          <w:b/>
        </w:rPr>
        <w:t xml:space="preserve"> waste that:</w:t>
      </w:r>
    </w:p>
    <w:p w:rsidR="001E46D8" w:rsidRPr="00C66550" w:rsidRDefault="00576D0D" w:rsidP="00576D0D">
      <w:pPr>
        <w:shd w:val="clear" w:color="auto" w:fill="CCECFF"/>
        <w:spacing w:after="120" w:line="240" w:lineRule="auto"/>
        <w:outlineLvl w:val="2"/>
        <w:rPr>
          <w:rStyle w:val="BodyTextChar"/>
        </w:rPr>
      </w:pPr>
      <w:r w:rsidRPr="00C66550">
        <w:rPr>
          <w:rStyle w:val="BodyTextChar"/>
        </w:rPr>
        <w:t xml:space="preserve">1. </w:t>
      </w:r>
      <w:r w:rsidR="00EE4997" w:rsidRPr="00C66550">
        <w:rPr>
          <w:rStyle w:val="BodyTextChar"/>
        </w:rPr>
        <w:t>can have</w:t>
      </w:r>
      <w:r w:rsidR="001E46D8" w:rsidRPr="00C66550">
        <w:rPr>
          <w:rStyle w:val="BodyTextChar"/>
        </w:rPr>
        <w:t xml:space="preserve"> an angle of repose of greater than 5 degrees above horizontal, or</w:t>
      </w:r>
    </w:p>
    <w:p w:rsidR="001E46D8" w:rsidRPr="00C66550" w:rsidRDefault="00576D0D" w:rsidP="00576D0D">
      <w:pPr>
        <w:shd w:val="clear" w:color="auto" w:fill="CCECFF"/>
        <w:spacing w:after="120" w:line="240" w:lineRule="auto"/>
        <w:outlineLvl w:val="2"/>
        <w:rPr>
          <w:rStyle w:val="BodyTextChar"/>
        </w:rPr>
      </w:pPr>
      <w:r w:rsidRPr="00C66550">
        <w:rPr>
          <w:rStyle w:val="BodyTextChar"/>
        </w:rPr>
        <w:t xml:space="preserve">2. </w:t>
      </w:r>
      <w:r w:rsidR="001E46D8" w:rsidRPr="00C66550">
        <w:rPr>
          <w:rStyle w:val="BodyTextChar"/>
        </w:rPr>
        <w:t>does not become free-flowing at or below 60 degrees Celsius or when it is transported, or</w:t>
      </w:r>
    </w:p>
    <w:p w:rsidR="001E46D8" w:rsidRPr="00C66550" w:rsidRDefault="00576D0D" w:rsidP="00351C00">
      <w:pPr>
        <w:shd w:val="clear" w:color="auto" w:fill="CCECFF"/>
        <w:spacing w:line="240" w:lineRule="auto"/>
        <w:outlineLvl w:val="2"/>
        <w:rPr>
          <w:rStyle w:val="BodyTextChar"/>
        </w:rPr>
      </w:pPr>
      <w:r w:rsidRPr="00C66550">
        <w:rPr>
          <w:rStyle w:val="BodyTextChar"/>
        </w:rPr>
        <w:t xml:space="preserve">3. </w:t>
      </w:r>
      <w:r w:rsidR="001E46D8" w:rsidRPr="00C66550">
        <w:rPr>
          <w:rStyle w:val="BodyTextChar"/>
        </w:rPr>
        <w:t>is generally capable of being picked up by a spade or shovel.</w:t>
      </w:r>
    </w:p>
    <w:p w:rsidR="001E46D8" w:rsidRPr="00C66550" w:rsidRDefault="001E46D8" w:rsidP="00EE4997">
      <w:pPr>
        <w:pStyle w:val="BodyText"/>
      </w:pPr>
    </w:p>
    <w:p w:rsidR="00B165FA" w:rsidRPr="00C66550" w:rsidRDefault="00964518" w:rsidP="006D25F9">
      <w:pPr>
        <w:pStyle w:val="Heading2"/>
      </w:pPr>
      <w:bookmarkStart w:id="288" w:name="_Toc379466410"/>
      <w:r w:rsidRPr="00C66550">
        <w:t>W</w:t>
      </w:r>
      <w:r w:rsidR="003F1522" w:rsidRPr="00C66550">
        <w:t>aste a</w:t>
      </w:r>
      <w:r w:rsidR="00B165FA" w:rsidRPr="00C66550">
        <w:t>voidance</w:t>
      </w:r>
      <w:bookmarkEnd w:id="288"/>
    </w:p>
    <w:p w:rsidR="00FF0C93" w:rsidRPr="00C66550" w:rsidRDefault="00B165FA" w:rsidP="00BB03B2">
      <w:pPr>
        <w:pStyle w:val="BodyText"/>
      </w:pPr>
      <w:r w:rsidRPr="00C66550">
        <w:t xml:space="preserve">Waste avoidance is most easily understood by reference to examples </w:t>
      </w:r>
      <w:r w:rsidR="00BB03B2" w:rsidRPr="00C66550">
        <w:t xml:space="preserve">in the contexts of </w:t>
      </w:r>
      <w:r w:rsidR="00207FD3" w:rsidRPr="00C66550">
        <w:t xml:space="preserve">manufacturing </w:t>
      </w:r>
      <w:r w:rsidR="00BB03B2" w:rsidRPr="00C66550">
        <w:t xml:space="preserve">and </w:t>
      </w:r>
      <w:r w:rsidR="00207FD3" w:rsidRPr="00C66550">
        <w:t>consumer activities.</w:t>
      </w:r>
    </w:p>
    <w:p w:rsidR="00FF0C93" w:rsidRPr="00C66550" w:rsidRDefault="00FF0C93" w:rsidP="00BB03B2">
      <w:pPr>
        <w:pStyle w:val="BodyText"/>
      </w:pPr>
    </w:p>
    <w:p w:rsidR="00B165FA" w:rsidRPr="00C66550" w:rsidRDefault="00B165FA" w:rsidP="00BB03B2">
      <w:pPr>
        <w:pStyle w:val="BodyText"/>
      </w:pPr>
      <w:r w:rsidRPr="00C66550">
        <w:t>Examples of</w:t>
      </w:r>
      <w:r w:rsidR="00BB03B2" w:rsidRPr="00C66550">
        <w:t xml:space="preserve"> waste avoidance in the context of</w:t>
      </w:r>
      <w:r w:rsidRPr="00C66550">
        <w:t xml:space="preserve"> manufacturing </w:t>
      </w:r>
      <w:r w:rsidR="00BB03B2" w:rsidRPr="00C66550">
        <w:t>include</w:t>
      </w:r>
      <w:r w:rsidRPr="00C66550">
        <w:t xml:space="preserve">: </w:t>
      </w:r>
    </w:p>
    <w:p w:rsidR="00B165FA" w:rsidRPr="00C66550" w:rsidRDefault="00B165FA" w:rsidP="008B1B03">
      <w:pPr>
        <w:pStyle w:val="Bullet1"/>
      </w:pPr>
      <w:r w:rsidRPr="00C66550">
        <w:t>increasing manufacturing efficiency through improved design so that less materials are required per unit of production (‘doing more with less’)</w:t>
      </w:r>
    </w:p>
    <w:p w:rsidR="00B165FA" w:rsidRPr="00C66550" w:rsidRDefault="00B165FA" w:rsidP="00BE7641">
      <w:pPr>
        <w:pStyle w:val="Bullet1"/>
        <w:spacing w:after="120"/>
      </w:pPr>
      <w:r w:rsidRPr="00C66550">
        <w:t>designing products to be more durable (to increase product life and reuse of the product).</w:t>
      </w:r>
    </w:p>
    <w:p w:rsidR="00BB03B2" w:rsidRPr="00C66550" w:rsidRDefault="00BB03B2" w:rsidP="00BB03B2">
      <w:pPr>
        <w:pStyle w:val="BodyText"/>
      </w:pPr>
    </w:p>
    <w:p w:rsidR="00B165FA" w:rsidRPr="00C66550" w:rsidRDefault="00B165FA" w:rsidP="00BB03B2">
      <w:pPr>
        <w:pStyle w:val="BodyText"/>
      </w:pPr>
      <w:r w:rsidRPr="00C66550">
        <w:t>Examples of</w:t>
      </w:r>
      <w:r w:rsidR="00BB03B2" w:rsidRPr="00C66550">
        <w:t xml:space="preserve"> waste avoidance in the context of</w:t>
      </w:r>
      <w:r w:rsidRPr="00C66550">
        <w:t xml:space="preserve"> consumer activities </w:t>
      </w:r>
      <w:r w:rsidR="00BB03B2" w:rsidRPr="00C66550">
        <w:t>include</w:t>
      </w:r>
      <w:r w:rsidRPr="00C66550">
        <w:t>:</w:t>
      </w:r>
    </w:p>
    <w:p w:rsidR="00B165FA" w:rsidRPr="00C66550" w:rsidRDefault="00B165FA" w:rsidP="008B1B03">
      <w:pPr>
        <w:pStyle w:val="Bullet1"/>
      </w:pPr>
      <w:r w:rsidRPr="00C66550">
        <w:t>‘just in time’ purchasing to ensure products and materials do not expire before use</w:t>
      </w:r>
    </w:p>
    <w:p w:rsidR="00B165FA" w:rsidRPr="00C66550" w:rsidRDefault="00BB03B2" w:rsidP="008B1B03">
      <w:pPr>
        <w:pStyle w:val="Bullet1"/>
      </w:pPr>
      <w:r w:rsidRPr="00C66550">
        <w:t xml:space="preserve">government </w:t>
      </w:r>
      <w:r w:rsidR="00B165FA" w:rsidRPr="00C66550">
        <w:t>education programs to encourage consumers to buy products that are more durable, have less packaging, generate less waste during their use, and are easily recovered for material content when they become a waste.</w:t>
      </w:r>
    </w:p>
    <w:p w:rsidR="00BB03B2" w:rsidRPr="00C66550" w:rsidRDefault="00BB03B2" w:rsidP="00BB03B2">
      <w:pPr>
        <w:pStyle w:val="BodyText"/>
      </w:pPr>
    </w:p>
    <w:p w:rsidR="00B165FA" w:rsidRPr="00C66550" w:rsidRDefault="0098379C" w:rsidP="00BB03B2">
      <w:pPr>
        <w:pStyle w:val="BodyText"/>
      </w:pPr>
      <w:r w:rsidRPr="00C66550">
        <w:t xml:space="preserve">Put simply, waste avoidance is any activity that results in the waste no longer being generated. It should not be </w:t>
      </w:r>
      <w:r w:rsidR="00B165FA" w:rsidRPr="00C66550">
        <w:t>confused with ‘disposal avoidance’. Activities that reduce the amount of wastes (which have already been generated) going to disposal (e.g. landfill)</w:t>
      </w:r>
      <w:r w:rsidR="00BB03B2" w:rsidRPr="00C66550">
        <w:t xml:space="preserve"> – for example by means of stockpiling, increasing recycling or energy recovery – are </w:t>
      </w:r>
      <w:r w:rsidR="00B165FA" w:rsidRPr="00C66550">
        <w:t xml:space="preserve">not waste avoidance. </w:t>
      </w:r>
    </w:p>
    <w:p w:rsidR="00BB03B2" w:rsidRPr="00C66550" w:rsidRDefault="00BB03B2" w:rsidP="00BB03B2">
      <w:pPr>
        <w:pStyle w:val="BodyText"/>
      </w:pPr>
    </w:p>
    <w:p w:rsidR="00B165FA" w:rsidRPr="00C66550" w:rsidRDefault="00DB6FE8" w:rsidP="00DB6FE8">
      <w:pPr>
        <w:shd w:val="clear" w:color="auto" w:fill="CCECFF"/>
        <w:spacing w:after="120" w:line="240" w:lineRule="auto"/>
        <w:outlineLvl w:val="2"/>
        <w:rPr>
          <w:rFonts w:ascii="Arial Rounded MT Bold" w:hAnsi="Arial Rounded MT Bold" w:cs="Arial"/>
          <w:color w:val="0000FF"/>
          <w:sz w:val="22"/>
        </w:rPr>
      </w:pPr>
      <w:r w:rsidRPr="00C66550">
        <w:rPr>
          <w:rStyle w:val="BodyTextChar"/>
          <w:b/>
        </w:rPr>
        <w:t>Waste avoidance</w:t>
      </w:r>
      <w:r w:rsidR="00B165FA" w:rsidRPr="00C66550">
        <w:rPr>
          <w:rStyle w:val="BodyTextChar"/>
          <w:b/>
        </w:rPr>
        <w:t>:</w:t>
      </w:r>
      <w:r w:rsidR="00207FD3" w:rsidRPr="00C66550">
        <w:rPr>
          <w:rFonts w:ascii="Arial Rounded MT Bold" w:hAnsi="Arial Rounded MT Bold" w:cs="Arial"/>
          <w:color w:val="0000FF"/>
          <w:sz w:val="22"/>
        </w:rPr>
        <w:t xml:space="preserve"> </w:t>
      </w:r>
      <w:r w:rsidR="00802CA7" w:rsidRPr="00C66550">
        <w:rPr>
          <w:rStyle w:val="BodyTextChar"/>
        </w:rPr>
        <w:t xml:space="preserve">is any activity that results in wastes not being generated or being generated in lesser quantities. Waste avoidance includes waste reduction, waste minimisation, and </w:t>
      </w:r>
      <w:r w:rsidR="0098379C" w:rsidRPr="00C66550">
        <w:rPr>
          <w:rStyle w:val="BodyTextChar"/>
        </w:rPr>
        <w:t>expanded</w:t>
      </w:r>
      <w:r w:rsidR="00802CA7" w:rsidRPr="00C66550">
        <w:rPr>
          <w:rStyle w:val="BodyTextChar"/>
        </w:rPr>
        <w:t xml:space="preserve"> reuse </w:t>
      </w:r>
      <w:r w:rsidR="0098379C" w:rsidRPr="00C66550">
        <w:rPr>
          <w:rStyle w:val="BodyTextChar"/>
        </w:rPr>
        <w:t>of</w:t>
      </w:r>
      <w:r w:rsidR="00802CA7" w:rsidRPr="00C66550">
        <w:rPr>
          <w:rStyle w:val="BodyTextChar"/>
        </w:rPr>
        <w:t xml:space="preserve"> products and materials.</w:t>
      </w:r>
      <w:r w:rsidR="0098379C" w:rsidRPr="00C66550">
        <w:rPr>
          <w:rStyle w:val="BodyTextChar"/>
        </w:rPr>
        <w:t xml:space="preserve"> Methods for avoiding waste</w:t>
      </w:r>
      <w:r w:rsidR="00802CA7" w:rsidRPr="00C66550">
        <w:rPr>
          <w:rStyle w:val="BodyTextChar"/>
        </w:rPr>
        <w:t xml:space="preserve"> include (but are not limited to) improv</w:t>
      </w:r>
      <w:r w:rsidR="0098379C" w:rsidRPr="00C66550">
        <w:rPr>
          <w:rStyle w:val="BodyTextChar"/>
        </w:rPr>
        <w:t>ing</w:t>
      </w:r>
      <w:r w:rsidR="00802CA7" w:rsidRPr="00C66550">
        <w:rPr>
          <w:rStyle w:val="BodyTextChar"/>
        </w:rPr>
        <w:t xml:space="preserve"> manufacturing processes,</w:t>
      </w:r>
      <w:r w:rsidR="0098379C" w:rsidRPr="00C66550">
        <w:rPr>
          <w:rStyle w:val="BodyTextChar"/>
        </w:rPr>
        <w:t xml:space="preserve"> improving product</w:t>
      </w:r>
      <w:r w:rsidR="00802CA7" w:rsidRPr="00C66550">
        <w:rPr>
          <w:rStyle w:val="BodyTextChar"/>
        </w:rPr>
        <w:t xml:space="preserve"> durability, </w:t>
      </w:r>
      <w:r w:rsidR="0098379C" w:rsidRPr="00C66550">
        <w:rPr>
          <w:rStyle w:val="BodyTextChar"/>
        </w:rPr>
        <w:t xml:space="preserve">and selecting products with a view to reduce waste (e.g. those that </w:t>
      </w:r>
      <w:r w:rsidR="00802CA7" w:rsidRPr="00C66550">
        <w:rPr>
          <w:rStyle w:val="BodyTextChar"/>
        </w:rPr>
        <w:t xml:space="preserve">are more durable </w:t>
      </w:r>
      <w:r w:rsidR="0098379C" w:rsidRPr="00C66550">
        <w:rPr>
          <w:rStyle w:val="BodyTextChar"/>
        </w:rPr>
        <w:t xml:space="preserve">or </w:t>
      </w:r>
      <w:r w:rsidR="00802CA7" w:rsidRPr="00C66550">
        <w:rPr>
          <w:rStyle w:val="BodyTextChar"/>
        </w:rPr>
        <w:t>have less packaging</w:t>
      </w:r>
      <w:r w:rsidR="0098379C" w:rsidRPr="00C66550">
        <w:rPr>
          <w:rStyle w:val="BodyTextChar"/>
        </w:rPr>
        <w:t>)</w:t>
      </w:r>
      <w:r w:rsidR="00802CA7" w:rsidRPr="00C66550">
        <w:rPr>
          <w:rStyle w:val="BodyTextChar"/>
        </w:rPr>
        <w:t>.</w:t>
      </w:r>
    </w:p>
    <w:p w:rsidR="00BF4183" w:rsidRPr="00C66550" w:rsidRDefault="00DB6FE8" w:rsidP="00351C00">
      <w:pPr>
        <w:shd w:val="clear" w:color="auto" w:fill="CCECFF"/>
        <w:spacing w:line="240" w:lineRule="auto"/>
        <w:outlineLvl w:val="2"/>
        <w:rPr>
          <w:rStyle w:val="BodyTextChar"/>
        </w:rPr>
      </w:pPr>
      <w:r w:rsidRPr="00C66550">
        <w:rPr>
          <w:rStyle w:val="BodyTextChar"/>
          <w:b/>
        </w:rPr>
        <w:t>Waste disposal avoidance</w:t>
      </w:r>
      <w:r w:rsidR="00B165FA" w:rsidRPr="00C66550">
        <w:rPr>
          <w:rStyle w:val="BodyTextChar"/>
          <w:b/>
        </w:rPr>
        <w:t xml:space="preserve">: </w:t>
      </w:r>
      <w:r w:rsidR="00802CA7" w:rsidRPr="00C66550">
        <w:rPr>
          <w:rStyle w:val="BodyTextChar"/>
        </w:rPr>
        <w:t>is any activity that results in wastes being recycled, or recovered for energy.</w:t>
      </w:r>
      <w:bookmarkStart w:id="289" w:name="_GoBack"/>
      <w:bookmarkEnd w:id="289"/>
    </w:p>
    <w:p w:rsidR="00B165FA" w:rsidRPr="00C66550" w:rsidRDefault="00B165FA" w:rsidP="006D25F9">
      <w:pPr>
        <w:pStyle w:val="Heading2"/>
      </w:pPr>
      <w:bookmarkStart w:id="290" w:name="_Ref349778205"/>
      <w:bookmarkStart w:id="291" w:name="_Toc379466411"/>
      <w:r w:rsidRPr="00C66550">
        <w:t>Reuse</w:t>
      </w:r>
      <w:bookmarkEnd w:id="290"/>
      <w:bookmarkEnd w:id="291"/>
    </w:p>
    <w:p w:rsidR="00B165FA" w:rsidRPr="00C66550" w:rsidRDefault="00B165FA" w:rsidP="00B165FA">
      <w:pPr>
        <w:spacing w:line="240" w:lineRule="auto"/>
        <w:rPr>
          <w:color w:val="080808"/>
          <w:sz w:val="22"/>
        </w:rPr>
      </w:pPr>
      <w:r w:rsidRPr="00C66550">
        <w:rPr>
          <w:color w:val="080808"/>
          <w:sz w:val="22"/>
        </w:rPr>
        <w:lastRenderedPageBreak/>
        <w:t xml:space="preserve">Reuse is commonly confused with recycling. </w:t>
      </w:r>
      <w:r w:rsidR="00A95CE1" w:rsidRPr="00C66550">
        <w:rPr>
          <w:color w:val="080808"/>
          <w:sz w:val="22"/>
        </w:rPr>
        <w:t>The distinction is that r</w:t>
      </w:r>
      <w:r w:rsidRPr="00C66550">
        <w:rPr>
          <w:color w:val="080808"/>
          <w:sz w:val="22"/>
        </w:rPr>
        <w:t xml:space="preserve">euse involves </w:t>
      </w:r>
      <w:r w:rsidR="00964518" w:rsidRPr="00C66550">
        <w:rPr>
          <w:color w:val="080808"/>
          <w:sz w:val="22"/>
        </w:rPr>
        <w:t>second</w:t>
      </w:r>
      <w:r w:rsidR="00A95CE1" w:rsidRPr="00C66550">
        <w:rPr>
          <w:color w:val="080808"/>
          <w:sz w:val="22"/>
        </w:rPr>
        <w:t>-</w:t>
      </w:r>
      <w:r w:rsidR="00964518" w:rsidRPr="00C66550">
        <w:rPr>
          <w:color w:val="080808"/>
          <w:sz w:val="22"/>
        </w:rPr>
        <w:t>hand</w:t>
      </w:r>
      <w:r w:rsidRPr="00C66550">
        <w:rPr>
          <w:color w:val="080808"/>
          <w:sz w:val="22"/>
        </w:rPr>
        <w:t xml:space="preserve"> use of a product without reprocessing, whereas recycling involves the reprocessing</w:t>
      </w:r>
      <w:r w:rsidR="00A95CE1" w:rsidRPr="00C66550">
        <w:rPr>
          <w:color w:val="080808"/>
          <w:sz w:val="22"/>
        </w:rPr>
        <w:t xml:space="preserve"> of a product</w:t>
      </w:r>
      <w:r w:rsidRPr="00C66550">
        <w:rPr>
          <w:color w:val="080808"/>
          <w:sz w:val="22"/>
        </w:rPr>
        <w:t xml:space="preserve"> into new materials.</w:t>
      </w:r>
    </w:p>
    <w:p w:rsidR="00077191" w:rsidRPr="00C66550" w:rsidRDefault="00077191" w:rsidP="00B165FA">
      <w:pPr>
        <w:spacing w:line="240" w:lineRule="auto"/>
        <w:rPr>
          <w:color w:val="080808"/>
          <w:sz w:val="22"/>
        </w:rPr>
      </w:pPr>
    </w:p>
    <w:p w:rsidR="00AE120F" w:rsidRPr="00C66550" w:rsidRDefault="00A95CE1" w:rsidP="00A95CE1">
      <w:pPr>
        <w:spacing w:line="240" w:lineRule="auto"/>
        <w:rPr>
          <w:sz w:val="22"/>
        </w:rPr>
      </w:pPr>
      <w:r w:rsidRPr="00C66550">
        <w:rPr>
          <w:color w:val="080808"/>
          <w:sz w:val="22"/>
        </w:rPr>
        <w:t>Reuse</w:t>
      </w:r>
      <w:r w:rsidR="00B165FA" w:rsidRPr="00C66550">
        <w:rPr>
          <w:color w:val="080808"/>
          <w:sz w:val="22"/>
        </w:rPr>
        <w:t xml:space="preserve"> occurs on a large scale across the community</w:t>
      </w:r>
      <w:r w:rsidR="0055538A" w:rsidRPr="00C66550">
        <w:rPr>
          <w:color w:val="080808"/>
          <w:sz w:val="22"/>
        </w:rPr>
        <w:t>. Most occurs in established second-hand markets unrelated to waste. A smaller portion associated with materials donated to charity shops etc. could potentially be considered waste</w:t>
      </w:r>
      <w:r w:rsidR="00767F5B" w:rsidRPr="00C66550">
        <w:rPr>
          <w:color w:val="080808"/>
          <w:sz w:val="22"/>
        </w:rPr>
        <w:t>-</w:t>
      </w:r>
      <w:r w:rsidR="0055538A" w:rsidRPr="00C66550">
        <w:rPr>
          <w:color w:val="080808"/>
          <w:sz w:val="22"/>
        </w:rPr>
        <w:t xml:space="preserve">related. An even smaller portion occurs </w:t>
      </w:r>
      <w:r w:rsidR="0055538A" w:rsidRPr="00C66550">
        <w:rPr>
          <w:sz w:val="22"/>
        </w:rPr>
        <w:t>through recovery of</w:t>
      </w:r>
      <w:r w:rsidR="00B165FA" w:rsidRPr="00C66550">
        <w:rPr>
          <w:sz w:val="22"/>
        </w:rPr>
        <w:t xml:space="preserve"> product</w:t>
      </w:r>
      <w:r w:rsidR="0055538A" w:rsidRPr="00C66550">
        <w:rPr>
          <w:sz w:val="22"/>
        </w:rPr>
        <w:t>s</w:t>
      </w:r>
      <w:r w:rsidR="00B165FA" w:rsidRPr="00C66550">
        <w:rPr>
          <w:sz w:val="22"/>
        </w:rPr>
        <w:t xml:space="preserve"> or material</w:t>
      </w:r>
      <w:r w:rsidR="0055538A" w:rsidRPr="00C66550">
        <w:rPr>
          <w:sz w:val="22"/>
        </w:rPr>
        <w:t>s</w:t>
      </w:r>
      <w:r w:rsidR="00B165FA" w:rsidRPr="00C66550">
        <w:rPr>
          <w:sz w:val="22"/>
        </w:rPr>
        <w:t xml:space="preserve"> sent to </w:t>
      </w:r>
      <w:r w:rsidR="0055538A" w:rsidRPr="00C66550">
        <w:rPr>
          <w:sz w:val="22"/>
        </w:rPr>
        <w:t>a waste management facility (i.e. a</w:t>
      </w:r>
      <w:r w:rsidR="00B165FA" w:rsidRPr="00C66550">
        <w:rPr>
          <w:sz w:val="22"/>
        </w:rPr>
        <w:t xml:space="preserve"> landfill or transfer station</w:t>
      </w:r>
      <w:r w:rsidR="0055538A" w:rsidRPr="00C66550">
        <w:rPr>
          <w:sz w:val="22"/>
        </w:rPr>
        <w:t>)</w:t>
      </w:r>
      <w:r w:rsidR="00B165FA" w:rsidRPr="00C66550">
        <w:rPr>
          <w:sz w:val="22"/>
        </w:rPr>
        <w:t xml:space="preserve">. </w:t>
      </w:r>
      <w:r w:rsidR="0055538A" w:rsidRPr="00C66550">
        <w:rPr>
          <w:sz w:val="22"/>
        </w:rPr>
        <w:t xml:space="preserve">This </w:t>
      </w:r>
      <w:r w:rsidR="00964518" w:rsidRPr="00C66550">
        <w:rPr>
          <w:sz w:val="22"/>
        </w:rPr>
        <w:t>‘</w:t>
      </w:r>
      <w:r w:rsidR="0055538A" w:rsidRPr="00C66550">
        <w:rPr>
          <w:sz w:val="22"/>
        </w:rPr>
        <w:t>w</w:t>
      </w:r>
      <w:r w:rsidR="00964518" w:rsidRPr="00C66550">
        <w:rPr>
          <w:sz w:val="22"/>
        </w:rPr>
        <w:t xml:space="preserve">aste reuse’ </w:t>
      </w:r>
      <w:r w:rsidR="00AE120F" w:rsidRPr="00C66550">
        <w:rPr>
          <w:sz w:val="22"/>
        </w:rPr>
        <w:t>is</w:t>
      </w:r>
      <w:r w:rsidR="00964518" w:rsidRPr="00C66550">
        <w:rPr>
          <w:sz w:val="22"/>
        </w:rPr>
        <w:t xml:space="preserve"> </w:t>
      </w:r>
      <w:r w:rsidR="00B165FA" w:rsidRPr="00C66550">
        <w:rPr>
          <w:sz w:val="22"/>
        </w:rPr>
        <w:t xml:space="preserve">quantifiable for waste data purposes, </w:t>
      </w:r>
      <w:r w:rsidR="00767F5B" w:rsidRPr="00C66550">
        <w:rPr>
          <w:sz w:val="22"/>
        </w:rPr>
        <w:t>although</w:t>
      </w:r>
      <w:r w:rsidR="00293CFB" w:rsidRPr="00C66550">
        <w:rPr>
          <w:sz w:val="22"/>
        </w:rPr>
        <w:t xml:space="preserve"> the</w:t>
      </w:r>
      <w:r w:rsidR="00767F5B" w:rsidRPr="00C66550">
        <w:rPr>
          <w:sz w:val="22"/>
        </w:rPr>
        <w:t xml:space="preserve"> associated</w:t>
      </w:r>
      <w:r w:rsidR="00B165FA" w:rsidRPr="00C66550">
        <w:rPr>
          <w:sz w:val="22"/>
        </w:rPr>
        <w:t xml:space="preserve"> tonnage</w:t>
      </w:r>
      <w:r w:rsidR="00767F5B" w:rsidRPr="00C66550">
        <w:rPr>
          <w:sz w:val="22"/>
        </w:rPr>
        <w:t>s</w:t>
      </w:r>
      <w:r w:rsidR="00B165FA" w:rsidRPr="00C66550">
        <w:rPr>
          <w:sz w:val="22"/>
        </w:rPr>
        <w:t xml:space="preserve"> </w:t>
      </w:r>
      <w:r w:rsidR="00C304A9" w:rsidRPr="00C66550">
        <w:rPr>
          <w:sz w:val="22"/>
        </w:rPr>
        <w:t xml:space="preserve">are </w:t>
      </w:r>
      <w:r w:rsidR="00293CFB" w:rsidRPr="00C66550">
        <w:rPr>
          <w:sz w:val="22"/>
        </w:rPr>
        <w:t xml:space="preserve">not </w:t>
      </w:r>
      <w:r w:rsidR="00B165FA" w:rsidRPr="00C66550">
        <w:rPr>
          <w:sz w:val="22"/>
        </w:rPr>
        <w:t xml:space="preserve">significant in the context </w:t>
      </w:r>
      <w:r w:rsidR="00767F5B" w:rsidRPr="00C66550">
        <w:rPr>
          <w:sz w:val="22"/>
        </w:rPr>
        <w:t xml:space="preserve">of waste recovery or </w:t>
      </w:r>
      <w:r w:rsidR="00B165FA" w:rsidRPr="00C66550">
        <w:rPr>
          <w:sz w:val="22"/>
        </w:rPr>
        <w:t>overall reuse of products and materials.</w:t>
      </w:r>
    </w:p>
    <w:p w:rsidR="00A95CE1" w:rsidRPr="00C66550" w:rsidRDefault="00A95CE1" w:rsidP="002144EC">
      <w:pPr>
        <w:pStyle w:val="BodyText"/>
      </w:pPr>
    </w:p>
    <w:p w:rsidR="00B165FA" w:rsidRPr="00C66550" w:rsidRDefault="00DF4FB7" w:rsidP="00767F5B">
      <w:pPr>
        <w:pStyle w:val="BodyText"/>
      </w:pPr>
      <w:r>
        <w:t>T</w:t>
      </w:r>
      <w:r w:rsidR="00767F5B" w:rsidRPr="00C66550">
        <w:t>he definition of waste applied in this report excludes reuse. It could be argued that some reuse should be included, but this is not adopted because the vast majority of reuse occurs outside waste management facilities with little data availability, and because reused products and materials</w:t>
      </w:r>
      <w:r w:rsidR="00B165FA" w:rsidRPr="00C66550">
        <w:t xml:space="preserve"> </w:t>
      </w:r>
      <w:r w:rsidR="00767F5B" w:rsidRPr="00C66550">
        <w:t>ultimately remain in the economy.</w:t>
      </w:r>
      <w:r w:rsidR="006B088D" w:rsidRPr="00C66550">
        <w:t xml:space="preserve"> Reuse is therefore excluded from the main data presentation. This does not diminish its importance as a policy objective. </w:t>
      </w:r>
    </w:p>
    <w:p w:rsidR="00767F5B" w:rsidRPr="00C66550" w:rsidRDefault="00767F5B" w:rsidP="00767F5B">
      <w:pPr>
        <w:pStyle w:val="BodyText"/>
      </w:pPr>
    </w:p>
    <w:p w:rsidR="00767F5B" w:rsidRPr="00C66550" w:rsidRDefault="006B088D" w:rsidP="00767F5B">
      <w:pPr>
        <w:pStyle w:val="BodyText"/>
      </w:pPr>
      <w:r w:rsidRPr="00C66550">
        <w:t>P</w:t>
      </w:r>
      <w:r w:rsidR="00767F5B" w:rsidRPr="00C66550">
        <w:t>olicy efforts to promote reuse can be considered a type of waste avoidance, because they result in less waste generation. Waste generation trends may provide an indication of the extent to which waste avoidance and reuse are occurring.</w:t>
      </w:r>
    </w:p>
    <w:p w:rsidR="00767F5B" w:rsidRPr="00C66550" w:rsidRDefault="00767F5B" w:rsidP="00767F5B">
      <w:pPr>
        <w:pStyle w:val="BodyText"/>
      </w:pPr>
    </w:p>
    <w:p w:rsidR="00767F5B" w:rsidRPr="00C66550" w:rsidRDefault="00767F5B" w:rsidP="00767F5B">
      <w:pPr>
        <w:pStyle w:val="BodyText"/>
      </w:pPr>
      <w:r w:rsidRPr="00C66550">
        <w:t xml:space="preserve">Although reuse is not included in </w:t>
      </w:r>
      <w:r w:rsidR="006B088D" w:rsidRPr="00C66550">
        <w:t>main data presentation</w:t>
      </w:r>
      <w:r w:rsidRPr="00C66550">
        <w:t xml:space="preserve">, </w:t>
      </w:r>
      <w:r w:rsidR="006B088D" w:rsidRPr="00C66550">
        <w:t xml:space="preserve">where </w:t>
      </w:r>
      <w:r w:rsidRPr="00C66550">
        <w:t xml:space="preserve">jurisdictions </w:t>
      </w:r>
      <w:r w:rsidR="006B088D" w:rsidRPr="00C66550">
        <w:t>provided</w:t>
      </w:r>
      <w:r w:rsidRPr="00C66550">
        <w:t xml:space="preserve"> ‘waste reuse’ </w:t>
      </w:r>
      <w:r w:rsidR="006B088D" w:rsidRPr="00C66550">
        <w:t xml:space="preserve">data it </w:t>
      </w:r>
      <w:r w:rsidRPr="00C66550">
        <w:t xml:space="preserve">is reported separately for information purposes. </w:t>
      </w:r>
    </w:p>
    <w:p w:rsidR="00767F5B" w:rsidRPr="00C66550" w:rsidRDefault="00767F5B" w:rsidP="00767F5B">
      <w:pPr>
        <w:pStyle w:val="BodyText"/>
      </w:pPr>
    </w:p>
    <w:p w:rsidR="00B165FA" w:rsidRPr="00C66550" w:rsidRDefault="007E450C" w:rsidP="00351C00">
      <w:pPr>
        <w:shd w:val="clear" w:color="auto" w:fill="CCECFF"/>
        <w:spacing w:line="240" w:lineRule="auto"/>
        <w:outlineLvl w:val="2"/>
        <w:rPr>
          <w:rStyle w:val="BodyTextChar"/>
        </w:rPr>
      </w:pPr>
      <w:r w:rsidRPr="00C66550">
        <w:rPr>
          <w:rStyle w:val="BodyTextChar"/>
          <w:b/>
        </w:rPr>
        <w:t>Reuse:</w:t>
      </w:r>
      <w:r w:rsidR="00207FD3" w:rsidRPr="00C66550">
        <w:rPr>
          <w:rStyle w:val="BodyTextChar"/>
        </w:rPr>
        <w:t xml:space="preserve"> </w:t>
      </w:r>
      <w:r w:rsidR="00802CA7" w:rsidRPr="00C66550">
        <w:rPr>
          <w:rStyle w:val="BodyTextChar"/>
        </w:rPr>
        <w:t>is the use of products or materials without reprocessing or remanufacture</w:t>
      </w:r>
      <w:r w:rsidR="006B088D" w:rsidRPr="00C66550">
        <w:rPr>
          <w:rStyle w:val="BodyTextChar"/>
        </w:rPr>
        <w:t>, but potentially with some repair</w:t>
      </w:r>
      <w:r w:rsidR="00802CA7" w:rsidRPr="00C66550">
        <w:rPr>
          <w:rStyle w:val="BodyTextChar"/>
        </w:rPr>
        <w:t>.</w:t>
      </w:r>
    </w:p>
    <w:p w:rsidR="00351C00" w:rsidRPr="00C66550" w:rsidRDefault="00351C00" w:rsidP="00B165FA">
      <w:pPr>
        <w:spacing w:line="240" w:lineRule="auto"/>
        <w:rPr>
          <w:color w:val="080808"/>
          <w:sz w:val="22"/>
        </w:rPr>
      </w:pPr>
    </w:p>
    <w:p w:rsidR="00B165FA" w:rsidRPr="00C66550" w:rsidRDefault="00B165FA" w:rsidP="006B088D">
      <w:pPr>
        <w:spacing w:line="240" w:lineRule="auto"/>
        <w:rPr>
          <w:sz w:val="22"/>
        </w:rPr>
      </w:pPr>
      <w:r w:rsidRPr="00C66550">
        <w:rPr>
          <w:color w:val="080808"/>
          <w:sz w:val="22"/>
        </w:rPr>
        <w:t>It is worth noting</w:t>
      </w:r>
      <w:r w:rsidR="006B088D" w:rsidRPr="00C66550">
        <w:rPr>
          <w:color w:val="080808"/>
          <w:sz w:val="22"/>
        </w:rPr>
        <w:t xml:space="preserve"> that so</w:t>
      </w:r>
      <w:r w:rsidRPr="00C66550">
        <w:rPr>
          <w:sz w:val="22"/>
        </w:rPr>
        <w:t>me non-consumer wastes are also reused. For example soil and rock which is moved around in large volumes/tonnages is often reused at an alternate site</w:t>
      </w:r>
      <w:r w:rsidR="00247A7B" w:rsidRPr="00C66550">
        <w:rPr>
          <w:sz w:val="22"/>
        </w:rPr>
        <w:t>.</w:t>
      </w:r>
    </w:p>
    <w:p w:rsidR="00A95CE1" w:rsidRPr="00C66550" w:rsidRDefault="00A95CE1" w:rsidP="009653CB">
      <w:pPr>
        <w:pStyle w:val="BodyText"/>
      </w:pPr>
    </w:p>
    <w:p w:rsidR="00B165FA" w:rsidRPr="00C66550" w:rsidRDefault="00B165FA" w:rsidP="009653CB">
      <w:pPr>
        <w:pStyle w:val="BodyText"/>
      </w:pPr>
      <w:r w:rsidRPr="00C66550">
        <w:t>The following are examples of r</w:t>
      </w:r>
      <w:r w:rsidR="007E450C" w:rsidRPr="00C66550">
        <w:t>euse using the above definition:</w:t>
      </w:r>
    </w:p>
    <w:p w:rsidR="00B165FA" w:rsidRPr="00C66550" w:rsidRDefault="006B088D" w:rsidP="002144EC">
      <w:pPr>
        <w:pStyle w:val="Bullet1"/>
      </w:pPr>
      <w:r w:rsidRPr="00C66550">
        <w:t>w</w:t>
      </w:r>
      <w:r w:rsidR="00B165FA" w:rsidRPr="00C66550">
        <w:t>ood pallets that are refurbished are considered to be reuse</w:t>
      </w:r>
      <w:r w:rsidRPr="00C66550">
        <w:t xml:space="preserve"> (those that are </w:t>
      </w:r>
      <w:r w:rsidR="00B165FA" w:rsidRPr="00C66550">
        <w:t>disassembled and shredded for the material</w:t>
      </w:r>
      <w:r w:rsidRPr="00C66550">
        <w:t>s are considered to be recycled)</w:t>
      </w:r>
    </w:p>
    <w:p w:rsidR="00B165FA" w:rsidRPr="00C66550" w:rsidRDefault="006B088D" w:rsidP="002144EC">
      <w:pPr>
        <w:pStyle w:val="Bullet1"/>
      </w:pPr>
      <w:r w:rsidRPr="00C66550">
        <w:t>second</w:t>
      </w:r>
      <w:r w:rsidR="00A95CE1" w:rsidRPr="00C66550">
        <w:t>-hand</w:t>
      </w:r>
      <w:r w:rsidR="00B165FA" w:rsidRPr="00C66550">
        <w:t xml:space="preserve"> timber collected as timber and sold as timber for building</w:t>
      </w:r>
    </w:p>
    <w:p w:rsidR="00B165FA" w:rsidRPr="00C66550" w:rsidRDefault="006B088D" w:rsidP="002144EC">
      <w:pPr>
        <w:pStyle w:val="Bullet1"/>
      </w:pPr>
      <w:r w:rsidRPr="00C66550">
        <w:t xml:space="preserve">office </w:t>
      </w:r>
      <w:r w:rsidR="00B165FA" w:rsidRPr="00C66550">
        <w:t>and house furniture given away or sold to another party is reuse.</w:t>
      </w:r>
    </w:p>
    <w:p w:rsidR="00FF0C93" w:rsidRPr="00C66550" w:rsidRDefault="006B088D" w:rsidP="007E450C">
      <w:pPr>
        <w:pStyle w:val="Bullet1"/>
      </w:pPr>
      <w:r w:rsidRPr="00C66550">
        <w:t>second</w:t>
      </w:r>
      <w:r w:rsidR="00A95CE1" w:rsidRPr="00C66550">
        <w:t>-hand</w:t>
      </w:r>
      <w:r w:rsidR="00095AB2" w:rsidRPr="00C66550">
        <w:t xml:space="preserve"> clothes used as clothes </w:t>
      </w:r>
      <w:r w:rsidRPr="00C66550">
        <w:t>(those</w:t>
      </w:r>
      <w:r w:rsidR="00095AB2" w:rsidRPr="00C66550">
        <w:t xml:space="preserve"> turned into rags are considered to be recycled</w:t>
      </w:r>
      <w:r w:rsidRPr="00C66550">
        <w:t>)</w:t>
      </w:r>
      <w:r w:rsidR="00095AB2" w:rsidRPr="00C66550">
        <w:t xml:space="preserve">. </w:t>
      </w:r>
    </w:p>
    <w:p w:rsidR="0087235B" w:rsidRPr="00C66550" w:rsidRDefault="0087235B" w:rsidP="00B165FA">
      <w:pPr>
        <w:spacing w:line="240" w:lineRule="auto"/>
        <w:rPr>
          <w:b/>
          <w:color w:val="080808"/>
          <w:sz w:val="22"/>
        </w:rPr>
      </w:pPr>
    </w:p>
    <w:p w:rsidR="00B165FA" w:rsidRPr="00C66550" w:rsidRDefault="00802CA7" w:rsidP="00351C00">
      <w:pPr>
        <w:shd w:val="clear" w:color="auto" w:fill="CCECFF"/>
        <w:spacing w:line="240" w:lineRule="auto"/>
        <w:outlineLvl w:val="2"/>
        <w:rPr>
          <w:rStyle w:val="BodyTextChar"/>
        </w:rPr>
      </w:pPr>
      <w:r w:rsidRPr="00C66550">
        <w:rPr>
          <w:rStyle w:val="BodyTextChar"/>
          <w:b/>
        </w:rPr>
        <w:t>Waste reuse</w:t>
      </w:r>
      <w:r w:rsidR="00B87FC8" w:rsidRPr="00C66550">
        <w:rPr>
          <w:rStyle w:val="BodyTextChar"/>
          <w:b/>
        </w:rPr>
        <w:t>:</w:t>
      </w:r>
      <w:r w:rsidRPr="00C66550">
        <w:rPr>
          <w:rStyle w:val="BodyTextChar"/>
        </w:rPr>
        <w:t xml:space="preserve"> is the reuse of a product or material that has entered a waste management facility (e.g. the sale of goods from a landfill or transfer station ‘tip shop’) for the same or a different purpose. These products or materials may also be repaired to extend their use. </w:t>
      </w:r>
    </w:p>
    <w:p w:rsidR="009653CB" w:rsidRPr="00C66550" w:rsidRDefault="009653CB" w:rsidP="009653CB">
      <w:pPr>
        <w:pStyle w:val="BodyText"/>
      </w:pPr>
    </w:p>
    <w:p w:rsidR="00B165FA" w:rsidRPr="00C66550" w:rsidRDefault="00B165FA" w:rsidP="006D25F9">
      <w:pPr>
        <w:pStyle w:val="Heading2"/>
      </w:pPr>
      <w:bookmarkStart w:id="292" w:name="_Toc379466412"/>
      <w:r w:rsidRPr="00C66550">
        <w:t>Recycling</w:t>
      </w:r>
      <w:bookmarkEnd w:id="292"/>
      <w:r w:rsidRPr="00C66550">
        <w:t xml:space="preserve"> </w:t>
      </w:r>
    </w:p>
    <w:p w:rsidR="00B165FA" w:rsidRPr="00C66550" w:rsidRDefault="003D1CB2" w:rsidP="00D07F9A">
      <w:pPr>
        <w:pStyle w:val="BodyText"/>
      </w:pPr>
      <w:r w:rsidRPr="00C66550">
        <w:t>Solid w</w:t>
      </w:r>
      <w:r w:rsidR="00B165FA" w:rsidRPr="00C66550">
        <w:t xml:space="preserve">aste recycling </w:t>
      </w:r>
      <w:r w:rsidRPr="00C66550">
        <w:t xml:space="preserve">occurs when </w:t>
      </w:r>
      <w:r w:rsidR="00B165FA" w:rsidRPr="00C66550">
        <w:t>wastes are collected, sorted, processed and converted into raw materials to be used in the production of new products.</w:t>
      </w:r>
      <w:r w:rsidRPr="00C66550">
        <w:t xml:space="preserve"> Composting is included in this definition. M</w:t>
      </w:r>
      <w:r w:rsidR="00B165FA" w:rsidRPr="00C66550">
        <w:t xml:space="preserve">aterials that are reclaimed onsite during a manufacturing process and reutilised within </w:t>
      </w:r>
      <w:r w:rsidRPr="00C66550">
        <w:t>this</w:t>
      </w:r>
      <w:r w:rsidR="00B165FA" w:rsidRPr="00C66550">
        <w:t xml:space="preserve"> same manufacturing process </w:t>
      </w:r>
      <w:r w:rsidRPr="00C66550">
        <w:t>are</w:t>
      </w:r>
      <w:r w:rsidR="00B165FA" w:rsidRPr="00C66550">
        <w:t xml:space="preserve"> not </w:t>
      </w:r>
      <w:r w:rsidRPr="00C66550">
        <w:t>considered to be recycled</w:t>
      </w:r>
      <w:r w:rsidR="00B165FA" w:rsidRPr="00C66550">
        <w:t xml:space="preserve">. </w:t>
      </w:r>
    </w:p>
    <w:p w:rsidR="00B87FC8" w:rsidRPr="00C66550" w:rsidRDefault="00B87FC8" w:rsidP="00D07F9A">
      <w:pPr>
        <w:pStyle w:val="BodyText"/>
      </w:pPr>
    </w:p>
    <w:p w:rsidR="00B165FA" w:rsidRPr="00C66550" w:rsidRDefault="00CD617E" w:rsidP="00351C00">
      <w:pPr>
        <w:shd w:val="clear" w:color="auto" w:fill="CCECFF"/>
        <w:spacing w:line="240" w:lineRule="auto"/>
        <w:outlineLvl w:val="2"/>
        <w:rPr>
          <w:rStyle w:val="BodyTextChar"/>
        </w:rPr>
      </w:pPr>
      <w:r w:rsidRPr="00C66550">
        <w:rPr>
          <w:rStyle w:val="BodyTextChar"/>
          <w:b/>
        </w:rPr>
        <w:lastRenderedPageBreak/>
        <w:t>R</w:t>
      </w:r>
      <w:r w:rsidR="00B165FA" w:rsidRPr="00C66550">
        <w:rPr>
          <w:rStyle w:val="BodyTextChar"/>
          <w:b/>
        </w:rPr>
        <w:t>ecycling</w:t>
      </w:r>
      <w:r w:rsidR="00B87FC8" w:rsidRPr="00C66550">
        <w:rPr>
          <w:rStyle w:val="BodyTextChar"/>
        </w:rPr>
        <w:t>:</w:t>
      </w:r>
      <w:r w:rsidR="00B165FA" w:rsidRPr="00C66550">
        <w:rPr>
          <w:rStyle w:val="BodyTextChar"/>
        </w:rPr>
        <w:t xml:space="preserve"> is a series of activities by which solid wastes are collected, sorted, processed (including</w:t>
      </w:r>
      <w:r w:rsidR="003D1CB2" w:rsidRPr="00C66550">
        <w:rPr>
          <w:rStyle w:val="BodyTextChar"/>
        </w:rPr>
        <w:t xml:space="preserve"> through</w:t>
      </w:r>
      <w:r w:rsidR="00B165FA" w:rsidRPr="00C66550">
        <w:rPr>
          <w:rStyle w:val="BodyTextChar"/>
        </w:rPr>
        <w:t xml:space="preserve"> composting), and converted into raw materials to be used in the production of new products.</w:t>
      </w:r>
    </w:p>
    <w:p w:rsidR="009653CB" w:rsidRPr="00C66550" w:rsidRDefault="009653CB" w:rsidP="009653CB">
      <w:pPr>
        <w:pStyle w:val="BodyText"/>
      </w:pPr>
    </w:p>
    <w:p w:rsidR="00B165FA" w:rsidRPr="00C66550" w:rsidRDefault="00B165FA" w:rsidP="006D25F9">
      <w:pPr>
        <w:pStyle w:val="Heading2"/>
      </w:pPr>
      <w:bookmarkStart w:id="293" w:name="_Toc379466413"/>
      <w:r w:rsidRPr="00C66550">
        <w:t xml:space="preserve">Energy </w:t>
      </w:r>
      <w:r w:rsidR="000C6192" w:rsidRPr="00C66550">
        <w:t>recovery</w:t>
      </w:r>
      <w:bookmarkEnd w:id="293"/>
    </w:p>
    <w:p w:rsidR="00B165FA" w:rsidRPr="00C66550" w:rsidRDefault="00B165FA" w:rsidP="00D07F9A">
      <w:pPr>
        <w:pStyle w:val="BodyText"/>
      </w:pPr>
      <w:r w:rsidRPr="00C66550">
        <w:t xml:space="preserve">In the context of </w:t>
      </w:r>
      <w:r w:rsidR="000C6192" w:rsidRPr="00C66550">
        <w:t>this report</w:t>
      </w:r>
      <w:r w:rsidRPr="00C66550">
        <w:t xml:space="preserve">, </w:t>
      </w:r>
      <w:r w:rsidR="000C6192" w:rsidRPr="00C66550">
        <w:t xml:space="preserve">‘energy recovery’ refers to processes release energy </w:t>
      </w:r>
      <w:r w:rsidRPr="00C66550">
        <w:t>embodied in wastes</w:t>
      </w:r>
      <w:r w:rsidR="000C6192" w:rsidRPr="00C66550">
        <w:t xml:space="preserve"> and capture some of that energy for a beneficial purpose</w:t>
      </w:r>
      <w:r w:rsidRPr="00C66550">
        <w:t xml:space="preserve">. Typically, energy is recovered from waste </w:t>
      </w:r>
      <w:r w:rsidR="000C6192" w:rsidRPr="00C66550">
        <w:t>in</w:t>
      </w:r>
      <w:r w:rsidRPr="00C66550">
        <w:t xml:space="preserve"> </w:t>
      </w:r>
      <w:r w:rsidR="003D1CB2" w:rsidRPr="00C66550">
        <w:t>specialist</w:t>
      </w:r>
      <w:r w:rsidR="000C6192" w:rsidRPr="00C66550">
        <w:t xml:space="preserve"> </w:t>
      </w:r>
      <w:r w:rsidRPr="00C66550">
        <w:t xml:space="preserve">facilities </w:t>
      </w:r>
      <w:r w:rsidR="003D1CB2" w:rsidRPr="00C66550">
        <w:t xml:space="preserve">(using processes such as </w:t>
      </w:r>
      <w:r w:rsidRPr="00C66550">
        <w:t>incineration</w:t>
      </w:r>
      <w:r w:rsidR="003D1CB2" w:rsidRPr="00C66550">
        <w:t xml:space="preserve">, </w:t>
      </w:r>
      <w:r w:rsidRPr="00C66550">
        <w:t>pyrolysis</w:t>
      </w:r>
      <w:r w:rsidR="003D1CB2" w:rsidRPr="00C66550">
        <w:t xml:space="preserve"> or anaerobic digestion), </w:t>
      </w:r>
      <w:r w:rsidRPr="00C66550">
        <w:t xml:space="preserve">or by the collection and combustion of methane gas collected from waste sent to landfill. </w:t>
      </w:r>
    </w:p>
    <w:p w:rsidR="00205BD8" w:rsidRPr="00C66550" w:rsidRDefault="00205BD8" w:rsidP="00D07F9A">
      <w:pPr>
        <w:pStyle w:val="BodyText"/>
      </w:pPr>
    </w:p>
    <w:p w:rsidR="00B165FA" w:rsidRPr="00C66550" w:rsidRDefault="00B165FA" w:rsidP="00D07F9A">
      <w:pPr>
        <w:pStyle w:val="BodyText"/>
      </w:pPr>
      <w:r w:rsidRPr="00C66550">
        <w:t xml:space="preserve">The most common uses for energy </w:t>
      </w:r>
      <w:r w:rsidR="00205BD8" w:rsidRPr="00C66550">
        <w:t xml:space="preserve">from </w:t>
      </w:r>
      <w:r w:rsidRPr="00C66550">
        <w:t>solid wastes are</w:t>
      </w:r>
      <w:r w:rsidR="00205BD8" w:rsidRPr="00C66550">
        <w:t>:</w:t>
      </w:r>
    </w:p>
    <w:p w:rsidR="00B165FA" w:rsidRPr="00C66550" w:rsidRDefault="00B165FA" w:rsidP="00D07F9A">
      <w:pPr>
        <w:pStyle w:val="Bullet1"/>
      </w:pPr>
      <w:r w:rsidRPr="00C66550">
        <w:t>electricity</w:t>
      </w:r>
      <w:r w:rsidR="00EB3591" w:rsidRPr="00C66550">
        <w:t xml:space="preserve"> generation, often for selling </w:t>
      </w:r>
      <w:r w:rsidRPr="00C66550">
        <w:t xml:space="preserve">into the </w:t>
      </w:r>
      <w:r w:rsidR="00EB3591" w:rsidRPr="00C66550">
        <w:t>supply grid</w:t>
      </w:r>
    </w:p>
    <w:p w:rsidR="00B165FA" w:rsidRPr="00C66550" w:rsidRDefault="00B165FA" w:rsidP="00D07F9A">
      <w:pPr>
        <w:pStyle w:val="Bullet1"/>
      </w:pPr>
      <w:r w:rsidRPr="00C66550">
        <w:t>industrial processes</w:t>
      </w:r>
      <w:r w:rsidR="00EB3591" w:rsidRPr="00C66550">
        <w:t xml:space="preserve"> – for </w:t>
      </w:r>
      <w:r w:rsidRPr="00C66550">
        <w:t xml:space="preserve">example, waste tyres </w:t>
      </w:r>
      <w:r w:rsidR="00EB3591" w:rsidRPr="00C66550">
        <w:t>are used by some</w:t>
      </w:r>
      <w:r w:rsidRPr="00C66550">
        <w:t xml:space="preserve"> cement kiln</w:t>
      </w:r>
      <w:r w:rsidR="00EB3591" w:rsidRPr="00C66550">
        <w:t>s as a supplementary fuel</w:t>
      </w:r>
      <w:r w:rsidRPr="00C66550">
        <w:t>.</w:t>
      </w:r>
    </w:p>
    <w:p w:rsidR="00EB3591" w:rsidRPr="00C66550" w:rsidRDefault="00EB3591" w:rsidP="00EB3591">
      <w:pPr>
        <w:pStyle w:val="BodyText"/>
        <w:tabs>
          <w:tab w:val="left" w:pos="3834"/>
        </w:tabs>
      </w:pPr>
      <w:r w:rsidRPr="00C66550">
        <w:tab/>
      </w:r>
    </w:p>
    <w:p w:rsidR="00EB3591" w:rsidRPr="00C66550" w:rsidRDefault="00EB3591" w:rsidP="00EB3591">
      <w:pPr>
        <w:pStyle w:val="BodyText"/>
      </w:pPr>
      <w:r w:rsidRPr="00C66550">
        <w:t>U</w:t>
      </w:r>
      <w:r w:rsidR="00B165FA" w:rsidRPr="00C66550">
        <w:t>nlike recycling</w:t>
      </w:r>
      <w:r w:rsidR="00205BD8" w:rsidRPr="00C66550">
        <w:t>,</w:t>
      </w:r>
      <w:r w:rsidR="00B165FA" w:rsidRPr="00C66550">
        <w:t xml:space="preserve"> </w:t>
      </w:r>
      <w:r w:rsidRPr="00C66550">
        <w:t>energy</w:t>
      </w:r>
      <w:r w:rsidR="00B165FA" w:rsidRPr="00C66550">
        <w:t xml:space="preserve"> recovery </w:t>
      </w:r>
      <w:r w:rsidRPr="00C66550">
        <w:t xml:space="preserve">leads to </w:t>
      </w:r>
      <w:r w:rsidR="00B165FA" w:rsidRPr="00C66550">
        <w:t xml:space="preserve">a loss of materials and is therefore </w:t>
      </w:r>
      <w:r w:rsidR="00205BD8" w:rsidRPr="00C66550">
        <w:t xml:space="preserve">positioned </w:t>
      </w:r>
      <w:r w:rsidR="00B165FA" w:rsidRPr="00C66550">
        <w:t>below recycling in the</w:t>
      </w:r>
      <w:r w:rsidR="00E5424C" w:rsidRPr="00C66550">
        <w:t xml:space="preserve"> </w:t>
      </w:r>
      <w:r w:rsidR="00B165FA" w:rsidRPr="00C66550">
        <w:t xml:space="preserve">waste hierarchy. </w:t>
      </w:r>
      <w:r w:rsidRPr="00C66550">
        <w:t xml:space="preserve">To work out the amount of material from which </w:t>
      </w:r>
      <w:r w:rsidR="00351C00" w:rsidRPr="00C66550">
        <w:t xml:space="preserve">energy has been recovered, residuals need to be deducted. For example, in an </w:t>
      </w:r>
      <w:r w:rsidRPr="00C66550">
        <w:t>anaerobic digestion</w:t>
      </w:r>
      <w:r w:rsidR="00351C00" w:rsidRPr="00C66550">
        <w:t xml:space="preserve"> process, the material from which energy has been recovered is equal to the input tonnes less </w:t>
      </w:r>
      <w:r w:rsidRPr="00C66550">
        <w:t>the mass of compost or digestate</w:t>
      </w:r>
      <w:r w:rsidR="00351C00" w:rsidRPr="00C66550">
        <w:t xml:space="preserve"> (which is recycled) and</w:t>
      </w:r>
      <w:r w:rsidRPr="00C66550">
        <w:t xml:space="preserve"> the mass of any materials sent to landfill </w:t>
      </w:r>
      <w:r w:rsidR="00351C00" w:rsidRPr="00C66550">
        <w:t xml:space="preserve">(which is </w:t>
      </w:r>
      <w:r w:rsidRPr="00C66550">
        <w:t>dispos</w:t>
      </w:r>
      <w:r w:rsidR="00351C00" w:rsidRPr="00C66550">
        <w:t>ed)</w:t>
      </w:r>
      <w:r w:rsidRPr="00C66550">
        <w:t xml:space="preserve">. </w:t>
      </w:r>
    </w:p>
    <w:p w:rsidR="00EB3591" w:rsidRPr="00C66550" w:rsidRDefault="00EB3591" w:rsidP="00EB3591">
      <w:pPr>
        <w:pStyle w:val="BodyText"/>
      </w:pPr>
    </w:p>
    <w:p w:rsidR="00B165FA" w:rsidRPr="00C66550" w:rsidRDefault="00B87FC8" w:rsidP="00351C00">
      <w:pPr>
        <w:shd w:val="clear" w:color="auto" w:fill="CCECFF"/>
        <w:spacing w:line="240" w:lineRule="auto"/>
        <w:outlineLvl w:val="2"/>
        <w:rPr>
          <w:rStyle w:val="BodyTextChar"/>
        </w:rPr>
      </w:pPr>
      <w:r w:rsidRPr="00C66550">
        <w:rPr>
          <w:rStyle w:val="BodyTextChar"/>
          <w:b/>
        </w:rPr>
        <w:t xml:space="preserve">Energy </w:t>
      </w:r>
      <w:r w:rsidR="00730D2F" w:rsidRPr="00C66550">
        <w:rPr>
          <w:rStyle w:val="BodyTextChar"/>
          <w:b/>
        </w:rPr>
        <w:t>recovery:</w:t>
      </w:r>
      <w:r w:rsidRPr="00C66550">
        <w:rPr>
          <w:rStyle w:val="BodyTextChar"/>
        </w:rPr>
        <w:t xml:space="preserve"> </w:t>
      </w:r>
      <w:r w:rsidR="00B165FA" w:rsidRPr="00C66550">
        <w:rPr>
          <w:rStyle w:val="BodyTextChar"/>
        </w:rPr>
        <w:t xml:space="preserve">is the process of recovering energy that is embodied in solid wastes. The amount of solid waste recovered by </w:t>
      </w:r>
      <w:r w:rsidR="00EB3591" w:rsidRPr="00C66550">
        <w:rPr>
          <w:rStyle w:val="BodyTextChar"/>
        </w:rPr>
        <w:t>the</w:t>
      </w:r>
      <w:r w:rsidR="00B165FA" w:rsidRPr="00C66550">
        <w:rPr>
          <w:rStyle w:val="BodyTextChar"/>
        </w:rPr>
        <w:t xml:space="preserve"> processes is net of any materials recycled and/or disposed.</w:t>
      </w:r>
      <w:r w:rsidR="00FF12A8" w:rsidRPr="00C66550">
        <w:rPr>
          <w:rStyle w:val="BodyTextChar"/>
        </w:rPr>
        <w:t xml:space="preserve"> </w:t>
      </w:r>
    </w:p>
    <w:p w:rsidR="000C6192" w:rsidRPr="00C66550" w:rsidRDefault="000C6192" w:rsidP="009653CB">
      <w:pPr>
        <w:pStyle w:val="BodyText"/>
      </w:pPr>
    </w:p>
    <w:p w:rsidR="00B165FA" w:rsidRPr="00C66550" w:rsidRDefault="00B165FA" w:rsidP="006D25F9">
      <w:pPr>
        <w:pStyle w:val="Heading2"/>
      </w:pPr>
      <w:bookmarkStart w:id="294" w:name="_Toc379466414"/>
      <w:r w:rsidRPr="00C66550">
        <w:t>Treatment</w:t>
      </w:r>
      <w:bookmarkEnd w:id="294"/>
    </w:p>
    <w:p w:rsidR="00B165FA" w:rsidRPr="00C66550" w:rsidRDefault="00B165FA" w:rsidP="00D07F9A">
      <w:pPr>
        <w:pStyle w:val="BodyText"/>
      </w:pPr>
      <w:r w:rsidRPr="00C66550">
        <w:t>Treatment of wastes typically refers to hazardous wastes.</w:t>
      </w:r>
      <w:r w:rsidR="002D47CA" w:rsidRPr="00C66550">
        <w:t xml:space="preserve"> The following definition is adopted:</w:t>
      </w:r>
      <w:r w:rsidRPr="00C66550">
        <w:t xml:space="preserve"> </w:t>
      </w:r>
    </w:p>
    <w:p w:rsidR="00351C00" w:rsidRPr="00C66550" w:rsidRDefault="00351C00" w:rsidP="00D07F9A">
      <w:pPr>
        <w:pStyle w:val="BodyText"/>
      </w:pPr>
    </w:p>
    <w:p w:rsidR="00B165FA" w:rsidRPr="00C66550" w:rsidRDefault="0096649C" w:rsidP="00351C00">
      <w:pPr>
        <w:shd w:val="clear" w:color="auto" w:fill="CCECFF"/>
        <w:spacing w:line="240" w:lineRule="auto"/>
        <w:outlineLvl w:val="2"/>
      </w:pPr>
      <w:r w:rsidRPr="00C66550">
        <w:rPr>
          <w:rStyle w:val="BodyTextChar"/>
          <w:b/>
        </w:rPr>
        <w:t>T</w:t>
      </w:r>
      <w:r w:rsidR="00B165FA" w:rsidRPr="00C66550">
        <w:rPr>
          <w:rStyle w:val="BodyTextChar"/>
          <w:b/>
        </w:rPr>
        <w:t>reatment</w:t>
      </w:r>
      <w:r w:rsidRPr="00C66550">
        <w:rPr>
          <w:rStyle w:val="BodyTextChar"/>
          <w:b/>
        </w:rPr>
        <w:t>:</w:t>
      </w:r>
      <w:r w:rsidR="00B165FA" w:rsidRPr="00C66550">
        <w:rPr>
          <w:rStyle w:val="BodyTextChar"/>
        </w:rPr>
        <w:t xml:space="preserve"> </w:t>
      </w:r>
      <w:r w:rsidRPr="00C66550">
        <w:rPr>
          <w:rStyle w:val="BodyTextChar"/>
        </w:rPr>
        <w:t>is</w:t>
      </w:r>
      <w:r w:rsidR="00B165FA" w:rsidRPr="00C66550">
        <w:rPr>
          <w:rStyle w:val="BodyTextChar"/>
        </w:rPr>
        <w:t xml:space="preserve"> the removal, reduction or immobili</w:t>
      </w:r>
      <w:r w:rsidR="005F0628" w:rsidRPr="00C66550">
        <w:rPr>
          <w:rStyle w:val="BodyTextChar"/>
        </w:rPr>
        <w:t>s</w:t>
      </w:r>
      <w:r w:rsidR="00B165FA" w:rsidRPr="00C66550">
        <w:rPr>
          <w:rStyle w:val="BodyTextChar"/>
        </w:rPr>
        <w:t xml:space="preserve">ation of a hazardous characteristic </w:t>
      </w:r>
      <w:r w:rsidRPr="00C66550">
        <w:rPr>
          <w:rStyle w:val="BodyTextChar"/>
        </w:rPr>
        <w:t xml:space="preserve">from wastes </w:t>
      </w:r>
      <w:r w:rsidR="00B165FA" w:rsidRPr="00C66550">
        <w:rPr>
          <w:rStyle w:val="BodyTextChar"/>
        </w:rPr>
        <w:t>to enable the waste to be reused, recycled, sent to an EfW facility or disposed.</w:t>
      </w:r>
      <w:r w:rsidR="006F2CE3" w:rsidRPr="00C66550">
        <w:rPr>
          <w:rStyle w:val="BodyTextChar"/>
        </w:rPr>
        <w:t xml:space="preserve"> </w:t>
      </w:r>
    </w:p>
    <w:p w:rsidR="009653CB" w:rsidRPr="00C66550" w:rsidRDefault="009653CB" w:rsidP="009653CB">
      <w:pPr>
        <w:pStyle w:val="BodyText"/>
      </w:pPr>
    </w:p>
    <w:p w:rsidR="00B165FA" w:rsidRPr="00C66550" w:rsidRDefault="00B165FA" w:rsidP="006D25F9">
      <w:pPr>
        <w:pStyle w:val="Heading2"/>
      </w:pPr>
      <w:bookmarkStart w:id="295" w:name="_Toc379466415"/>
      <w:r w:rsidRPr="00C66550">
        <w:t>Disposal</w:t>
      </w:r>
      <w:bookmarkEnd w:id="295"/>
      <w:r w:rsidRPr="00C66550">
        <w:t xml:space="preserve"> </w:t>
      </w:r>
    </w:p>
    <w:p w:rsidR="00912D67" w:rsidRPr="00C66550" w:rsidRDefault="00B165FA" w:rsidP="00D07F9A">
      <w:pPr>
        <w:pStyle w:val="BodyText"/>
      </w:pPr>
      <w:r w:rsidRPr="00C66550">
        <w:t>The US</w:t>
      </w:r>
      <w:r w:rsidR="00A558D4" w:rsidRPr="00C66550">
        <w:t xml:space="preserve"> Environmental Protection Agency (</w:t>
      </w:r>
      <w:r w:rsidRPr="00C66550">
        <w:t>EPA</w:t>
      </w:r>
      <w:r w:rsidR="00A558D4" w:rsidRPr="00C66550">
        <w:t>)</w:t>
      </w:r>
      <w:r w:rsidRPr="00C66550">
        <w:t xml:space="preserve"> defines disposal facilities as:</w:t>
      </w:r>
    </w:p>
    <w:p w:rsidR="00B165FA" w:rsidRPr="00C66550" w:rsidRDefault="00207FD3" w:rsidP="002D47CA">
      <w:pPr>
        <w:pStyle w:val="BodyText"/>
        <w:spacing w:before="120"/>
        <w:ind w:left="567" w:right="425"/>
        <w:rPr>
          <w:i/>
        </w:rPr>
      </w:pPr>
      <w:r w:rsidRPr="00C66550">
        <w:rPr>
          <w:i/>
        </w:rPr>
        <w:t>“Repositories for solid waste including landfills and combustors intended for permanent containment or destruction of waste materials. Excludes transfer stations and composting facilities”.</w:t>
      </w:r>
    </w:p>
    <w:p w:rsidR="00912D67" w:rsidRPr="00C66550" w:rsidRDefault="00912D67" w:rsidP="00D07F9A">
      <w:pPr>
        <w:pStyle w:val="BodyText"/>
      </w:pPr>
    </w:p>
    <w:p w:rsidR="00912D67" w:rsidRPr="00C66550" w:rsidRDefault="00B165FA" w:rsidP="00D07F9A">
      <w:pPr>
        <w:pStyle w:val="BodyText"/>
      </w:pPr>
      <w:r w:rsidRPr="00C66550">
        <w:t xml:space="preserve">The Australian Standard defines disposal as: </w:t>
      </w:r>
    </w:p>
    <w:p w:rsidR="00FF0C93" w:rsidRPr="00C66550" w:rsidRDefault="00207FD3" w:rsidP="002D47CA">
      <w:pPr>
        <w:pStyle w:val="BodyText"/>
        <w:spacing w:before="120"/>
        <w:ind w:left="567" w:right="425"/>
        <w:rPr>
          <w:i/>
        </w:rPr>
      </w:pPr>
      <w:r w:rsidRPr="00C66550">
        <w:rPr>
          <w:i/>
        </w:rPr>
        <w:t xml:space="preserve">“The final stage in the management of the waste stream”. </w:t>
      </w:r>
    </w:p>
    <w:p w:rsidR="00912D67" w:rsidRPr="00C66550" w:rsidRDefault="00912D67" w:rsidP="00D07F9A">
      <w:pPr>
        <w:pStyle w:val="BodyText"/>
      </w:pPr>
    </w:p>
    <w:p w:rsidR="00B165FA" w:rsidRPr="00C66550" w:rsidRDefault="00947E86" w:rsidP="00D07F9A">
      <w:pPr>
        <w:pStyle w:val="BodyText"/>
      </w:pPr>
      <w:r w:rsidRPr="00C66550">
        <w:t>D</w:t>
      </w:r>
      <w:r w:rsidR="00B165FA" w:rsidRPr="00C66550">
        <w:t>ispos</w:t>
      </w:r>
      <w:r w:rsidRPr="00C66550">
        <w:t xml:space="preserve">al is the lowest level of the waste hierarchy and </w:t>
      </w:r>
      <w:r w:rsidR="002D47CA" w:rsidRPr="00C66550">
        <w:t xml:space="preserve">could potentially </w:t>
      </w:r>
      <w:r w:rsidRPr="00C66550">
        <w:t>cover</w:t>
      </w:r>
      <w:r w:rsidR="002D47CA" w:rsidRPr="00C66550">
        <w:t xml:space="preserve"> disposal to </w:t>
      </w:r>
      <w:r w:rsidRPr="00C66550">
        <w:t>land, waterways</w:t>
      </w:r>
      <w:r w:rsidR="00B165FA" w:rsidRPr="00C66550">
        <w:t xml:space="preserve"> or atmosphere.</w:t>
      </w:r>
    </w:p>
    <w:p w:rsidR="00B165FA" w:rsidRPr="00C66550" w:rsidRDefault="00B165FA" w:rsidP="00BE7641">
      <w:pPr>
        <w:pStyle w:val="BodyText"/>
        <w:spacing w:before="120"/>
      </w:pPr>
      <w:r w:rsidRPr="00C66550">
        <w:rPr>
          <w:b/>
        </w:rPr>
        <w:t>Solid waste disposal to land:</w:t>
      </w:r>
      <w:r w:rsidRPr="00C66550">
        <w:t xml:space="preserve"> </w:t>
      </w:r>
      <w:r w:rsidR="00702E96" w:rsidRPr="00C66550">
        <w:t>A</w:t>
      </w:r>
      <w:r w:rsidRPr="00C66550">
        <w:t>lmost the entire mass of solid waste that is legally disposed</w:t>
      </w:r>
      <w:r w:rsidR="00947E86" w:rsidRPr="00C66550">
        <w:t xml:space="preserve"> of</w:t>
      </w:r>
      <w:r w:rsidRPr="00C66550">
        <w:t xml:space="preserve"> is </w:t>
      </w:r>
      <w:r w:rsidR="00947E86" w:rsidRPr="00C66550">
        <w:t xml:space="preserve">sent </w:t>
      </w:r>
      <w:r w:rsidRPr="00C66550">
        <w:t>to landfill</w:t>
      </w:r>
      <w:r w:rsidR="00702E96" w:rsidRPr="00C66550">
        <w:t>,</w:t>
      </w:r>
      <w:r w:rsidRPr="00C66550">
        <w:t xml:space="preserve"> regardless of the process used to manage the solid waste.</w:t>
      </w:r>
    </w:p>
    <w:p w:rsidR="00B165FA" w:rsidRPr="00C66550" w:rsidRDefault="00B165FA" w:rsidP="00BE7641">
      <w:pPr>
        <w:pStyle w:val="BodyText"/>
        <w:spacing w:before="120"/>
      </w:pPr>
      <w:r w:rsidRPr="00C66550">
        <w:rPr>
          <w:b/>
        </w:rPr>
        <w:lastRenderedPageBreak/>
        <w:t>Solid waste disposal to waterways:</w:t>
      </w:r>
      <w:r w:rsidRPr="00C66550">
        <w:t xml:space="preserve"> </w:t>
      </w:r>
      <w:r w:rsidR="00947E86" w:rsidRPr="00C66550">
        <w:t>The</w:t>
      </w:r>
      <w:r w:rsidRPr="00C66550">
        <w:t xml:space="preserve"> few examples of legal solid waste disposal to waterways</w:t>
      </w:r>
      <w:r w:rsidR="00947E86" w:rsidRPr="00C66550">
        <w:t xml:space="preserve"> (e.g. </w:t>
      </w:r>
      <w:r w:rsidRPr="00C66550">
        <w:t>dredging spoils</w:t>
      </w:r>
      <w:r w:rsidR="00947E86" w:rsidRPr="00C66550">
        <w:t xml:space="preserve">) </w:t>
      </w:r>
      <w:r w:rsidRPr="00C66550">
        <w:t xml:space="preserve">do not warrant </w:t>
      </w:r>
      <w:r w:rsidR="00947E86" w:rsidRPr="00C66550">
        <w:t xml:space="preserve">its </w:t>
      </w:r>
      <w:r w:rsidRPr="00C66550">
        <w:t>inclusion in the definition of solid waste disposal for the purposes of solid waste data reporting.</w:t>
      </w:r>
    </w:p>
    <w:p w:rsidR="00B165FA" w:rsidRPr="00C66550" w:rsidRDefault="00B165FA" w:rsidP="00947E86">
      <w:pPr>
        <w:pStyle w:val="BodyText"/>
        <w:spacing w:before="120"/>
      </w:pPr>
      <w:r w:rsidRPr="00C66550">
        <w:rPr>
          <w:b/>
        </w:rPr>
        <w:t>Solid waste disposal to atmosphere:</w:t>
      </w:r>
      <w:r w:rsidRPr="00C66550">
        <w:t xml:space="preserve"> </w:t>
      </w:r>
      <w:r w:rsidR="00702E96" w:rsidRPr="00C66550">
        <w:t>W</w:t>
      </w:r>
      <w:r w:rsidRPr="00C66550">
        <w:t>henever wastes are combusted or organic wastes decompose</w:t>
      </w:r>
      <w:r w:rsidR="0092601D" w:rsidRPr="00C66550">
        <w:t>,</w:t>
      </w:r>
      <w:r w:rsidRPr="00C66550">
        <w:t xml:space="preserve"> a portion of the waste</w:t>
      </w:r>
      <w:r w:rsidR="00947E86" w:rsidRPr="00C66550">
        <w:t xml:space="preserve"> mass</w:t>
      </w:r>
      <w:r w:rsidRPr="00C66550">
        <w:t xml:space="preserve"> is effectively disposed to atmosphere as gaseous wastes. </w:t>
      </w:r>
      <w:r w:rsidR="00947E86" w:rsidRPr="00C66550">
        <w:t>A</w:t>
      </w:r>
      <w:r w:rsidRPr="00C66550">
        <w:t xml:space="preserve">ccounting </w:t>
      </w:r>
      <w:r w:rsidR="00947E86" w:rsidRPr="00C66550">
        <w:t>for the tonn</w:t>
      </w:r>
      <w:r w:rsidRPr="00C66550">
        <w:t>e</w:t>
      </w:r>
      <w:r w:rsidR="00947E86" w:rsidRPr="00C66550">
        <w:t>s</w:t>
      </w:r>
      <w:r w:rsidRPr="00C66550">
        <w:t xml:space="preserve"> of solid wastes disposed to atmosphere (mainly as carbon dioxide) would be complex and would overlap with other areas of emission</w:t>
      </w:r>
      <w:r w:rsidR="005A1BE7" w:rsidRPr="00C66550">
        <w:t xml:space="preserve"> </w:t>
      </w:r>
      <w:r w:rsidRPr="00C66550">
        <w:t xml:space="preserve">reporting and regulation (e.g. greenhouse gas reporting). </w:t>
      </w:r>
      <w:r w:rsidR="0092601D" w:rsidRPr="00C66550">
        <w:t xml:space="preserve">For the purposes of this report, </w:t>
      </w:r>
      <w:r w:rsidRPr="00C66550">
        <w:t>disposal of solid wastes to atmosphere</w:t>
      </w:r>
      <w:r w:rsidR="0092601D" w:rsidRPr="00C66550">
        <w:t xml:space="preserve"> is not, therefore, </w:t>
      </w:r>
      <w:r w:rsidRPr="00C66550">
        <w:t xml:space="preserve">reported in solid waste disposal data. </w:t>
      </w:r>
    </w:p>
    <w:p w:rsidR="00B165FA" w:rsidRPr="00C66550" w:rsidRDefault="0096649C" w:rsidP="00622060">
      <w:pPr>
        <w:shd w:val="clear" w:color="auto" w:fill="CCECFF"/>
        <w:spacing w:before="120" w:line="240" w:lineRule="auto"/>
        <w:outlineLvl w:val="2"/>
        <w:rPr>
          <w:rStyle w:val="BodyTextChar"/>
        </w:rPr>
      </w:pPr>
      <w:r w:rsidRPr="00C66550">
        <w:rPr>
          <w:rStyle w:val="BodyTextChar"/>
          <w:b/>
        </w:rPr>
        <w:t>D</w:t>
      </w:r>
      <w:r w:rsidR="00B165FA" w:rsidRPr="00C66550">
        <w:rPr>
          <w:rStyle w:val="BodyTextChar"/>
          <w:b/>
        </w:rPr>
        <w:t>isposal</w:t>
      </w:r>
      <w:r w:rsidRPr="00C66550">
        <w:rPr>
          <w:rStyle w:val="BodyTextChar"/>
          <w:b/>
        </w:rPr>
        <w:t>:</w:t>
      </w:r>
      <w:r w:rsidR="00B165FA" w:rsidRPr="00C66550">
        <w:rPr>
          <w:rStyle w:val="BodyTextChar"/>
        </w:rPr>
        <w:t xml:space="preserve"> is solid waste that is deposited in a landfill</w:t>
      </w:r>
      <w:r w:rsidR="00AD30B2" w:rsidRPr="00C66550">
        <w:rPr>
          <w:rStyle w:val="BodyTextChar"/>
        </w:rPr>
        <w:t>,</w:t>
      </w:r>
      <w:r w:rsidR="00B165FA" w:rsidRPr="00C66550">
        <w:rPr>
          <w:rStyle w:val="BodyTextChar"/>
        </w:rPr>
        <w:t xml:space="preserve"> net of recovery of energy.</w:t>
      </w:r>
    </w:p>
    <w:p w:rsidR="009653CB" w:rsidRPr="00C66550" w:rsidRDefault="009653CB" w:rsidP="009653CB">
      <w:pPr>
        <w:pStyle w:val="BodyText"/>
      </w:pPr>
    </w:p>
    <w:p w:rsidR="0057290A" w:rsidRPr="00C66550" w:rsidRDefault="00B165FA" w:rsidP="006D25F9">
      <w:pPr>
        <w:pStyle w:val="Heading2"/>
      </w:pPr>
      <w:bookmarkStart w:id="296" w:name="_Toc379466416"/>
      <w:r w:rsidRPr="00C66550">
        <w:t>Waste generation</w:t>
      </w:r>
      <w:bookmarkEnd w:id="296"/>
    </w:p>
    <w:p w:rsidR="007725F3" w:rsidRPr="00C66550" w:rsidRDefault="00B165FA" w:rsidP="006B088D">
      <w:pPr>
        <w:spacing w:line="240" w:lineRule="auto"/>
        <w:rPr>
          <w:b/>
          <w:color w:val="080808"/>
          <w:sz w:val="22"/>
        </w:rPr>
      </w:pPr>
      <w:r w:rsidRPr="00C66550">
        <w:rPr>
          <w:color w:val="080808"/>
          <w:sz w:val="22"/>
        </w:rPr>
        <w:t>For waste data collations</w:t>
      </w:r>
      <w:r w:rsidR="00CF3BF9" w:rsidRPr="00C66550">
        <w:rPr>
          <w:color w:val="080808"/>
          <w:sz w:val="22"/>
        </w:rPr>
        <w:t>,</w:t>
      </w:r>
      <w:r w:rsidRPr="00C66550">
        <w:rPr>
          <w:color w:val="080808"/>
          <w:sz w:val="22"/>
        </w:rPr>
        <w:t xml:space="preserve"> waste generation is commonly estimated as follows:</w:t>
      </w:r>
    </w:p>
    <w:p w:rsidR="00B165FA" w:rsidRPr="00C66550" w:rsidRDefault="00B165FA" w:rsidP="006B088D">
      <w:pPr>
        <w:spacing w:before="120" w:line="240" w:lineRule="auto"/>
        <w:ind w:firstLine="720"/>
        <w:rPr>
          <w:color w:val="080808"/>
          <w:sz w:val="22"/>
        </w:rPr>
      </w:pPr>
      <w:r w:rsidRPr="00C66550">
        <w:rPr>
          <w:b/>
          <w:color w:val="080808"/>
          <w:sz w:val="22"/>
        </w:rPr>
        <w:t xml:space="preserve"> </w:t>
      </w:r>
      <w:r w:rsidRPr="00C66550">
        <w:rPr>
          <w:color w:val="080808"/>
          <w:sz w:val="22"/>
        </w:rPr>
        <w:t>Waste generation = resource recovery (recycling + energy recovery) + disposal.</w:t>
      </w:r>
    </w:p>
    <w:p w:rsidR="007725F3" w:rsidRPr="00C66550" w:rsidRDefault="007725F3" w:rsidP="00B165FA">
      <w:pPr>
        <w:spacing w:line="240" w:lineRule="auto"/>
        <w:rPr>
          <w:color w:val="080808"/>
          <w:sz w:val="22"/>
        </w:rPr>
      </w:pPr>
    </w:p>
    <w:p w:rsidR="00B165FA" w:rsidRPr="00C66550" w:rsidRDefault="00B165FA" w:rsidP="00B165FA">
      <w:pPr>
        <w:spacing w:line="240" w:lineRule="auto"/>
        <w:rPr>
          <w:color w:val="080808"/>
          <w:sz w:val="22"/>
        </w:rPr>
      </w:pPr>
      <w:r w:rsidRPr="00C66550">
        <w:rPr>
          <w:color w:val="080808"/>
          <w:sz w:val="22"/>
        </w:rPr>
        <w:t xml:space="preserve">This provides a clear definition for waste generation, </w:t>
      </w:r>
      <w:r w:rsidR="006B088D" w:rsidRPr="00C66550">
        <w:rPr>
          <w:color w:val="080808"/>
          <w:sz w:val="22"/>
        </w:rPr>
        <w:t>but</w:t>
      </w:r>
      <w:r w:rsidRPr="00C66550">
        <w:rPr>
          <w:color w:val="080808"/>
          <w:sz w:val="22"/>
        </w:rPr>
        <w:t xml:space="preserve"> not all waste generat</w:t>
      </w:r>
      <w:r w:rsidR="00664651" w:rsidRPr="00C66550">
        <w:rPr>
          <w:color w:val="080808"/>
          <w:sz w:val="22"/>
        </w:rPr>
        <w:t>ion</w:t>
      </w:r>
      <w:r w:rsidRPr="00C66550">
        <w:rPr>
          <w:color w:val="080808"/>
          <w:sz w:val="22"/>
        </w:rPr>
        <w:t xml:space="preserve"> can be readily measured and reported. </w:t>
      </w:r>
      <w:r w:rsidR="005C7061" w:rsidRPr="00C66550">
        <w:rPr>
          <w:color w:val="080808"/>
          <w:sz w:val="22"/>
        </w:rPr>
        <w:t>The</w:t>
      </w:r>
      <w:r w:rsidR="00EA10EC" w:rsidRPr="00C66550">
        <w:rPr>
          <w:color w:val="080808"/>
          <w:sz w:val="22"/>
        </w:rPr>
        <w:t xml:space="preserve"> w</w:t>
      </w:r>
      <w:r w:rsidRPr="00C66550">
        <w:rPr>
          <w:color w:val="080808"/>
          <w:sz w:val="22"/>
        </w:rPr>
        <w:t xml:space="preserve">aste generation </w:t>
      </w:r>
      <w:r w:rsidR="00664651" w:rsidRPr="00C66550">
        <w:rPr>
          <w:color w:val="080808"/>
          <w:sz w:val="22"/>
        </w:rPr>
        <w:t>data</w:t>
      </w:r>
      <w:r w:rsidR="005C7061" w:rsidRPr="00C66550">
        <w:rPr>
          <w:color w:val="080808"/>
          <w:sz w:val="22"/>
        </w:rPr>
        <w:t xml:space="preserve"> presented in this report comprises</w:t>
      </w:r>
      <w:r w:rsidR="00664651" w:rsidRPr="00C66550">
        <w:rPr>
          <w:color w:val="080808"/>
          <w:sz w:val="22"/>
        </w:rPr>
        <w:t xml:space="preserve"> </w:t>
      </w:r>
      <w:r w:rsidRPr="00C66550">
        <w:rPr>
          <w:color w:val="080808"/>
          <w:sz w:val="22"/>
        </w:rPr>
        <w:t>th</w:t>
      </w:r>
      <w:r w:rsidR="005C7061" w:rsidRPr="00C66550">
        <w:rPr>
          <w:color w:val="080808"/>
          <w:sz w:val="22"/>
        </w:rPr>
        <w:t>at</w:t>
      </w:r>
      <w:r w:rsidRPr="00C66550">
        <w:rPr>
          <w:color w:val="080808"/>
          <w:sz w:val="22"/>
        </w:rPr>
        <w:t xml:space="preserve"> portion of waste </w:t>
      </w:r>
      <w:r w:rsidR="00B5334E" w:rsidRPr="00C66550">
        <w:rPr>
          <w:color w:val="080808"/>
          <w:sz w:val="22"/>
        </w:rPr>
        <w:t>for which data is readily available.</w:t>
      </w:r>
      <w:r w:rsidRPr="00C66550">
        <w:rPr>
          <w:color w:val="080808"/>
          <w:sz w:val="22"/>
        </w:rPr>
        <w:t xml:space="preserve"> Typically</w:t>
      </w:r>
      <w:r w:rsidR="00B5334E" w:rsidRPr="00C66550">
        <w:rPr>
          <w:color w:val="080808"/>
          <w:sz w:val="22"/>
        </w:rPr>
        <w:t>,</w:t>
      </w:r>
      <w:r w:rsidRPr="00C66550">
        <w:rPr>
          <w:color w:val="080808"/>
          <w:sz w:val="22"/>
        </w:rPr>
        <w:t xml:space="preserve"> </w:t>
      </w:r>
      <w:r w:rsidR="005C7061" w:rsidRPr="00C66550">
        <w:rPr>
          <w:color w:val="080808"/>
          <w:sz w:val="22"/>
        </w:rPr>
        <w:t>this is data on</w:t>
      </w:r>
      <w:r w:rsidRPr="00C66550">
        <w:rPr>
          <w:color w:val="080808"/>
          <w:sz w:val="22"/>
        </w:rPr>
        <w:t xml:space="preserve"> wastes managed </w:t>
      </w:r>
      <w:r w:rsidR="005C7061" w:rsidRPr="00C66550">
        <w:rPr>
          <w:color w:val="080808"/>
          <w:sz w:val="22"/>
        </w:rPr>
        <w:t>at</w:t>
      </w:r>
      <w:r w:rsidRPr="00C66550">
        <w:rPr>
          <w:color w:val="080808"/>
          <w:sz w:val="22"/>
        </w:rPr>
        <w:t xml:space="preserve"> a centralised waste facility</w:t>
      </w:r>
      <w:r w:rsidR="00664651" w:rsidRPr="00C66550">
        <w:rPr>
          <w:color w:val="080808"/>
          <w:sz w:val="22"/>
        </w:rPr>
        <w:t xml:space="preserve"> offsite from the waste generation source</w:t>
      </w:r>
      <w:r w:rsidR="00EA10EC" w:rsidRPr="00C66550">
        <w:rPr>
          <w:color w:val="080808"/>
          <w:sz w:val="22"/>
        </w:rPr>
        <w:t xml:space="preserve">. </w:t>
      </w:r>
      <w:r w:rsidR="005C7061" w:rsidRPr="00C66550">
        <w:rPr>
          <w:color w:val="080808"/>
          <w:sz w:val="22"/>
        </w:rPr>
        <w:t>In some</w:t>
      </w:r>
      <w:r w:rsidR="005C4255" w:rsidRPr="00C66550">
        <w:rPr>
          <w:color w:val="080808"/>
          <w:sz w:val="22"/>
        </w:rPr>
        <w:t xml:space="preserve"> </w:t>
      </w:r>
      <w:r w:rsidRPr="00C66550">
        <w:rPr>
          <w:color w:val="080808"/>
          <w:sz w:val="22"/>
        </w:rPr>
        <w:t>instances</w:t>
      </w:r>
      <w:r w:rsidR="005C7061" w:rsidRPr="00C66550">
        <w:rPr>
          <w:color w:val="080808"/>
          <w:sz w:val="22"/>
        </w:rPr>
        <w:t>,</w:t>
      </w:r>
      <w:r w:rsidRPr="00C66550">
        <w:rPr>
          <w:color w:val="080808"/>
          <w:sz w:val="22"/>
        </w:rPr>
        <w:t xml:space="preserve"> waste that is managed onsite </w:t>
      </w:r>
      <w:r w:rsidR="005C7061" w:rsidRPr="00C66550">
        <w:rPr>
          <w:color w:val="080808"/>
          <w:sz w:val="22"/>
        </w:rPr>
        <w:t xml:space="preserve">is </w:t>
      </w:r>
      <w:r w:rsidRPr="00C66550">
        <w:rPr>
          <w:color w:val="080808"/>
          <w:sz w:val="22"/>
        </w:rPr>
        <w:t xml:space="preserve">also </w:t>
      </w:r>
      <w:r w:rsidR="005C7061" w:rsidRPr="00C66550">
        <w:rPr>
          <w:color w:val="080808"/>
          <w:sz w:val="22"/>
        </w:rPr>
        <w:t xml:space="preserve">included </w:t>
      </w:r>
      <w:r w:rsidR="00664651" w:rsidRPr="00C66550">
        <w:rPr>
          <w:color w:val="080808"/>
          <w:sz w:val="22"/>
        </w:rPr>
        <w:t>e.g. disposal of fly ash onsite</w:t>
      </w:r>
      <w:r w:rsidRPr="00C66550">
        <w:rPr>
          <w:color w:val="080808"/>
          <w:sz w:val="22"/>
        </w:rPr>
        <w:t>.</w:t>
      </w:r>
    </w:p>
    <w:p w:rsidR="00B165FA" w:rsidRPr="00C66550" w:rsidRDefault="00B165FA" w:rsidP="005C7061">
      <w:pPr>
        <w:shd w:val="clear" w:color="auto" w:fill="CCECFF"/>
        <w:spacing w:before="120" w:line="240" w:lineRule="auto"/>
        <w:outlineLvl w:val="2"/>
        <w:rPr>
          <w:rStyle w:val="BodyTextChar"/>
          <w:b/>
          <w:vertAlign w:val="superscript"/>
        </w:rPr>
      </w:pPr>
      <w:r w:rsidRPr="00C66550">
        <w:rPr>
          <w:rStyle w:val="BodyTextChar"/>
          <w:b/>
        </w:rPr>
        <w:t>Waste generation = resource recovery (recycling + energy recovery) + disposal</w:t>
      </w:r>
      <w:r w:rsidRPr="00C66550">
        <w:rPr>
          <w:rStyle w:val="BodyTextChar"/>
          <w:b/>
          <w:vertAlign w:val="superscript"/>
        </w:rPr>
        <w:footnoteReference w:id="32"/>
      </w:r>
    </w:p>
    <w:p w:rsidR="009653CB" w:rsidRPr="00C66550" w:rsidRDefault="009653CB">
      <w:pPr>
        <w:spacing w:line="240" w:lineRule="auto"/>
      </w:pPr>
    </w:p>
    <w:p w:rsidR="00B165FA" w:rsidRPr="00C66550" w:rsidRDefault="00B165FA" w:rsidP="006D25F9">
      <w:pPr>
        <w:pStyle w:val="Heading2"/>
      </w:pPr>
      <w:bookmarkStart w:id="297" w:name="_Toc379466417"/>
      <w:r w:rsidRPr="00C66550">
        <w:t>Resource recovery</w:t>
      </w:r>
      <w:bookmarkEnd w:id="297"/>
    </w:p>
    <w:p w:rsidR="00FF0C93" w:rsidRPr="00C66550" w:rsidRDefault="00B165FA" w:rsidP="00C134A0">
      <w:pPr>
        <w:spacing w:line="240" w:lineRule="auto"/>
        <w:rPr>
          <w:sz w:val="22"/>
        </w:rPr>
      </w:pPr>
      <w:r w:rsidRPr="00C66550">
        <w:rPr>
          <w:sz w:val="22"/>
        </w:rPr>
        <w:t>The Australian Standard defines resource recovery as</w:t>
      </w:r>
      <w:r w:rsidR="00326710" w:rsidRPr="00C66550">
        <w:rPr>
          <w:sz w:val="22"/>
        </w:rPr>
        <w:t>:</w:t>
      </w:r>
    </w:p>
    <w:p w:rsidR="00FF0C93" w:rsidRPr="00C66550" w:rsidRDefault="00207FD3" w:rsidP="005C7061">
      <w:pPr>
        <w:spacing w:before="120" w:line="240" w:lineRule="auto"/>
        <w:ind w:left="567" w:right="567"/>
        <w:rPr>
          <w:i/>
          <w:sz w:val="22"/>
        </w:rPr>
      </w:pPr>
      <w:r w:rsidRPr="00C66550">
        <w:rPr>
          <w:i/>
          <w:sz w:val="22"/>
        </w:rPr>
        <w:t xml:space="preserve">“ </w:t>
      </w:r>
      <w:r w:rsidR="008D5E76" w:rsidRPr="00C66550">
        <w:rPr>
          <w:i/>
          <w:sz w:val="22"/>
        </w:rPr>
        <w:t>...</w:t>
      </w:r>
      <w:r w:rsidRPr="00C66550">
        <w:rPr>
          <w:i/>
          <w:sz w:val="22"/>
        </w:rPr>
        <w:t xml:space="preserve">a process that extracts material or energy from the waste stream”. </w:t>
      </w:r>
    </w:p>
    <w:p w:rsidR="00FF0C93" w:rsidRPr="00C66550" w:rsidRDefault="00FF0C93" w:rsidP="00C134A0">
      <w:pPr>
        <w:spacing w:line="240" w:lineRule="auto"/>
        <w:rPr>
          <w:sz w:val="22"/>
        </w:rPr>
      </w:pPr>
    </w:p>
    <w:p w:rsidR="00FF0C93" w:rsidRPr="00C66550" w:rsidRDefault="00B165FA" w:rsidP="00C134A0">
      <w:pPr>
        <w:rPr>
          <w:sz w:val="22"/>
        </w:rPr>
      </w:pPr>
      <w:r w:rsidRPr="00C66550">
        <w:rPr>
          <w:sz w:val="22"/>
        </w:rPr>
        <w:t xml:space="preserve">The </w:t>
      </w:r>
      <w:r w:rsidRPr="00C66550">
        <w:rPr>
          <w:i/>
          <w:sz w:val="22"/>
        </w:rPr>
        <w:t>National Waste Report 2010</w:t>
      </w:r>
      <w:r w:rsidRPr="00C66550">
        <w:rPr>
          <w:sz w:val="22"/>
        </w:rPr>
        <w:t xml:space="preserve"> defines resource recovery as:</w:t>
      </w:r>
    </w:p>
    <w:p w:rsidR="00FF0C93" w:rsidRPr="00C66550" w:rsidRDefault="00207FD3" w:rsidP="005C7061">
      <w:pPr>
        <w:spacing w:before="120" w:line="240" w:lineRule="auto"/>
        <w:ind w:left="567" w:right="567"/>
        <w:rPr>
          <w:i/>
          <w:sz w:val="22"/>
        </w:rPr>
      </w:pPr>
      <w:r w:rsidRPr="00C66550">
        <w:rPr>
          <w:i/>
          <w:sz w:val="22"/>
        </w:rPr>
        <w:t>“...the process of extracting materials or energy from a waste stream through reuse (using the product for the same or a different purpose without further production), recycling or recovering energy from waste”.</w:t>
      </w:r>
    </w:p>
    <w:p w:rsidR="00FF0C93" w:rsidRPr="00C66550" w:rsidRDefault="00FF0C93" w:rsidP="00C134A0">
      <w:pPr>
        <w:spacing w:line="240" w:lineRule="auto"/>
        <w:rPr>
          <w:sz w:val="22"/>
        </w:rPr>
      </w:pPr>
    </w:p>
    <w:p w:rsidR="00FF0C93" w:rsidRPr="00C66550" w:rsidRDefault="00B165FA" w:rsidP="00C134A0">
      <w:pPr>
        <w:spacing w:line="240" w:lineRule="auto"/>
        <w:rPr>
          <w:sz w:val="22"/>
        </w:rPr>
      </w:pPr>
      <w:r w:rsidRPr="00C66550">
        <w:rPr>
          <w:sz w:val="22"/>
        </w:rPr>
        <w:t>The US EPA defines recovery as:</w:t>
      </w:r>
    </w:p>
    <w:p w:rsidR="00FF0C93" w:rsidRPr="00C66550" w:rsidRDefault="00FF0C93" w:rsidP="00C134A0">
      <w:pPr>
        <w:spacing w:line="240" w:lineRule="auto"/>
        <w:rPr>
          <w:sz w:val="22"/>
        </w:rPr>
      </w:pPr>
    </w:p>
    <w:p w:rsidR="00FF0C93" w:rsidRPr="00C66550" w:rsidRDefault="00207FD3" w:rsidP="005C7061">
      <w:pPr>
        <w:spacing w:before="120" w:line="240" w:lineRule="auto"/>
        <w:ind w:left="567" w:right="567"/>
        <w:rPr>
          <w:sz w:val="22"/>
        </w:rPr>
      </w:pPr>
      <w:r w:rsidRPr="00C66550">
        <w:rPr>
          <w:i/>
          <w:sz w:val="22"/>
        </w:rPr>
        <w:t xml:space="preserve"> “...the diversion of materials from the municipal solid waste stream for the purpose of recycling or composting. Excludes reuse and source reduction activities such as yard trimmings diverted to backyard (onsite) composting, the repair of wood pallets, and the refilling of beverage containers”. </w:t>
      </w:r>
      <w:r w:rsidR="00FB7021" w:rsidRPr="00C66550">
        <w:rPr>
          <w:i/>
          <w:sz w:val="22"/>
        </w:rPr>
        <w:br/>
      </w:r>
      <w:r w:rsidR="00AD25C2" w:rsidRPr="00C66550">
        <w:rPr>
          <w:sz w:val="22"/>
        </w:rPr>
        <w:t xml:space="preserve">Source: </w:t>
      </w:r>
      <w:hyperlink r:id="rId146" w:history="1">
        <w:r w:rsidR="00AD25C2" w:rsidRPr="00C66550">
          <w:rPr>
            <w:rStyle w:val="Hyperlink"/>
            <w:sz w:val="22"/>
          </w:rPr>
          <w:t>http://www.epa.gov/osw/conserve/tools/recmeas/docs/guide_a.pdf</w:t>
        </w:r>
      </w:hyperlink>
      <w:r w:rsidR="00AD25C2" w:rsidRPr="00C66550">
        <w:rPr>
          <w:sz w:val="22"/>
        </w:rPr>
        <w:t xml:space="preserve"> (Jan 2013).</w:t>
      </w:r>
      <w:r w:rsidR="00B165FA" w:rsidRPr="00C66550">
        <w:rPr>
          <w:sz w:val="22"/>
        </w:rPr>
        <w:t xml:space="preserve"> </w:t>
      </w:r>
    </w:p>
    <w:p w:rsidR="008D5E76" w:rsidRPr="00C66550" w:rsidRDefault="008D5E76" w:rsidP="00B165FA">
      <w:pPr>
        <w:contextualSpacing/>
        <w:rPr>
          <w:b/>
          <w:sz w:val="22"/>
        </w:rPr>
      </w:pPr>
    </w:p>
    <w:p w:rsidR="008E26BA" w:rsidRPr="00C66550" w:rsidRDefault="00545330" w:rsidP="00C134A0">
      <w:pPr>
        <w:contextualSpacing/>
        <w:rPr>
          <w:sz w:val="22"/>
        </w:rPr>
      </w:pPr>
      <w:r w:rsidRPr="00C66550">
        <w:rPr>
          <w:sz w:val="22"/>
        </w:rPr>
        <w:t>This report adopts a</w:t>
      </w:r>
      <w:r w:rsidR="00B165FA" w:rsidRPr="00C66550">
        <w:rPr>
          <w:sz w:val="22"/>
        </w:rPr>
        <w:t xml:space="preserve"> definition for resource recovery</w:t>
      </w:r>
      <w:r w:rsidRPr="00C66550">
        <w:rPr>
          <w:sz w:val="22"/>
        </w:rPr>
        <w:t xml:space="preserve"> that excludes reuse, </w:t>
      </w:r>
      <w:r w:rsidR="00C70CDA" w:rsidRPr="00C66550">
        <w:rPr>
          <w:sz w:val="22"/>
        </w:rPr>
        <w:t xml:space="preserve">is </w:t>
      </w:r>
      <w:r w:rsidR="00B165FA" w:rsidRPr="00C66550">
        <w:rPr>
          <w:sz w:val="22"/>
        </w:rPr>
        <w:t>consistent with</w:t>
      </w:r>
      <w:r w:rsidR="00C70CDA" w:rsidRPr="00C66550">
        <w:rPr>
          <w:sz w:val="22"/>
        </w:rPr>
        <w:t xml:space="preserve"> </w:t>
      </w:r>
      <w:r w:rsidR="00B165FA" w:rsidRPr="00C66550">
        <w:rPr>
          <w:sz w:val="22"/>
        </w:rPr>
        <w:t xml:space="preserve">the Australian </w:t>
      </w:r>
      <w:r w:rsidR="00C70CDA" w:rsidRPr="00C66550">
        <w:rPr>
          <w:sz w:val="22"/>
        </w:rPr>
        <w:t>S</w:t>
      </w:r>
      <w:r w:rsidR="00B165FA" w:rsidRPr="00C66550">
        <w:rPr>
          <w:sz w:val="22"/>
        </w:rPr>
        <w:t xml:space="preserve">tandard and the US EPA </w:t>
      </w:r>
      <w:r w:rsidR="00C70CDA" w:rsidRPr="00C66550">
        <w:rPr>
          <w:sz w:val="22"/>
        </w:rPr>
        <w:t>definition</w:t>
      </w:r>
      <w:r w:rsidR="00B165FA" w:rsidRPr="00C66550">
        <w:rPr>
          <w:sz w:val="22"/>
        </w:rPr>
        <w:t>. When a product or material remains in use</w:t>
      </w:r>
      <w:r w:rsidR="00C70CDA" w:rsidRPr="00C66550">
        <w:rPr>
          <w:sz w:val="22"/>
        </w:rPr>
        <w:t>,</w:t>
      </w:r>
      <w:r w:rsidR="00B165FA" w:rsidRPr="00C66550">
        <w:rPr>
          <w:sz w:val="22"/>
        </w:rPr>
        <w:t xml:space="preserve"> it has not </w:t>
      </w:r>
      <w:r w:rsidR="00B165FA" w:rsidRPr="00C66550">
        <w:rPr>
          <w:sz w:val="22"/>
        </w:rPr>
        <w:lastRenderedPageBreak/>
        <w:t>been recovered for its resource value as is the case when it has been recycled or recovered for energy. This is consistent with the exclusion of reuse from the definition</w:t>
      </w:r>
      <w:r w:rsidRPr="00C66550">
        <w:rPr>
          <w:sz w:val="22"/>
        </w:rPr>
        <w:t>s</w:t>
      </w:r>
      <w:r w:rsidR="00B165FA" w:rsidRPr="00C66550">
        <w:rPr>
          <w:sz w:val="22"/>
        </w:rPr>
        <w:t xml:space="preserve"> of waste and waste generation as discussed </w:t>
      </w:r>
      <w:r w:rsidR="009148D9" w:rsidRPr="00C66550">
        <w:rPr>
          <w:sz w:val="22"/>
        </w:rPr>
        <w:t>above.</w:t>
      </w:r>
      <w:r w:rsidR="00C134A0" w:rsidRPr="00C66550">
        <w:rPr>
          <w:sz w:val="22"/>
        </w:rPr>
        <w:t xml:space="preserve"> </w:t>
      </w:r>
    </w:p>
    <w:p w:rsidR="00545330" w:rsidRPr="00C66550" w:rsidRDefault="00545330" w:rsidP="00C134A0">
      <w:pPr>
        <w:contextualSpacing/>
        <w:rPr>
          <w:sz w:val="22"/>
        </w:rPr>
      </w:pPr>
    </w:p>
    <w:p w:rsidR="00B165FA" w:rsidRPr="00C66550" w:rsidRDefault="00B165FA" w:rsidP="00C134A0">
      <w:pPr>
        <w:contextualSpacing/>
        <w:rPr>
          <w:sz w:val="22"/>
        </w:rPr>
      </w:pPr>
      <w:r w:rsidRPr="00C66550">
        <w:rPr>
          <w:sz w:val="22"/>
        </w:rPr>
        <w:t xml:space="preserve">In some instances, the amount of products or materials reported as ‘recovered’ is the total </w:t>
      </w:r>
      <w:r w:rsidR="008E26BA" w:rsidRPr="00C66550">
        <w:rPr>
          <w:sz w:val="22"/>
        </w:rPr>
        <w:t>tonnage of materials sent to an EfW facility</w:t>
      </w:r>
      <w:r w:rsidRPr="00C66550">
        <w:rPr>
          <w:sz w:val="22"/>
        </w:rPr>
        <w:t xml:space="preserve">, </w:t>
      </w:r>
      <w:r w:rsidR="008E26BA" w:rsidRPr="00C66550">
        <w:rPr>
          <w:sz w:val="22"/>
        </w:rPr>
        <w:t xml:space="preserve">without </w:t>
      </w:r>
      <w:r w:rsidRPr="00C66550">
        <w:rPr>
          <w:sz w:val="22"/>
        </w:rPr>
        <w:t>subtract</w:t>
      </w:r>
      <w:r w:rsidR="008E26BA" w:rsidRPr="00C66550">
        <w:rPr>
          <w:sz w:val="22"/>
        </w:rPr>
        <w:t>ing</w:t>
      </w:r>
      <w:r w:rsidRPr="00C66550">
        <w:rPr>
          <w:sz w:val="22"/>
        </w:rPr>
        <w:t xml:space="preserve"> the residual wastes that are disposed. The amount of residual wastes for some resource recovery processes can be significant (e.g. the tonnage of </w:t>
      </w:r>
      <w:r w:rsidR="008E26BA" w:rsidRPr="00C66550">
        <w:rPr>
          <w:sz w:val="22"/>
        </w:rPr>
        <w:t xml:space="preserve">bottom </w:t>
      </w:r>
      <w:r w:rsidRPr="00C66550">
        <w:rPr>
          <w:sz w:val="22"/>
        </w:rPr>
        <w:t xml:space="preserve">ash from </w:t>
      </w:r>
      <w:r w:rsidR="008E26BA" w:rsidRPr="00C66550">
        <w:rPr>
          <w:sz w:val="22"/>
        </w:rPr>
        <w:t>EfW facilities</w:t>
      </w:r>
      <w:r w:rsidRPr="00C66550">
        <w:rPr>
          <w:sz w:val="22"/>
        </w:rPr>
        <w:t>).</w:t>
      </w:r>
    </w:p>
    <w:p w:rsidR="00B165FA" w:rsidRPr="00C66550" w:rsidRDefault="00C70CDA" w:rsidP="008E26BA">
      <w:pPr>
        <w:shd w:val="clear" w:color="auto" w:fill="CCECFF"/>
        <w:spacing w:before="120" w:after="120" w:line="240" w:lineRule="auto"/>
        <w:outlineLvl w:val="2"/>
        <w:rPr>
          <w:rStyle w:val="BodyTextChar"/>
        </w:rPr>
      </w:pPr>
      <w:r w:rsidRPr="00C66550">
        <w:rPr>
          <w:rStyle w:val="BodyTextChar"/>
          <w:b/>
        </w:rPr>
        <w:t>R</w:t>
      </w:r>
      <w:r w:rsidR="00B165FA" w:rsidRPr="00C66550">
        <w:rPr>
          <w:rStyle w:val="BodyTextChar"/>
          <w:b/>
        </w:rPr>
        <w:t>esource recovery</w:t>
      </w:r>
      <w:r w:rsidR="008E26BA" w:rsidRPr="00C66550">
        <w:rPr>
          <w:rStyle w:val="BodyTextChar"/>
          <w:b/>
        </w:rPr>
        <w:t>:</w:t>
      </w:r>
      <w:r w:rsidR="00B165FA" w:rsidRPr="00C66550">
        <w:rPr>
          <w:rStyle w:val="BodyTextChar"/>
        </w:rPr>
        <w:t xml:space="preserve"> is the sum of materials sent to recycling and energy recovery </w:t>
      </w:r>
      <w:r w:rsidR="008E26BA" w:rsidRPr="00C66550">
        <w:rPr>
          <w:rStyle w:val="BodyTextChar"/>
        </w:rPr>
        <w:t>net of</w:t>
      </w:r>
      <w:r w:rsidR="00B165FA" w:rsidRPr="00C66550">
        <w:rPr>
          <w:rStyle w:val="BodyTextChar"/>
        </w:rPr>
        <w:t xml:space="preserve"> contaminants</w:t>
      </w:r>
      <w:r w:rsidR="00545330" w:rsidRPr="00C66550">
        <w:rPr>
          <w:rStyle w:val="BodyTextChar"/>
        </w:rPr>
        <w:t xml:space="preserve"> and </w:t>
      </w:r>
      <w:r w:rsidR="00B165FA" w:rsidRPr="00C66550">
        <w:rPr>
          <w:rStyle w:val="BodyTextChar"/>
        </w:rPr>
        <w:t>residual wastes sent to disposal.</w:t>
      </w:r>
    </w:p>
    <w:p w:rsidR="00B165FA" w:rsidRPr="00C66550" w:rsidRDefault="00B165FA" w:rsidP="008E26BA">
      <w:pPr>
        <w:shd w:val="clear" w:color="auto" w:fill="CCECFF"/>
        <w:spacing w:before="120" w:after="120" w:line="240" w:lineRule="auto"/>
        <w:jc w:val="center"/>
        <w:outlineLvl w:val="2"/>
        <w:rPr>
          <w:rStyle w:val="BodyTextChar"/>
          <w:b/>
        </w:rPr>
      </w:pPr>
      <w:r w:rsidRPr="00C66550">
        <w:rPr>
          <w:rStyle w:val="BodyTextChar"/>
          <w:b/>
        </w:rPr>
        <w:t>Resource recovery = recycling + recovery of energy</w:t>
      </w:r>
    </w:p>
    <w:p w:rsidR="009653CB" w:rsidRPr="00C66550" w:rsidRDefault="009653CB" w:rsidP="009653CB">
      <w:pPr>
        <w:pStyle w:val="BodyText"/>
      </w:pPr>
    </w:p>
    <w:p w:rsidR="00B165FA" w:rsidRPr="00C66550" w:rsidRDefault="00B165FA" w:rsidP="006D25F9">
      <w:pPr>
        <w:pStyle w:val="Heading2"/>
      </w:pPr>
      <w:bookmarkStart w:id="298" w:name="_Toc379466418"/>
      <w:r w:rsidRPr="00C66550">
        <w:t>Resource recovery rate</w:t>
      </w:r>
      <w:bookmarkEnd w:id="298"/>
    </w:p>
    <w:p w:rsidR="00B165FA" w:rsidRPr="00C66550" w:rsidRDefault="00B165FA" w:rsidP="00B165FA">
      <w:pPr>
        <w:rPr>
          <w:sz w:val="22"/>
        </w:rPr>
      </w:pPr>
      <w:r w:rsidRPr="00C66550">
        <w:rPr>
          <w:sz w:val="22"/>
        </w:rPr>
        <w:t>Based on the definitions outlined above for waste generation and resource recovery</w:t>
      </w:r>
      <w:r w:rsidR="00545330" w:rsidRPr="00C66550">
        <w:rPr>
          <w:sz w:val="22"/>
        </w:rPr>
        <w:t>,</w:t>
      </w:r>
      <w:r w:rsidRPr="00C66550">
        <w:rPr>
          <w:sz w:val="22"/>
        </w:rPr>
        <w:t xml:space="preserve"> the resource recovery rate is the </w:t>
      </w:r>
      <w:r w:rsidR="00545330" w:rsidRPr="00C66550">
        <w:rPr>
          <w:sz w:val="22"/>
        </w:rPr>
        <w:t>tonnes of waste undergoing resource recovery expressed as a fraction of the tonnes of waste generated</w:t>
      </w:r>
      <w:r w:rsidRPr="00C66550">
        <w:rPr>
          <w:sz w:val="22"/>
        </w:rPr>
        <w:t>.</w:t>
      </w:r>
    </w:p>
    <w:p w:rsidR="00B165FA" w:rsidRPr="00C66550" w:rsidRDefault="00B165FA" w:rsidP="00B165FA">
      <w:pPr>
        <w:rPr>
          <w:sz w:val="22"/>
        </w:rPr>
      </w:pPr>
      <w:r w:rsidRPr="00C66550">
        <w:rPr>
          <w:sz w:val="22"/>
        </w:rPr>
        <w:t xml:space="preserve"> </w:t>
      </w:r>
    </w:p>
    <w:p w:rsidR="00B165FA" w:rsidRPr="00C66550" w:rsidRDefault="008E26BA" w:rsidP="008E26BA">
      <w:pPr>
        <w:shd w:val="clear" w:color="auto" w:fill="CCECFF"/>
        <w:spacing w:before="120" w:after="120" w:line="240" w:lineRule="auto"/>
        <w:jc w:val="center"/>
        <w:outlineLvl w:val="2"/>
        <w:rPr>
          <w:rStyle w:val="BodyTextChar"/>
          <w:b/>
        </w:rPr>
      </w:pPr>
      <w:r w:rsidRPr="00C66550">
        <w:rPr>
          <w:rStyle w:val="BodyTextChar"/>
          <w:b/>
        </w:rPr>
        <w:t>R</w:t>
      </w:r>
      <w:r w:rsidR="00207FD3" w:rsidRPr="00C66550">
        <w:rPr>
          <w:rStyle w:val="BodyTextChar"/>
          <w:b/>
        </w:rPr>
        <w:t>esource recovery rate</w:t>
      </w:r>
      <w:r w:rsidR="00204A57" w:rsidRPr="00C66550">
        <w:rPr>
          <w:rStyle w:val="BodyTextChar"/>
          <w:b/>
        </w:rPr>
        <w:t xml:space="preserve"> (%)</w:t>
      </w:r>
      <w:r w:rsidR="00207FD3" w:rsidRPr="00C66550">
        <w:rPr>
          <w:rStyle w:val="BodyTextChar"/>
          <w:b/>
        </w:rPr>
        <w:t xml:space="preserve"> = resource recovery/waste generation</w:t>
      </w:r>
    </w:p>
    <w:p w:rsidR="00C26EA4" w:rsidRPr="00C66550" w:rsidRDefault="00C26EA4">
      <w:pPr>
        <w:spacing w:line="240" w:lineRule="auto"/>
        <w:rPr>
          <w:color w:val="080808"/>
          <w:sz w:val="22"/>
        </w:rPr>
      </w:pPr>
    </w:p>
    <w:p w:rsidR="00C26EA4" w:rsidRPr="00C66550" w:rsidRDefault="0062001A" w:rsidP="00C26EA4">
      <w:pPr>
        <w:spacing w:line="240" w:lineRule="auto"/>
        <w:rPr>
          <w:color w:val="080808"/>
          <w:sz w:val="22"/>
        </w:rPr>
      </w:pPr>
      <w:fldSimple w:instr=" REF _Ref349921422 \h  \* MERGEFORMAT ">
        <w:r w:rsidR="00D96003" w:rsidRPr="00D96003">
          <w:rPr>
            <w:sz w:val="22"/>
          </w:rPr>
          <w:t xml:space="preserve">Figure </w:t>
        </w:r>
        <w:r w:rsidR="00D96003" w:rsidRPr="00D96003">
          <w:rPr>
            <w:noProof/>
            <w:sz w:val="22"/>
          </w:rPr>
          <w:t>52</w:t>
        </w:r>
      </w:fldSimple>
      <w:r w:rsidR="00C26EA4" w:rsidRPr="00C66550">
        <w:rPr>
          <w:color w:val="080808"/>
          <w:sz w:val="22"/>
        </w:rPr>
        <w:t xml:space="preserve"> illustrates the above definitions and how they relate to each other and the lifecycle of materials. It also illustrates the broad scope of reporting for </w:t>
      </w:r>
      <w:r w:rsidR="00DF4FB7" w:rsidRPr="00DF4FB7">
        <w:rPr>
          <w:color w:val="080808"/>
          <w:sz w:val="22"/>
        </w:rPr>
        <w:t>WGRRA</w:t>
      </w:r>
      <w:r w:rsidR="00C26EA4" w:rsidRPr="00C66550">
        <w:rPr>
          <w:color w:val="080808"/>
          <w:sz w:val="22"/>
        </w:rPr>
        <w:t>.</w:t>
      </w:r>
    </w:p>
    <w:p w:rsidR="00330571" w:rsidRPr="00C66550" w:rsidRDefault="00330571">
      <w:pPr>
        <w:spacing w:line="240" w:lineRule="auto"/>
        <w:rPr>
          <w:color w:val="080808"/>
          <w:sz w:val="22"/>
        </w:rPr>
      </w:pPr>
      <w:r w:rsidRPr="00C66550">
        <w:rPr>
          <w:color w:val="080808"/>
          <w:sz w:val="22"/>
        </w:rPr>
        <w:br w:type="page"/>
      </w:r>
    </w:p>
    <w:p w:rsidR="00330571" w:rsidRPr="00977C80" w:rsidRDefault="00330571" w:rsidP="00FB4820">
      <w:pPr>
        <w:pStyle w:val="Figures"/>
        <w:rPr>
          <w:i/>
        </w:rPr>
      </w:pPr>
      <w:bookmarkStart w:id="299" w:name="_Ref349921422"/>
      <w:bookmarkStart w:id="300" w:name="_Toc365385061"/>
      <w:r w:rsidRPr="00C66550">
        <w:lastRenderedPageBreak/>
        <w:t xml:space="preserve">Figure </w:t>
      </w:r>
      <w:r w:rsidR="0062001A" w:rsidRPr="00C66550">
        <w:fldChar w:fldCharType="begin"/>
      </w:r>
      <w:r w:rsidRPr="00C66550">
        <w:instrText xml:space="preserve"> SEQ Figure \* ARABIC </w:instrText>
      </w:r>
      <w:r w:rsidR="0062001A" w:rsidRPr="00C66550">
        <w:fldChar w:fldCharType="separate"/>
      </w:r>
      <w:r w:rsidR="00D96003">
        <w:rPr>
          <w:noProof/>
        </w:rPr>
        <w:t>52</w:t>
      </w:r>
      <w:r w:rsidR="0062001A" w:rsidRPr="00C66550">
        <w:fldChar w:fldCharType="end"/>
      </w:r>
      <w:bookmarkEnd w:id="299"/>
      <w:r w:rsidRPr="00C66550">
        <w:t>:</w:t>
      </w:r>
      <w:r w:rsidRPr="00C66550">
        <w:tab/>
        <w:t xml:space="preserve">Illustration of </w:t>
      </w:r>
      <w:r w:rsidR="00977C80">
        <w:t>the</w:t>
      </w:r>
      <w:r w:rsidRPr="00C66550">
        <w:t xml:space="preserve"> definitions and scope of reporti</w:t>
      </w:r>
      <w:r w:rsidR="006B75F4" w:rsidRPr="00C66550">
        <w:t>ng</w:t>
      </w:r>
      <w:r w:rsidR="00977C80">
        <w:t xml:space="preserve"> in </w:t>
      </w:r>
      <w:r w:rsidR="00C32723" w:rsidRPr="00C32723">
        <w:t>WGGRA</w:t>
      </w:r>
      <w:bookmarkEnd w:id="300"/>
    </w:p>
    <w:p w:rsidR="00B165FA" w:rsidRPr="00C66550" w:rsidRDefault="00BE7641" w:rsidP="00BE7641">
      <w:pPr>
        <w:spacing w:line="240" w:lineRule="auto"/>
        <w:jc w:val="center"/>
        <w:rPr>
          <w:color w:val="080808"/>
          <w:sz w:val="22"/>
        </w:rPr>
      </w:pPr>
      <w:r w:rsidRPr="00C66550">
        <w:rPr>
          <w:noProof/>
          <w:color w:val="080808"/>
          <w:sz w:val="22"/>
          <w:lang w:eastAsia="en-AU"/>
        </w:rPr>
        <w:drawing>
          <wp:anchor distT="0" distB="0" distL="114300" distR="114300" simplePos="0" relativeHeight="251748352" behindDoc="0" locked="0" layoutInCell="1" allowOverlap="1">
            <wp:simplePos x="0" y="0"/>
            <wp:positionH relativeFrom="column">
              <wp:posOffset>146050</wp:posOffset>
            </wp:positionH>
            <wp:positionV relativeFrom="paragraph">
              <wp:posOffset>90805</wp:posOffset>
            </wp:positionV>
            <wp:extent cx="5676265" cy="78771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A2012 definitions 3.emf"/>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6265" cy="7877175"/>
                    </a:xfrm>
                    <a:prstGeom prst="rect">
                      <a:avLst/>
                    </a:prstGeom>
                  </pic:spPr>
                </pic:pic>
              </a:graphicData>
            </a:graphic>
          </wp:anchor>
        </w:drawing>
      </w:r>
      <w:r w:rsidR="00B165FA" w:rsidRPr="00C66550">
        <w:rPr>
          <w:color w:val="080808"/>
          <w:sz w:val="22"/>
        </w:rPr>
        <w:br w:type="page"/>
      </w:r>
    </w:p>
    <w:p w:rsidR="00B165FA" w:rsidRPr="00C66550" w:rsidRDefault="00B165FA" w:rsidP="006D25F9">
      <w:pPr>
        <w:pStyle w:val="Heading1"/>
      </w:pPr>
      <w:bookmarkStart w:id="301" w:name="_Ref348713393"/>
      <w:bookmarkStart w:id="302" w:name="_Toc379466419"/>
      <w:r w:rsidRPr="00C66550">
        <w:lastRenderedPageBreak/>
        <w:t xml:space="preserve">Scope and </w:t>
      </w:r>
      <w:r w:rsidR="00875317" w:rsidRPr="00C66550">
        <w:t>method</w:t>
      </w:r>
      <w:r w:rsidRPr="00C66550">
        <w:t xml:space="preserve"> of </w:t>
      </w:r>
      <w:bookmarkEnd w:id="301"/>
      <w:r w:rsidR="00977C80">
        <w:t>data reporting</w:t>
      </w:r>
      <w:bookmarkEnd w:id="302"/>
    </w:p>
    <w:p w:rsidR="00B165FA" w:rsidRPr="00C66550" w:rsidRDefault="0062001A" w:rsidP="00B165FA">
      <w:pPr>
        <w:rPr>
          <w:sz w:val="22"/>
        </w:rPr>
      </w:pPr>
      <w:fldSimple w:instr=" REF _Ref349921422 \h  \* MERGEFORMAT ">
        <w:r w:rsidR="00D96003" w:rsidRPr="00D96003">
          <w:rPr>
            <w:sz w:val="22"/>
          </w:rPr>
          <w:t xml:space="preserve">Figure </w:t>
        </w:r>
        <w:r w:rsidR="00D96003" w:rsidRPr="00D96003">
          <w:rPr>
            <w:noProof/>
            <w:sz w:val="22"/>
          </w:rPr>
          <w:t>52</w:t>
        </w:r>
      </w:fldSimple>
      <w:r w:rsidR="00330571" w:rsidRPr="00C66550">
        <w:rPr>
          <w:sz w:val="22"/>
        </w:rPr>
        <w:t xml:space="preserve"> </w:t>
      </w:r>
      <w:r w:rsidR="00B165FA" w:rsidRPr="00C66550">
        <w:rPr>
          <w:sz w:val="22"/>
        </w:rPr>
        <w:t xml:space="preserve">illustrates the scope of reporting for </w:t>
      </w:r>
      <w:r w:rsidR="00DF4FB7">
        <w:rPr>
          <w:sz w:val="22"/>
        </w:rPr>
        <w:t>WGRRA</w:t>
      </w:r>
      <w:r w:rsidR="00A061AD" w:rsidRPr="00C66550">
        <w:rPr>
          <w:sz w:val="22"/>
        </w:rPr>
        <w:t>, as follows:</w:t>
      </w:r>
    </w:p>
    <w:p w:rsidR="00B165FA" w:rsidRPr="00C66550" w:rsidRDefault="00B165FA" w:rsidP="007D70C9">
      <w:pPr>
        <w:pStyle w:val="Bullet1"/>
      </w:pPr>
      <w:r w:rsidRPr="00C66550">
        <w:t>waste reuse (reported separately and only where data is available)</w:t>
      </w:r>
    </w:p>
    <w:p w:rsidR="00B165FA" w:rsidRPr="00C66550" w:rsidRDefault="00B165FA" w:rsidP="007D70C9">
      <w:pPr>
        <w:pStyle w:val="Bullet1"/>
      </w:pPr>
      <w:r w:rsidRPr="00C66550">
        <w:t xml:space="preserve">waste generation </w:t>
      </w:r>
    </w:p>
    <w:p w:rsidR="00B165FA" w:rsidRPr="00C66550" w:rsidRDefault="00B165FA" w:rsidP="007D70C9">
      <w:pPr>
        <w:pStyle w:val="Bullet1"/>
      </w:pPr>
      <w:r w:rsidRPr="00C66550">
        <w:t xml:space="preserve">resource recovery </w:t>
      </w:r>
    </w:p>
    <w:p w:rsidR="00B165FA" w:rsidRPr="00C66550" w:rsidRDefault="00B165FA" w:rsidP="007D70C9">
      <w:pPr>
        <w:pStyle w:val="Bullet1"/>
      </w:pPr>
      <w:r w:rsidRPr="00C66550">
        <w:t xml:space="preserve">recycling </w:t>
      </w:r>
    </w:p>
    <w:p w:rsidR="00B165FA" w:rsidRPr="00C66550" w:rsidRDefault="00B165FA" w:rsidP="007D70C9">
      <w:pPr>
        <w:pStyle w:val="Bullet1"/>
      </w:pPr>
      <w:r w:rsidRPr="00C66550">
        <w:t xml:space="preserve">energy recovery </w:t>
      </w:r>
    </w:p>
    <w:p w:rsidR="00B165FA" w:rsidRPr="00C66550" w:rsidRDefault="00B165FA" w:rsidP="007D70C9">
      <w:pPr>
        <w:pStyle w:val="Bullet1"/>
      </w:pPr>
      <w:r w:rsidRPr="00C66550">
        <w:t>disposal.</w:t>
      </w:r>
    </w:p>
    <w:p w:rsidR="00102530" w:rsidRPr="00C66550" w:rsidRDefault="00102530" w:rsidP="00523581">
      <w:pPr>
        <w:pStyle w:val="BodyText"/>
      </w:pPr>
    </w:p>
    <w:p w:rsidR="00B165FA" w:rsidRPr="00C66550" w:rsidRDefault="00AD25C2" w:rsidP="00523581">
      <w:pPr>
        <w:pStyle w:val="BodyText"/>
      </w:pPr>
      <w:r w:rsidRPr="00C66550">
        <w:t xml:space="preserve">The definitions provided in </w:t>
      </w:r>
      <w:r w:rsidR="00912151" w:rsidRPr="00C66550">
        <w:t>section</w:t>
      </w:r>
      <w:r w:rsidRPr="00C66550">
        <w:t xml:space="preserve"> </w:t>
      </w:r>
      <w:r w:rsidR="0062001A" w:rsidRPr="00C66550">
        <w:fldChar w:fldCharType="begin"/>
      </w:r>
      <w:r w:rsidRPr="00C66550">
        <w:instrText xml:space="preserve"> REF _Ref349778975 \r \h </w:instrText>
      </w:r>
      <w:r w:rsidR="0062001A" w:rsidRPr="00C66550">
        <w:fldChar w:fldCharType="separate"/>
      </w:r>
      <w:r w:rsidR="00D96003">
        <w:t>21</w:t>
      </w:r>
      <w:r w:rsidR="0062001A" w:rsidRPr="00C66550">
        <w:fldChar w:fldCharType="end"/>
      </w:r>
      <w:r w:rsidR="00B165FA" w:rsidRPr="00C66550">
        <w:t xml:space="preserve"> outline the broad scope of reporting for </w:t>
      </w:r>
      <w:r w:rsidR="00977C80">
        <w:rPr>
          <w:i/>
        </w:rPr>
        <w:t>Waste Generation and Resource Recovery in Australia</w:t>
      </w:r>
      <w:r w:rsidR="00B165FA" w:rsidRPr="00C66550">
        <w:t xml:space="preserve">. </w:t>
      </w:r>
    </w:p>
    <w:p w:rsidR="00F670B3" w:rsidRPr="00C66550" w:rsidRDefault="00977C80" w:rsidP="00977C80">
      <w:pPr>
        <w:pStyle w:val="BodyText"/>
        <w:tabs>
          <w:tab w:val="left" w:pos="5626"/>
        </w:tabs>
      </w:pPr>
      <w:r>
        <w:tab/>
      </w:r>
    </w:p>
    <w:p w:rsidR="00B165FA" w:rsidRPr="00C66550" w:rsidRDefault="00B165FA" w:rsidP="00523581">
      <w:pPr>
        <w:pStyle w:val="BodyText"/>
      </w:pPr>
      <w:r w:rsidRPr="00C66550">
        <w:t xml:space="preserve">The </w:t>
      </w:r>
      <w:r w:rsidR="004B1E3C" w:rsidRPr="00C66550">
        <w:rPr>
          <w:i/>
        </w:rPr>
        <w:t xml:space="preserve">Waste and Recycling in Australia </w:t>
      </w:r>
      <w:r w:rsidRPr="00C66550">
        <w:rPr>
          <w:i/>
        </w:rPr>
        <w:t>2011</w:t>
      </w:r>
      <w:r w:rsidRPr="00C66550">
        <w:t xml:space="preserve"> report included the </w:t>
      </w:r>
      <w:r w:rsidR="00F670B3" w:rsidRPr="00C66550">
        <w:t>results</w:t>
      </w:r>
      <w:r w:rsidRPr="00C66550">
        <w:t xml:space="preserve"> of the first attempt to apply ‘the method’ of data collation set out in the Hyder </w:t>
      </w:r>
      <w:r w:rsidR="001D615C" w:rsidRPr="00C66550">
        <w:t xml:space="preserve">(2010) </w:t>
      </w:r>
      <w:r w:rsidR="00F670B3" w:rsidRPr="00C66550">
        <w:t>M</w:t>
      </w:r>
      <w:r w:rsidRPr="00C66550">
        <w:t xml:space="preserve">ethod </w:t>
      </w:r>
      <w:r w:rsidR="00F670B3" w:rsidRPr="00C66550">
        <w:t>R</w:t>
      </w:r>
      <w:r w:rsidRPr="00C66550">
        <w:t xml:space="preserve">eport. </w:t>
      </w:r>
      <w:r w:rsidR="00912151" w:rsidRPr="00C66550">
        <w:t>Section</w:t>
      </w:r>
      <w:r w:rsidR="008A4257" w:rsidRPr="00C66550">
        <w:t xml:space="preserve"> </w:t>
      </w:r>
      <w:r w:rsidRPr="00C66550">
        <w:t xml:space="preserve">3 of </w:t>
      </w:r>
      <w:r w:rsidR="004B1E3C" w:rsidRPr="00C66550">
        <w:rPr>
          <w:i/>
        </w:rPr>
        <w:t>Waste and Recycling in Australia 2011</w:t>
      </w:r>
      <w:r w:rsidR="004B1E3C" w:rsidRPr="00C66550">
        <w:t xml:space="preserve"> </w:t>
      </w:r>
      <w:r w:rsidRPr="00C66550">
        <w:t xml:space="preserve">included the final set of recommendations for collating </w:t>
      </w:r>
      <w:r w:rsidR="004B1E3C" w:rsidRPr="00C66550">
        <w:t xml:space="preserve">national </w:t>
      </w:r>
      <w:r w:rsidRPr="00C66550">
        <w:t xml:space="preserve">data. </w:t>
      </w:r>
      <w:r w:rsidR="00977C80">
        <w:rPr>
          <w:i/>
        </w:rPr>
        <w:t>Waste Generation and Resource Recovery in Australia</w:t>
      </w:r>
      <w:r w:rsidR="00977C80" w:rsidRPr="00C66550">
        <w:t xml:space="preserve"> </w:t>
      </w:r>
      <w:r w:rsidR="0049734C" w:rsidRPr="00C66550">
        <w:t>was</w:t>
      </w:r>
      <w:r w:rsidRPr="00C66550">
        <w:t xml:space="preserve"> required to follow these recommendations</w:t>
      </w:r>
      <w:r w:rsidR="00F670B3" w:rsidRPr="00C66550">
        <w:t xml:space="preserve">, </w:t>
      </w:r>
      <w:r w:rsidRPr="00C66550">
        <w:t>or justify any divergence</w:t>
      </w:r>
      <w:r w:rsidR="00F670B3" w:rsidRPr="00C66550">
        <w:t>.</w:t>
      </w:r>
      <w:r w:rsidR="00E5424C" w:rsidRPr="00C66550">
        <w:t xml:space="preserve"> </w:t>
      </w:r>
    </w:p>
    <w:p w:rsidR="00102530" w:rsidRPr="00C66550" w:rsidRDefault="00102530" w:rsidP="00523581">
      <w:pPr>
        <w:pStyle w:val="BodyText"/>
        <w:rPr>
          <w:color w:val="auto"/>
        </w:rPr>
      </w:pPr>
    </w:p>
    <w:p w:rsidR="00B165FA" w:rsidRPr="00C66550" w:rsidRDefault="0062001A" w:rsidP="00523581">
      <w:pPr>
        <w:pStyle w:val="BodyText"/>
      </w:pPr>
      <w:fldSimple w:instr=" REF _Ref349778304 \h  \* MERGEFORMAT ">
        <w:r w:rsidR="00D96003" w:rsidRPr="00D96003">
          <w:rPr>
            <w:rFonts w:cs="Calibri"/>
            <w:color w:val="auto"/>
            <w:szCs w:val="20"/>
          </w:rPr>
          <w:t xml:space="preserve">Table </w:t>
        </w:r>
        <w:r w:rsidR="00D96003" w:rsidRPr="00D96003">
          <w:rPr>
            <w:rFonts w:cs="Calibri"/>
            <w:noProof/>
            <w:color w:val="auto"/>
            <w:szCs w:val="20"/>
          </w:rPr>
          <w:t>23</w:t>
        </w:r>
      </w:fldSimple>
      <w:r w:rsidR="00B165FA" w:rsidRPr="00C66550">
        <w:rPr>
          <w:color w:val="auto"/>
        </w:rPr>
        <w:t xml:space="preserve"> provides</w:t>
      </w:r>
      <w:r w:rsidR="00B165FA" w:rsidRPr="00C66550">
        <w:t xml:space="preserve"> details of each of the recommendations from </w:t>
      </w:r>
      <w:r w:rsidR="00912151" w:rsidRPr="00C66550">
        <w:t>Section</w:t>
      </w:r>
      <w:r w:rsidR="008A4257" w:rsidRPr="00C66550">
        <w:t xml:space="preserve"> </w:t>
      </w:r>
      <w:r w:rsidR="00B165FA" w:rsidRPr="00C66550">
        <w:t xml:space="preserve">3 of </w:t>
      </w:r>
      <w:r w:rsidR="004B1E3C" w:rsidRPr="00C66550">
        <w:rPr>
          <w:i/>
        </w:rPr>
        <w:t>Waste and Recycling in Australia 2011</w:t>
      </w:r>
      <w:r w:rsidR="004B1E3C" w:rsidRPr="00C66550">
        <w:t xml:space="preserve"> </w:t>
      </w:r>
      <w:r w:rsidR="00B165FA" w:rsidRPr="00C66550">
        <w:t xml:space="preserve">and explains </w:t>
      </w:r>
      <w:r w:rsidR="0049734C" w:rsidRPr="00C66550">
        <w:t>the few areas of</w:t>
      </w:r>
      <w:r w:rsidR="00B165FA" w:rsidRPr="00C66550">
        <w:t xml:space="preserve"> divergence. </w:t>
      </w:r>
    </w:p>
    <w:p w:rsidR="006B5486" w:rsidRPr="00C66550" w:rsidRDefault="006B5486" w:rsidP="00B165FA">
      <w:pPr>
        <w:spacing w:line="240" w:lineRule="auto"/>
        <w:rPr>
          <w:color w:val="080808"/>
          <w:sz w:val="22"/>
        </w:rPr>
        <w:sectPr w:rsidR="006B5486" w:rsidRPr="00C66550" w:rsidSect="00BD13E3">
          <w:headerReference w:type="even" r:id="rId148"/>
          <w:headerReference w:type="default" r:id="rId149"/>
          <w:footerReference w:type="even" r:id="rId150"/>
          <w:footerReference w:type="default" r:id="rId151"/>
          <w:headerReference w:type="first" r:id="rId152"/>
          <w:footerReference w:type="first" r:id="rId153"/>
          <w:pgSz w:w="11907" w:h="16840" w:code="9"/>
          <w:pgMar w:top="1701" w:right="1077" w:bottom="1559" w:left="1474" w:header="709" w:footer="709" w:gutter="0"/>
          <w:cols w:space="708"/>
          <w:docGrid w:linePitch="360"/>
        </w:sectPr>
      </w:pPr>
    </w:p>
    <w:p w:rsidR="00B165FA" w:rsidRPr="00C66550" w:rsidRDefault="00B165FA" w:rsidP="00B165FA">
      <w:pPr>
        <w:spacing w:line="240" w:lineRule="auto"/>
        <w:rPr>
          <w:color w:val="080808"/>
          <w:sz w:val="22"/>
        </w:rPr>
      </w:pPr>
    </w:p>
    <w:p w:rsidR="00B165FA" w:rsidRPr="00977C80" w:rsidRDefault="00B165FA" w:rsidP="00FB4820">
      <w:pPr>
        <w:pStyle w:val="Figures"/>
      </w:pPr>
      <w:bookmarkStart w:id="303" w:name="_Ref349778304"/>
      <w:bookmarkStart w:id="304" w:name="_Toc365038867"/>
      <w:r w:rsidRPr="00C66550">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23</w:t>
      </w:r>
      <w:r w:rsidR="0062001A" w:rsidRPr="00C66550">
        <w:fldChar w:fldCharType="end"/>
      </w:r>
      <w:bookmarkEnd w:id="303"/>
      <w:r w:rsidR="00522DFD" w:rsidRPr="00C66550">
        <w:t>:</w:t>
      </w:r>
      <w:r w:rsidR="00522DFD" w:rsidRPr="00C66550">
        <w:tab/>
      </w:r>
      <w:r w:rsidR="00977C80">
        <w:t>D</w:t>
      </w:r>
      <w:r w:rsidRPr="00C66550">
        <w:t xml:space="preserve">etails of scope and data collation </w:t>
      </w:r>
      <w:r w:rsidR="00875317" w:rsidRPr="00C66550">
        <w:t>method</w:t>
      </w:r>
      <w:r w:rsidRPr="00C66550">
        <w:t xml:space="preserve"> </w:t>
      </w:r>
      <w:r w:rsidR="00977C80">
        <w:t>applied in WGRRA</w:t>
      </w:r>
      <w:bookmarkEnd w:id="304"/>
    </w:p>
    <w:tbl>
      <w:tblPr>
        <w:tblStyle w:val="BETable11"/>
        <w:tblW w:w="5000" w:type="pct"/>
        <w:tblInd w:w="0" w:type="dxa"/>
        <w:tblLook w:val="04A0"/>
      </w:tblPr>
      <w:tblGrid>
        <w:gridCol w:w="7569"/>
        <w:gridCol w:w="5672"/>
        <w:gridCol w:w="1445"/>
      </w:tblGrid>
      <w:tr w:rsidR="00B165FA" w:rsidRPr="00C66550" w:rsidTr="00BD0BCE">
        <w:trPr>
          <w:cnfStyle w:val="100000000000"/>
          <w:tblHeader/>
        </w:trPr>
        <w:tc>
          <w:tcPr>
            <w:cnfStyle w:val="001000000000"/>
            <w:tcW w:w="2577" w:type="pct"/>
          </w:tcPr>
          <w:p w:rsidR="00B165FA" w:rsidRPr="00C66550" w:rsidRDefault="00B165FA" w:rsidP="004B1E3C">
            <w:pPr>
              <w:spacing w:line="240" w:lineRule="auto"/>
              <w:rPr>
                <w:color w:val="080808"/>
                <w:szCs w:val="20"/>
              </w:rPr>
            </w:pPr>
            <w:r w:rsidRPr="00C66550">
              <w:rPr>
                <w:color w:val="080808"/>
                <w:szCs w:val="20"/>
              </w:rPr>
              <w:t xml:space="preserve"> </w:t>
            </w:r>
            <w:r w:rsidR="004B1E3C" w:rsidRPr="00C66550">
              <w:rPr>
                <w:i/>
                <w:color w:val="080808"/>
                <w:sz w:val="22"/>
              </w:rPr>
              <w:t xml:space="preserve">Waste and Recycling in Australia </w:t>
            </w:r>
            <w:r w:rsidR="004B1E3C" w:rsidRPr="00C66550">
              <w:rPr>
                <w:i/>
              </w:rPr>
              <w:t>2011</w:t>
            </w:r>
            <w:r w:rsidR="004B1E3C" w:rsidRPr="00C66550">
              <w:t xml:space="preserve"> </w:t>
            </w:r>
            <w:r w:rsidRPr="00C66550">
              <w:rPr>
                <w:color w:val="080808"/>
                <w:szCs w:val="20"/>
              </w:rPr>
              <w:t>method and scope recommendation</w:t>
            </w:r>
          </w:p>
        </w:tc>
        <w:tc>
          <w:tcPr>
            <w:tcW w:w="1931" w:type="pct"/>
          </w:tcPr>
          <w:p w:rsidR="00B165FA" w:rsidRPr="00C66550" w:rsidRDefault="00977C80" w:rsidP="00B165FA">
            <w:pPr>
              <w:spacing w:line="240" w:lineRule="auto"/>
              <w:cnfStyle w:val="100000000000"/>
              <w:rPr>
                <w:color w:val="080808"/>
                <w:szCs w:val="20"/>
              </w:rPr>
            </w:pPr>
            <w:r>
              <w:rPr>
                <w:color w:val="080808"/>
                <w:szCs w:val="20"/>
              </w:rPr>
              <w:t>A</w:t>
            </w:r>
            <w:r w:rsidR="00B165FA" w:rsidRPr="00C66550">
              <w:rPr>
                <w:color w:val="080808"/>
                <w:szCs w:val="20"/>
              </w:rPr>
              <w:t>ssessment of recommendation</w:t>
            </w:r>
          </w:p>
        </w:tc>
        <w:tc>
          <w:tcPr>
            <w:tcW w:w="492" w:type="pct"/>
          </w:tcPr>
          <w:p w:rsidR="00B165FA" w:rsidRPr="00C66550" w:rsidRDefault="004B1E3C" w:rsidP="00B165FA">
            <w:pPr>
              <w:spacing w:line="240" w:lineRule="auto"/>
              <w:cnfStyle w:val="100000000000"/>
              <w:rPr>
                <w:color w:val="080808"/>
                <w:szCs w:val="20"/>
              </w:rPr>
            </w:pPr>
            <w:r w:rsidRPr="00C66550">
              <w:rPr>
                <w:color w:val="080808"/>
                <w:szCs w:val="20"/>
              </w:rPr>
              <w:t>WGRRA</w:t>
            </w:r>
            <w:r w:rsidR="00B165FA" w:rsidRPr="00C66550">
              <w:rPr>
                <w:color w:val="080808"/>
                <w:szCs w:val="20"/>
              </w:rPr>
              <w:t xml:space="preserve"> alignment </w:t>
            </w:r>
          </w:p>
        </w:tc>
      </w:tr>
      <w:tr w:rsidR="00B165FA" w:rsidRPr="00C66550" w:rsidTr="00BD0BCE">
        <w:trPr>
          <w:cantSplit/>
        </w:trPr>
        <w:tc>
          <w:tcPr>
            <w:cnfStyle w:val="001000000000"/>
            <w:tcW w:w="2577" w:type="pct"/>
          </w:tcPr>
          <w:p w:rsidR="00B165FA" w:rsidRPr="00C66550" w:rsidRDefault="00B165FA" w:rsidP="004A6E42">
            <w:pPr>
              <w:spacing w:line="240" w:lineRule="auto"/>
              <w:rPr>
                <w:color w:val="080808"/>
                <w:szCs w:val="20"/>
              </w:rPr>
            </w:pPr>
            <w:r w:rsidRPr="00C66550">
              <w:rPr>
                <w:color w:val="080808"/>
                <w:szCs w:val="20"/>
              </w:rPr>
              <w:t xml:space="preserve">Recommendation 1: </w:t>
            </w:r>
            <w:r w:rsidR="004A6E42" w:rsidRPr="00C66550">
              <w:rPr>
                <w:color w:val="080808"/>
                <w:szCs w:val="20"/>
              </w:rPr>
              <w:t>T</w:t>
            </w:r>
            <w:r w:rsidRPr="00C66550">
              <w:rPr>
                <w:color w:val="080808"/>
                <w:szCs w:val="20"/>
              </w:rPr>
              <w:t>he scope should be limited to waste material that is recycled, recovered for energy and disposed. Reuse is excluded from the scope.</w:t>
            </w:r>
          </w:p>
        </w:tc>
        <w:tc>
          <w:tcPr>
            <w:tcW w:w="1931" w:type="pct"/>
          </w:tcPr>
          <w:p w:rsidR="00B165FA" w:rsidRPr="00C66550" w:rsidRDefault="004B1E3C" w:rsidP="0049734C">
            <w:pPr>
              <w:spacing w:line="240" w:lineRule="auto"/>
              <w:cnfStyle w:val="000000000000"/>
              <w:rPr>
                <w:color w:val="080808"/>
                <w:szCs w:val="20"/>
              </w:rPr>
            </w:pPr>
            <w:r w:rsidRPr="00C66550">
              <w:rPr>
                <w:color w:val="080808"/>
                <w:szCs w:val="20"/>
              </w:rPr>
              <w:t>WGRRA</w:t>
            </w:r>
            <w:r w:rsidR="00B165FA" w:rsidRPr="00C66550">
              <w:rPr>
                <w:color w:val="080808"/>
                <w:szCs w:val="20"/>
              </w:rPr>
              <w:t xml:space="preserve"> has attempted to identify ‘waste reuse’ data to enable </w:t>
            </w:r>
            <w:r w:rsidR="0049734C" w:rsidRPr="00C66550">
              <w:rPr>
                <w:color w:val="080808"/>
                <w:szCs w:val="20"/>
              </w:rPr>
              <w:t>separate</w:t>
            </w:r>
            <w:r w:rsidR="00B165FA" w:rsidRPr="00C66550">
              <w:rPr>
                <w:color w:val="080808"/>
                <w:szCs w:val="20"/>
              </w:rPr>
              <w:t xml:space="preserve"> report</w:t>
            </w:r>
            <w:r w:rsidR="0049734C" w:rsidRPr="00C66550">
              <w:rPr>
                <w:color w:val="080808"/>
                <w:szCs w:val="20"/>
              </w:rPr>
              <w:t>ing</w:t>
            </w:r>
            <w:r w:rsidR="00B165FA" w:rsidRPr="00C66550">
              <w:rPr>
                <w:color w:val="080808"/>
                <w:szCs w:val="20"/>
              </w:rPr>
              <w:t xml:space="preserve"> and </w:t>
            </w:r>
            <w:r w:rsidR="0049734C" w:rsidRPr="00C66550">
              <w:rPr>
                <w:color w:val="080808"/>
                <w:szCs w:val="20"/>
              </w:rPr>
              <w:t>deduction</w:t>
            </w:r>
            <w:r w:rsidR="00B165FA" w:rsidRPr="00C66550">
              <w:rPr>
                <w:color w:val="080808"/>
                <w:szCs w:val="20"/>
              </w:rPr>
              <w:t xml:space="preserve"> from waste generation tonnages. This is consistent with the recommendation of excluding reuse data from the main </w:t>
            </w:r>
            <w:r w:rsidRPr="00C66550">
              <w:rPr>
                <w:color w:val="080808"/>
                <w:szCs w:val="20"/>
              </w:rPr>
              <w:t>WGRRA</w:t>
            </w:r>
            <w:r w:rsidR="00B165FA" w:rsidRPr="00C66550">
              <w:rPr>
                <w:color w:val="080808"/>
                <w:szCs w:val="20"/>
              </w:rPr>
              <w:t xml:space="preserve"> data reporting</w:t>
            </w:r>
            <w:r w:rsidR="00DE3FED" w:rsidRPr="00C66550">
              <w:rPr>
                <w:color w:val="080808"/>
                <w:szCs w:val="20"/>
              </w:rPr>
              <w:t xml:space="preserve">. However, </w:t>
            </w:r>
            <w:r w:rsidR="0049734C" w:rsidRPr="00C66550">
              <w:rPr>
                <w:color w:val="080808"/>
                <w:szCs w:val="20"/>
              </w:rPr>
              <w:t>it diverges</w:t>
            </w:r>
            <w:r w:rsidR="00DE3FED" w:rsidRPr="00C66550">
              <w:rPr>
                <w:color w:val="080808"/>
                <w:szCs w:val="20"/>
              </w:rPr>
              <w:t xml:space="preserve"> from the </w:t>
            </w:r>
            <w:r w:rsidR="0049734C" w:rsidRPr="00C66550">
              <w:rPr>
                <w:color w:val="080808"/>
                <w:szCs w:val="20"/>
              </w:rPr>
              <w:t>recommendation because</w:t>
            </w:r>
            <w:r w:rsidR="00DE3FED" w:rsidRPr="00C66550">
              <w:rPr>
                <w:color w:val="080808"/>
                <w:szCs w:val="20"/>
              </w:rPr>
              <w:t xml:space="preserve"> waste reuse data</w:t>
            </w:r>
            <w:r w:rsidR="0049734C" w:rsidRPr="00C66550">
              <w:rPr>
                <w:color w:val="080808"/>
                <w:szCs w:val="20"/>
              </w:rPr>
              <w:t xml:space="preserve"> are reported when</w:t>
            </w:r>
            <w:r w:rsidR="00DE3FED" w:rsidRPr="00C66550">
              <w:rPr>
                <w:color w:val="080808"/>
                <w:szCs w:val="20"/>
              </w:rPr>
              <w:t xml:space="preserve"> provided.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Mostly 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2: Waste generation and waste disposal quantities should be reported, as well as recycling and recovery rates.</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3: Liquid and gaseous wastes should be excluded from the scope at this stage.</w:t>
            </w:r>
          </w:p>
        </w:tc>
        <w:tc>
          <w:tcPr>
            <w:tcW w:w="1931" w:type="pct"/>
          </w:tcPr>
          <w:p w:rsidR="00B165FA" w:rsidRPr="00C66550" w:rsidRDefault="00B165FA" w:rsidP="0049734C">
            <w:pPr>
              <w:spacing w:line="240" w:lineRule="auto"/>
              <w:cnfStyle w:val="000000000000"/>
              <w:rPr>
                <w:color w:val="080808"/>
                <w:szCs w:val="20"/>
              </w:rPr>
            </w:pPr>
            <w:r w:rsidRPr="00C66550">
              <w:rPr>
                <w:color w:val="080808"/>
                <w:szCs w:val="20"/>
              </w:rPr>
              <w:t xml:space="preserve">Agreed. </w:t>
            </w:r>
            <w:r w:rsidR="004B1E3C" w:rsidRPr="00C66550">
              <w:rPr>
                <w:color w:val="080808"/>
                <w:szCs w:val="20"/>
              </w:rPr>
              <w:t>WGRRA</w:t>
            </w:r>
            <w:r w:rsidRPr="00C66550">
              <w:rPr>
                <w:color w:val="080808"/>
                <w:szCs w:val="20"/>
              </w:rPr>
              <w:t xml:space="preserve"> includes a definition of solid waste</w:t>
            </w:r>
            <w:r w:rsidR="004A6E42" w:rsidRPr="00C66550">
              <w:rPr>
                <w:color w:val="080808"/>
                <w:szCs w:val="20"/>
              </w:rPr>
              <w:t>. T</w:t>
            </w:r>
            <w:r w:rsidRPr="00C66550">
              <w:rPr>
                <w:color w:val="080808"/>
                <w:szCs w:val="20"/>
              </w:rPr>
              <w:t xml:space="preserve">he data provided for the report </w:t>
            </w:r>
            <w:r w:rsidR="0049734C" w:rsidRPr="00C66550">
              <w:rPr>
                <w:color w:val="080808"/>
                <w:szCs w:val="20"/>
              </w:rPr>
              <w:t>have</w:t>
            </w:r>
            <w:r w:rsidRPr="00C66550">
              <w:rPr>
                <w:color w:val="080808"/>
                <w:szCs w:val="20"/>
              </w:rPr>
              <w:t xml:space="preserve"> not</w:t>
            </w:r>
            <w:r w:rsidR="004A6E42" w:rsidRPr="00C66550">
              <w:rPr>
                <w:color w:val="080808"/>
                <w:szCs w:val="20"/>
              </w:rPr>
              <w:t>, however,</w:t>
            </w:r>
            <w:r w:rsidRPr="00C66550">
              <w:rPr>
                <w:color w:val="080808"/>
                <w:szCs w:val="20"/>
              </w:rPr>
              <w:t xml:space="preserve"> been assessed to determine if </w:t>
            </w:r>
            <w:r w:rsidR="0049734C" w:rsidRPr="00C66550">
              <w:rPr>
                <w:color w:val="080808"/>
                <w:szCs w:val="20"/>
              </w:rPr>
              <w:t>they</w:t>
            </w:r>
            <w:r w:rsidRPr="00C66550">
              <w:rPr>
                <w:color w:val="080808"/>
                <w:szCs w:val="20"/>
              </w:rPr>
              <w:t xml:space="preserve"> meet the</w:t>
            </w:r>
            <w:r w:rsidR="004A6E42" w:rsidRPr="00C66550">
              <w:rPr>
                <w:color w:val="080808"/>
                <w:szCs w:val="20"/>
              </w:rPr>
              <w:t xml:space="preserve"> definition of</w:t>
            </w:r>
            <w:r w:rsidRPr="00C66550">
              <w:rPr>
                <w:color w:val="080808"/>
                <w:szCs w:val="20"/>
              </w:rPr>
              <w:t xml:space="preserve"> solid waste provided (i.e. if it was reported as solid</w:t>
            </w:r>
            <w:r w:rsidR="004A6E42" w:rsidRPr="00C66550">
              <w:rPr>
                <w:color w:val="080808"/>
                <w:szCs w:val="20"/>
              </w:rPr>
              <w:t>,</w:t>
            </w:r>
            <w:r w:rsidRPr="00C66550">
              <w:rPr>
                <w:color w:val="080808"/>
                <w:szCs w:val="20"/>
              </w:rPr>
              <w:t xml:space="preserve"> the data has been included).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4: Report waste generation data, disposal, energy recovery and recycling on a per capita basis using population figures that correspond to the end of the reporting period.</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5: Waste and recycling should be reported by weight.</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6: Waste converted to energy should be reported as a separate disposal pathway to recycling and disposal.</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7: The definitions in the National Waste Report 2010 for the three major solid waste streams should be used.</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8: Wastes generated by the core processes of primary production should be excluded from the scope.</w:t>
            </w:r>
          </w:p>
        </w:tc>
        <w:tc>
          <w:tcPr>
            <w:tcW w:w="1931" w:type="pct"/>
          </w:tcPr>
          <w:p w:rsidR="00B165FA" w:rsidRPr="00C66550" w:rsidRDefault="00B165FA" w:rsidP="00D67F29">
            <w:pPr>
              <w:spacing w:line="240" w:lineRule="auto"/>
              <w:cnfStyle w:val="000000000000"/>
              <w:rPr>
                <w:color w:val="080808"/>
                <w:szCs w:val="20"/>
              </w:rPr>
            </w:pPr>
            <w:r w:rsidRPr="00C66550">
              <w:rPr>
                <w:color w:val="080808"/>
                <w:szCs w:val="20"/>
              </w:rPr>
              <w:t>Most primary production wastes cannot be readily quantified for national reporting</w:t>
            </w:r>
            <w:r w:rsidR="00102530" w:rsidRPr="00C66550">
              <w:rPr>
                <w:color w:val="080808"/>
                <w:szCs w:val="20"/>
              </w:rPr>
              <w:t>. It</w:t>
            </w:r>
            <w:r w:rsidRPr="00C66550">
              <w:rPr>
                <w:color w:val="080808"/>
                <w:szCs w:val="20"/>
              </w:rPr>
              <w:t xml:space="preserve"> is agreed that they should be excluded from the </w:t>
            </w:r>
            <w:r w:rsidR="00D67F29">
              <w:rPr>
                <w:color w:val="080808"/>
                <w:szCs w:val="20"/>
              </w:rPr>
              <w:t>main data collation</w:t>
            </w:r>
            <w:r w:rsidRPr="00C66550">
              <w:rPr>
                <w:color w:val="080808"/>
                <w:szCs w:val="20"/>
              </w:rPr>
              <w:t xml:space="preserve">. </w:t>
            </w:r>
            <w:r w:rsidR="001B0654" w:rsidRPr="00C66550">
              <w:rPr>
                <w:color w:val="080808"/>
                <w:szCs w:val="20"/>
              </w:rPr>
              <w:t xml:space="preserve">However, </w:t>
            </w:r>
            <w:r w:rsidRPr="00C66550">
              <w:rPr>
                <w:color w:val="080808"/>
                <w:szCs w:val="20"/>
              </w:rPr>
              <w:t xml:space="preserve">it is not possible to identify and remove </w:t>
            </w:r>
            <w:r w:rsidR="0049734C" w:rsidRPr="00C66550">
              <w:rPr>
                <w:color w:val="080808"/>
                <w:szCs w:val="20"/>
              </w:rPr>
              <w:t xml:space="preserve">all </w:t>
            </w:r>
            <w:r w:rsidRPr="00C66550">
              <w:rPr>
                <w:color w:val="080808"/>
                <w:szCs w:val="20"/>
              </w:rPr>
              <w:t>primary production wastes tonnages</w:t>
            </w:r>
            <w:r w:rsidR="001B0654" w:rsidRPr="00C66550">
              <w:rPr>
                <w:color w:val="080808"/>
                <w:szCs w:val="20"/>
              </w:rPr>
              <w:t xml:space="preserve"> from landfill, so some primary production waste may be included in the totals.</w:t>
            </w:r>
            <w:r w:rsidRPr="00C66550">
              <w:rPr>
                <w:color w:val="080808"/>
                <w:szCs w:val="20"/>
              </w:rPr>
              <w:t xml:space="preserve"> T</w:t>
            </w:r>
            <w:r w:rsidR="005E18F6" w:rsidRPr="00C66550">
              <w:rPr>
                <w:color w:val="080808"/>
                <w:szCs w:val="20"/>
              </w:rPr>
              <w:t xml:space="preserve">he </w:t>
            </w:r>
            <w:r w:rsidR="004B1E3C" w:rsidRPr="00C66550">
              <w:rPr>
                <w:color w:val="080808"/>
                <w:szCs w:val="20"/>
              </w:rPr>
              <w:t>WGRRA</w:t>
            </w:r>
            <w:r w:rsidRPr="00C66550">
              <w:rPr>
                <w:color w:val="080808"/>
                <w:szCs w:val="20"/>
              </w:rPr>
              <w:t xml:space="preserve"> </w:t>
            </w:r>
            <w:r w:rsidR="005E18F6" w:rsidRPr="00C66550">
              <w:rPr>
                <w:color w:val="080808"/>
                <w:szCs w:val="20"/>
              </w:rPr>
              <w:t xml:space="preserve">data workbook </w:t>
            </w:r>
            <w:r w:rsidRPr="00C66550">
              <w:rPr>
                <w:color w:val="080808"/>
                <w:szCs w:val="20"/>
              </w:rPr>
              <w:t>documents any primary production tonnages that have been deducted for each jurisdiction</w:t>
            </w:r>
            <w:r w:rsidR="00B1072D" w:rsidRPr="00C66550">
              <w:rPr>
                <w:color w:val="080808"/>
                <w:szCs w:val="20"/>
              </w:rPr>
              <w:t>’</w:t>
            </w:r>
            <w:r w:rsidRPr="00C66550">
              <w:rPr>
                <w:color w:val="080808"/>
                <w:szCs w:val="20"/>
              </w:rPr>
              <w:t>s total.</w:t>
            </w:r>
            <w:r w:rsidR="00437BFC">
              <w:rPr>
                <w:color w:val="080808"/>
                <w:szCs w:val="20"/>
              </w:rPr>
              <w:t xml:space="preserve"> In addition, on agreement, primary production organic wastes that are recovered in waste management facilities are reported in the organics section (15) where data is </w:t>
            </w:r>
            <w:r w:rsidR="00D67F29">
              <w:rPr>
                <w:color w:val="080808"/>
                <w:szCs w:val="20"/>
              </w:rPr>
              <w:t>publicly</w:t>
            </w:r>
            <w:r w:rsidR="00437BFC">
              <w:rPr>
                <w:color w:val="080808"/>
                <w:szCs w:val="20"/>
              </w:rPr>
              <w:t xml:space="preserve"> available</w:t>
            </w:r>
            <w:r w:rsidR="00D67F29">
              <w:rPr>
                <w:color w:val="080808"/>
                <w:szCs w:val="20"/>
              </w:rPr>
              <w:t>.</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lastRenderedPageBreak/>
              <w:t>Recommendation 9: Pre-consumer wastes that are recycled on-site as part of the manufacturing process should be excluded from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 xml:space="preserve"> 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10: Bark and sawdust from forestry operations, and mining and mineral processing wastes should be excluded from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 noting the issues raised under recommendation 8.</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Height w:val="267"/>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11: Organic agricultural wastes are excluded from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 noting the issues raised under recommendation 8.</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12: Clean fill should be excluded from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13: Daily cover (that is clean fill) should be excluded from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14: Fly ash should be included in the scope, but is reported separately to the total of all other materials included in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15: Biosolids should be included in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16: Hazardous, prescribed or clinical wastes should be included in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17: Quarantine wastes should be included in the scope.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18: A consistent set of materials should be used to report the composition of waste streams.</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spacing w:line="240" w:lineRule="auto"/>
              <w:rPr>
                <w:color w:val="080808"/>
                <w:szCs w:val="20"/>
              </w:rPr>
            </w:pPr>
            <w:r w:rsidRPr="00C66550">
              <w:rPr>
                <w:color w:val="080808"/>
                <w:szCs w:val="20"/>
              </w:rPr>
              <w:t>Recommendation 19: Waste should be counted by the stream that it is collected in unless data is readily available.</w:t>
            </w:r>
          </w:p>
        </w:tc>
        <w:tc>
          <w:tcPr>
            <w:tcW w:w="1931" w:type="pct"/>
          </w:tcPr>
          <w:p w:rsidR="00B165FA" w:rsidRPr="00C66550" w:rsidRDefault="00B165FA" w:rsidP="00B165FA">
            <w:pPr>
              <w:spacing w:line="240" w:lineRule="auto"/>
              <w:cnfStyle w:val="000000000000"/>
              <w:rPr>
                <w:color w:val="080808"/>
                <w:szCs w:val="20"/>
              </w:rPr>
            </w:pPr>
            <w:r w:rsidRPr="00C66550">
              <w:rPr>
                <w:color w:val="080808"/>
                <w:szCs w:val="20"/>
              </w:rPr>
              <w:t>Agreed.</w:t>
            </w:r>
          </w:p>
        </w:tc>
        <w:tc>
          <w:tcPr>
            <w:tcW w:w="492" w:type="pct"/>
          </w:tcPr>
          <w:p w:rsidR="00B165FA" w:rsidRPr="00C66550" w:rsidRDefault="00B165FA" w:rsidP="00B165FA">
            <w:pPr>
              <w:spacing w:line="240" w:lineRule="auto"/>
              <w:cnfStyle w:val="000000000000"/>
              <w:rPr>
                <w:color w:val="080808"/>
                <w:szCs w:val="20"/>
              </w:rPr>
            </w:pPr>
            <w:r w:rsidRPr="00C66550">
              <w:rPr>
                <w:color w:val="080808"/>
                <w:szCs w:val="20"/>
              </w:rPr>
              <w:t>Aligned.</w:t>
            </w:r>
          </w:p>
        </w:tc>
      </w:tr>
      <w:tr w:rsidR="00B165FA" w:rsidRPr="00C66550" w:rsidTr="00BD0BCE">
        <w:trPr>
          <w:cantSplit/>
        </w:trPr>
        <w:tc>
          <w:tcPr>
            <w:cnfStyle w:val="001000000000"/>
            <w:tcW w:w="2577" w:type="pct"/>
          </w:tcPr>
          <w:p w:rsidR="00B165FA" w:rsidRPr="00C66550" w:rsidRDefault="00B165FA" w:rsidP="00B165FA">
            <w:pPr>
              <w:rPr>
                <w:szCs w:val="20"/>
              </w:rPr>
            </w:pPr>
            <w:r w:rsidRPr="00C66550">
              <w:rPr>
                <w:szCs w:val="20"/>
              </w:rPr>
              <w:t>Recommendation 20: Standard conversion factors should be used except for where states or territories have justification to apply jurisdiction or site specific conversion factors.</w:t>
            </w:r>
          </w:p>
        </w:tc>
        <w:tc>
          <w:tcPr>
            <w:tcW w:w="1931" w:type="pct"/>
          </w:tcPr>
          <w:p w:rsidR="00B165FA" w:rsidRPr="00C66550" w:rsidRDefault="001302FA" w:rsidP="00B165FA">
            <w:pPr>
              <w:cnfStyle w:val="000000000000"/>
              <w:rPr>
                <w:szCs w:val="20"/>
              </w:rPr>
            </w:pPr>
            <w:r w:rsidRPr="00C66550">
              <w:rPr>
                <w:szCs w:val="20"/>
              </w:rPr>
              <w:t>Agreed.</w:t>
            </w:r>
          </w:p>
        </w:tc>
        <w:tc>
          <w:tcPr>
            <w:tcW w:w="492" w:type="pct"/>
          </w:tcPr>
          <w:p w:rsidR="00B165FA" w:rsidRPr="00C66550" w:rsidRDefault="001302FA" w:rsidP="00B165FA">
            <w:pPr>
              <w:cnfStyle w:val="000000000000"/>
              <w:rPr>
                <w:szCs w:val="20"/>
              </w:rPr>
            </w:pPr>
            <w:r w:rsidRPr="00C66550">
              <w:rPr>
                <w:szCs w:val="20"/>
              </w:rPr>
              <w:t>Aligned.</w:t>
            </w:r>
          </w:p>
        </w:tc>
      </w:tr>
      <w:tr w:rsidR="001302FA" w:rsidRPr="00C66550" w:rsidTr="00BD0BCE">
        <w:trPr>
          <w:cantSplit/>
        </w:trPr>
        <w:tc>
          <w:tcPr>
            <w:cnfStyle w:val="001000000000"/>
            <w:tcW w:w="2577" w:type="pct"/>
          </w:tcPr>
          <w:p w:rsidR="001302FA" w:rsidRPr="00C66550" w:rsidRDefault="001302FA" w:rsidP="00B165FA">
            <w:pPr>
              <w:rPr>
                <w:szCs w:val="20"/>
              </w:rPr>
            </w:pPr>
            <w:r w:rsidRPr="00C66550">
              <w:rPr>
                <w:szCs w:val="20"/>
              </w:rPr>
              <w:t>Recommendation 21: Residual material from recycling and waste to energy operations should not be counted as recovered material.</w:t>
            </w:r>
          </w:p>
        </w:tc>
        <w:tc>
          <w:tcPr>
            <w:tcW w:w="1931" w:type="pct"/>
          </w:tcPr>
          <w:p w:rsidR="001302FA" w:rsidRPr="00C66550" w:rsidRDefault="001302FA" w:rsidP="001302FA">
            <w:pPr>
              <w:cnfStyle w:val="000000000000"/>
              <w:rPr>
                <w:szCs w:val="20"/>
              </w:rPr>
            </w:pPr>
            <w:r w:rsidRPr="00C66550">
              <w:rPr>
                <w:szCs w:val="20"/>
              </w:rPr>
              <w:t>Agreed.</w:t>
            </w:r>
          </w:p>
        </w:tc>
        <w:tc>
          <w:tcPr>
            <w:tcW w:w="492" w:type="pct"/>
          </w:tcPr>
          <w:p w:rsidR="001302FA" w:rsidRPr="00C66550" w:rsidRDefault="001302FA" w:rsidP="001302FA">
            <w:pPr>
              <w:cnfStyle w:val="000000000000"/>
              <w:rPr>
                <w:szCs w:val="20"/>
              </w:rPr>
            </w:pPr>
            <w:r w:rsidRPr="00C66550">
              <w:rPr>
                <w:szCs w:val="20"/>
              </w:rPr>
              <w:t>Aligned.</w:t>
            </w:r>
          </w:p>
        </w:tc>
      </w:tr>
      <w:tr w:rsidR="001302FA" w:rsidRPr="00C66550" w:rsidTr="00BD0BCE">
        <w:trPr>
          <w:cantSplit/>
        </w:trPr>
        <w:tc>
          <w:tcPr>
            <w:cnfStyle w:val="001000000000"/>
            <w:tcW w:w="2577" w:type="pct"/>
          </w:tcPr>
          <w:p w:rsidR="001302FA" w:rsidRPr="00C66550" w:rsidRDefault="001302FA" w:rsidP="00B165FA">
            <w:pPr>
              <w:rPr>
                <w:szCs w:val="20"/>
              </w:rPr>
            </w:pPr>
            <w:r w:rsidRPr="00C66550">
              <w:rPr>
                <w:szCs w:val="20"/>
              </w:rPr>
              <w:t>Recommendation 22: Recycling should be counted by material input (less residual material).</w:t>
            </w:r>
          </w:p>
        </w:tc>
        <w:tc>
          <w:tcPr>
            <w:tcW w:w="1931" w:type="pct"/>
          </w:tcPr>
          <w:p w:rsidR="001302FA" w:rsidRPr="00C66550" w:rsidRDefault="001302FA" w:rsidP="001302FA">
            <w:pPr>
              <w:cnfStyle w:val="000000000000"/>
              <w:rPr>
                <w:szCs w:val="20"/>
              </w:rPr>
            </w:pPr>
            <w:r w:rsidRPr="00C66550">
              <w:rPr>
                <w:szCs w:val="20"/>
              </w:rPr>
              <w:t>Agreed.</w:t>
            </w:r>
          </w:p>
        </w:tc>
        <w:tc>
          <w:tcPr>
            <w:tcW w:w="492" w:type="pct"/>
          </w:tcPr>
          <w:p w:rsidR="001302FA" w:rsidRPr="00C66550" w:rsidRDefault="001302FA" w:rsidP="001302FA">
            <w:pPr>
              <w:cnfStyle w:val="000000000000"/>
              <w:rPr>
                <w:szCs w:val="20"/>
              </w:rPr>
            </w:pPr>
            <w:r w:rsidRPr="00C66550">
              <w:rPr>
                <w:szCs w:val="20"/>
              </w:rPr>
              <w:t>Aligned.</w:t>
            </w:r>
          </w:p>
        </w:tc>
      </w:tr>
      <w:tr w:rsidR="001302FA" w:rsidRPr="00C66550" w:rsidTr="00BD0BCE">
        <w:trPr>
          <w:cantSplit/>
        </w:trPr>
        <w:tc>
          <w:tcPr>
            <w:cnfStyle w:val="001000000000"/>
            <w:tcW w:w="2577" w:type="pct"/>
          </w:tcPr>
          <w:p w:rsidR="001302FA" w:rsidRPr="00C66550" w:rsidRDefault="001302FA" w:rsidP="00B165FA">
            <w:pPr>
              <w:rPr>
                <w:szCs w:val="20"/>
              </w:rPr>
            </w:pPr>
            <w:r w:rsidRPr="00C66550">
              <w:rPr>
                <w:szCs w:val="20"/>
              </w:rPr>
              <w:t>Recommendation 23: Waste should be counted once at the point of generation.</w:t>
            </w:r>
          </w:p>
        </w:tc>
        <w:tc>
          <w:tcPr>
            <w:tcW w:w="1931" w:type="pct"/>
          </w:tcPr>
          <w:p w:rsidR="001302FA" w:rsidRPr="00C66550" w:rsidRDefault="001302FA" w:rsidP="001302FA">
            <w:pPr>
              <w:cnfStyle w:val="000000000000"/>
              <w:rPr>
                <w:szCs w:val="20"/>
              </w:rPr>
            </w:pPr>
            <w:r w:rsidRPr="00C66550">
              <w:rPr>
                <w:szCs w:val="20"/>
              </w:rPr>
              <w:t>Agreed.</w:t>
            </w:r>
          </w:p>
        </w:tc>
        <w:tc>
          <w:tcPr>
            <w:tcW w:w="492" w:type="pct"/>
          </w:tcPr>
          <w:p w:rsidR="001302FA" w:rsidRPr="00C66550" w:rsidRDefault="001302FA" w:rsidP="001302FA">
            <w:pPr>
              <w:cnfStyle w:val="000000000000"/>
              <w:rPr>
                <w:szCs w:val="20"/>
              </w:rPr>
            </w:pPr>
            <w:r w:rsidRPr="00C66550">
              <w:rPr>
                <w:szCs w:val="20"/>
              </w:rPr>
              <w:t>Aligned.</w:t>
            </w:r>
          </w:p>
        </w:tc>
      </w:tr>
      <w:tr w:rsidR="00163B2B" w:rsidRPr="00C66550" w:rsidTr="00BD0BCE">
        <w:trPr>
          <w:cantSplit/>
        </w:trPr>
        <w:tc>
          <w:tcPr>
            <w:cnfStyle w:val="001000000000"/>
            <w:tcW w:w="2577" w:type="pct"/>
          </w:tcPr>
          <w:p w:rsidR="00163B2B" w:rsidRPr="00C66550" w:rsidRDefault="00163B2B" w:rsidP="00B165FA">
            <w:pPr>
              <w:rPr>
                <w:szCs w:val="20"/>
              </w:rPr>
            </w:pPr>
            <w:r w:rsidRPr="00C66550">
              <w:rPr>
                <w:szCs w:val="20"/>
              </w:rPr>
              <w:t>Recommendation 24: Stockpiles of reprocessed product or material that has been actively recovered should be considered to be recycled.</w:t>
            </w:r>
          </w:p>
        </w:tc>
        <w:tc>
          <w:tcPr>
            <w:tcW w:w="1931" w:type="pct"/>
          </w:tcPr>
          <w:p w:rsidR="00163B2B" w:rsidRPr="00C66550" w:rsidRDefault="00163B2B" w:rsidP="00E45618">
            <w:pPr>
              <w:cnfStyle w:val="000000000000"/>
              <w:rPr>
                <w:szCs w:val="20"/>
              </w:rPr>
            </w:pPr>
            <w:r w:rsidRPr="00C66550">
              <w:rPr>
                <w:szCs w:val="20"/>
              </w:rPr>
              <w:t>Agreed.</w:t>
            </w:r>
          </w:p>
        </w:tc>
        <w:tc>
          <w:tcPr>
            <w:tcW w:w="492" w:type="pct"/>
          </w:tcPr>
          <w:p w:rsidR="00163B2B" w:rsidRPr="00C66550" w:rsidRDefault="00163B2B" w:rsidP="00E45618">
            <w:pPr>
              <w:cnfStyle w:val="000000000000"/>
              <w:rPr>
                <w:szCs w:val="20"/>
              </w:rPr>
            </w:pPr>
            <w:r w:rsidRPr="00C66550">
              <w:rPr>
                <w:szCs w:val="20"/>
              </w:rPr>
              <w:t>Aligned.</w:t>
            </w:r>
          </w:p>
        </w:tc>
      </w:tr>
    </w:tbl>
    <w:p w:rsidR="006B5486" w:rsidRPr="00C66550" w:rsidRDefault="006B5486" w:rsidP="006D25F9">
      <w:pPr>
        <w:pStyle w:val="Heading1"/>
        <w:sectPr w:rsidR="006B5486" w:rsidRPr="00C66550" w:rsidSect="00BD13E3">
          <w:headerReference w:type="even" r:id="rId154"/>
          <w:headerReference w:type="default" r:id="rId155"/>
          <w:footerReference w:type="even" r:id="rId156"/>
          <w:footerReference w:type="default" r:id="rId157"/>
          <w:headerReference w:type="first" r:id="rId158"/>
          <w:footerReference w:type="first" r:id="rId159"/>
          <w:pgSz w:w="16840" w:h="11907" w:orient="landscape" w:code="9"/>
          <w:pgMar w:top="1417" w:right="1134" w:bottom="1276" w:left="1134" w:header="709" w:footer="567" w:gutter="0"/>
          <w:cols w:space="708"/>
          <w:docGrid w:linePitch="360"/>
        </w:sectPr>
      </w:pPr>
    </w:p>
    <w:p w:rsidR="00463D78" w:rsidRPr="00C66550" w:rsidRDefault="00463D78" w:rsidP="006D25F9">
      <w:pPr>
        <w:pStyle w:val="Heading1"/>
      </w:pPr>
      <w:bookmarkStart w:id="305" w:name="_Toc349480635"/>
      <w:bookmarkStart w:id="306" w:name="_Ref349778477"/>
      <w:bookmarkStart w:id="307" w:name="_Ref354659049"/>
      <w:bookmarkStart w:id="308" w:name="_Toc379466420"/>
      <w:r w:rsidRPr="00C66550">
        <w:lastRenderedPageBreak/>
        <w:t>Data sources and assumptions</w:t>
      </w:r>
      <w:bookmarkEnd w:id="305"/>
      <w:bookmarkEnd w:id="306"/>
      <w:bookmarkEnd w:id="307"/>
      <w:bookmarkEnd w:id="308"/>
    </w:p>
    <w:p w:rsidR="00463D78" w:rsidRPr="00C66550" w:rsidRDefault="00463D78" w:rsidP="00CF2701">
      <w:pPr>
        <w:pStyle w:val="BodyText"/>
        <w:rPr>
          <w:lang w:eastAsia="en-AU"/>
        </w:rPr>
      </w:pPr>
      <w:r w:rsidRPr="00C66550">
        <w:rPr>
          <w:lang w:eastAsia="en-AU"/>
        </w:rPr>
        <w:t>Each jurisdiction was asked to provide data on the tonnages:</w:t>
      </w:r>
      <w:r w:rsidR="00CF2701">
        <w:rPr>
          <w:lang w:eastAsia="en-AU"/>
        </w:rPr>
        <w:t xml:space="preserve"> </w:t>
      </w:r>
      <w:r w:rsidR="006C044B" w:rsidRPr="00C66550">
        <w:rPr>
          <w:lang w:eastAsia="en-AU"/>
        </w:rPr>
        <w:t xml:space="preserve">of </w:t>
      </w:r>
      <w:r w:rsidR="00CF2701">
        <w:rPr>
          <w:lang w:eastAsia="en-AU"/>
        </w:rPr>
        <w:t xml:space="preserve">each waste type; </w:t>
      </w:r>
      <w:r w:rsidRPr="00C66550">
        <w:rPr>
          <w:lang w:eastAsia="en-AU"/>
        </w:rPr>
        <w:t>in each waste stream (MSW, C&amp;I and C&amp;D)</w:t>
      </w:r>
      <w:r w:rsidR="00CF2701">
        <w:rPr>
          <w:lang w:eastAsia="en-AU"/>
        </w:rPr>
        <w:t xml:space="preserve">; </w:t>
      </w:r>
      <w:r w:rsidR="00301265" w:rsidRPr="00C66550">
        <w:rPr>
          <w:lang w:eastAsia="en-AU"/>
        </w:rPr>
        <w:t xml:space="preserve">by </w:t>
      </w:r>
      <w:r w:rsidRPr="00C66550">
        <w:rPr>
          <w:lang w:eastAsia="en-AU"/>
        </w:rPr>
        <w:t>management (landfilled, recycled or used for energy recovery)</w:t>
      </w:r>
      <w:r w:rsidR="00CF2701">
        <w:rPr>
          <w:lang w:eastAsia="en-AU"/>
        </w:rPr>
        <w:t xml:space="preserve">; </w:t>
      </w:r>
      <w:r w:rsidRPr="00C66550">
        <w:rPr>
          <w:lang w:eastAsia="en-AU"/>
        </w:rPr>
        <w:t xml:space="preserve">in the reference year 2010/11 and, where available, in the financial years 2006/07, 2008/09, 2009/10 and 2011/12. </w:t>
      </w:r>
    </w:p>
    <w:p w:rsidR="00463D78" w:rsidRPr="00C66550" w:rsidRDefault="00463D78" w:rsidP="00CF2701">
      <w:pPr>
        <w:pStyle w:val="BodyText"/>
        <w:rPr>
          <w:lang w:eastAsia="en-AU"/>
        </w:rPr>
      </w:pPr>
    </w:p>
    <w:p w:rsidR="00463D78" w:rsidRPr="00C66550" w:rsidRDefault="00463D78" w:rsidP="00463D78">
      <w:pPr>
        <w:spacing w:line="240" w:lineRule="auto"/>
        <w:rPr>
          <w:color w:val="080808"/>
          <w:sz w:val="22"/>
          <w:lang w:eastAsia="en-AU"/>
        </w:rPr>
      </w:pPr>
      <w:r w:rsidRPr="00C66550">
        <w:rPr>
          <w:color w:val="080808"/>
          <w:sz w:val="22"/>
          <w:lang w:eastAsia="en-AU"/>
        </w:rPr>
        <w:t xml:space="preserve">Jurisdictions were able to satisfy this request to different degrees. In most cases there were gaps for some waste types, categories, streams or management routes. In some cases data on hazardous waste was available from both hazardous waste tracking data and landfill data, and the figures were not always identical. No data were obtained for </w:t>
      </w:r>
      <w:r w:rsidR="00DF4FB7">
        <w:rPr>
          <w:color w:val="080808"/>
          <w:sz w:val="22"/>
          <w:lang w:eastAsia="en-AU"/>
        </w:rPr>
        <w:t>Qld</w:t>
      </w:r>
      <w:r w:rsidRPr="00C66550">
        <w:rPr>
          <w:color w:val="080808"/>
          <w:sz w:val="22"/>
          <w:lang w:eastAsia="en-AU"/>
        </w:rPr>
        <w:t xml:space="preserve"> (2006/07), NSW (2009/10) or NT (2006/07 to 2009/10). </w:t>
      </w:r>
      <w:r w:rsidR="00DF4FB7">
        <w:rPr>
          <w:color w:val="080808"/>
          <w:sz w:val="22"/>
          <w:lang w:eastAsia="en-AU"/>
        </w:rPr>
        <w:t>Qld</w:t>
      </w:r>
      <w:r w:rsidRPr="00C66550">
        <w:rPr>
          <w:color w:val="080808"/>
          <w:sz w:val="22"/>
          <w:lang w:eastAsia="en-AU"/>
        </w:rPr>
        <w:t xml:space="preserve"> was the only jurisdiction able to provide data for 2011/12.</w:t>
      </w:r>
    </w:p>
    <w:p w:rsidR="00463D78" w:rsidRPr="00C66550" w:rsidRDefault="00463D78" w:rsidP="00463D78">
      <w:pPr>
        <w:spacing w:line="240" w:lineRule="auto"/>
        <w:rPr>
          <w:color w:val="080808"/>
          <w:sz w:val="22"/>
          <w:lang w:eastAsia="en-AU"/>
        </w:rPr>
      </w:pPr>
    </w:p>
    <w:p w:rsidR="00463D78" w:rsidRPr="00C66550" w:rsidRDefault="00463D78" w:rsidP="00463D78">
      <w:pPr>
        <w:spacing w:line="240" w:lineRule="auto"/>
        <w:rPr>
          <w:color w:val="080808"/>
          <w:sz w:val="22"/>
          <w:lang w:eastAsia="en-AU"/>
        </w:rPr>
      </w:pPr>
      <w:r w:rsidRPr="00C66550">
        <w:rPr>
          <w:color w:val="080808"/>
          <w:sz w:val="22"/>
          <w:lang w:eastAsia="en-AU"/>
        </w:rPr>
        <w:t>Data were also obtained from a range of industry sources to supplement the jurisdictional data. These included data from: the Plastics and Chemicals Industry Association</w:t>
      </w:r>
      <w:r w:rsidR="006C6C33" w:rsidRPr="00C66550">
        <w:rPr>
          <w:color w:val="080808"/>
          <w:sz w:val="22"/>
          <w:lang w:eastAsia="en-AU"/>
        </w:rPr>
        <w:t xml:space="preserve"> (PACIA)</w:t>
      </w:r>
      <w:r w:rsidRPr="00C66550">
        <w:rPr>
          <w:color w:val="080808"/>
          <w:sz w:val="22"/>
          <w:lang w:eastAsia="en-AU"/>
        </w:rPr>
        <w:t xml:space="preserve"> (plastics); the </w:t>
      </w:r>
      <w:r w:rsidR="006C6C33" w:rsidRPr="00C66550">
        <w:rPr>
          <w:color w:val="080808"/>
          <w:sz w:val="22"/>
          <w:lang w:eastAsia="en-AU"/>
        </w:rPr>
        <w:t>ROU</w:t>
      </w:r>
      <w:r w:rsidRPr="00C66550">
        <w:rPr>
          <w:color w:val="080808"/>
          <w:sz w:val="22"/>
          <w:lang w:eastAsia="en-AU"/>
        </w:rPr>
        <w:t xml:space="preserve"> (organic waste recycling); the Australian Ash Development Association </w:t>
      </w:r>
      <w:r w:rsidR="000118E2" w:rsidRPr="00C66550">
        <w:rPr>
          <w:color w:val="080808"/>
          <w:sz w:val="22"/>
          <w:lang w:eastAsia="en-AU"/>
        </w:rPr>
        <w:t xml:space="preserve">(ADAA) </w:t>
      </w:r>
      <w:r w:rsidRPr="00C66550">
        <w:rPr>
          <w:color w:val="080808"/>
          <w:sz w:val="22"/>
          <w:lang w:eastAsia="en-AU"/>
        </w:rPr>
        <w:t xml:space="preserve">(power station ash); the Australia and New Zealand Biosolids Partnership (biosolids from sewage works); the Clean Energy Council (energy recovery from organic wastes); and waste industry websites (various waste streams). Demographic and economic data were obtained from the </w:t>
      </w:r>
      <w:r w:rsidR="006C6C33" w:rsidRPr="00C66550">
        <w:rPr>
          <w:color w:val="080808"/>
          <w:sz w:val="22"/>
          <w:lang w:eastAsia="en-AU"/>
        </w:rPr>
        <w:t>ABS</w:t>
      </w:r>
      <w:r w:rsidRPr="00C66550">
        <w:rPr>
          <w:color w:val="080808"/>
          <w:sz w:val="22"/>
          <w:lang w:eastAsia="en-AU"/>
        </w:rPr>
        <w:t xml:space="preserve">. </w:t>
      </w:r>
    </w:p>
    <w:p w:rsidR="00463D78" w:rsidRPr="00C66550" w:rsidRDefault="00463D78" w:rsidP="00463D78">
      <w:pPr>
        <w:tabs>
          <w:tab w:val="left" w:pos="2550"/>
        </w:tabs>
        <w:spacing w:line="240" w:lineRule="auto"/>
        <w:rPr>
          <w:color w:val="080808"/>
          <w:sz w:val="22"/>
          <w:lang w:eastAsia="en-AU"/>
        </w:rPr>
      </w:pPr>
    </w:p>
    <w:p w:rsidR="00463D78" w:rsidRPr="00C66550" w:rsidRDefault="00463D78" w:rsidP="00463D78">
      <w:pPr>
        <w:spacing w:line="240" w:lineRule="auto"/>
        <w:rPr>
          <w:color w:val="080808"/>
          <w:sz w:val="22"/>
          <w:lang w:eastAsia="en-AU"/>
        </w:rPr>
      </w:pPr>
      <w:r w:rsidRPr="00C66550">
        <w:rPr>
          <w:color w:val="080808"/>
          <w:sz w:val="22"/>
          <w:lang w:eastAsia="en-AU"/>
        </w:rPr>
        <w:t xml:space="preserve">In some cases, values for a particular datum were available from more than one source. Greatest reliance was generally placed on jurisdictional waste data, where these were available. An alternative was used in a few cases where, in the professional judgement of the authors, there was good reason. For example, the tonnes of plastics recycled reported by the </w:t>
      </w:r>
      <w:r w:rsidR="00DF4FB7">
        <w:rPr>
          <w:color w:val="080808"/>
          <w:sz w:val="22"/>
          <w:lang w:eastAsia="en-AU"/>
        </w:rPr>
        <w:t>Qld</w:t>
      </w:r>
      <w:r w:rsidR="006C6C33" w:rsidRPr="00C66550">
        <w:rPr>
          <w:color w:val="080808"/>
          <w:sz w:val="22"/>
          <w:lang w:eastAsia="en-AU"/>
        </w:rPr>
        <w:t xml:space="preserve"> </w:t>
      </w:r>
      <w:r w:rsidRPr="00C66550">
        <w:rPr>
          <w:color w:val="080808"/>
          <w:sz w:val="22"/>
          <w:lang w:eastAsia="en-AU"/>
        </w:rPr>
        <w:t xml:space="preserve">Government were lower than those given for </w:t>
      </w:r>
      <w:r w:rsidR="00DF4FB7">
        <w:rPr>
          <w:color w:val="080808"/>
          <w:sz w:val="22"/>
          <w:lang w:eastAsia="en-AU"/>
        </w:rPr>
        <w:t>Qld</w:t>
      </w:r>
      <w:r w:rsidR="006C6C33" w:rsidRPr="00C66550">
        <w:rPr>
          <w:color w:val="080808"/>
          <w:sz w:val="22"/>
          <w:lang w:eastAsia="en-AU"/>
        </w:rPr>
        <w:t xml:space="preserve"> </w:t>
      </w:r>
      <w:r w:rsidRPr="00C66550">
        <w:rPr>
          <w:color w:val="080808"/>
          <w:sz w:val="22"/>
          <w:lang w:eastAsia="en-AU"/>
        </w:rPr>
        <w:t xml:space="preserve">by </w:t>
      </w:r>
      <w:r w:rsidR="006C6C33" w:rsidRPr="00C66550">
        <w:rPr>
          <w:color w:val="080808"/>
          <w:sz w:val="22"/>
          <w:lang w:eastAsia="en-AU"/>
        </w:rPr>
        <w:t>PACIA</w:t>
      </w:r>
      <w:r w:rsidRPr="00C66550">
        <w:rPr>
          <w:color w:val="080808"/>
          <w:sz w:val="22"/>
          <w:lang w:eastAsia="en-AU"/>
        </w:rPr>
        <w:t xml:space="preserve">, so the industry survey was assumed to have identified additional tonnages and its total figures were applied. </w:t>
      </w:r>
    </w:p>
    <w:p w:rsidR="00463D78" w:rsidRPr="00C66550" w:rsidRDefault="00463D78" w:rsidP="00463D78">
      <w:pPr>
        <w:spacing w:line="240" w:lineRule="auto"/>
        <w:rPr>
          <w:color w:val="080808"/>
          <w:sz w:val="22"/>
          <w:lang w:eastAsia="en-AU"/>
        </w:rPr>
      </w:pPr>
    </w:p>
    <w:p w:rsidR="00463D78" w:rsidRPr="00C66550" w:rsidRDefault="00463D78" w:rsidP="00463D78">
      <w:pPr>
        <w:spacing w:line="240" w:lineRule="auto"/>
        <w:rPr>
          <w:color w:val="080808"/>
          <w:sz w:val="22"/>
          <w:lang w:eastAsia="en-AU"/>
        </w:rPr>
      </w:pPr>
      <w:r w:rsidRPr="00C66550">
        <w:rPr>
          <w:color w:val="080808"/>
          <w:sz w:val="22"/>
          <w:lang w:eastAsia="en-AU"/>
        </w:rPr>
        <w:t>Where data were not directly available from either jurisdictional or industry data, gaps were filled, where it was considered prudent, by means of assumption and calculation. The assumptions were founded on the professional judgement of the authors, with consideration of the similarities and differences between jurisdictions and circumstances. The methods for gap filling included assuming that:</w:t>
      </w:r>
    </w:p>
    <w:p w:rsidR="00463D78" w:rsidRPr="00C66550" w:rsidRDefault="006C6C33" w:rsidP="00463D78">
      <w:pPr>
        <w:pStyle w:val="Bullet1"/>
        <w:rPr>
          <w:lang w:eastAsia="en-AU"/>
        </w:rPr>
      </w:pPr>
      <w:r w:rsidRPr="00C66550">
        <w:rPr>
          <w:lang w:eastAsia="en-AU"/>
        </w:rPr>
        <w:t>P</w:t>
      </w:r>
      <w:r w:rsidR="00463D78" w:rsidRPr="00C66550">
        <w:rPr>
          <w:lang w:eastAsia="en-AU"/>
        </w:rPr>
        <w:t>roportions or rates in a jurisdiction, time period, area or waste stream were similar to those in another</w:t>
      </w:r>
      <w:r w:rsidRPr="00C66550">
        <w:rPr>
          <w:lang w:eastAsia="en-AU"/>
        </w:rPr>
        <w:t>.</w:t>
      </w:r>
    </w:p>
    <w:p w:rsidR="00463D78" w:rsidRPr="00C66550" w:rsidRDefault="006C6C33" w:rsidP="00463D78">
      <w:pPr>
        <w:pStyle w:val="Bullet1"/>
        <w:rPr>
          <w:lang w:eastAsia="en-AU"/>
        </w:rPr>
      </w:pPr>
      <w:r w:rsidRPr="00C66550">
        <w:rPr>
          <w:lang w:eastAsia="en-AU"/>
        </w:rPr>
        <w:t>R</w:t>
      </w:r>
      <w:r w:rsidR="00463D78" w:rsidRPr="00C66550">
        <w:rPr>
          <w:lang w:eastAsia="en-AU"/>
        </w:rPr>
        <w:t>ates or values in a jurisdiction or area had particular values</w:t>
      </w:r>
      <w:r w:rsidRPr="00C66550">
        <w:rPr>
          <w:lang w:eastAsia="en-AU"/>
        </w:rPr>
        <w:t>.</w:t>
      </w:r>
    </w:p>
    <w:p w:rsidR="00463D78" w:rsidRPr="00C66550" w:rsidRDefault="006C6C33" w:rsidP="00463D78">
      <w:pPr>
        <w:pStyle w:val="Bullet1"/>
        <w:rPr>
          <w:lang w:eastAsia="en-AU"/>
        </w:rPr>
      </w:pPr>
      <w:r w:rsidRPr="00C66550">
        <w:rPr>
          <w:lang w:eastAsia="en-AU"/>
        </w:rPr>
        <w:t>S</w:t>
      </w:r>
      <w:r w:rsidR="00463D78" w:rsidRPr="00C66550">
        <w:rPr>
          <w:lang w:eastAsia="en-AU"/>
        </w:rPr>
        <w:t>napshot waste stream audits in a jurisdiction were proportionally representative of the entire jurisdictional waste stream</w:t>
      </w:r>
      <w:r w:rsidRPr="00C66550">
        <w:rPr>
          <w:lang w:eastAsia="en-AU"/>
        </w:rPr>
        <w:t>.</w:t>
      </w:r>
    </w:p>
    <w:p w:rsidR="00463D78" w:rsidRPr="00C66550" w:rsidRDefault="006C6C33" w:rsidP="00463D78">
      <w:pPr>
        <w:pStyle w:val="Bullet1"/>
        <w:rPr>
          <w:lang w:eastAsia="en-AU"/>
        </w:rPr>
      </w:pPr>
      <w:r w:rsidRPr="00C66550">
        <w:rPr>
          <w:lang w:eastAsia="en-AU"/>
        </w:rPr>
        <w:t>A</w:t>
      </w:r>
      <w:r w:rsidR="00463D78" w:rsidRPr="00C66550">
        <w:rPr>
          <w:lang w:eastAsia="en-AU"/>
        </w:rPr>
        <w:t>verage values from combining the results of waste stream audits in several jurisdictions were representative of national averages, and were applicable to jurisdictions and waste streams lacking representative snapshot audits</w:t>
      </w:r>
      <w:r w:rsidRPr="00C66550">
        <w:rPr>
          <w:lang w:eastAsia="en-AU"/>
        </w:rPr>
        <w:t>. S</w:t>
      </w:r>
      <w:r w:rsidR="00463D78" w:rsidRPr="00C66550">
        <w:rPr>
          <w:lang w:eastAsia="en-AU"/>
        </w:rPr>
        <w:t>ome combining of audit results was undertaken by the project team</w:t>
      </w:r>
      <w:r w:rsidRPr="00C66550">
        <w:rPr>
          <w:lang w:eastAsia="en-AU"/>
        </w:rPr>
        <w:t xml:space="preserve">, and some by </w:t>
      </w:r>
      <w:r w:rsidR="00463D78" w:rsidRPr="00C66550">
        <w:rPr>
          <w:lang w:eastAsia="en-AU"/>
        </w:rPr>
        <w:t xml:space="preserve">third parties </w:t>
      </w:r>
      <w:r w:rsidRPr="00C66550">
        <w:rPr>
          <w:lang w:eastAsia="en-AU"/>
        </w:rPr>
        <w:t>(</w:t>
      </w:r>
      <w:r w:rsidR="00463D78" w:rsidRPr="00C66550">
        <w:rPr>
          <w:lang w:eastAsia="en-AU"/>
        </w:rPr>
        <w:t>e.g. as part of a national study of C&amp;I waste, or in establishing default values for use under National Greenhouse and Energy Reporting legislation)</w:t>
      </w:r>
      <w:r w:rsidRPr="00C66550">
        <w:rPr>
          <w:lang w:eastAsia="en-AU"/>
        </w:rPr>
        <w:t>.</w:t>
      </w:r>
    </w:p>
    <w:p w:rsidR="00463D78" w:rsidRPr="00C66550" w:rsidRDefault="00463D78" w:rsidP="00463D78">
      <w:pPr>
        <w:spacing w:line="240" w:lineRule="auto"/>
        <w:rPr>
          <w:color w:val="080808"/>
          <w:sz w:val="22"/>
          <w:lang w:eastAsia="en-AU"/>
        </w:rPr>
      </w:pPr>
    </w:p>
    <w:p w:rsidR="00463D78" w:rsidRPr="00C66550" w:rsidRDefault="00F36A6B" w:rsidP="00463D78">
      <w:pPr>
        <w:spacing w:line="240" w:lineRule="auto"/>
        <w:rPr>
          <w:color w:val="080808"/>
          <w:sz w:val="22"/>
          <w:lang w:eastAsia="en-AU"/>
        </w:rPr>
      </w:pPr>
      <w:r w:rsidRPr="00C66550">
        <w:rPr>
          <w:color w:val="080808"/>
          <w:sz w:val="22"/>
          <w:lang w:eastAsia="en-AU"/>
        </w:rPr>
        <w:t>The m</w:t>
      </w:r>
      <w:r w:rsidR="00463D78" w:rsidRPr="00C66550">
        <w:rPr>
          <w:color w:val="080808"/>
          <w:sz w:val="22"/>
          <w:lang w:eastAsia="en-AU"/>
        </w:rPr>
        <w:t xml:space="preserve">ajor assumptions applied in compiling the jurisdictional and national waste data </w:t>
      </w:r>
      <w:r w:rsidR="00912151" w:rsidRPr="00C66550">
        <w:rPr>
          <w:color w:val="080808"/>
          <w:sz w:val="22"/>
          <w:lang w:eastAsia="en-AU"/>
        </w:rPr>
        <w:t>section</w:t>
      </w:r>
      <w:r w:rsidR="00463D78" w:rsidRPr="00C66550">
        <w:rPr>
          <w:color w:val="080808"/>
          <w:sz w:val="22"/>
          <w:lang w:eastAsia="en-AU"/>
        </w:rPr>
        <w:t xml:space="preserve">s are specified in </w:t>
      </w:r>
      <w:fldSimple w:instr=" REF _Ref349476781 \h  \* MERGEFORMAT ">
        <w:r w:rsidR="00D96003" w:rsidRPr="00C66550">
          <w:t xml:space="preserve">Table </w:t>
        </w:r>
        <w:r w:rsidR="00D96003" w:rsidRPr="00D96003">
          <w:rPr>
            <w:noProof/>
            <w:sz w:val="22"/>
          </w:rPr>
          <w:t>24</w:t>
        </w:r>
      </w:fldSimple>
      <w:r w:rsidR="00463D78" w:rsidRPr="00C66550">
        <w:rPr>
          <w:color w:val="080808"/>
          <w:sz w:val="22"/>
          <w:lang w:eastAsia="en-AU"/>
        </w:rPr>
        <w:t>. Less significant assumptions are set all out in the ‘</w:t>
      </w:r>
      <w:r w:rsidR="004B1E3C" w:rsidRPr="00C66550">
        <w:rPr>
          <w:color w:val="080808"/>
          <w:sz w:val="22"/>
          <w:lang w:eastAsia="en-AU"/>
        </w:rPr>
        <w:t>WGRRA</w:t>
      </w:r>
      <w:r w:rsidR="00463D78" w:rsidRPr="00C66550">
        <w:rPr>
          <w:color w:val="080808"/>
          <w:sz w:val="22"/>
          <w:lang w:eastAsia="en-AU"/>
        </w:rPr>
        <w:t xml:space="preserve"> database’ and ‘</w:t>
      </w:r>
      <w:r w:rsidR="004B1E3C" w:rsidRPr="00C66550">
        <w:rPr>
          <w:color w:val="080808"/>
          <w:sz w:val="22"/>
          <w:lang w:eastAsia="en-AU"/>
        </w:rPr>
        <w:t>WGRRA</w:t>
      </w:r>
      <w:r w:rsidR="00463D78" w:rsidRPr="00C66550">
        <w:rPr>
          <w:color w:val="080808"/>
          <w:sz w:val="22"/>
          <w:lang w:eastAsia="en-AU"/>
        </w:rPr>
        <w:t xml:space="preserve"> data workbook’ adjacent to the calculation where the assumption is employed. In the database, assumptions are identified through the use of red font.</w:t>
      </w:r>
    </w:p>
    <w:p w:rsidR="0096145D" w:rsidRPr="00C66550" w:rsidRDefault="0096145D" w:rsidP="00463D78">
      <w:pPr>
        <w:spacing w:line="240" w:lineRule="auto"/>
        <w:rPr>
          <w:color w:val="080808"/>
          <w:sz w:val="22"/>
          <w:lang w:eastAsia="en-AU"/>
        </w:rPr>
      </w:pPr>
    </w:p>
    <w:p w:rsidR="00463D78" w:rsidRPr="00C66550" w:rsidRDefault="00463D78" w:rsidP="00FB4820">
      <w:pPr>
        <w:pStyle w:val="Figures"/>
      </w:pPr>
      <w:bookmarkStart w:id="309" w:name="_Ref349476781"/>
      <w:bookmarkStart w:id="310" w:name="_Toc349480643"/>
      <w:bookmarkStart w:id="311" w:name="_Toc365038868"/>
      <w:r w:rsidRPr="00C66550">
        <w:lastRenderedPageBreak/>
        <w:t xml:space="preserve">Table </w:t>
      </w:r>
      <w:r w:rsidR="0062001A" w:rsidRPr="00C66550">
        <w:fldChar w:fldCharType="begin"/>
      </w:r>
      <w:r w:rsidRPr="00C66550">
        <w:instrText xml:space="preserve"> SEQ Table \* ARABIC </w:instrText>
      </w:r>
      <w:r w:rsidR="0062001A" w:rsidRPr="00C66550">
        <w:fldChar w:fldCharType="separate"/>
      </w:r>
      <w:r w:rsidR="00D96003">
        <w:rPr>
          <w:noProof/>
        </w:rPr>
        <w:t>24</w:t>
      </w:r>
      <w:r w:rsidR="0062001A" w:rsidRPr="00C66550">
        <w:fldChar w:fldCharType="end"/>
      </w:r>
      <w:bookmarkEnd w:id="309"/>
      <w:r w:rsidRPr="00C66550">
        <w:t>:</w:t>
      </w:r>
      <w:r w:rsidR="003967BD" w:rsidRPr="00C66550">
        <w:tab/>
      </w:r>
      <w:r w:rsidRPr="00C66550">
        <w:t>Major assumptions used in compiling the data for</w:t>
      </w:r>
      <w:r w:rsidR="00994900" w:rsidRPr="00C66550">
        <w:t xml:space="preserve"> </w:t>
      </w:r>
      <w:r w:rsidR="004B1E3C" w:rsidRPr="00C66550">
        <w:t>WGRRA</w:t>
      </w:r>
      <w:bookmarkEnd w:id="310"/>
      <w:bookmarkEnd w:id="311"/>
    </w:p>
    <w:tbl>
      <w:tblPr>
        <w:tblStyle w:val="BETable14"/>
        <w:tblW w:w="9214" w:type="dxa"/>
        <w:tblLayout w:type="fixed"/>
        <w:tblLook w:val="04A0"/>
      </w:tblPr>
      <w:tblGrid>
        <w:gridCol w:w="5529"/>
        <w:gridCol w:w="1701"/>
        <w:gridCol w:w="1134"/>
        <w:gridCol w:w="850"/>
      </w:tblGrid>
      <w:tr w:rsidR="00463D78" w:rsidRPr="00C66550" w:rsidTr="0042276E">
        <w:trPr>
          <w:cnfStyle w:val="100000000000"/>
          <w:cantSplit/>
          <w:tblHeader/>
        </w:trPr>
        <w:tc>
          <w:tcPr>
            <w:cnfStyle w:val="001000000000"/>
            <w:tcW w:w="5529" w:type="dxa"/>
            <w:vMerge w:val="restart"/>
            <w:vAlign w:val="center"/>
          </w:tcPr>
          <w:p w:rsidR="00463D78" w:rsidRPr="00C66550" w:rsidRDefault="00463D78" w:rsidP="00463D78">
            <w:r w:rsidRPr="00C66550">
              <w:t>Assumption</w:t>
            </w:r>
          </w:p>
        </w:tc>
        <w:tc>
          <w:tcPr>
            <w:tcW w:w="3685" w:type="dxa"/>
            <w:gridSpan w:val="3"/>
            <w:tcBorders>
              <w:bottom w:val="nil"/>
            </w:tcBorders>
            <w:vAlign w:val="center"/>
          </w:tcPr>
          <w:p w:rsidR="00463D78" w:rsidRPr="00C66550" w:rsidRDefault="00463D78" w:rsidP="00463D78">
            <w:pPr>
              <w:jc w:val="center"/>
              <w:cnfStyle w:val="100000000000"/>
            </w:pPr>
            <w:r w:rsidRPr="00C66550">
              <w:t>Applicability</w:t>
            </w:r>
          </w:p>
        </w:tc>
      </w:tr>
      <w:tr w:rsidR="00463D78" w:rsidRPr="00C66550" w:rsidTr="0042276E">
        <w:trPr>
          <w:cnfStyle w:val="100000000000"/>
          <w:cantSplit/>
          <w:tblHeader/>
        </w:trPr>
        <w:tc>
          <w:tcPr>
            <w:cnfStyle w:val="001000000000"/>
            <w:tcW w:w="5529" w:type="dxa"/>
            <w:vMerge/>
            <w:vAlign w:val="center"/>
          </w:tcPr>
          <w:p w:rsidR="00463D78" w:rsidRPr="00C66550" w:rsidRDefault="00463D78" w:rsidP="00463D78"/>
        </w:tc>
        <w:tc>
          <w:tcPr>
            <w:tcW w:w="1701" w:type="dxa"/>
            <w:tcBorders>
              <w:top w:val="nil"/>
              <w:bottom w:val="single" w:sz="4" w:space="0" w:color="7F7F7F" w:themeColor="background2"/>
            </w:tcBorders>
            <w:tcMar>
              <w:left w:w="28" w:type="dxa"/>
              <w:right w:w="28" w:type="dxa"/>
            </w:tcMar>
            <w:vAlign w:val="center"/>
          </w:tcPr>
          <w:p w:rsidR="00463D78" w:rsidRPr="00C66550" w:rsidRDefault="00463D78" w:rsidP="00463D78">
            <w:pPr>
              <w:cnfStyle w:val="100000000000"/>
            </w:pPr>
            <w:r w:rsidRPr="00C66550">
              <w:t>Wastes</w:t>
            </w:r>
          </w:p>
        </w:tc>
        <w:tc>
          <w:tcPr>
            <w:tcW w:w="1134" w:type="dxa"/>
            <w:tcBorders>
              <w:top w:val="nil"/>
              <w:bottom w:val="single" w:sz="4" w:space="0" w:color="7F7F7F" w:themeColor="background2"/>
            </w:tcBorders>
            <w:tcMar>
              <w:left w:w="28" w:type="dxa"/>
              <w:right w:w="28" w:type="dxa"/>
            </w:tcMar>
            <w:vAlign w:val="center"/>
          </w:tcPr>
          <w:p w:rsidR="00463D78" w:rsidRPr="00C66550" w:rsidRDefault="00463D78" w:rsidP="0042276E">
            <w:pPr>
              <w:jc w:val="center"/>
              <w:cnfStyle w:val="100000000000"/>
            </w:pPr>
            <w:r w:rsidRPr="00C66550">
              <w:t>Jurisdictions</w:t>
            </w:r>
          </w:p>
        </w:tc>
        <w:tc>
          <w:tcPr>
            <w:tcW w:w="850" w:type="dxa"/>
            <w:tcBorders>
              <w:top w:val="nil"/>
              <w:bottom w:val="single" w:sz="4" w:space="0" w:color="7F7F7F" w:themeColor="background2"/>
            </w:tcBorders>
            <w:tcMar>
              <w:left w:w="28" w:type="dxa"/>
              <w:right w:w="28" w:type="dxa"/>
            </w:tcMar>
            <w:vAlign w:val="center"/>
          </w:tcPr>
          <w:p w:rsidR="00463D78" w:rsidRPr="00C66550" w:rsidRDefault="00463D78" w:rsidP="00463D78">
            <w:pPr>
              <w:cnfStyle w:val="100000000000"/>
            </w:pPr>
            <w:r w:rsidRPr="00C66550">
              <w:t>Years</w:t>
            </w:r>
          </w:p>
        </w:tc>
      </w:tr>
      <w:tr w:rsidR="00463D78" w:rsidRPr="00C66550" w:rsidTr="0042276E">
        <w:trPr>
          <w:cantSplit/>
        </w:trPr>
        <w:tc>
          <w:tcPr>
            <w:cnfStyle w:val="001000000000"/>
            <w:tcW w:w="5529" w:type="dxa"/>
            <w:vAlign w:val="center"/>
          </w:tcPr>
          <w:p w:rsidR="00463D78" w:rsidRPr="00C66550" w:rsidRDefault="00463D78" w:rsidP="00463D78">
            <w:pPr>
              <w:rPr>
                <w:color w:val="000000"/>
                <w:szCs w:val="20"/>
              </w:rPr>
            </w:pPr>
            <w:r w:rsidRPr="00C66550">
              <w:rPr>
                <w:lang w:eastAsia="en-AU"/>
              </w:rPr>
              <w:t>The mass of waste associated with energy recovery from landfill gas can be accurately back-calculated using NGERS default values (Australian Government 2012) assuming instantaneous emission of methane.</w:t>
            </w:r>
          </w:p>
        </w:tc>
        <w:tc>
          <w:tcPr>
            <w:tcW w:w="1701" w:type="dxa"/>
            <w:tcBorders>
              <w:top w:val="single" w:sz="4" w:space="0" w:color="7F7F7F" w:themeColor="background2"/>
            </w:tcBorders>
            <w:vAlign w:val="center"/>
          </w:tcPr>
          <w:p w:rsidR="00463D78" w:rsidRPr="00C66550" w:rsidRDefault="00463D78" w:rsidP="00463D78">
            <w:pPr>
              <w:cnfStyle w:val="000000000000"/>
              <w:rPr>
                <w:color w:val="000000"/>
                <w:szCs w:val="20"/>
              </w:rPr>
            </w:pPr>
            <w:r w:rsidRPr="00C66550">
              <w:rPr>
                <w:color w:val="000000"/>
                <w:szCs w:val="20"/>
              </w:rPr>
              <w:t>Organics to landfill</w:t>
            </w:r>
          </w:p>
        </w:tc>
        <w:tc>
          <w:tcPr>
            <w:tcW w:w="1134" w:type="dxa"/>
            <w:tcBorders>
              <w:top w:val="single" w:sz="4" w:space="0" w:color="7F7F7F" w:themeColor="background2"/>
            </w:tcBorders>
            <w:vAlign w:val="center"/>
          </w:tcPr>
          <w:p w:rsidR="00463D78" w:rsidRPr="00C66550" w:rsidRDefault="00463D78" w:rsidP="0042276E">
            <w:pPr>
              <w:jc w:val="center"/>
              <w:cnfStyle w:val="000000000000"/>
              <w:rPr>
                <w:color w:val="000000"/>
                <w:szCs w:val="20"/>
              </w:rPr>
            </w:pPr>
            <w:r w:rsidRPr="00C66550">
              <w:rPr>
                <w:color w:val="000000"/>
                <w:szCs w:val="20"/>
              </w:rPr>
              <w:t>All</w:t>
            </w:r>
          </w:p>
        </w:tc>
        <w:tc>
          <w:tcPr>
            <w:tcW w:w="850" w:type="dxa"/>
            <w:tcBorders>
              <w:top w:val="single" w:sz="4" w:space="0" w:color="7F7F7F" w:themeColor="background2"/>
            </w:tcBorders>
            <w:vAlign w:val="center"/>
          </w:tcPr>
          <w:p w:rsidR="00463D78" w:rsidRPr="00C66550" w:rsidRDefault="00463D78" w:rsidP="00463D78">
            <w:pPr>
              <w:cnfStyle w:val="000000000000"/>
              <w:rPr>
                <w:color w:val="000000"/>
                <w:szCs w:val="20"/>
              </w:rPr>
            </w:pPr>
            <w:r w:rsidRPr="00C66550">
              <w:rPr>
                <w:color w:val="000000"/>
                <w:szCs w:val="20"/>
              </w:rPr>
              <w:t>All</w:t>
            </w:r>
          </w:p>
        </w:tc>
      </w:tr>
      <w:tr w:rsidR="0042276E" w:rsidRPr="00C66550" w:rsidTr="0042276E">
        <w:trPr>
          <w:cantSplit/>
        </w:trPr>
        <w:tc>
          <w:tcPr>
            <w:cnfStyle w:val="001000000000"/>
            <w:tcW w:w="5529" w:type="dxa"/>
            <w:vMerge w:val="restart"/>
            <w:vAlign w:val="center"/>
          </w:tcPr>
          <w:p w:rsidR="0042276E" w:rsidRPr="00C66550" w:rsidRDefault="0042276E" w:rsidP="00463D78">
            <w:pPr>
              <w:rPr>
                <w:color w:val="000000"/>
                <w:szCs w:val="20"/>
              </w:rPr>
            </w:pPr>
            <w:r w:rsidRPr="00C66550">
              <w:rPr>
                <w:color w:val="000000"/>
                <w:szCs w:val="20"/>
              </w:rPr>
              <w:t>Jurisdictional waste audits were representative of the composition of waste streams to landfill.</w:t>
            </w:r>
          </w:p>
        </w:tc>
        <w:tc>
          <w:tcPr>
            <w:tcW w:w="1701" w:type="dxa"/>
            <w:vMerge w:val="restart"/>
            <w:vAlign w:val="center"/>
          </w:tcPr>
          <w:p w:rsidR="0042276E" w:rsidRPr="00C66550" w:rsidRDefault="0042276E" w:rsidP="00463D78">
            <w:pPr>
              <w:cnfStyle w:val="000000000000"/>
              <w:rPr>
                <w:color w:val="000000"/>
                <w:szCs w:val="20"/>
              </w:rPr>
            </w:pPr>
            <w:r w:rsidRPr="00C66550">
              <w:rPr>
                <w:color w:val="000000"/>
                <w:szCs w:val="20"/>
              </w:rPr>
              <w:t>Waste to landfill</w:t>
            </w:r>
          </w:p>
        </w:tc>
        <w:tc>
          <w:tcPr>
            <w:tcW w:w="1134" w:type="dxa"/>
            <w:vAlign w:val="center"/>
          </w:tcPr>
          <w:p w:rsidR="0042276E" w:rsidRPr="00C66550" w:rsidRDefault="0042276E" w:rsidP="0042276E">
            <w:pPr>
              <w:jc w:val="center"/>
              <w:cnfStyle w:val="000000000000"/>
              <w:rPr>
                <w:color w:val="000000"/>
                <w:szCs w:val="20"/>
              </w:rPr>
            </w:pPr>
            <w:r w:rsidRPr="00C66550">
              <w:rPr>
                <w:color w:val="000000"/>
                <w:szCs w:val="20"/>
              </w:rPr>
              <w:t>ACT</w:t>
            </w:r>
          </w:p>
        </w:tc>
        <w:tc>
          <w:tcPr>
            <w:tcW w:w="850" w:type="dxa"/>
            <w:vMerge w:val="restart"/>
            <w:vAlign w:val="center"/>
          </w:tcPr>
          <w:p w:rsidR="0042276E" w:rsidRPr="00C66550" w:rsidRDefault="0042276E" w:rsidP="00463D78">
            <w:pPr>
              <w:cnfStyle w:val="000000000000"/>
              <w:rPr>
                <w:color w:val="000000"/>
                <w:szCs w:val="20"/>
              </w:rPr>
            </w:pPr>
            <w:r w:rsidRPr="00C66550">
              <w:rPr>
                <w:color w:val="000000"/>
                <w:szCs w:val="20"/>
              </w:rPr>
              <w:t>All</w:t>
            </w:r>
          </w:p>
        </w:tc>
      </w:tr>
      <w:tr w:rsidR="0042276E" w:rsidRPr="00C66550" w:rsidTr="0042276E">
        <w:trPr>
          <w:cantSplit/>
        </w:trPr>
        <w:tc>
          <w:tcPr>
            <w:cnfStyle w:val="001000000000"/>
            <w:tcW w:w="5529" w:type="dxa"/>
            <w:vMerge/>
            <w:vAlign w:val="center"/>
          </w:tcPr>
          <w:p w:rsidR="0042276E" w:rsidRPr="00C66550" w:rsidRDefault="0042276E" w:rsidP="00463D78">
            <w:pPr>
              <w:rPr>
                <w:color w:val="000000"/>
                <w:szCs w:val="20"/>
              </w:rPr>
            </w:pPr>
          </w:p>
        </w:tc>
        <w:tc>
          <w:tcPr>
            <w:tcW w:w="1701" w:type="dxa"/>
            <w:vMerge/>
            <w:vAlign w:val="center"/>
          </w:tcPr>
          <w:p w:rsidR="0042276E" w:rsidRPr="00C66550" w:rsidRDefault="0042276E" w:rsidP="00463D78">
            <w:pPr>
              <w:cnfStyle w:val="000000000000"/>
              <w:rPr>
                <w:color w:val="000000"/>
                <w:szCs w:val="20"/>
              </w:rPr>
            </w:pPr>
          </w:p>
        </w:tc>
        <w:tc>
          <w:tcPr>
            <w:tcW w:w="1134" w:type="dxa"/>
            <w:vAlign w:val="center"/>
          </w:tcPr>
          <w:p w:rsidR="0042276E" w:rsidRPr="00C66550" w:rsidRDefault="0042276E" w:rsidP="0042276E">
            <w:pPr>
              <w:jc w:val="center"/>
              <w:cnfStyle w:val="000000000000"/>
              <w:rPr>
                <w:color w:val="000000"/>
                <w:szCs w:val="20"/>
              </w:rPr>
            </w:pPr>
            <w:r w:rsidRPr="00C66550">
              <w:rPr>
                <w:color w:val="000000"/>
                <w:szCs w:val="20"/>
              </w:rPr>
              <w:t>WA</w:t>
            </w:r>
          </w:p>
        </w:tc>
        <w:tc>
          <w:tcPr>
            <w:tcW w:w="850" w:type="dxa"/>
            <w:vMerge/>
            <w:vAlign w:val="center"/>
          </w:tcPr>
          <w:p w:rsidR="0042276E" w:rsidRPr="00C66550" w:rsidRDefault="0042276E" w:rsidP="00463D78">
            <w:pPr>
              <w:cnfStyle w:val="000000000000"/>
              <w:rPr>
                <w:color w:val="000000"/>
                <w:szCs w:val="20"/>
              </w:rPr>
            </w:pPr>
          </w:p>
        </w:tc>
      </w:tr>
      <w:tr w:rsidR="0042276E" w:rsidRPr="00C66550" w:rsidTr="0042276E">
        <w:trPr>
          <w:cantSplit/>
        </w:trPr>
        <w:tc>
          <w:tcPr>
            <w:cnfStyle w:val="001000000000"/>
            <w:tcW w:w="5529" w:type="dxa"/>
            <w:vMerge/>
            <w:vAlign w:val="center"/>
          </w:tcPr>
          <w:p w:rsidR="0042276E" w:rsidRPr="00C66550" w:rsidRDefault="0042276E" w:rsidP="00463D78">
            <w:pPr>
              <w:rPr>
                <w:color w:val="000000"/>
                <w:szCs w:val="20"/>
              </w:rPr>
            </w:pPr>
          </w:p>
        </w:tc>
        <w:tc>
          <w:tcPr>
            <w:tcW w:w="1701" w:type="dxa"/>
            <w:vAlign w:val="center"/>
          </w:tcPr>
          <w:p w:rsidR="0042276E" w:rsidRPr="00C66550" w:rsidRDefault="0042276E" w:rsidP="002B49F5">
            <w:pPr>
              <w:cnfStyle w:val="000000000000"/>
              <w:rPr>
                <w:color w:val="000000"/>
                <w:szCs w:val="20"/>
              </w:rPr>
            </w:pPr>
            <w:r w:rsidRPr="00C66550">
              <w:rPr>
                <w:color w:val="000000"/>
                <w:szCs w:val="20"/>
              </w:rPr>
              <w:t xml:space="preserve">Waste to landfill excluding asbestos </w:t>
            </w:r>
          </w:p>
        </w:tc>
        <w:tc>
          <w:tcPr>
            <w:tcW w:w="1134" w:type="dxa"/>
            <w:vAlign w:val="center"/>
          </w:tcPr>
          <w:p w:rsidR="0042276E" w:rsidRPr="00C66550" w:rsidRDefault="0042276E" w:rsidP="0042276E">
            <w:pPr>
              <w:jc w:val="center"/>
              <w:cnfStyle w:val="000000000000"/>
              <w:rPr>
                <w:color w:val="000000"/>
                <w:szCs w:val="20"/>
              </w:rPr>
            </w:pPr>
            <w:r w:rsidRPr="00C66550">
              <w:rPr>
                <w:color w:val="000000"/>
                <w:szCs w:val="20"/>
              </w:rPr>
              <w:t>SA</w:t>
            </w:r>
          </w:p>
        </w:tc>
        <w:tc>
          <w:tcPr>
            <w:tcW w:w="850" w:type="dxa"/>
            <w:vMerge/>
            <w:vAlign w:val="center"/>
          </w:tcPr>
          <w:p w:rsidR="0042276E" w:rsidRPr="00C66550" w:rsidRDefault="0042276E" w:rsidP="00463D78">
            <w:pPr>
              <w:cnfStyle w:val="000000000000"/>
              <w:rPr>
                <w:color w:val="000000"/>
                <w:szCs w:val="20"/>
              </w:rPr>
            </w:pPr>
          </w:p>
        </w:tc>
      </w:tr>
      <w:tr w:rsidR="00463D78" w:rsidRPr="00C66550" w:rsidTr="0042276E">
        <w:trPr>
          <w:cantSplit/>
        </w:trPr>
        <w:tc>
          <w:tcPr>
            <w:cnfStyle w:val="001000000000"/>
            <w:tcW w:w="5529" w:type="dxa"/>
            <w:vMerge w:val="restart"/>
            <w:vAlign w:val="center"/>
          </w:tcPr>
          <w:p w:rsidR="00463D78" w:rsidRPr="00C66550" w:rsidRDefault="00463D78" w:rsidP="00463D78">
            <w:pPr>
              <w:rPr>
                <w:color w:val="000000"/>
                <w:szCs w:val="20"/>
              </w:rPr>
            </w:pPr>
            <w:r w:rsidRPr="00C66550">
              <w:rPr>
                <w:color w:val="000000"/>
                <w:szCs w:val="20"/>
              </w:rPr>
              <w:t>National average compositions were representative of the waste composition. The organic fractions were as set out in the NGERS Determination (Australian Government 2012). Other fractions were as derived from reviews of audits by the authors (MSW, C&amp;D) or from another DSEWPaC study (C&amp;I).</w:t>
            </w:r>
          </w:p>
        </w:tc>
        <w:tc>
          <w:tcPr>
            <w:tcW w:w="1701" w:type="dxa"/>
            <w:vMerge w:val="restart"/>
            <w:vAlign w:val="center"/>
          </w:tcPr>
          <w:p w:rsidR="00463D78" w:rsidRPr="00C66550" w:rsidRDefault="00463D78" w:rsidP="00463D78">
            <w:pPr>
              <w:cnfStyle w:val="000000000000"/>
              <w:rPr>
                <w:color w:val="000000"/>
                <w:szCs w:val="20"/>
              </w:rPr>
            </w:pPr>
            <w:r w:rsidRPr="00C66550">
              <w:rPr>
                <w:color w:val="000000"/>
                <w:szCs w:val="20"/>
              </w:rPr>
              <w:t>Waste to landfill</w:t>
            </w: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NT</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2010/11</w:t>
            </w:r>
          </w:p>
        </w:tc>
      </w:tr>
      <w:tr w:rsidR="00463D78" w:rsidRPr="00C66550" w:rsidTr="0042276E">
        <w:trPr>
          <w:cantSplit/>
        </w:trPr>
        <w:tc>
          <w:tcPr>
            <w:cnfStyle w:val="001000000000"/>
            <w:tcW w:w="5529" w:type="dxa"/>
            <w:vMerge/>
            <w:vAlign w:val="center"/>
          </w:tcPr>
          <w:p w:rsidR="00463D78" w:rsidRPr="00C66550" w:rsidRDefault="00463D78" w:rsidP="00463D78">
            <w:pPr>
              <w:rPr>
                <w:color w:val="000000"/>
                <w:szCs w:val="20"/>
              </w:rPr>
            </w:pPr>
          </w:p>
        </w:tc>
        <w:tc>
          <w:tcPr>
            <w:tcW w:w="1701" w:type="dxa"/>
            <w:vMerge/>
            <w:vAlign w:val="center"/>
          </w:tcPr>
          <w:p w:rsidR="00463D78" w:rsidRPr="00C66550" w:rsidRDefault="00463D78" w:rsidP="00463D78">
            <w:pPr>
              <w:cnfStyle w:val="000000000000"/>
              <w:rPr>
                <w:color w:val="000000"/>
                <w:szCs w:val="20"/>
              </w:rPr>
            </w:pP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Tas</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All</w:t>
            </w:r>
          </w:p>
        </w:tc>
      </w:tr>
      <w:tr w:rsidR="00463D78" w:rsidRPr="00C66550" w:rsidTr="0042276E">
        <w:trPr>
          <w:cantSplit/>
        </w:trPr>
        <w:tc>
          <w:tcPr>
            <w:cnfStyle w:val="001000000000"/>
            <w:tcW w:w="5529" w:type="dxa"/>
            <w:vMerge/>
            <w:vAlign w:val="center"/>
          </w:tcPr>
          <w:p w:rsidR="00463D78" w:rsidRPr="00C66550" w:rsidRDefault="00463D78" w:rsidP="00463D78">
            <w:pPr>
              <w:rPr>
                <w:color w:val="000000"/>
                <w:szCs w:val="20"/>
              </w:rPr>
            </w:pPr>
          </w:p>
        </w:tc>
        <w:tc>
          <w:tcPr>
            <w:tcW w:w="1701" w:type="dxa"/>
            <w:vMerge/>
            <w:vAlign w:val="center"/>
          </w:tcPr>
          <w:p w:rsidR="00463D78" w:rsidRPr="00C66550" w:rsidRDefault="00463D78" w:rsidP="00463D78">
            <w:pPr>
              <w:cnfStyle w:val="000000000000"/>
              <w:rPr>
                <w:color w:val="000000"/>
                <w:szCs w:val="20"/>
              </w:rPr>
            </w:pP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NSW</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2006/07, 2008/09</w:t>
            </w:r>
          </w:p>
        </w:tc>
      </w:tr>
      <w:tr w:rsidR="00463D78" w:rsidRPr="00C66550" w:rsidTr="0042276E">
        <w:trPr>
          <w:cantSplit/>
        </w:trPr>
        <w:tc>
          <w:tcPr>
            <w:cnfStyle w:val="001000000000"/>
            <w:tcW w:w="5529" w:type="dxa"/>
            <w:vMerge/>
            <w:vAlign w:val="center"/>
          </w:tcPr>
          <w:p w:rsidR="00463D78" w:rsidRPr="00C66550" w:rsidRDefault="00463D78" w:rsidP="00463D78">
            <w:pPr>
              <w:rPr>
                <w:color w:val="000000"/>
                <w:szCs w:val="20"/>
              </w:rPr>
            </w:pPr>
          </w:p>
        </w:tc>
        <w:tc>
          <w:tcPr>
            <w:tcW w:w="1701" w:type="dxa"/>
            <w:vAlign w:val="center"/>
          </w:tcPr>
          <w:p w:rsidR="00463D78" w:rsidRPr="00C66550" w:rsidRDefault="00463D78" w:rsidP="00463D78">
            <w:pPr>
              <w:cnfStyle w:val="000000000000"/>
              <w:rPr>
                <w:color w:val="000000"/>
                <w:szCs w:val="20"/>
              </w:rPr>
            </w:pPr>
            <w:r w:rsidRPr="00C66550">
              <w:rPr>
                <w:color w:val="000000"/>
                <w:szCs w:val="20"/>
              </w:rPr>
              <w:t>Waste to landfill except hazardous</w:t>
            </w: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Qld</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All</w:t>
            </w:r>
          </w:p>
        </w:tc>
      </w:tr>
      <w:tr w:rsidR="00463D78" w:rsidRPr="00C66550" w:rsidTr="0042276E">
        <w:trPr>
          <w:cantSplit/>
        </w:trPr>
        <w:tc>
          <w:tcPr>
            <w:cnfStyle w:val="001000000000"/>
            <w:tcW w:w="5529" w:type="dxa"/>
            <w:vMerge w:val="restart"/>
            <w:vAlign w:val="center"/>
          </w:tcPr>
          <w:p w:rsidR="00463D78" w:rsidRPr="00C66550" w:rsidRDefault="00463D78" w:rsidP="00463D78">
            <w:pPr>
              <w:rPr>
                <w:color w:val="000000"/>
                <w:szCs w:val="20"/>
              </w:rPr>
            </w:pPr>
            <w:r w:rsidRPr="00C66550">
              <w:rPr>
                <w:color w:val="000000"/>
                <w:szCs w:val="20"/>
              </w:rPr>
              <w:t>The default proportional splits of waste to landfill into the three streams given in NGERS (Australian Government 2012) applied.</w:t>
            </w:r>
          </w:p>
        </w:tc>
        <w:tc>
          <w:tcPr>
            <w:tcW w:w="1701" w:type="dxa"/>
            <w:vMerge w:val="restart"/>
            <w:vAlign w:val="center"/>
          </w:tcPr>
          <w:p w:rsidR="00463D78" w:rsidRPr="00C66550" w:rsidRDefault="00463D78" w:rsidP="00463D78">
            <w:pPr>
              <w:cnfStyle w:val="000000000000"/>
              <w:rPr>
                <w:color w:val="000000"/>
                <w:szCs w:val="20"/>
              </w:rPr>
            </w:pPr>
            <w:r w:rsidRPr="00C66550">
              <w:rPr>
                <w:color w:val="000000"/>
                <w:szCs w:val="20"/>
              </w:rPr>
              <w:t>Waste to landfill</w:t>
            </w: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NT</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2010/11</w:t>
            </w:r>
          </w:p>
        </w:tc>
      </w:tr>
      <w:tr w:rsidR="00463D78" w:rsidRPr="00C66550" w:rsidTr="0042276E">
        <w:trPr>
          <w:cantSplit/>
        </w:trPr>
        <w:tc>
          <w:tcPr>
            <w:cnfStyle w:val="001000000000"/>
            <w:tcW w:w="5529" w:type="dxa"/>
            <w:vMerge/>
            <w:vAlign w:val="center"/>
          </w:tcPr>
          <w:p w:rsidR="00463D78" w:rsidRPr="00C66550" w:rsidRDefault="00463D78" w:rsidP="00463D78">
            <w:pPr>
              <w:rPr>
                <w:color w:val="000000"/>
                <w:szCs w:val="20"/>
              </w:rPr>
            </w:pPr>
          </w:p>
        </w:tc>
        <w:tc>
          <w:tcPr>
            <w:tcW w:w="1701" w:type="dxa"/>
            <w:vMerge/>
            <w:vAlign w:val="center"/>
          </w:tcPr>
          <w:p w:rsidR="00463D78" w:rsidRPr="00C66550" w:rsidRDefault="00463D78" w:rsidP="00463D78">
            <w:pPr>
              <w:cnfStyle w:val="000000000000"/>
              <w:rPr>
                <w:color w:val="000000"/>
                <w:szCs w:val="20"/>
              </w:rPr>
            </w:pP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SA</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All</w:t>
            </w:r>
          </w:p>
        </w:tc>
      </w:tr>
      <w:tr w:rsidR="00463D78" w:rsidRPr="00C66550" w:rsidTr="0042276E">
        <w:trPr>
          <w:cantSplit/>
        </w:trPr>
        <w:tc>
          <w:tcPr>
            <w:cnfStyle w:val="001000000000"/>
            <w:tcW w:w="5529" w:type="dxa"/>
            <w:vAlign w:val="center"/>
          </w:tcPr>
          <w:p w:rsidR="00463D78" w:rsidRPr="00C66550" w:rsidRDefault="00463D78" w:rsidP="00BB490E">
            <w:pPr>
              <w:rPr>
                <w:color w:val="000000"/>
                <w:szCs w:val="20"/>
              </w:rPr>
            </w:pPr>
            <w:r w:rsidRPr="00C66550">
              <w:rPr>
                <w:color w:val="000000"/>
                <w:szCs w:val="20"/>
              </w:rPr>
              <w:t xml:space="preserve">Jurisdictional organics data included out-of-scope primary production materials. </w:t>
            </w:r>
            <w:r w:rsidR="00BB490E" w:rsidRPr="00C66550">
              <w:rPr>
                <w:color w:val="000000"/>
                <w:szCs w:val="20"/>
              </w:rPr>
              <w:t>ROU</w:t>
            </w:r>
            <w:r w:rsidRPr="00C66550">
              <w:rPr>
                <w:color w:val="000000"/>
                <w:szCs w:val="20"/>
              </w:rPr>
              <w:t xml:space="preserve"> data on these quantities were representative so that the totals could be derived by deduction.</w:t>
            </w:r>
          </w:p>
        </w:tc>
        <w:tc>
          <w:tcPr>
            <w:tcW w:w="1701" w:type="dxa"/>
            <w:vAlign w:val="center"/>
          </w:tcPr>
          <w:p w:rsidR="00463D78" w:rsidRPr="00C66550" w:rsidRDefault="00463D78" w:rsidP="00463D78">
            <w:pPr>
              <w:cnfStyle w:val="000000000000"/>
              <w:rPr>
                <w:color w:val="000000"/>
                <w:szCs w:val="20"/>
              </w:rPr>
            </w:pPr>
            <w:r w:rsidRPr="00C66550">
              <w:rPr>
                <w:color w:val="000000"/>
                <w:szCs w:val="20"/>
              </w:rPr>
              <w:t>Organics to recycling</w:t>
            </w: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Qld</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All</w:t>
            </w:r>
          </w:p>
        </w:tc>
      </w:tr>
      <w:tr w:rsidR="00463D78" w:rsidRPr="00C66550" w:rsidTr="0042276E">
        <w:trPr>
          <w:cantSplit/>
        </w:trPr>
        <w:tc>
          <w:tcPr>
            <w:cnfStyle w:val="001000000000"/>
            <w:tcW w:w="5529" w:type="dxa"/>
            <w:vAlign w:val="center"/>
          </w:tcPr>
          <w:p w:rsidR="00463D78" w:rsidRPr="00C66550" w:rsidRDefault="00463D78" w:rsidP="00463D78">
            <w:pPr>
              <w:rPr>
                <w:color w:val="000000"/>
                <w:szCs w:val="20"/>
              </w:rPr>
            </w:pPr>
            <w:r w:rsidRPr="00C66550">
              <w:rPr>
                <w:color w:val="000000"/>
                <w:szCs w:val="20"/>
              </w:rPr>
              <w:t>Landfill and recycling figures from Shoal Bay landfill combined with industry data on recycling plastics and biosolids were representative. Recycled tonnages from Shoal Bay that were not allocated to MSW were C&amp;I. Waste generation per capita in non-metropolitan NT was identical to Darwin. No recycling occurred outside Darwin.</w:t>
            </w:r>
          </w:p>
        </w:tc>
        <w:tc>
          <w:tcPr>
            <w:tcW w:w="1701" w:type="dxa"/>
            <w:vAlign w:val="center"/>
          </w:tcPr>
          <w:p w:rsidR="00463D78" w:rsidRPr="00C66550" w:rsidRDefault="00463D78" w:rsidP="00463D78">
            <w:pPr>
              <w:cnfStyle w:val="000000000000"/>
              <w:rPr>
                <w:color w:val="000000"/>
                <w:szCs w:val="20"/>
              </w:rPr>
            </w:pPr>
            <w:r w:rsidRPr="00C66550">
              <w:rPr>
                <w:color w:val="000000"/>
                <w:szCs w:val="20"/>
              </w:rPr>
              <w:t>All</w:t>
            </w: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NT</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2010/11</w:t>
            </w:r>
          </w:p>
        </w:tc>
      </w:tr>
      <w:tr w:rsidR="00463D78" w:rsidRPr="00C66550" w:rsidTr="0042276E">
        <w:trPr>
          <w:cantSplit/>
        </w:trPr>
        <w:tc>
          <w:tcPr>
            <w:cnfStyle w:val="001000000000"/>
            <w:tcW w:w="5529" w:type="dxa"/>
            <w:vAlign w:val="center"/>
          </w:tcPr>
          <w:p w:rsidR="00463D78" w:rsidRPr="00C66550" w:rsidRDefault="00463D78" w:rsidP="00463D78">
            <w:pPr>
              <w:rPr>
                <w:color w:val="000000"/>
                <w:szCs w:val="20"/>
              </w:rPr>
            </w:pPr>
            <w:r w:rsidRPr="00C66550">
              <w:rPr>
                <w:color w:val="000000"/>
                <w:szCs w:val="20"/>
              </w:rPr>
              <w:t>PACIA data, jurisdictional data on the split of MSW into organic and non-organic components, jurisdictional audits (MSW and C&amp;D) and the national average composition of recycled C&amp;I material were representative of the composition.</w:t>
            </w:r>
          </w:p>
        </w:tc>
        <w:tc>
          <w:tcPr>
            <w:tcW w:w="1701" w:type="dxa"/>
            <w:vAlign w:val="center"/>
          </w:tcPr>
          <w:p w:rsidR="00463D78" w:rsidRPr="00C66550" w:rsidRDefault="00463D78" w:rsidP="00463D78">
            <w:pPr>
              <w:cnfStyle w:val="000000000000"/>
              <w:rPr>
                <w:color w:val="000000"/>
                <w:szCs w:val="20"/>
              </w:rPr>
            </w:pPr>
            <w:r w:rsidRPr="00C66550">
              <w:rPr>
                <w:color w:val="000000"/>
                <w:szCs w:val="20"/>
              </w:rPr>
              <w:t>Recycling</w:t>
            </w: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NSW</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2006/07, 2008/09</w:t>
            </w:r>
          </w:p>
        </w:tc>
      </w:tr>
      <w:tr w:rsidR="00F36A6B" w:rsidRPr="00C66550" w:rsidTr="0042276E">
        <w:trPr>
          <w:cantSplit/>
        </w:trPr>
        <w:tc>
          <w:tcPr>
            <w:cnfStyle w:val="001000000000"/>
            <w:tcW w:w="5529" w:type="dxa"/>
            <w:vAlign w:val="center"/>
          </w:tcPr>
          <w:p w:rsidR="00F36A6B" w:rsidRPr="00C66550" w:rsidRDefault="00F36A6B" w:rsidP="00F36A6B">
            <w:r w:rsidRPr="00C66550">
              <w:t xml:space="preserve">Queanbeyan waste (from NSW) is included from the totals reported in each category, and needs to be deducted. The proportion is equal to the reported proportion for privately delivered waste. </w:t>
            </w:r>
          </w:p>
        </w:tc>
        <w:tc>
          <w:tcPr>
            <w:tcW w:w="1701" w:type="dxa"/>
            <w:vAlign w:val="center"/>
          </w:tcPr>
          <w:p w:rsidR="00F36A6B" w:rsidRPr="00C66550" w:rsidRDefault="00F36A6B" w:rsidP="00F36A6B">
            <w:pPr>
              <w:cnfStyle w:val="000000000000"/>
            </w:pPr>
            <w:r w:rsidRPr="00C66550">
              <w:t>All</w:t>
            </w:r>
          </w:p>
        </w:tc>
        <w:tc>
          <w:tcPr>
            <w:tcW w:w="1134" w:type="dxa"/>
            <w:vAlign w:val="center"/>
          </w:tcPr>
          <w:p w:rsidR="00F36A6B" w:rsidRPr="00C66550" w:rsidRDefault="00F36A6B" w:rsidP="0042276E">
            <w:pPr>
              <w:jc w:val="center"/>
              <w:cnfStyle w:val="000000000000"/>
            </w:pPr>
            <w:r w:rsidRPr="00C66550">
              <w:t>ACT</w:t>
            </w:r>
          </w:p>
        </w:tc>
        <w:tc>
          <w:tcPr>
            <w:tcW w:w="850" w:type="dxa"/>
            <w:vAlign w:val="center"/>
          </w:tcPr>
          <w:p w:rsidR="00F36A6B" w:rsidRPr="00C66550" w:rsidRDefault="00F36A6B" w:rsidP="00F36A6B">
            <w:pPr>
              <w:cnfStyle w:val="000000000000"/>
            </w:pPr>
            <w:r w:rsidRPr="00C66550">
              <w:t>All</w:t>
            </w:r>
          </w:p>
        </w:tc>
      </w:tr>
      <w:tr w:rsidR="00463D78" w:rsidRPr="00C66550" w:rsidTr="0042276E">
        <w:trPr>
          <w:cantSplit/>
        </w:trPr>
        <w:tc>
          <w:tcPr>
            <w:cnfStyle w:val="001000000000"/>
            <w:tcW w:w="5529" w:type="dxa"/>
            <w:vAlign w:val="center"/>
          </w:tcPr>
          <w:p w:rsidR="00463D78" w:rsidRPr="00C66550" w:rsidRDefault="00463D78" w:rsidP="00BB490E">
            <w:pPr>
              <w:rPr>
                <w:color w:val="000000"/>
                <w:szCs w:val="20"/>
              </w:rPr>
            </w:pPr>
            <w:r w:rsidRPr="00C66550">
              <w:rPr>
                <w:color w:val="000000"/>
                <w:szCs w:val="20"/>
              </w:rPr>
              <w:t xml:space="preserve">MSW tonnages equalled the sum of PACIA plastics data, biosolids data and recorded compost quantities applied to the Victorian proportional split of MSW and C&amp;I. No C&amp;D recycling occurred. For 09/10 </w:t>
            </w:r>
            <w:r w:rsidR="00BB490E" w:rsidRPr="00C66550">
              <w:rPr>
                <w:color w:val="000000"/>
                <w:szCs w:val="20"/>
              </w:rPr>
              <w:t>and</w:t>
            </w:r>
            <w:r w:rsidRPr="00C66550">
              <w:rPr>
                <w:color w:val="000000"/>
                <w:szCs w:val="20"/>
              </w:rPr>
              <w:t xml:space="preserve"> 10/11, the composition of C&amp;I recycling not determined through the data listed above was equal to the national average. For 06/07 and 08/09, the jurisdictional total assumed to be too low because the C&amp;I remainder is insufficient to cover the recorded quantities of plastic </w:t>
            </w:r>
            <w:r w:rsidR="00BB490E" w:rsidRPr="00C66550">
              <w:rPr>
                <w:color w:val="000000"/>
                <w:szCs w:val="20"/>
              </w:rPr>
              <w:t>and</w:t>
            </w:r>
            <w:r w:rsidRPr="00C66550">
              <w:rPr>
                <w:color w:val="000000"/>
                <w:szCs w:val="20"/>
              </w:rPr>
              <w:t xml:space="preserve"> organics, so categories other than plastic </w:t>
            </w:r>
            <w:r w:rsidR="00BB490E" w:rsidRPr="00C66550">
              <w:rPr>
                <w:color w:val="000000"/>
                <w:szCs w:val="20"/>
              </w:rPr>
              <w:t>and</w:t>
            </w:r>
            <w:r w:rsidRPr="00C66550">
              <w:rPr>
                <w:color w:val="000000"/>
                <w:szCs w:val="20"/>
              </w:rPr>
              <w:t xml:space="preserve"> organics were allocated in same proportion relative to MSW total as 08/09, so that the C&amp;I quantity equalled the sum of the categories.</w:t>
            </w:r>
          </w:p>
        </w:tc>
        <w:tc>
          <w:tcPr>
            <w:tcW w:w="1701" w:type="dxa"/>
            <w:vAlign w:val="center"/>
          </w:tcPr>
          <w:p w:rsidR="00463D78" w:rsidRPr="00C66550" w:rsidRDefault="00463D78" w:rsidP="00463D78">
            <w:pPr>
              <w:cnfStyle w:val="000000000000"/>
              <w:rPr>
                <w:color w:val="000000"/>
                <w:szCs w:val="20"/>
              </w:rPr>
            </w:pPr>
            <w:r w:rsidRPr="00C66550">
              <w:rPr>
                <w:color w:val="000000"/>
                <w:szCs w:val="20"/>
              </w:rPr>
              <w:t>Recycling</w:t>
            </w:r>
          </w:p>
        </w:tc>
        <w:tc>
          <w:tcPr>
            <w:tcW w:w="1134" w:type="dxa"/>
            <w:vAlign w:val="center"/>
          </w:tcPr>
          <w:p w:rsidR="00463D78" w:rsidRPr="00C66550" w:rsidRDefault="00463D78" w:rsidP="0042276E">
            <w:pPr>
              <w:jc w:val="center"/>
              <w:cnfStyle w:val="000000000000"/>
              <w:rPr>
                <w:color w:val="000000"/>
                <w:szCs w:val="20"/>
              </w:rPr>
            </w:pPr>
            <w:r w:rsidRPr="00C66550">
              <w:rPr>
                <w:color w:val="000000"/>
                <w:szCs w:val="20"/>
              </w:rPr>
              <w:t>Tas</w:t>
            </w:r>
          </w:p>
        </w:tc>
        <w:tc>
          <w:tcPr>
            <w:tcW w:w="850" w:type="dxa"/>
            <w:vAlign w:val="center"/>
          </w:tcPr>
          <w:p w:rsidR="00463D78" w:rsidRPr="00C66550" w:rsidRDefault="00463D78" w:rsidP="00463D78">
            <w:pPr>
              <w:cnfStyle w:val="000000000000"/>
              <w:rPr>
                <w:color w:val="000000"/>
                <w:szCs w:val="20"/>
              </w:rPr>
            </w:pPr>
            <w:r w:rsidRPr="00C66550">
              <w:rPr>
                <w:color w:val="000000"/>
                <w:szCs w:val="20"/>
              </w:rPr>
              <w:t>All</w:t>
            </w:r>
          </w:p>
        </w:tc>
      </w:tr>
    </w:tbl>
    <w:p w:rsidR="00E75FEB" w:rsidRPr="00C66550" w:rsidRDefault="00E75FEB" w:rsidP="006D25F9">
      <w:pPr>
        <w:pStyle w:val="Heading1"/>
        <w:numPr>
          <w:ilvl w:val="0"/>
          <w:numId w:val="0"/>
        </w:numPr>
      </w:pPr>
      <w:bookmarkStart w:id="312" w:name="_Toc333863321"/>
      <w:bookmarkStart w:id="313" w:name="_Toc333863575"/>
      <w:bookmarkStart w:id="314" w:name="_Toc379466421"/>
      <w:r w:rsidRPr="00C66550">
        <w:lastRenderedPageBreak/>
        <w:t>References</w:t>
      </w:r>
      <w:bookmarkEnd w:id="312"/>
      <w:bookmarkEnd w:id="313"/>
      <w:r w:rsidR="00381F5C">
        <w:t xml:space="preserve"> (from report &amp; associated workbooks)</w:t>
      </w:r>
      <w:bookmarkEnd w:id="314"/>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ABS (Australian Bureau of Statistics 2012a) </w:t>
      </w:r>
      <w:r w:rsidRPr="00C66550">
        <w:rPr>
          <w:rFonts w:cs="Times New Roman"/>
          <w:i/>
          <w:iCs/>
          <w:color w:val="000000"/>
          <w:sz w:val="22"/>
          <w:lang w:eastAsia="en-AU"/>
        </w:rPr>
        <w:t>Australian Demographic Statistics, Mar 2012,</w:t>
      </w:r>
      <w:r w:rsidRPr="00C66550">
        <w:rPr>
          <w:rFonts w:cs="Times New Roman"/>
          <w:color w:val="000000"/>
          <w:sz w:val="22"/>
          <w:lang w:eastAsia="en-AU"/>
        </w:rPr>
        <w:t xml:space="preserve"> publication 3101.0, September, available from: </w:t>
      </w:r>
      <w:hyperlink r:id="rId160" w:history="1">
        <w:r w:rsidRPr="00C66550">
          <w:rPr>
            <w:rFonts w:cs="Times New Roman"/>
            <w:color w:val="0000FF"/>
            <w:sz w:val="22"/>
            <w:u w:val="single"/>
            <w:lang w:eastAsia="en-AU"/>
          </w:rPr>
          <w:t>http://www.abs.gov.au/ausstats/abs@.nsf/mf/3101.0</w:t>
        </w:r>
      </w:hyperlink>
      <w:r w:rsidRPr="00C66550">
        <w:rPr>
          <w:rFonts w:cs="Times New Roman"/>
          <w:color w:val="000000"/>
          <w:sz w:val="22"/>
          <w:lang w:eastAsia="en-AU"/>
        </w:rPr>
        <w:t xml:space="preserve"> </w:t>
      </w:r>
    </w:p>
    <w:p w:rsidR="001C1F43" w:rsidRPr="00C66550" w:rsidRDefault="001C1F43" w:rsidP="00CF2701">
      <w:pPr>
        <w:spacing w:before="80" w:line="240" w:lineRule="auto"/>
        <w:rPr>
          <w:rFonts w:cs="Times New Roman"/>
          <w:i/>
          <w:color w:val="000000"/>
          <w:sz w:val="22"/>
          <w:lang w:eastAsia="en-AU"/>
        </w:rPr>
      </w:pPr>
      <w:r w:rsidRPr="00C66550">
        <w:rPr>
          <w:rFonts w:cs="Times New Roman"/>
          <w:color w:val="000000"/>
          <w:sz w:val="22"/>
          <w:lang w:eastAsia="en-AU"/>
        </w:rPr>
        <w:t xml:space="preserve">ABS (Australian Bureau of Statistics 2012b) </w:t>
      </w:r>
      <w:r w:rsidRPr="00C66550">
        <w:rPr>
          <w:rFonts w:cs="Times New Roman"/>
          <w:i/>
          <w:color w:val="000000"/>
          <w:sz w:val="22"/>
          <w:lang w:eastAsia="en-AU"/>
        </w:rPr>
        <w:t>Australian System of National Accounts Concepts, Sources and Methods Australia 2012 Edition 3</w:t>
      </w:r>
      <w:r w:rsidRPr="00C66550">
        <w:rPr>
          <w:rFonts w:cs="Times New Roman"/>
          <w:color w:val="000000"/>
          <w:sz w:val="22"/>
          <w:lang w:eastAsia="en-AU"/>
        </w:rPr>
        <w:t xml:space="preserve"> available from:</w:t>
      </w:r>
      <w:r w:rsidRPr="00C66550">
        <w:rPr>
          <w:sz w:val="22"/>
        </w:rPr>
        <w:t xml:space="preserve"> </w:t>
      </w:r>
      <w:hyperlink r:id="rId161" w:history="1">
        <w:r w:rsidRPr="00C66550">
          <w:rPr>
            <w:rStyle w:val="Hyperlink"/>
            <w:sz w:val="22"/>
          </w:rPr>
          <w:t>http://www.abs.gov.au/ausstats/abs@.nsf/mf/5216.0</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ABS (Australian Bureau of Statistics 2012</w:t>
      </w:r>
      <w:r w:rsidR="001C1F43" w:rsidRPr="00C66550">
        <w:rPr>
          <w:rFonts w:cs="Times New Roman"/>
          <w:color w:val="000000"/>
          <w:sz w:val="22"/>
          <w:lang w:eastAsia="en-AU"/>
        </w:rPr>
        <w:t>d</w:t>
      </w:r>
      <w:r w:rsidRPr="00C66550">
        <w:rPr>
          <w:rFonts w:cs="Times New Roman"/>
          <w:color w:val="000000"/>
          <w:sz w:val="22"/>
          <w:lang w:eastAsia="en-AU"/>
        </w:rPr>
        <w:t xml:space="preserve">) </w:t>
      </w:r>
      <w:r w:rsidRPr="00C66550">
        <w:rPr>
          <w:rFonts w:cs="Times New Roman"/>
          <w:i/>
          <w:iCs/>
          <w:color w:val="000000"/>
          <w:sz w:val="22"/>
          <w:lang w:eastAsia="en-AU"/>
        </w:rPr>
        <w:t>Regional population growth, Australia,</w:t>
      </w:r>
      <w:r w:rsidRPr="00C66550">
        <w:rPr>
          <w:rFonts w:cs="Times New Roman"/>
          <w:color w:val="000000"/>
          <w:sz w:val="22"/>
          <w:lang w:eastAsia="en-AU"/>
        </w:rPr>
        <w:t xml:space="preserve"> publication 3218.0, July, available from: </w:t>
      </w:r>
      <w:hyperlink r:id="rId162" w:history="1">
        <w:r w:rsidRPr="00C66550">
          <w:rPr>
            <w:rFonts w:cs="Times New Roman"/>
            <w:color w:val="0000FF"/>
            <w:sz w:val="22"/>
            <w:u w:val="single"/>
            <w:lang w:eastAsia="en-AU"/>
          </w:rPr>
          <w:t>http://www.abs.gov.au/ausstats/abs@.nsf/mf/3218.0</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ABS (Australian Bureau of Statistics 2012c) </w:t>
      </w:r>
      <w:r w:rsidRPr="00C66550">
        <w:rPr>
          <w:rFonts w:cs="Times New Roman"/>
          <w:i/>
          <w:iCs/>
          <w:color w:val="000000"/>
          <w:sz w:val="22"/>
          <w:lang w:eastAsia="en-AU"/>
        </w:rPr>
        <w:t>Australian National Accounts: State Accounts, 2011-12,</w:t>
      </w:r>
      <w:r w:rsidRPr="00C66550">
        <w:rPr>
          <w:rFonts w:cs="Times New Roman"/>
          <w:color w:val="000000"/>
          <w:sz w:val="22"/>
          <w:lang w:eastAsia="en-AU"/>
        </w:rPr>
        <w:t xml:space="preserve"> publication 5220.0, November, available from: </w:t>
      </w:r>
      <w:hyperlink r:id="rId163" w:history="1">
        <w:r w:rsidRPr="00C66550">
          <w:rPr>
            <w:rFonts w:cs="Times New Roman"/>
            <w:color w:val="0000FF"/>
            <w:sz w:val="22"/>
            <w:u w:val="single"/>
            <w:lang w:eastAsia="en-AU"/>
          </w:rPr>
          <w:t>http://www.abs.gov.au/AUSSTATS/abs@.nsf/DetailsPage/5220.02011-12?OpenDocument</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Ackerman F (1997) </w:t>
      </w:r>
      <w:r w:rsidRPr="00C66550">
        <w:rPr>
          <w:rFonts w:cs="Times New Roman"/>
          <w:i/>
          <w:color w:val="000000"/>
          <w:sz w:val="22"/>
          <w:lang w:eastAsia="en-AU"/>
        </w:rPr>
        <w:t>Why Do We Recycle: Markets, Values, and Public Policy</w:t>
      </w:r>
      <w:r w:rsidRPr="00C66550">
        <w:rPr>
          <w:rFonts w:cs="Times New Roman"/>
          <w:color w:val="000000"/>
          <w:sz w:val="22"/>
          <w:lang w:eastAsia="en-AU"/>
        </w:rPr>
        <w:t>. Island, Washington, DC</w:t>
      </w:r>
    </w:p>
    <w:p w:rsidR="008C6864" w:rsidRPr="00C66550" w:rsidRDefault="008C6864" w:rsidP="00CF2701">
      <w:pPr>
        <w:spacing w:before="80" w:line="240" w:lineRule="auto"/>
        <w:rPr>
          <w:rFonts w:cs="Times New Roman"/>
          <w:color w:val="080808"/>
          <w:sz w:val="22"/>
          <w:lang w:eastAsia="en-AU"/>
        </w:rPr>
      </w:pPr>
      <w:r w:rsidRPr="00C66550">
        <w:rPr>
          <w:rFonts w:cs="Times New Roman"/>
          <w:color w:val="080808"/>
          <w:sz w:val="22"/>
          <w:lang w:eastAsia="en-AU"/>
        </w:rPr>
        <w:t xml:space="preserve">ACOR (Australian Council of Recycling 2008) </w:t>
      </w:r>
      <w:r w:rsidRPr="00C66550">
        <w:rPr>
          <w:rFonts w:cs="Times New Roman"/>
          <w:i/>
          <w:iCs/>
          <w:color w:val="080808"/>
          <w:sz w:val="22"/>
          <w:lang w:eastAsia="en-AU"/>
        </w:rPr>
        <w:t>Australian Recycling Values - A Net Benefits Assessment</w:t>
      </w:r>
      <w:r w:rsidRPr="00C66550">
        <w:rPr>
          <w:rFonts w:cs="Times New Roman"/>
          <w:color w:val="080808"/>
          <w:sz w:val="22"/>
          <w:lang w:eastAsia="en-AU"/>
        </w:rPr>
        <w:t>, prepared by Hyder Consulting, Sydney</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ACT Government (2011), </w:t>
      </w:r>
      <w:r w:rsidRPr="00C66550">
        <w:rPr>
          <w:rFonts w:cs="Times New Roman"/>
          <w:i/>
          <w:color w:val="000000"/>
          <w:sz w:val="22"/>
          <w:lang w:eastAsia="en-AU"/>
        </w:rPr>
        <w:t>ACT Waste Management Strategy 2010–2025</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ACT Government (2012a) </w:t>
      </w:r>
      <w:r w:rsidRPr="00C66550">
        <w:rPr>
          <w:rFonts w:cs="Times New Roman"/>
          <w:i/>
          <w:iCs/>
          <w:color w:val="000000"/>
          <w:sz w:val="22"/>
          <w:lang w:eastAsia="en-AU"/>
        </w:rPr>
        <w:t>ACT Resource Recovery,</w:t>
      </w:r>
      <w:r w:rsidRPr="00C66550">
        <w:rPr>
          <w:rFonts w:cs="Times New Roman"/>
          <w:color w:val="000000"/>
          <w:sz w:val="22"/>
          <w:lang w:eastAsia="en-AU"/>
        </w:rPr>
        <w:t xml:space="preserve"> available from: </w:t>
      </w:r>
      <w:hyperlink r:id="rId164" w:history="1">
        <w:r w:rsidRPr="00C66550">
          <w:rPr>
            <w:rFonts w:cs="Times New Roman"/>
            <w:color w:val="0000FF"/>
            <w:sz w:val="22"/>
            <w:u w:val="single"/>
            <w:lang w:eastAsia="en-AU"/>
          </w:rPr>
          <w:t>http://www.tams.act.gov.au/recycling-waste/reports_data_forms/statistics</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ACT Government (2012b) </w:t>
      </w:r>
      <w:r w:rsidRPr="00C66550">
        <w:rPr>
          <w:rFonts w:cs="Times New Roman"/>
          <w:i/>
          <w:iCs/>
          <w:color w:val="000000"/>
          <w:sz w:val="22"/>
          <w:lang w:eastAsia="en-AU"/>
        </w:rPr>
        <w:t xml:space="preserve">Waste to ACT landfills, </w:t>
      </w:r>
      <w:r w:rsidRPr="00C66550">
        <w:rPr>
          <w:rFonts w:cs="Times New Roman"/>
          <w:color w:val="000000"/>
          <w:sz w:val="22"/>
          <w:lang w:eastAsia="en-AU"/>
        </w:rPr>
        <w:t xml:space="preserve">available from: </w:t>
      </w:r>
      <w:hyperlink r:id="rId165" w:history="1">
        <w:r w:rsidRPr="00C66550">
          <w:rPr>
            <w:rFonts w:cs="Times New Roman"/>
            <w:color w:val="0000FF"/>
            <w:sz w:val="22"/>
            <w:u w:val="single"/>
            <w:lang w:eastAsia="en-AU"/>
          </w:rPr>
          <w:t>http://www.tams.act.gov.au/recycling-waste/reports_data_forms/statistics</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ACT Government (2012c), </w:t>
      </w:r>
      <w:r w:rsidRPr="00C66550">
        <w:rPr>
          <w:rFonts w:cs="Times New Roman"/>
          <w:i/>
          <w:color w:val="000000"/>
          <w:sz w:val="22"/>
          <w:lang w:eastAsia="en-AU"/>
        </w:rPr>
        <w:t>Waste Minimisation (Landfill Fees) Determination 2012 (No 1) Waste Minimisation Act 2001, section 45 (Determination of fees)</w:t>
      </w:r>
      <w:r w:rsidRPr="00C66550">
        <w:rPr>
          <w:rFonts w:cs="Times New Roman"/>
          <w:color w:val="000000"/>
          <w:sz w:val="22"/>
          <w:lang w:eastAsia="en-AU"/>
        </w:rPr>
        <w:t xml:space="preserve"> available from: </w:t>
      </w:r>
      <w:hyperlink r:id="rId166" w:history="1">
        <w:r w:rsidRPr="00C66550">
          <w:rPr>
            <w:rStyle w:val="Hyperlink"/>
            <w:rFonts w:cs="Times New Roman"/>
            <w:sz w:val="22"/>
            <w:lang w:eastAsia="en-AU"/>
          </w:rPr>
          <w:t>http://www.legislation.act.gov.au/di/2012-69/</w:t>
        </w:r>
      </w:hyperlink>
      <w:r w:rsidRPr="00C66550">
        <w:rPr>
          <w:rFonts w:cs="Times New Roman"/>
          <w:i/>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ADAA (Ash Development Association of Australia 2008) </w:t>
      </w:r>
      <w:r w:rsidRPr="00C66550">
        <w:rPr>
          <w:rFonts w:cs="Times New Roman"/>
          <w:i/>
          <w:iCs/>
          <w:color w:val="000000"/>
          <w:sz w:val="22"/>
          <w:lang w:eastAsia="en-AU"/>
        </w:rPr>
        <w:t>Annual membership survey results 2008,</w:t>
      </w:r>
      <w:r w:rsidRPr="00C66550">
        <w:rPr>
          <w:rFonts w:cs="Times New Roman"/>
          <w:color w:val="000000"/>
          <w:sz w:val="22"/>
          <w:lang w:eastAsia="en-AU"/>
        </w:rPr>
        <w:t xml:space="preserve"> HBM Group Pty Ltd, </w:t>
      </w:r>
      <w:r w:rsidR="00C66550" w:rsidRPr="00C66550">
        <w:rPr>
          <w:rFonts w:cs="Times New Roman"/>
          <w:color w:val="000000"/>
          <w:sz w:val="22"/>
          <w:lang w:eastAsia="en-AU"/>
        </w:rPr>
        <w:t>Wollongong</w:t>
      </w:r>
      <w:r w:rsidRPr="00C66550">
        <w:rPr>
          <w:rFonts w:cs="Times New Roman"/>
          <w:color w:val="000000"/>
          <w:sz w:val="22"/>
          <w:lang w:eastAsia="en-AU"/>
        </w:rPr>
        <w:t xml:space="preserve">, available from: </w:t>
      </w:r>
      <w:hyperlink r:id="rId167" w:history="1">
        <w:r w:rsidRPr="00C66550">
          <w:rPr>
            <w:rFonts w:cs="Times New Roman"/>
            <w:color w:val="0000FF"/>
            <w:sz w:val="22"/>
            <w:u w:val="single"/>
            <w:lang w:eastAsia="en-AU"/>
          </w:rPr>
          <w:t>http://www.adaa.asn.au/ccp-utilisation.php</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ADAA (Ash Development Association of Australia 2009) </w:t>
      </w:r>
      <w:r w:rsidRPr="00C66550">
        <w:rPr>
          <w:rFonts w:cs="Times New Roman"/>
          <w:i/>
          <w:iCs/>
          <w:color w:val="000000"/>
          <w:sz w:val="22"/>
          <w:lang w:eastAsia="en-AU"/>
        </w:rPr>
        <w:t>Annual membership survey results 2009,</w:t>
      </w:r>
      <w:r w:rsidRPr="00C66550">
        <w:rPr>
          <w:rFonts w:cs="Times New Roman"/>
          <w:color w:val="000000"/>
          <w:sz w:val="22"/>
          <w:lang w:eastAsia="en-AU"/>
        </w:rPr>
        <w:t xml:space="preserve"> HBM Group Pty Ltd, </w:t>
      </w:r>
      <w:r w:rsidR="00C66550" w:rsidRPr="00C66550">
        <w:rPr>
          <w:rFonts w:cs="Times New Roman"/>
          <w:color w:val="000000"/>
          <w:sz w:val="22"/>
          <w:lang w:eastAsia="en-AU"/>
        </w:rPr>
        <w:t>Wollongong</w:t>
      </w:r>
      <w:r w:rsidRPr="00C66550">
        <w:rPr>
          <w:rFonts w:cs="Times New Roman"/>
          <w:color w:val="000000"/>
          <w:sz w:val="22"/>
          <w:lang w:eastAsia="en-AU"/>
        </w:rPr>
        <w:t xml:space="preserve">, available from: </w:t>
      </w:r>
      <w:hyperlink r:id="rId168" w:history="1">
        <w:r w:rsidRPr="00C66550">
          <w:rPr>
            <w:rFonts w:cs="Times New Roman"/>
            <w:color w:val="0000FF"/>
            <w:sz w:val="22"/>
            <w:u w:val="single"/>
            <w:lang w:eastAsia="en-AU"/>
          </w:rPr>
          <w:t>http://www.adaa.asn.au/ccp-utilisation.php</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ADAA (Ash Development Association of Australia 2010) </w:t>
      </w:r>
      <w:r w:rsidRPr="00C66550">
        <w:rPr>
          <w:rFonts w:cs="Times New Roman"/>
          <w:i/>
          <w:iCs/>
          <w:color w:val="000000"/>
          <w:sz w:val="22"/>
          <w:lang w:eastAsia="en-AU"/>
        </w:rPr>
        <w:t>Annual membership survey results 2010,</w:t>
      </w:r>
      <w:r w:rsidRPr="00C66550">
        <w:rPr>
          <w:rFonts w:cs="Times New Roman"/>
          <w:color w:val="000000"/>
          <w:sz w:val="22"/>
          <w:lang w:eastAsia="en-AU"/>
        </w:rPr>
        <w:t xml:space="preserve"> HBM Group Pty Ltd, </w:t>
      </w:r>
      <w:r w:rsidR="00C66550" w:rsidRPr="00C66550">
        <w:rPr>
          <w:rFonts w:cs="Times New Roman"/>
          <w:color w:val="000000"/>
          <w:sz w:val="22"/>
          <w:lang w:eastAsia="en-AU"/>
        </w:rPr>
        <w:t>Wollongong</w:t>
      </w:r>
      <w:r w:rsidRPr="00C66550">
        <w:rPr>
          <w:rFonts w:cs="Times New Roman"/>
          <w:color w:val="000000"/>
          <w:sz w:val="22"/>
          <w:lang w:eastAsia="en-AU"/>
        </w:rPr>
        <w:t xml:space="preserve">, available from: </w:t>
      </w:r>
      <w:hyperlink r:id="rId169" w:history="1">
        <w:r w:rsidRPr="00C66550">
          <w:rPr>
            <w:rFonts w:cs="Times New Roman"/>
            <w:color w:val="0000FF"/>
            <w:sz w:val="22"/>
            <w:u w:val="single"/>
            <w:lang w:eastAsia="en-AU"/>
          </w:rPr>
          <w:t>http://www.adaa.asn.au/ccp-utilisation.php</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ADAA (Ash Development Association of Australia 2011) </w:t>
      </w:r>
      <w:r w:rsidRPr="00C66550">
        <w:rPr>
          <w:rFonts w:cs="Times New Roman"/>
          <w:i/>
          <w:iCs/>
          <w:color w:val="000000"/>
          <w:sz w:val="22"/>
          <w:lang w:eastAsia="en-AU"/>
        </w:rPr>
        <w:t>Annual membership survey results 2011,</w:t>
      </w:r>
      <w:r w:rsidRPr="00C66550">
        <w:rPr>
          <w:rFonts w:cs="Times New Roman"/>
          <w:color w:val="000000"/>
          <w:sz w:val="22"/>
          <w:lang w:eastAsia="en-AU"/>
        </w:rPr>
        <w:t xml:space="preserve"> HBM Group Pty Ltd, </w:t>
      </w:r>
      <w:r w:rsidR="00C66550" w:rsidRPr="00C66550">
        <w:rPr>
          <w:rFonts w:cs="Times New Roman"/>
          <w:color w:val="000000"/>
          <w:sz w:val="22"/>
          <w:lang w:eastAsia="en-AU"/>
        </w:rPr>
        <w:t>Wollongong</w:t>
      </w:r>
      <w:r w:rsidRPr="00C66550">
        <w:rPr>
          <w:rFonts w:cs="Times New Roman"/>
          <w:color w:val="000000"/>
          <w:sz w:val="22"/>
          <w:lang w:eastAsia="en-AU"/>
        </w:rPr>
        <w:t xml:space="preserve">, available from: </w:t>
      </w:r>
      <w:hyperlink r:id="rId170" w:history="1">
        <w:r w:rsidRPr="00C66550">
          <w:rPr>
            <w:rFonts w:cs="Times New Roman"/>
            <w:color w:val="0000FF"/>
            <w:sz w:val="22"/>
            <w:u w:val="single"/>
            <w:lang w:eastAsia="en-AU"/>
          </w:rPr>
          <w:t>http://www.adaa.asn.au/ccp-utilisation.php</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AEGIS (Australian Greenhouse Emissions Information System, Department of Climate Change and Energy Efficiency), available from: </w:t>
      </w:r>
      <w:hyperlink r:id="rId171" w:history="1">
        <w:r w:rsidRPr="00C66550">
          <w:rPr>
            <w:rFonts w:cs="Times New Roman"/>
            <w:color w:val="0000FF"/>
            <w:sz w:val="22"/>
            <w:u w:val="single"/>
            <w:lang w:eastAsia="en-AU"/>
          </w:rPr>
          <w:t>http://ageis.climatechange.gov.au</w:t>
        </w:r>
      </w:hyperlink>
      <w:r w:rsidRPr="00C66550">
        <w:rPr>
          <w:rFonts w:cs="Times New Roman"/>
          <w:color w:val="000000"/>
          <w:sz w:val="22"/>
          <w:lang w:eastAsia="en-AU"/>
        </w:rPr>
        <w:t xml:space="preserve"> </w:t>
      </w:r>
    </w:p>
    <w:p w:rsidR="008C6864" w:rsidRPr="00C66550" w:rsidRDefault="008C6864" w:rsidP="00CF2701">
      <w:pPr>
        <w:pStyle w:val="BodyText"/>
        <w:spacing w:before="80"/>
      </w:pPr>
      <w:r w:rsidRPr="00C66550">
        <w:t xml:space="preserve">AMTA (2012) </w:t>
      </w:r>
      <w:r w:rsidRPr="00C66550">
        <w:rPr>
          <w:i/>
        </w:rPr>
        <w:t xml:space="preserve">MobileMuster The official recycling program of the mobile phone industry 2010-11 Annual Report, </w:t>
      </w:r>
      <w:r w:rsidRPr="00C66550">
        <w:t xml:space="preserve">available from: </w:t>
      </w:r>
      <w:hyperlink r:id="rId172" w:history="1">
        <w:r w:rsidRPr="00C66550">
          <w:rPr>
            <w:rStyle w:val="Hyperlink"/>
          </w:rPr>
          <w:t>http://www.mobilemuster.com.au/</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APC (2007) </w:t>
      </w:r>
      <w:r w:rsidRPr="00C66550">
        <w:rPr>
          <w:rFonts w:cs="Times New Roman"/>
          <w:i/>
          <w:iCs/>
          <w:color w:val="000000"/>
          <w:sz w:val="22"/>
          <w:lang w:eastAsia="en-AU"/>
        </w:rPr>
        <w:t>Domestic waste audit, prepared for Thiess Services and ACT NoWaste,</w:t>
      </w:r>
      <w:r w:rsidRPr="00C66550">
        <w:rPr>
          <w:rFonts w:cs="Times New Roman"/>
          <w:color w:val="000000"/>
          <w:sz w:val="22"/>
          <w:lang w:eastAsia="en-AU"/>
        </w:rPr>
        <w:t xml:space="preserve"> November, available from: </w:t>
      </w:r>
      <w:hyperlink r:id="rId173" w:history="1">
        <w:r w:rsidRPr="00C66550">
          <w:rPr>
            <w:rFonts w:cs="Times New Roman"/>
            <w:color w:val="0000FF"/>
            <w:sz w:val="22"/>
            <w:u w:val="single"/>
            <w:lang w:eastAsia="en-AU"/>
          </w:rPr>
          <w:t>http://www.tams.act.gov.au/__data/assets/pdf_file/0003/136740/Canberra_Audit_Report_1_2007.pdf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APC (2009) </w:t>
      </w:r>
      <w:r w:rsidRPr="00C66550">
        <w:rPr>
          <w:rFonts w:cs="Times New Roman"/>
          <w:i/>
          <w:iCs/>
          <w:color w:val="000000"/>
          <w:sz w:val="22"/>
          <w:lang w:eastAsia="en-AU"/>
        </w:rPr>
        <w:t>Kerbside Domestic Waste and Recycling Audit,</w:t>
      </w:r>
      <w:r w:rsidRPr="00C66550">
        <w:rPr>
          <w:rFonts w:cs="Times New Roman"/>
          <w:color w:val="000000"/>
          <w:sz w:val="22"/>
          <w:lang w:eastAsia="en-AU"/>
        </w:rPr>
        <w:t xml:space="preserve"> prepared for ACT NoWaste, December, available from: </w:t>
      </w:r>
      <w:hyperlink r:id="rId174" w:history="1">
        <w:r w:rsidRPr="00C66550">
          <w:rPr>
            <w:rFonts w:cs="Times New Roman"/>
            <w:color w:val="0000FF"/>
            <w:sz w:val="22"/>
            <w:u w:val="single"/>
            <w:lang w:eastAsia="en-AU"/>
          </w:rPr>
          <w:t>http://www.tams.act.gov.au/__data/assets/pdf_file/0007/208663/ACTNOWaste_Domestic_Waste_Audit_Report_December_09.pdf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APC (2010) </w:t>
      </w:r>
      <w:r w:rsidRPr="00C66550">
        <w:rPr>
          <w:rFonts w:cs="Times New Roman"/>
          <w:i/>
          <w:iCs/>
          <w:color w:val="000000"/>
          <w:sz w:val="22"/>
          <w:lang w:eastAsia="en-AU"/>
        </w:rPr>
        <w:t>ACT Landfill Audits Combined Final Audit Report,</w:t>
      </w:r>
      <w:r w:rsidRPr="00C66550">
        <w:rPr>
          <w:rFonts w:cs="Times New Roman"/>
          <w:color w:val="000000"/>
          <w:sz w:val="22"/>
          <w:lang w:eastAsia="en-AU"/>
        </w:rPr>
        <w:t xml:space="preserve"> prepared for ACT NOWaste, July, available from: </w:t>
      </w:r>
      <w:hyperlink r:id="rId175" w:history="1">
        <w:r w:rsidRPr="00C66550">
          <w:rPr>
            <w:rFonts w:cs="Times New Roman"/>
            <w:color w:val="0000FF"/>
            <w:sz w:val="22"/>
            <w:u w:val="single"/>
            <w:lang w:eastAsia="en-AU"/>
          </w:rPr>
          <w:t>http://www.tams.act.gov.au/recycling-waste/reports_data_forms/statistics</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lastRenderedPageBreak/>
        <w:t xml:space="preserve">Australian Government (2012) </w:t>
      </w:r>
      <w:r w:rsidRPr="00C66550">
        <w:rPr>
          <w:rFonts w:cs="Times New Roman"/>
          <w:i/>
          <w:iCs/>
          <w:color w:val="000000"/>
          <w:sz w:val="22"/>
          <w:lang w:eastAsia="en-AU"/>
        </w:rPr>
        <w:t>National Greenhouse and Energy Reporting (Measurement) Determination,</w:t>
      </w:r>
      <w:r w:rsidRPr="00C66550">
        <w:rPr>
          <w:rFonts w:cs="Times New Roman"/>
          <w:color w:val="000000"/>
          <w:sz w:val="22"/>
          <w:lang w:eastAsia="en-AU"/>
        </w:rPr>
        <w:t xml:space="preserve"> available from: </w:t>
      </w:r>
      <w:hyperlink r:id="rId176" w:anchor="_Toc298750665" w:history="1">
        <w:r w:rsidRPr="00C66550">
          <w:rPr>
            <w:rFonts w:cs="Times New Roman"/>
            <w:color w:val="0000FF"/>
            <w:sz w:val="22"/>
            <w:u w:val="single"/>
            <w:lang w:eastAsia="en-AU"/>
          </w:rPr>
          <w:t>http://www.comlaw.gov.au/Details/F2011C00469/Html/Text#_Toc298750665</w:t>
        </w:r>
      </w:hyperlink>
      <w:r w:rsidRPr="00C66550">
        <w:rPr>
          <w:rFonts w:cs="Times New Roman"/>
          <w:color w:val="000000"/>
          <w:sz w:val="22"/>
          <w:lang w:eastAsia="en-AU"/>
        </w:rPr>
        <w:t xml:space="preserve"> </w:t>
      </w:r>
    </w:p>
    <w:p w:rsidR="008C6864" w:rsidRPr="00C66550" w:rsidRDefault="008C6864" w:rsidP="00CF2701">
      <w:pPr>
        <w:pStyle w:val="BodyText"/>
        <w:spacing w:before="80"/>
        <w:rPr>
          <w:rFonts w:cs="Times New Roman"/>
          <w:color w:val="000000"/>
          <w:lang w:eastAsia="en-AU"/>
        </w:rPr>
      </w:pPr>
      <w:r w:rsidRPr="00C66550">
        <w:t xml:space="preserve">Australian Packaging Covenant Council </w:t>
      </w:r>
      <w:r w:rsidR="00FC2D1C">
        <w:t>(</w:t>
      </w:r>
      <w:r w:rsidRPr="00C66550">
        <w:t>2012</w:t>
      </w:r>
      <w:r w:rsidR="00FC2D1C">
        <w:t xml:space="preserve">) </w:t>
      </w:r>
      <w:r w:rsidRPr="00C66550">
        <w:rPr>
          <w:i/>
        </w:rPr>
        <w:t>Australian Packaging Covenant Annual Report 2011</w:t>
      </w:r>
      <w:r w:rsidRPr="00C66550">
        <w:t xml:space="preserve"> available from: </w:t>
      </w:r>
      <w:hyperlink r:id="rId177" w:history="1">
        <w:r w:rsidRPr="00C66550">
          <w:rPr>
            <w:rStyle w:val="Hyperlink"/>
          </w:rPr>
          <w:t>http://www.packagingcovenant.org.au/</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Campbell C, ROU (2013) Email to Joe Pickin of the project team dated 23 January containing not yet published data from a recent industry survey</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DCCEE (Department of Climate Change and Energy Efficiency 2012) </w:t>
      </w:r>
      <w:r w:rsidRPr="00C66550">
        <w:rPr>
          <w:rFonts w:cs="Times New Roman"/>
          <w:i/>
          <w:iCs/>
          <w:color w:val="000000"/>
          <w:sz w:val="22"/>
          <w:lang w:eastAsia="en-AU"/>
        </w:rPr>
        <w:t>Australian National Greenhouse Accounts, State and Territory Greenhouse Gas Inventories, 2009/10,</w:t>
      </w:r>
      <w:r w:rsidRPr="00C66550">
        <w:rPr>
          <w:rFonts w:cs="Times New Roman"/>
          <w:color w:val="000000"/>
          <w:sz w:val="22"/>
          <w:lang w:eastAsia="en-AU"/>
        </w:rPr>
        <w:t xml:space="preserve"> available from: </w:t>
      </w:r>
      <w:hyperlink r:id="rId178" w:history="1">
        <w:r w:rsidRPr="00C66550">
          <w:rPr>
            <w:rFonts w:cs="Times New Roman"/>
            <w:color w:val="0000FF"/>
            <w:sz w:val="22"/>
            <w:u w:val="single"/>
            <w:lang w:eastAsia="en-AU"/>
          </w:rPr>
          <w:t>http://www.climatechange.gov.au/en/publications/greenhouse-acctg/state-territory-inventory-2010.aspx</w:t>
        </w:r>
      </w:hyperlink>
      <w:r w:rsidRPr="00C66550">
        <w:rPr>
          <w:rFonts w:cs="Times New Roman"/>
          <w:color w:val="000000"/>
          <w:sz w:val="22"/>
          <w:lang w:eastAsia="en-AU"/>
        </w:rPr>
        <w:t xml:space="preserve"> </w:t>
      </w:r>
    </w:p>
    <w:p w:rsidR="008C6864" w:rsidRPr="00C66550" w:rsidRDefault="008C6864" w:rsidP="00CF2701">
      <w:pPr>
        <w:spacing w:before="80" w:line="240" w:lineRule="auto"/>
        <w:rPr>
          <w:color w:val="080808"/>
          <w:sz w:val="22"/>
        </w:rPr>
      </w:pPr>
      <w:r w:rsidRPr="00C66550">
        <w:rPr>
          <w:color w:val="080808"/>
          <w:sz w:val="22"/>
        </w:rPr>
        <w:t xml:space="preserve">DCCEE (Department of Climate Change and Energy Efficiency 2012) </w:t>
      </w:r>
      <w:r w:rsidRPr="00C66550">
        <w:rPr>
          <w:i/>
          <w:color w:val="080808"/>
          <w:sz w:val="22"/>
        </w:rPr>
        <w:t>Australian National Greenhouse Accounts, State and Territory Greenhouse Gas Inventories, 2009/10</w:t>
      </w:r>
      <w:r w:rsidRPr="00C66550">
        <w:rPr>
          <w:color w:val="080808"/>
          <w:sz w:val="22"/>
        </w:rPr>
        <w:t xml:space="preserve">, available from: </w:t>
      </w:r>
      <w:hyperlink r:id="rId179" w:history="1">
        <w:r w:rsidRPr="00C66550">
          <w:rPr>
            <w:color w:val="0000FF"/>
            <w:sz w:val="22"/>
            <w:u w:val="single"/>
          </w:rPr>
          <w:t>http://www.climatechange.gov.au/en/publications/greenhouse-acctg/state-territory-inventory-2010.aspx</w:t>
        </w:r>
      </w:hyperlink>
      <w:r w:rsidRPr="00C66550">
        <w:rPr>
          <w:color w:val="080808"/>
          <w:sz w:val="22"/>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DEC (WA Department of Environment and Conservation 2007) </w:t>
      </w:r>
      <w:r w:rsidRPr="00C66550">
        <w:rPr>
          <w:rFonts w:cs="Times New Roman"/>
          <w:i/>
          <w:iCs/>
          <w:color w:val="000000"/>
          <w:sz w:val="22"/>
          <w:lang w:eastAsia="en-AU"/>
        </w:rPr>
        <w:t>Zero Waste Plan Development Scheme, Phase One report 2006-07,</w:t>
      </w:r>
      <w:r w:rsidRPr="00C66550">
        <w:rPr>
          <w:rFonts w:cs="Times New Roman"/>
          <w:color w:val="000000"/>
          <w:sz w:val="22"/>
          <w:lang w:eastAsia="en-AU"/>
        </w:rPr>
        <w:t xml:space="preserve"> available from: </w:t>
      </w:r>
      <w:hyperlink r:id="rId180" w:history="1">
        <w:r w:rsidRPr="00C66550">
          <w:rPr>
            <w:rFonts w:cs="Times New Roman"/>
            <w:color w:val="0000FF"/>
            <w:sz w:val="22"/>
            <w:u w:val="single"/>
            <w:lang w:eastAsia="en-AU"/>
          </w:rPr>
          <w:t>http://www.zerowaste.wa.gov.au/media/files/documents/zwpds_phase1_0607.pdf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DECC (NSW Department of Environment and Climate Change 2004) </w:t>
      </w:r>
      <w:r w:rsidRPr="00C66550">
        <w:rPr>
          <w:rFonts w:cs="Times New Roman"/>
          <w:i/>
          <w:iCs/>
          <w:color w:val="000000"/>
          <w:sz w:val="22"/>
          <w:lang w:eastAsia="en-AU"/>
        </w:rPr>
        <w:t>Report into the Construction and Demolition Waste Stream Audit 2000-2004 Sydney Metropolitan Area,</w:t>
      </w:r>
      <w:r w:rsidRPr="00C66550">
        <w:rPr>
          <w:rFonts w:cs="Times New Roman"/>
          <w:color w:val="000000"/>
          <w:sz w:val="22"/>
          <w:lang w:eastAsia="en-AU"/>
        </w:rPr>
        <w:t xml:space="preserve"> available from: </w:t>
      </w:r>
      <w:hyperlink r:id="rId181" w:history="1">
        <w:r w:rsidRPr="00C66550">
          <w:rPr>
            <w:rFonts w:cs="Times New Roman"/>
            <w:color w:val="0000FF"/>
            <w:sz w:val="22"/>
            <w:u w:val="single"/>
            <w:lang w:eastAsia="en-AU"/>
          </w:rPr>
          <w:t>http://www.environment.nsw.gov.au/warr/CnDWasteStream.htm</w:t>
        </w:r>
      </w:hyperlink>
      <w:r w:rsidRPr="00C66550">
        <w:rPr>
          <w:rFonts w:cs="Times New Roman"/>
          <w:color w:val="000000"/>
          <w:sz w:val="22"/>
          <w:lang w:eastAsia="en-AU"/>
        </w:rPr>
        <w:t xml:space="preserve"> </w:t>
      </w:r>
    </w:p>
    <w:p w:rsidR="008C6864" w:rsidRPr="00C66550" w:rsidRDefault="008C6864" w:rsidP="00CF2701">
      <w:pPr>
        <w:pStyle w:val="BodyText"/>
        <w:spacing w:before="80"/>
        <w:rPr>
          <w:rFonts w:cs="Times New Roman"/>
          <w:color w:val="000000"/>
          <w:lang w:eastAsia="en-AU"/>
        </w:rPr>
      </w:pPr>
      <w:r w:rsidRPr="00C66550">
        <w:t xml:space="preserve">DECC </w:t>
      </w:r>
      <w:r w:rsidR="00B46473" w:rsidRPr="00C66550">
        <w:t>(</w:t>
      </w:r>
      <w:r w:rsidR="00B46473" w:rsidRPr="00C66550">
        <w:rPr>
          <w:rFonts w:cs="Times New Roman"/>
          <w:color w:val="000000"/>
          <w:lang w:eastAsia="en-AU"/>
        </w:rPr>
        <w:t xml:space="preserve">NSW Department of Environment and Climate Change </w:t>
      </w:r>
      <w:r w:rsidRPr="00C66550">
        <w:t xml:space="preserve">2007) </w:t>
      </w:r>
      <w:r w:rsidRPr="00C66550">
        <w:rPr>
          <w:i/>
        </w:rPr>
        <w:t xml:space="preserve">Waste Avoidance and Resource Recovery Strategy 2007, </w:t>
      </w:r>
      <w:r w:rsidRPr="00C66550">
        <w:t xml:space="preserve">available from: </w:t>
      </w:r>
      <w:hyperlink r:id="rId182" w:history="1">
        <w:r w:rsidRPr="00C66550">
          <w:rPr>
            <w:rStyle w:val="Hyperlink"/>
          </w:rPr>
          <w:t>http://www.environment.nsw.gov.au/waste/index.htm</w:t>
        </w:r>
      </w:hyperlink>
      <w:r w:rsidRPr="00C66550">
        <w:t>.</w:t>
      </w:r>
    </w:p>
    <w:p w:rsidR="00B46473" w:rsidRPr="00C66550" w:rsidRDefault="00B46473" w:rsidP="00CF2701">
      <w:pPr>
        <w:spacing w:before="80" w:line="240" w:lineRule="auto"/>
        <w:rPr>
          <w:rFonts w:cs="Times New Roman"/>
          <w:color w:val="000000"/>
          <w:sz w:val="22"/>
          <w:lang w:eastAsia="en-AU"/>
        </w:rPr>
      </w:pPr>
      <w:r w:rsidRPr="00C66550">
        <w:rPr>
          <w:color w:val="080808"/>
          <w:sz w:val="22"/>
        </w:rPr>
        <w:t xml:space="preserve">DECCW (NSW Department of Environment, Climate Change and Water 2009) </w:t>
      </w:r>
      <w:r w:rsidRPr="00C66550">
        <w:rPr>
          <w:i/>
          <w:color w:val="080808"/>
          <w:sz w:val="22"/>
        </w:rPr>
        <w:t>Waste Classification Guidelines Part 1: Classifying Waste</w:t>
      </w:r>
      <w:r w:rsidRPr="00C66550">
        <w:rPr>
          <w:color w:val="080808"/>
          <w:sz w:val="22"/>
        </w:rPr>
        <w:t xml:space="preserve">, available from: </w:t>
      </w:r>
      <w:hyperlink r:id="rId183" w:history="1">
        <w:r w:rsidRPr="00C66550">
          <w:rPr>
            <w:rStyle w:val="Hyperlink"/>
            <w:sz w:val="22"/>
          </w:rPr>
          <w:t>http://www.environment.nsw.gov.au/resources/waste/08202classifyingwaste.pdf</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DECCW (NSW Department of Environment Climate Change and Water, 2011) Waste Avoidance and Resource Recovery Progress Report 2010, Vol 2, February, available from: </w:t>
      </w:r>
      <w:hyperlink r:id="rId184" w:history="1">
        <w:r w:rsidRPr="00C66550">
          <w:rPr>
            <w:rFonts w:cs="Times New Roman"/>
            <w:color w:val="0000FF"/>
            <w:sz w:val="22"/>
            <w:u w:val="single"/>
            <w:lang w:eastAsia="en-AU"/>
          </w:rPr>
          <w:t>http://www.environment.nsw.gov.au/resources/warr/110061WARRSPRvolume2.pdf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auto"/>
          <w:sz w:val="22"/>
          <w:lang w:eastAsia="en-AU"/>
        </w:rPr>
      </w:pPr>
      <w:r w:rsidRPr="00C66550">
        <w:rPr>
          <w:rFonts w:cs="Times New Roman"/>
          <w:color w:val="auto"/>
          <w:sz w:val="22"/>
          <w:lang w:eastAsia="en-AU"/>
        </w:rPr>
        <w:t xml:space="preserve">DEFRA (UK Department of Environment, Food and Rural Affairs 2012) </w:t>
      </w:r>
      <w:r w:rsidRPr="00C66550">
        <w:rPr>
          <w:rFonts w:cs="Times New Roman"/>
          <w:i/>
          <w:iCs/>
          <w:color w:val="auto"/>
          <w:sz w:val="22"/>
          <w:lang w:eastAsia="en-AU"/>
        </w:rPr>
        <w:t>Local Authority Waste Management Statistics for England – Final Annual Results 2011/12</w:t>
      </w:r>
      <w:r w:rsidRPr="00C66550">
        <w:rPr>
          <w:rFonts w:cs="Times New Roman"/>
          <w:color w:val="auto"/>
          <w:sz w:val="22"/>
          <w:lang w:eastAsia="en-AU"/>
        </w:rPr>
        <w:t xml:space="preserve">, </w:t>
      </w:r>
      <w:hyperlink r:id="rId185" w:history="1">
        <w:r w:rsidRPr="00C66550">
          <w:rPr>
            <w:rFonts w:cs="Times New Roman"/>
            <w:color w:val="0000FF"/>
            <w:sz w:val="22"/>
            <w:u w:val="single"/>
            <w:lang w:eastAsia="en-AU"/>
          </w:rPr>
          <w:t>http://www.defra.gov.uk/statistics/environment/waste/wrfg23-wrmsannual/</w:t>
        </w:r>
      </w:hyperlink>
      <w:r w:rsidRPr="00C66550">
        <w:rPr>
          <w:rFonts w:cs="Times New Roman"/>
          <w:color w:val="auto"/>
          <w:sz w:val="22"/>
          <w:lang w:eastAsia="en-AU"/>
        </w:rPr>
        <w:t xml:space="preserve"> </w:t>
      </w:r>
    </w:p>
    <w:p w:rsidR="00DF4FB7" w:rsidRPr="00C66550" w:rsidRDefault="00DF4FB7" w:rsidP="00CF2701">
      <w:pPr>
        <w:spacing w:before="80" w:line="240" w:lineRule="auto"/>
        <w:rPr>
          <w:rFonts w:cs="Times New Roman"/>
          <w:i/>
          <w:color w:val="000000"/>
          <w:sz w:val="22"/>
          <w:lang w:eastAsia="en-AU"/>
        </w:rPr>
      </w:pPr>
      <w:r>
        <w:rPr>
          <w:rFonts w:cs="Times New Roman"/>
          <w:color w:val="000000"/>
          <w:sz w:val="22"/>
          <w:lang w:eastAsia="en-AU"/>
        </w:rPr>
        <w:t xml:space="preserve">DEPHA (Tasmanian </w:t>
      </w:r>
      <w:r w:rsidRPr="00C66550">
        <w:rPr>
          <w:rFonts w:cs="Times New Roman"/>
          <w:color w:val="000000"/>
          <w:sz w:val="22"/>
          <w:lang w:eastAsia="en-AU"/>
        </w:rPr>
        <w:t>Department of Environment</w:t>
      </w:r>
      <w:r>
        <w:rPr>
          <w:rFonts w:cs="Times New Roman"/>
          <w:color w:val="000000"/>
          <w:sz w:val="22"/>
          <w:lang w:eastAsia="en-AU"/>
        </w:rPr>
        <w:t xml:space="preserve">, Parks, Heritage and the Arts </w:t>
      </w:r>
      <w:r w:rsidRPr="00C66550">
        <w:rPr>
          <w:rFonts w:cs="Times New Roman"/>
          <w:color w:val="000000"/>
          <w:sz w:val="22"/>
          <w:lang w:eastAsia="en-AU"/>
        </w:rPr>
        <w:t xml:space="preserve">2009) </w:t>
      </w:r>
      <w:r w:rsidRPr="00C66550">
        <w:rPr>
          <w:rFonts w:cs="Times New Roman"/>
          <w:i/>
          <w:color w:val="000000"/>
          <w:sz w:val="22"/>
          <w:lang w:eastAsia="en-AU"/>
        </w:rPr>
        <w:t>Tasmanian Waste and Resource Management Strategy</w:t>
      </w:r>
    </w:p>
    <w:p w:rsidR="008C6864" w:rsidRPr="00C66550" w:rsidRDefault="00BB3966" w:rsidP="00CF2701">
      <w:pPr>
        <w:spacing w:before="80" w:line="240" w:lineRule="auto"/>
        <w:rPr>
          <w:rFonts w:cs="Times New Roman"/>
          <w:color w:val="000000"/>
          <w:sz w:val="22"/>
          <w:lang w:eastAsia="en-AU"/>
        </w:rPr>
      </w:pPr>
      <w:r>
        <w:rPr>
          <w:rFonts w:cs="Times New Roman"/>
          <w:color w:val="000000"/>
          <w:sz w:val="22"/>
          <w:lang w:eastAsia="en-AU"/>
        </w:rPr>
        <w:t xml:space="preserve">DSE (Victorian </w:t>
      </w:r>
      <w:r w:rsidR="008C6864" w:rsidRPr="00C66550">
        <w:rPr>
          <w:rFonts w:cs="Times New Roman"/>
          <w:color w:val="000000"/>
          <w:sz w:val="22"/>
          <w:lang w:eastAsia="en-AU"/>
        </w:rPr>
        <w:t xml:space="preserve">Department of Sustainability and Environment 2012) </w:t>
      </w:r>
      <w:r w:rsidR="008C6864" w:rsidRPr="00C66550">
        <w:rPr>
          <w:rFonts w:cs="Times New Roman"/>
          <w:i/>
          <w:color w:val="000000"/>
          <w:sz w:val="22"/>
          <w:lang w:eastAsia="en-AU"/>
        </w:rPr>
        <w:t xml:space="preserve">Draft Victorian Waste and </w:t>
      </w:r>
      <w:r>
        <w:rPr>
          <w:rFonts w:cs="Times New Roman"/>
          <w:i/>
          <w:color w:val="000000"/>
          <w:sz w:val="22"/>
          <w:lang w:eastAsia="en-AU"/>
        </w:rPr>
        <w:t>R</w:t>
      </w:r>
      <w:r w:rsidR="008C6864" w:rsidRPr="00C66550">
        <w:rPr>
          <w:rFonts w:cs="Times New Roman"/>
          <w:i/>
          <w:color w:val="000000"/>
          <w:sz w:val="22"/>
          <w:lang w:eastAsia="en-AU"/>
        </w:rPr>
        <w:t xml:space="preserve">esource </w:t>
      </w:r>
      <w:r>
        <w:rPr>
          <w:rFonts w:cs="Times New Roman"/>
          <w:i/>
          <w:color w:val="000000"/>
          <w:sz w:val="22"/>
          <w:lang w:eastAsia="en-AU"/>
        </w:rPr>
        <w:t>R</w:t>
      </w:r>
      <w:r w:rsidR="008C6864" w:rsidRPr="00C66550">
        <w:rPr>
          <w:rFonts w:cs="Times New Roman"/>
          <w:i/>
          <w:color w:val="000000"/>
          <w:sz w:val="22"/>
          <w:lang w:eastAsia="en-AU"/>
        </w:rPr>
        <w:t xml:space="preserve">ecovery </w:t>
      </w:r>
      <w:r>
        <w:rPr>
          <w:rFonts w:cs="Times New Roman"/>
          <w:i/>
          <w:color w:val="000000"/>
          <w:sz w:val="22"/>
          <w:lang w:eastAsia="en-AU"/>
        </w:rPr>
        <w:t>P</w:t>
      </w:r>
      <w:r w:rsidR="008C6864" w:rsidRPr="00C66550">
        <w:rPr>
          <w:rFonts w:cs="Times New Roman"/>
          <w:i/>
          <w:color w:val="000000"/>
          <w:sz w:val="22"/>
          <w:lang w:eastAsia="en-AU"/>
        </w:rPr>
        <w:t>olicy</w:t>
      </w:r>
      <w:r w:rsidR="008C6864" w:rsidRPr="00C66550">
        <w:t xml:space="preserve"> </w:t>
      </w:r>
      <w:r w:rsidR="008C6864" w:rsidRPr="00C66550">
        <w:rPr>
          <w:rFonts w:cs="Times New Roman"/>
          <w:color w:val="000000"/>
          <w:sz w:val="22"/>
          <w:lang w:eastAsia="en-AU"/>
        </w:rPr>
        <w:t xml:space="preserve">available from: </w:t>
      </w:r>
      <w:hyperlink r:id="rId186" w:history="1">
        <w:r w:rsidR="008C6864" w:rsidRPr="00C66550">
          <w:rPr>
            <w:rStyle w:val="Hyperlink"/>
            <w:rFonts w:cs="Times New Roman"/>
            <w:sz w:val="22"/>
            <w:lang w:eastAsia="en-AU"/>
          </w:rPr>
          <w:t>http://www.dse.vic.gov.au/conservation-and-environment/sustainability/waste-management-and-resource-efficiency</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Department of the Chief Minister (2009) </w:t>
      </w:r>
      <w:r w:rsidRPr="00C66550">
        <w:rPr>
          <w:rFonts w:cs="Times New Roman"/>
          <w:i/>
          <w:color w:val="000000"/>
          <w:sz w:val="22"/>
          <w:lang w:eastAsia="en-AU"/>
        </w:rPr>
        <w:t>Territory 2030 Strategic Plan</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DERM (</w:t>
      </w:r>
      <w:r w:rsidR="00DF4FB7">
        <w:rPr>
          <w:rFonts w:cs="Times New Roman"/>
          <w:color w:val="000000"/>
          <w:sz w:val="22"/>
          <w:lang w:eastAsia="en-AU"/>
        </w:rPr>
        <w:t xml:space="preserve">Qld </w:t>
      </w:r>
      <w:r w:rsidRPr="00C66550">
        <w:rPr>
          <w:rFonts w:cs="Times New Roman"/>
          <w:color w:val="000000"/>
          <w:sz w:val="22"/>
          <w:lang w:eastAsia="en-AU"/>
        </w:rPr>
        <w:t xml:space="preserve">Department of Environment and Resource Management) (2010) </w:t>
      </w:r>
      <w:r w:rsidRPr="00C66550">
        <w:rPr>
          <w:rFonts w:cs="Times New Roman"/>
          <w:i/>
          <w:color w:val="000000"/>
          <w:sz w:val="22"/>
          <w:lang w:eastAsia="en-AU"/>
        </w:rPr>
        <w:t>Queensland’s Waste Reduction and Recycling Strategy 2010–2020</w:t>
      </w:r>
      <w:r w:rsidRPr="00C66550">
        <w:rPr>
          <w:rFonts w:cs="Times New Roman"/>
          <w:color w:val="000000"/>
          <w:sz w:val="22"/>
          <w:lang w:eastAsia="en-AU"/>
        </w:rPr>
        <w:t>.</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DSEWPaC (Department of Sustainability, Environment, Water, Population and Communities 2011) </w:t>
      </w:r>
      <w:r w:rsidRPr="00C66550">
        <w:rPr>
          <w:rFonts w:cs="Times New Roman"/>
          <w:i/>
          <w:iCs/>
          <w:color w:val="000000"/>
          <w:sz w:val="22"/>
          <w:lang w:eastAsia="en-AU"/>
        </w:rPr>
        <w:t>Biosolids snapshot,</w:t>
      </w:r>
      <w:r w:rsidRPr="00C66550">
        <w:rPr>
          <w:rFonts w:cs="Times New Roman"/>
          <w:color w:val="000000"/>
          <w:sz w:val="22"/>
          <w:lang w:eastAsia="en-AU"/>
        </w:rPr>
        <w:t xml:space="preserve"> prepared by Pollution Solutions and Design, available from: </w:t>
      </w:r>
      <w:hyperlink r:id="rId187" w:history="1">
        <w:r w:rsidRPr="00C66550">
          <w:rPr>
            <w:rFonts w:cs="Times New Roman"/>
            <w:color w:val="0000FF"/>
            <w:sz w:val="22"/>
            <w:u w:val="single"/>
            <w:lang w:eastAsia="en-AU"/>
          </w:rPr>
          <w:t>http://www.environment.gov.au/wastepolicy/publications/biosolids-snapshot.html</w:t>
        </w:r>
      </w:hyperlink>
      <w:r w:rsidRPr="00C66550">
        <w:rPr>
          <w:rFonts w:cs="Times New Roman"/>
          <w:color w:val="000000"/>
          <w:sz w:val="22"/>
          <w:lang w:eastAsia="en-AU"/>
        </w:rPr>
        <w:t xml:space="preserve"> </w:t>
      </w:r>
    </w:p>
    <w:p w:rsidR="00642B3C" w:rsidRPr="00642B3C" w:rsidRDefault="00642B3C" w:rsidP="00CF2701">
      <w:pPr>
        <w:spacing w:before="80"/>
        <w:rPr>
          <w:rFonts w:asciiTheme="minorHAnsi" w:hAnsiTheme="minorHAnsi"/>
          <w:sz w:val="22"/>
        </w:rPr>
      </w:pPr>
      <w:r w:rsidRPr="00642B3C">
        <w:rPr>
          <w:rFonts w:asciiTheme="minorHAnsi" w:hAnsiTheme="minorHAnsi" w:cs="Times New Roman"/>
          <w:color w:val="000000"/>
          <w:sz w:val="22"/>
          <w:lang w:eastAsia="en-GB"/>
        </w:rPr>
        <w:t>Environment NZ (2007) State of the Environment Report, Cha</w:t>
      </w:r>
      <w:r w:rsidR="002243AB">
        <w:rPr>
          <w:rFonts w:asciiTheme="minorHAnsi" w:hAnsiTheme="minorHAnsi" w:cs="Times New Roman"/>
          <w:color w:val="000000"/>
          <w:sz w:val="22"/>
          <w:lang w:eastAsia="en-GB"/>
        </w:rPr>
        <w:t>pter 6, available from:</w:t>
      </w:r>
      <w:r w:rsidRPr="00642B3C">
        <w:rPr>
          <w:rFonts w:asciiTheme="minorHAnsi" w:hAnsiTheme="minorHAnsi" w:cs="Times New Roman"/>
          <w:color w:val="000000"/>
          <w:sz w:val="22"/>
          <w:lang w:eastAsia="en-GB"/>
        </w:rPr>
        <w:t xml:space="preserve"> </w:t>
      </w:r>
      <w:hyperlink r:id="rId188" w:history="1">
        <w:r w:rsidRPr="00642B3C">
          <w:rPr>
            <w:rFonts w:asciiTheme="minorHAnsi" w:hAnsiTheme="minorHAnsi"/>
            <w:color w:val="0000FF"/>
            <w:sz w:val="22"/>
            <w:u w:val="single"/>
          </w:rPr>
          <w:t>http://www.mfe.govt.nz/publications/ser/enz07-dec07/chapter-6.pdf</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lastRenderedPageBreak/>
        <w:t xml:space="preserve">EPA </w:t>
      </w:r>
      <w:r w:rsidR="00381F5C">
        <w:rPr>
          <w:rFonts w:cs="Times New Roman"/>
          <w:color w:val="000000"/>
          <w:sz w:val="22"/>
          <w:lang w:eastAsia="en-AU"/>
        </w:rPr>
        <w:t>SA</w:t>
      </w:r>
      <w:r w:rsidRPr="00C66550">
        <w:rPr>
          <w:rFonts w:cs="Times New Roman"/>
          <w:color w:val="000000"/>
          <w:sz w:val="22"/>
          <w:lang w:eastAsia="en-AU"/>
        </w:rPr>
        <w:t xml:space="preserve"> (</w:t>
      </w:r>
      <w:r w:rsidR="00381F5C">
        <w:rPr>
          <w:rFonts w:cs="Times New Roman"/>
          <w:color w:val="000000"/>
          <w:sz w:val="22"/>
          <w:lang w:eastAsia="en-AU"/>
        </w:rPr>
        <w:t xml:space="preserve">Environmental Protection Agency of South Australia </w:t>
      </w:r>
      <w:r w:rsidRPr="00C66550">
        <w:rPr>
          <w:rFonts w:cs="Times New Roman"/>
          <w:color w:val="000000"/>
          <w:sz w:val="22"/>
          <w:lang w:eastAsia="en-AU"/>
        </w:rPr>
        <w:t xml:space="preserve">2010) </w:t>
      </w:r>
      <w:r w:rsidRPr="00C66550">
        <w:rPr>
          <w:rFonts w:cs="Times New Roman"/>
          <w:i/>
          <w:color w:val="000000"/>
          <w:sz w:val="22"/>
          <w:lang w:eastAsia="en-AU"/>
        </w:rPr>
        <w:t>Waste Guidelines–Waste Levy Regulations</w:t>
      </w:r>
    </w:p>
    <w:p w:rsidR="008C6864" w:rsidRPr="00C66550" w:rsidRDefault="008C6864" w:rsidP="00CF2701">
      <w:pPr>
        <w:widowControl w:val="0"/>
        <w:tabs>
          <w:tab w:val="left" w:pos="1468"/>
        </w:tabs>
        <w:spacing w:before="80" w:line="261" w:lineRule="auto"/>
        <w:ind w:right="168"/>
        <w:rPr>
          <w:color w:val="080808"/>
          <w:sz w:val="22"/>
        </w:rPr>
      </w:pPr>
      <w:r w:rsidRPr="00C66550">
        <w:rPr>
          <w:color w:val="080808"/>
          <w:sz w:val="22"/>
        </w:rPr>
        <w:t>EPHC (Environment Protection and Heritage Council</w:t>
      </w:r>
      <w:r w:rsidR="00FD2C88">
        <w:rPr>
          <w:color w:val="080808"/>
          <w:sz w:val="22"/>
        </w:rPr>
        <w:t>, October 2009</w:t>
      </w:r>
      <w:r w:rsidRPr="00FD2C88">
        <w:rPr>
          <w:color w:val="080808"/>
          <w:sz w:val="22"/>
        </w:rPr>
        <w:t>)</w:t>
      </w:r>
      <w:r w:rsidRPr="00C66550">
        <w:rPr>
          <w:i/>
          <w:color w:val="080808"/>
          <w:sz w:val="22"/>
        </w:rPr>
        <w:t xml:space="preserve"> Decision Regulatory Impact Statement: Televisions and Computers, </w:t>
      </w:r>
      <w:r w:rsidRPr="00C66550">
        <w:rPr>
          <w:color w:val="080808"/>
          <w:sz w:val="22"/>
        </w:rPr>
        <w:t xml:space="preserve">available from: </w:t>
      </w:r>
      <w:hyperlink r:id="rId189" w:history="1">
        <w:r w:rsidRPr="00C66550">
          <w:rPr>
            <w:rStyle w:val="Hyperlink"/>
            <w:sz w:val="22"/>
          </w:rPr>
          <w:t>http://www.ephc.gov.au/sites/default/files/PS_TV_Comp__Decision_RIS__Televisions_and_Computers__200911_0.pdf</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European Commission website (Waste Statistics, downloaded January 2013) from: </w:t>
      </w:r>
      <w:hyperlink r:id="rId190" w:history="1">
        <w:r w:rsidRPr="00C66550">
          <w:rPr>
            <w:rFonts w:cs="Times New Roman"/>
            <w:color w:val="0000FF"/>
            <w:sz w:val="22"/>
            <w:u w:val="single"/>
            <w:lang w:eastAsia="en-AU"/>
          </w:rPr>
          <w:t>http://epp.eurostat.ec.europa.eu/statistics_explained/index.php/Waste_statistics</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Eurostat Newsrelease no. 37, 8 March 2011, available from: </w:t>
      </w:r>
      <w:hyperlink r:id="rId191" w:history="1">
        <w:r w:rsidRPr="00C66550">
          <w:rPr>
            <w:rFonts w:cs="Times New Roman"/>
            <w:color w:val="0000FF"/>
            <w:sz w:val="22"/>
            <w:u w:val="single"/>
            <w:lang w:eastAsia="en-AU"/>
          </w:rPr>
          <w:t>http://epp.eurostat.ec.europa.eu/cache/ITY_PUBLIC/8-08032011-AP/EN/8-08032011-AP-EN.PDF</w:t>
        </w:r>
      </w:hyperlink>
      <w:r w:rsidRPr="00C66550">
        <w:rPr>
          <w:rFonts w:cs="Times New Roman"/>
          <w:color w:val="000000"/>
          <w:sz w:val="22"/>
          <w:lang w:eastAsia="en-AU"/>
        </w:rPr>
        <w:t xml:space="preserve"> </w:t>
      </w:r>
    </w:p>
    <w:p w:rsidR="008C6864" w:rsidRPr="00C66550" w:rsidRDefault="008C6864" w:rsidP="00CF2701">
      <w:pPr>
        <w:widowControl w:val="0"/>
        <w:tabs>
          <w:tab w:val="left" w:pos="1468"/>
        </w:tabs>
        <w:spacing w:before="80" w:line="261" w:lineRule="auto"/>
        <w:ind w:right="168"/>
        <w:rPr>
          <w:rFonts w:cs="Times New Roman"/>
          <w:color w:val="000000"/>
          <w:sz w:val="22"/>
          <w:lang w:eastAsia="en-AU"/>
        </w:rPr>
      </w:pPr>
      <w:r w:rsidRPr="00C66550">
        <w:rPr>
          <w:color w:val="080808"/>
          <w:sz w:val="22"/>
        </w:rPr>
        <w:t xml:space="preserve">Forster P, Ramaswamy V, Artaxo P, Berntsen T, Betts R, Fahey DW, Haywood J, Lean J, Lowe DC, Myhre G, Nganga J, Prinn R, Raga G, Schulz M and Van Dorland R (2007) Changes in Atmospheric Constituents and in Radiative Forcing. In: </w:t>
      </w:r>
      <w:r w:rsidRPr="00C66550">
        <w:rPr>
          <w:i/>
          <w:color w:val="080808"/>
          <w:sz w:val="22"/>
        </w:rPr>
        <w:t>Climate Change 2007: The Physical Science Basis. Contribution of Working Group I to the Fourth Assessment Report of the Intergovernmental Panel on Climate Change</w:t>
      </w:r>
      <w:r w:rsidRPr="00C66550">
        <w:rPr>
          <w:color w:val="080808"/>
          <w:sz w:val="22"/>
        </w:rPr>
        <w:t xml:space="preserve"> [Solomon S, Qin D, Manning M, Chen Z, Marquis M, Averyt KB, Tignor M and Miller HL (eds.)]. Cambridge University Press, Cambridge, UK and New York, USA, available from: </w:t>
      </w:r>
      <w:r w:rsidRPr="00C66550">
        <w:rPr>
          <w:color w:val="0000FF" w:themeColor="accent1"/>
          <w:sz w:val="22"/>
          <w:u w:val="single"/>
        </w:rPr>
        <w:t xml:space="preserve">ipcc-wg1.ucar.edu/wg1/Report/AR4WG1_Print_Ch02.pdf </w:t>
      </w:r>
    </w:p>
    <w:p w:rsidR="00D25F82" w:rsidRPr="00C66550" w:rsidRDefault="00D25F82" w:rsidP="00D25F82">
      <w:pPr>
        <w:pStyle w:val="BodyText"/>
        <w:spacing w:before="80"/>
        <w:rPr>
          <w:rFonts w:cs="Times New Roman"/>
          <w:color w:val="000000"/>
          <w:lang w:eastAsia="en-AU"/>
        </w:rPr>
      </w:pPr>
      <w:r w:rsidRPr="00C66550">
        <w:t xml:space="preserve">Government of Victoria (2005) </w:t>
      </w:r>
      <w:r w:rsidRPr="00C66550">
        <w:rPr>
          <w:i/>
        </w:rPr>
        <w:t>Towards Zero Waste Strategy</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Grant T, James KL and Partl H (2003</w:t>
      </w:r>
      <w:r w:rsidRPr="00C66550">
        <w:rPr>
          <w:rFonts w:cs="Times New Roman"/>
          <w:i/>
          <w:color w:val="000000"/>
          <w:sz w:val="22"/>
          <w:lang w:eastAsia="en-AU"/>
        </w:rPr>
        <w:t>) Life Cycle Assessment of Waste and Resource Recovery Options (including energy from waste)</w:t>
      </w:r>
      <w:r w:rsidRPr="00C66550">
        <w:rPr>
          <w:rFonts w:cs="Times New Roman"/>
          <w:color w:val="000000"/>
          <w:sz w:val="22"/>
          <w:lang w:eastAsia="en-AU"/>
        </w:rPr>
        <w:t>. Prepared by the Centre for Design at RMIT and Nolan-ITU for EcoRecycle Victoria, Melbourne</w:t>
      </w:r>
    </w:p>
    <w:p w:rsidR="008C6864" w:rsidRPr="00C66550" w:rsidRDefault="008C6864" w:rsidP="00CF2701">
      <w:pPr>
        <w:widowControl w:val="0"/>
        <w:tabs>
          <w:tab w:val="left" w:pos="1468"/>
        </w:tabs>
        <w:spacing w:before="80" w:line="261" w:lineRule="auto"/>
        <w:ind w:right="168"/>
        <w:rPr>
          <w:color w:val="080808"/>
          <w:sz w:val="22"/>
        </w:rPr>
      </w:pPr>
      <w:r w:rsidRPr="00C66550">
        <w:rPr>
          <w:color w:val="080808"/>
          <w:sz w:val="22"/>
        </w:rPr>
        <w:t xml:space="preserve">Hammond G, Jones C, </w:t>
      </w:r>
      <w:r w:rsidRPr="00C66550">
        <w:rPr>
          <w:i/>
          <w:color w:val="080808"/>
          <w:sz w:val="22"/>
        </w:rPr>
        <w:t>Inventory of Carbon and Energy, Version 1.6a</w:t>
      </w:r>
      <w:r w:rsidRPr="00C66550">
        <w:rPr>
          <w:color w:val="080808"/>
          <w:sz w:val="22"/>
        </w:rPr>
        <w:t>, 2008</w:t>
      </w:r>
    </w:p>
    <w:p w:rsidR="008C6864" w:rsidRPr="00C66550" w:rsidRDefault="008C6864" w:rsidP="00CF2701">
      <w:pPr>
        <w:spacing w:before="80" w:line="240" w:lineRule="auto"/>
        <w:rPr>
          <w:color w:val="080808"/>
          <w:sz w:val="22"/>
        </w:rPr>
      </w:pPr>
      <w:r w:rsidRPr="00C66550">
        <w:rPr>
          <w:color w:val="080808"/>
          <w:sz w:val="22"/>
        </w:rPr>
        <w:t xml:space="preserve">Hardesty BD and Wilcox C (2011) </w:t>
      </w:r>
      <w:r w:rsidRPr="00C66550">
        <w:rPr>
          <w:i/>
          <w:color w:val="080808"/>
          <w:sz w:val="22"/>
        </w:rPr>
        <w:t>Understanding the types, sources and at-sea distribution of marine debris in Australian waters,</w:t>
      </w:r>
      <w:r w:rsidRPr="00C66550">
        <w:rPr>
          <w:color w:val="080808"/>
          <w:sz w:val="22"/>
        </w:rPr>
        <w:t xml:space="preserve"> Final Report to the Department of Sustainability, Environment, Water, Population and Communities, available from: </w:t>
      </w:r>
      <w:hyperlink r:id="rId192" w:history="1">
        <w:r w:rsidRPr="00C66550">
          <w:rPr>
            <w:color w:val="0000FF"/>
            <w:sz w:val="22"/>
            <w:u w:val="single"/>
          </w:rPr>
          <w:t>www.</w:t>
        </w:r>
        <w:r w:rsidRPr="00C66550">
          <w:rPr>
            <w:bCs/>
            <w:color w:val="0000FF"/>
            <w:sz w:val="22"/>
            <w:u w:val="single"/>
          </w:rPr>
          <w:t>environment.gov.au</w:t>
        </w:r>
        <w:r w:rsidRPr="00C66550">
          <w:rPr>
            <w:color w:val="0000FF"/>
            <w:sz w:val="22"/>
            <w:u w:val="single"/>
          </w:rPr>
          <w:t>/coasts/pollution/</w:t>
        </w:r>
        <w:r w:rsidRPr="00C66550">
          <w:rPr>
            <w:bCs/>
            <w:color w:val="0000FF"/>
            <w:sz w:val="22"/>
            <w:u w:val="single"/>
          </w:rPr>
          <w:t>marine</w:t>
        </w:r>
        <w:r w:rsidRPr="00C66550">
          <w:rPr>
            <w:color w:val="0000FF"/>
            <w:sz w:val="22"/>
            <w:u w:val="single"/>
          </w:rPr>
          <w:t>-</w:t>
        </w:r>
        <w:r w:rsidRPr="00C66550">
          <w:rPr>
            <w:bCs/>
            <w:color w:val="0000FF"/>
            <w:sz w:val="22"/>
            <w:u w:val="single"/>
          </w:rPr>
          <w:t>debris</w:t>
        </w:r>
        <w:r w:rsidRPr="00C66550">
          <w:rPr>
            <w:color w:val="0000FF"/>
            <w:sz w:val="22"/>
            <w:u w:val="single"/>
          </w:rPr>
          <w:t>/index.html</w:t>
        </w:r>
      </w:hyperlink>
      <w:r w:rsidRPr="00C66550">
        <w:rPr>
          <w:color w:val="080808"/>
          <w:sz w:val="22"/>
        </w:rPr>
        <w:t xml:space="preserve"> </w:t>
      </w:r>
    </w:p>
    <w:p w:rsidR="001D615C" w:rsidRPr="00C66550" w:rsidRDefault="001D615C" w:rsidP="00CF2701">
      <w:pPr>
        <w:spacing w:before="80" w:line="240" w:lineRule="auto"/>
        <w:rPr>
          <w:rFonts w:cs="Times New Roman"/>
          <w:color w:val="000000"/>
          <w:sz w:val="22"/>
          <w:lang w:eastAsia="en-AU"/>
        </w:rPr>
      </w:pPr>
      <w:r w:rsidRPr="00C66550">
        <w:rPr>
          <w:rFonts w:cs="Times New Roman"/>
          <w:color w:val="000000"/>
          <w:sz w:val="22"/>
          <w:lang w:eastAsia="en-AU"/>
        </w:rPr>
        <w:t xml:space="preserve">Hyder Consulting (2010) </w:t>
      </w:r>
      <w:r w:rsidRPr="00C66550">
        <w:rPr>
          <w:i/>
          <w:sz w:val="22"/>
        </w:rPr>
        <w:t>Incorporating a Revised Method for Compiling Waste and Recycling Data.</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Hyder Consulting (2011a) </w:t>
      </w:r>
      <w:r w:rsidRPr="00C66550">
        <w:rPr>
          <w:rFonts w:cs="Times New Roman"/>
          <w:i/>
          <w:iCs/>
          <w:color w:val="000000"/>
          <w:sz w:val="22"/>
          <w:lang w:eastAsia="en-AU"/>
        </w:rPr>
        <w:t>Waste and Recycing in Australia 2011</w:t>
      </w:r>
      <w:r w:rsidRPr="00C66550">
        <w:rPr>
          <w:rFonts w:cs="Times New Roman"/>
          <w:color w:val="000000"/>
          <w:sz w:val="22"/>
          <w:lang w:eastAsia="en-AU"/>
        </w:rPr>
        <w:t xml:space="preserve">, prepared for the Department of Sustainability, Environment, Water, Population and Communities, available from: </w:t>
      </w:r>
      <w:hyperlink r:id="rId193" w:history="1">
        <w:r w:rsidRPr="00C66550">
          <w:rPr>
            <w:rStyle w:val="Hyperlink"/>
            <w:rFonts w:cs="Times New Roman"/>
            <w:sz w:val="22"/>
            <w:lang w:eastAsia="en-AU"/>
          </w:rPr>
          <w:t>http://www.environment.gov.au/wastepolicy/publications/waste-recycling2011.html</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Hyder Consulting (2011b) </w:t>
      </w:r>
      <w:r w:rsidRPr="00FC2D1C">
        <w:rPr>
          <w:rFonts w:cs="Times New Roman"/>
          <w:i/>
          <w:color w:val="000000"/>
          <w:sz w:val="22"/>
          <w:lang w:eastAsia="en-AU"/>
        </w:rPr>
        <w:t>Role and Performance of Local Government, Waste and Recycling Related Data and Information</w:t>
      </w:r>
      <w:r w:rsidRPr="00C66550">
        <w:rPr>
          <w:rFonts w:cs="Times New Roman"/>
          <w:i/>
          <w:iCs/>
          <w:color w:val="000000"/>
          <w:sz w:val="22"/>
          <w:lang w:eastAsia="en-AU"/>
        </w:rPr>
        <w:t xml:space="preserve"> </w:t>
      </w:r>
      <w:r w:rsidRPr="00C66550">
        <w:rPr>
          <w:rFonts w:cs="Times New Roman"/>
          <w:color w:val="000000"/>
          <w:sz w:val="22"/>
          <w:lang w:eastAsia="en-AU"/>
        </w:rPr>
        <w:t xml:space="preserve">(and associated workbook), prepared for DSEWPaC, October, available from: </w:t>
      </w:r>
      <w:hyperlink r:id="rId194" w:history="1">
        <w:r w:rsidRPr="00C66550">
          <w:rPr>
            <w:rFonts w:cs="Times New Roman"/>
            <w:color w:val="0000FF"/>
            <w:sz w:val="22"/>
            <w:u w:val="single"/>
            <w:lang w:eastAsia="en-AU"/>
          </w:rPr>
          <w:t>http://www.environment.gov.au/wastepolicy/publications/local-government.html</w:t>
        </w:r>
      </w:hyperlink>
      <w:r w:rsidRPr="00C66550">
        <w:rPr>
          <w:rFonts w:cs="Times New Roman"/>
          <w:color w:val="000000"/>
          <w:sz w:val="22"/>
          <w:lang w:eastAsia="en-AU"/>
        </w:rPr>
        <w:t xml:space="preserve"> </w:t>
      </w:r>
    </w:p>
    <w:p w:rsidR="00BB3966" w:rsidRPr="00BB3966" w:rsidRDefault="00BB3966" w:rsidP="00CF2701">
      <w:pPr>
        <w:spacing w:before="80"/>
        <w:rPr>
          <w:sz w:val="22"/>
        </w:rPr>
      </w:pPr>
      <w:r w:rsidRPr="00BB3966">
        <w:rPr>
          <w:color w:val="000000"/>
          <w:sz w:val="22"/>
          <w:lang w:eastAsia="en-AU"/>
        </w:rPr>
        <w:t xml:space="preserve">Hyder Consulting (2012) </w:t>
      </w:r>
      <w:r w:rsidRPr="00BB3966">
        <w:rPr>
          <w:i/>
          <w:iCs/>
          <w:color w:val="000000"/>
          <w:sz w:val="22"/>
          <w:lang w:eastAsia="en-AU"/>
        </w:rPr>
        <w:t>COAG Standing Council on Environment and Water, Study into domestic and international fate of end- of-life tyres,</w:t>
      </w:r>
      <w:r w:rsidRPr="00BB3966">
        <w:rPr>
          <w:color w:val="000000"/>
          <w:sz w:val="22"/>
          <w:lang w:eastAsia="en-AU"/>
        </w:rPr>
        <w:t xml:space="preserve"> prepared for </w:t>
      </w:r>
      <w:r w:rsidRPr="00BB3966">
        <w:rPr>
          <w:sz w:val="22"/>
        </w:rPr>
        <w:t>Environment</w:t>
      </w:r>
      <w:r w:rsidRPr="00BB3966">
        <w:rPr>
          <w:spacing w:val="-7"/>
          <w:sz w:val="22"/>
        </w:rPr>
        <w:t xml:space="preserve"> </w:t>
      </w:r>
      <w:r w:rsidRPr="00BB3966">
        <w:rPr>
          <w:spacing w:val="-1"/>
          <w:sz w:val="22"/>
        </w:rPr>
        <w:t>Protection</w:t>
      </w:r>
      <w:r w:rsidRPr="00BB3966">
        <w:rPr>
          <w:spacing w:val="-6"/>
          <w:sz w:val="22"/>
        </w:rPr>
        <w:t xml:space="preserve"> </w:t>
      </w:r>
      <w:r w:rsidRPr="00BB3966">
        <w:rPr>
          <w:sz w:val="22"/>
        </w:rPr>
        <w:t>and</w:t>
      </w:r>
      <w:r w:rsidRPr="00BB3966">
        <w:rPr>
          <w:spacing w:val="-7"/>
          <w:sz w:val="22"/>
        </w:rPr>
        <w:t xml:space="preserve"> </w:t>
      </w:r>
      <w:r w:rsidRPr="00BB3966">
        <w:rPr>
          <w:sz w:val="22"/>
        </w:rPr>
        <w:t>Heritage</w:t>
      </w:r>
      <w:r w:rsidRPr="00BB3966">
        <w:rPr>
          <w:spacing w:val="36"/>
          <w:sz w:val="22"/>
        </w:rPr>
        <w:t xml:space="preserve"> </w:t>
      </w:r>
      <w:r w:rsidRPr="00BB3966">
        <w:rPr>
          <w:sz w:val="22"/>
        </w:rPr>
        <w:t>Council</w:t>
      </w:r>
      <w:r w:rsidRPr="00BB3966">
        <w:rPr>
          <w:color w:val="000000"/>
          <w:sz w:val="22"/>
          <w:lang w:eastAsia="en-AU"/>
        </w:rPr>
        <w:t xml:space="preserve">, May 2012, available from: </w:t>
      </w:r>
      <w:hyperlink r:id="rId195" w:history="1">
        <w:r w:rsidRPr="00BB3966">
          <w:rPr>
            <w:rStyle w:val="Hyperlink"/>
            <w:sz w:val="22"/>
          </w:rPr>
          <w:t>http://www.scew.gov.au/sites/www.scew.gov.au/files/resources/023a5607-0964-47e0-92cd-78fc0e6bb14e/files/hyder-end-life-tyres.pdf</w:t>
        </w:r>
      </w:hyperlink>
    </w:p>
    <w:p w:rsidR="008C6864" w:rsidRPr="00C66550" w:rsidRDefault="008C6864" w:rsidP="00CF2701">
      <w:pPr>
        <w:spacing w:before="80" w:line="240" w:lineRule="auto"/>
        <w:rPr>
          <w:rFonts w:cs="Times New Roman"/>
          <w:color w:val="000000"/>
          <w:sz w:val="22"/>
          <w:lang w:eastAsia="en-AU"/>
        </w:rPr>
      </w:pPr>
      <w:r w:rsidRPr="00C66550">
        <w:rPr>
          <w:color w:val="080808"/>
          <w:sz w:val="22"/>
        </w:rPr>
        <w:t xml:space="preserve">McGregor Tan Research (2010) </w:t>
      </w:r>
      <w:r w:rsidRPr="00C66550">
        <w:rPr>
          <w:i/>
          <w:iCs/>
          <w:color w:val="080808"/>
          <w:sz w:val="22"/>
        </w:rPr>
        <w:t>National Litter Index : Annual Report 2009/2010</w:t>
      </w:r>
      <w:r w:rsidRPr="00C66550">
        <w:rPr>
          <w:color w:val="080808"/>
          <w:sz w:val="22"/>
        </w:rPr>
        <w:t xml:space="preserve">, prepared for Keep Australia Beautiful National Association, July, available from </w:t>
      </w:r>
      <w:hyperlink r:id="rId196" w:history="1">
        <w:r w:rsidRPr="00C66550">
          <w:rPr>
            <w:color w:val="0000FF"/>
            <w:sz w:val="22"/>
            <w:u w:val="single"/>
          </w:rPr>
          <w:t>http://www.kab.org.au/litter-research/what-we-do/national-litter-index/</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Ministry for the Environment (NZ, 2007) </w:t>
      </w:r>
      <w:r w:rsidRPr="00C66550">
        <w:rPr>
          <w:rFonts w:cs="Times New Roman"/>
          <w:i/>
          <w:iCs/>
          <w:color w:val="000000"/>
          <w:sz w:val="22"/>
          <w:lang w:eastAsia="en-AU"/>
        </w:rPr>
        <w:t>Environment New Zealand 2007, chapter 6, Waste,</w:t>
      </w:r>
      <w:r w:rsidRPr="00C66550">
        <w:rPr>
          <w:rFonts w:cs="Times New Roman"/>
          <w:color w:val="000000"/>
          <w:sz w:val="22"/>
          <w:lang w:eastAsia="en-AU"/>
        </w:rPr>
        <w:t xml:space="preserve"> available from: </w:t>
      </w:r>
      <w:hyperlink r:id="rId197" w:history="1">
        <w:r w:rsidRPr="00C66550">
          <w:rPr>
            <w:rFonts w:cs="Times New Roman"/>
            <w:color w:val="0000FF"/>
            <w:sz w:val="22"/>
            <w:u w:val="single"/>
            <w:lang w:eastAsia="en-AU"/>
          </w:rPr>
          <w:t>http://www.mfe.govt.nz/publications/ser/enz07-dec07/</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NEPC (National Environment Protection Council 2011) </w:t>
      </w:r>
      <w:r w:rsidRPr="00C66550">
        <w:rPr>
          <w:rFonts w:cs="Times New Roman"/>
          <w:i/>
          <w:iCs/>
          <w:color w:val="000000"/>
          <w:sz w:val="22"/>
          <w:lang w:eastAsia="en-AU"/>
        </w:rPr>
        <w:t>NEPC Report on the implementation of the Used Packaging Materials NEPM,</w:t>
      </w:r>
      <w:r w:rsidRPr="00C66550">
        <w:rPr>
          <w:rFonts w:cs="Times New Roman"/>
          <w:color w:val="000000"/>
          <w:sz w:val="22"/>
          <w:lang w:eastAsia="en-AU"/>
        </w:rPr>
        <w:t xml:space="preserve"> available from: </w:t>
      </w:r>
      <w:hyperlink r:id="rId198" w:history="1">
        <w:r w:rsidRPr="00C66550">
          <w:rPr>
            <w:rFonts w:cs="Times New Roman"/>
            <w:color w:val="0000FF"/>
            <w:sz w:val="22"/>
            <w:u w:val="single"/>
            <w:lang w:eastAsia="en-AU"/>
          </w:rPr>
          <w:t>http://www.scew.gov.au/publications/annual-report/index.html</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lastRenderedPageBreak/>
        <w:t xml:space="preserve">OEH (NSW Office of Environment and Heritage, Department of Premier and Cabinet 2011) </w:t>
      </w:r>
      <w:r w:rsidRPr="00C66550">
        <w:rPr>
          <w:rFonts w:cs="Times New Roman"/>
          <w:i/>
          <w:iCs/>
          <w:color w:val="000000"/>
          <w:sz w:val="22"/>
          <w:lang w:eastAsia="en-AU"/>
        </w:rPr>
        <w:t>Domestic waste and kerbside recycling in NSW - Report on the results of waste audits of household kerbside collection systems 2007-2008,</w:t>
      </w:r>
      <w:r w:rsidRPr="00C66550">
        <w:rPr>
          <w:rFonts w:cs="Times New Roman"/>
          <w:color w:val="000000"/>
          <w:sz w:val="22"/>
          <w:lang w:eastAsia="en-AU"/>
        </w:rPr>
        <w:t xml:space="preserve"> available from: </w:t>
      </w:r>
      <w:hyperlink r:id="rId199" w:history="1">
        <w:r w:rsidRPr="00C66550">
          <w:rPr>
            <w:rFonts w:cs="Times New Roman"/>
            <w:color w:val="0000FF"/>
            <w:sz w:val="22"/>
            <w:u w:val="single"/>
            <w:lang w:eastAsia="en-AU"/>
          </w:rPr>
          <w:t>http://www.environment.nsw.gov.au/sustainbus/SustainabilityData.htm</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OEH (NSW Office of Environment and Heritage, Department of Premier and Cabinet, 2012) </w:t>
      </w:r>
      <w:r w:rsidRPr="00C66550">
        <w:rPr>
          <w:rFonts w:cs="Times New Roman"/>
          <w:i/>
          <w:iCs/>
          <w:color w:val="000000"/>
          <w:sz w:val="22"/>
          <w:lang w:eastAsia="en-AU"/>
        </w:rPr>
        <w:t>NSW Local Government Waste and Resource Recovery Data Report as reported by councils 2009-10,</w:t>
      </w:r>
      <w:r w:rsidRPr="00C66550">
        <w:rPr>
          <w:rFonts w:cs="Times New Roman"/>
          <w:color w:val="000000"/>
          <w:sz w:val="22"/>
          <w:lang w:eastAsia="en-AU"/>
        </w:rPr>
        <w:t xml:space="preserve"> available from: </w:t>
      </w:r>
      <w:hyperlink r:id="rId200" w:history="1">
        <w:r w:rsidRPr="00C66550">
          <w:rPr>
            <w:rFonts w:cs="Times New Roman"/>
            <w:color w:val="0000FF"/>
            <w:sz w:val="22"/>
            <w:u w:val="single"/>
            <w:lang w:eastAsia="en-AU"/>
          </w:rPr>
          <w:t>http://www.environment.nsw.gov.au/resources/warr/1264LGWARR0910.pdf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O'Farrell K, SRU Consulting (2013) Email to Joe Pickin of the project team dated 9 January containing data from a recently completed study for DSEWPaC</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PACIA (Plastics and Chemicals Industry Association 2008) </w:t>
      </w:r>
      <w:r w:rsidRPr="00C66550">
        <w:rPr>
          <w:rFonts w:cs="Times New Roman"/>
          <w:i/>
          <w:iCs/>
          <w:color w:val="000000"/>
          <w:sz w:val="22"/>
          <w:lang w:eastAsia="en-AU"/>
        </w:rPr>
        <w:t>PACIA 2008 National Plastics Recycling Survey,</w:t>
      </w:r>
      <w:r w:rsidRPr="00C66550">
        <w:rPr>
          <w:rFonts w:cs="Times New Roman"/>
          <w:color w:val="000000"/>
          <w:sz w:val="22"/>
          <w:lang w:eastAsia="en-AU"/>
        </w:rPr>
        <w:t xml:space="preserve"> prepared by Hyder Consulting, available from: </w:t>
      </w:r>
      <w:hyperlink r:id="rId201" w:history="1">
        <w:r w:rsidRPr="00C66550">
          <w:rPr>
            <w:rFonts w:cs="Times New Roman"/>
            <w:color w:val="0000FF"/>
            <w:sz w:val="22"/>
            <w:u w:val="single"/>
            <w:lang w:eastAsia="en-AU"/>
          </w:rPr>
          <w:t>http://www.pacia.org.au/reports/plasticsrecyclingsurveyarchive</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PACIA (Plastics and Chemicals Industry Association 2010) </w:t>
      </w:r>
      <w:r w:rsidRPr="00C66550">
        <w:rPr>
          <w:rFonts w:cs="Times New Roman"/>
          <w:i/>
          <w:iCs/>
          <w:color w:val="000000"/>
          <w:sz w:val="22"/>
          <w:lang w:eastAsia="en-AU"/>
        </w:rPr>
        <w:t>PACIA 2010 National Plastics Recycling Survey,</w:t>
      </w:r>
      <w:r w:rsidRPr="00C66550">
        <w:rPr>
          <w:rFonts w:cs="Times New Roman"/>
          <w:color w:val="000000"/>
          <w:sz w:val="22"/>
          <w:lang w:eastAsia="en-AU"/>
        </w:rPr>
        <w:t xml:space="preserve"> prepared by Hyder Consulting, available from: </w:t>
      </w:r>
      <w:hyperlink r:id="rId202" w:history="1">
        <w:r w:rsidRPr="00C66550">
          <w:rPr>
            <w:rFonts w:cs="Times New Roman"/>
            <w:color w:val="0000FF"/>
            <w:sz w:val="22"/>
            <w:u w:val="single"/>
            <w:lang w:eastAsia="en-AU"/>
          </w:rPr>
          <w:t>http://www.pacia.org.au/reports/plasticsrecyclingsurveyarchive</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PACIA (Plastics and Chemicals Industry Association 2011) </w:t>
      </w:r>
      <w:r w:rsidRPr="00C66550">
        <w:rPr>
          <w:rFonts w:cs="Times New Roman"/>
          <w:i/>
          <w:iCs/>
          <w:color w:val="000000"/>
          <w:sz w:val="22"/>
          <w:lang w:eastAsia="en-AU"/>
        </w:rPr>
        <w:t>PACIA 2011 National Plastics Recycling Survey,</w:t>
      </w:r>
      <w:r w:rsidRPr="00C66550">
        <w:rPr>
          <w:rFonts w:cs="Times New Roman"/>
          <w:color w:val="000000"/>
          <w:sz w:val="22"/>
          <w:lang w:eastAsia="en-AU"/>
        </w:rPr>
        <w:t xml:space="preserve"> prepared by SRU, available from: </w:t>
      </w:r>
      <w:hyperlink r:id="rId203" w:history="1">
        <w:r w:rsidRPr="00C66550">
          <w:rPr>
            <w:rFonts w:cs="Times New Roman"/>
            <w:color w:val="0000FF"/>
            <w:sz w:val="22"/>
            <w:u w:val="single"/>
            <w:lang w:eastAsia="en-AU"/>
          </w:rPr>
          <w:t>http://www.pacia.org.au/reports/plasticsrecyclingsurvey</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Population data sources (2013): OECD http://stats.oecd.org/index.aspx?r=389695; US </w:t>
      </w:r>
      <w:hyperlink r:id="rId204" w:history="1">
        <w:r w:rsidRPr="00C66550">
          <w:rPr>
            <w:rFonts w:cs="Times New Roman"/>
            <w:color w:val="0000FF"/>
            <w:sz w:val="22"/>
            <w:u w:val="single"/>
            <w:lang w:eastAsia="en-AU"/>
          </w:rPr>
          <w:t>http://factfinder2.census.gov/faces/tableservices/jsf/pages/productview.xhtml?pid=ACS_11_1YR_B01003&amp;prodType=table</w:t>
        </w:r>
      </w:hyperlink>
      <w:r w:rsidRPr="00C66550">
        <w:rPr>
          <w:rFonts w:cs="Times New Roman"/>
          <w:color w:val="000000"/>
          <w:sz w:val="22"/>
          <w:lang w:eastAsia="en-AU"/>
        </w:rPr>
        <w:t xml:space="preserve">; UK </w:t>
      </w:r>
      <w:hyperlink r:id="rId205" w:history="1">
        <w:r w:rsidRPr="00C66550">
          <w:rPr>
            <w:rFonts w:cs="Times New Roman"/>
            <w:color w:val="0000FF"/>
            <w:sz w:val="22"/>
            <w:u w:val="single"/>
            <w:lang w:eastAsia="en-AU"/>
          </w:rPr>
          <w:t>http://www.ons.gov.uk/ons/dcp171778_292378.pdf</w:t>
        </w:r>
      </w:hyperlink>
      <w:r w:rsidRPr="00C66550">
        <w:rPr>
          <w:rFonts w:cs="Times New Roman"/>
          <w:color w:val="000000"/>
          <w:sz w:val="22"/>
          <w:lang w:eastAsia="en-AU"/>
        </w:rPr>
        <w:t xml:space="preserve">; EU </w:t>
      </w:r>
      <w:hyperlink r:id="rId206" w:history="1">
        <w:r w:rsidRPr="00C66550">
          <w:rPr>
            <w:rFonts w:cs="Times New Roman"/>
            <w:color w:val="0000FF"/>
            <w:sz w:val="22"/>
            <w:u w:val="single"/>
            <w:lang w:eastAsia="en-AU"/>
          </w:rPr>
          <w:t>http://epp.eurostat.ec.europa.eu/cache/ITY_PUBLIC/3-28072011-AP/EN/3-28072011-AP-EN.PDF</w:t>
        </w:r>
      </w:hyperlink>
      <w:r w:rsidRPr="00C66550">
        <w:rPr>
          <w:rFonts w:cs="Times New Roman"/>
          <w:color w:val="000000"/>
          <w:sz w:val="22"/>
          <w:lang w:eastAsia="en-AU"/>
        </w:rPr>
        <w:t xml:space="preserve">; Canada </w:t>
      </w:r>
      <w:hyperlink r:id="rId207" w:history="1">
        <w:r w:rsidRPr="00C66550">
          <w:rPr>
            <w:rFonts w:cs="Times New Roman"/>
            <w:color w:val="0000FF"/>
            <w:sz w:val="22"/>
            <w:u w:val="single"/>
            <w:lang w:eastAsia="en-AU"/>
          </w:rPr>
          <w:t>http://www12.statcan.gc.ca/census-recensement/2011/as-sa/98-310-x/98-310-x2011001-eng.cfm</w:t>
        </w:r>
      </w:hyperlink>
      <w:r w:rsidRPr="00C66550">
        <w:rPr>
          <w:rFonts w:cs="Times New Roman"/>
          <w:color w:val="000000"/>
          <w:sz w:val="22"/>
          <w:lang w:eastAsia="en-AU"/>
        </w:rPr>
        <w:t xml:space="preserve">; Germany </w:t>
      </w:r>
      <w:hyperlink r:id="rId208" w:history="1">
        <w:r w:rsidRPr="00C66550">
          <w:rPr>
            <w:rFonts w:cs="Times New Roman"/>
            <w:color w:val="0000FF"/>
            <w:sz w:val="22"/>
            <w:u w:val="single"/>
            <w:lang w:eastAsia="en-AU"/>
          </w:rPr>
          <w:t>https://www.destatis.de/EN/FactsFigures/SocietyState/Population/CurrentPopulation/CurrentPopulation.html</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ResourceCo (2012) </w:t>
      </w:r>
      <w:r w:rsidRPr="00C66550">
        <w:rPr>
          <w:rFonts w:cs="Times New Roman"/>
          <w:i/>
          <w:iCs/>
          <w:color w:val="000000"/>
          <w:sz w:val="22"/>
          <w:lang w:eastAsia="en-AU"/>
        </w:rPr>
        <w:t>Full Circle,</w:t>
      </w:r>
      <w:r w:rsidRPr="00C66550">
        <w:rPr>
          <w:rFonts w:cs="Times New Roman"/>
          <w:color w:val="000000"/>
          <w:sz w:val="22"/>
          <w:lang w:eastAsia="en-AU"/>
        </w:rPr>
        <w:t xml:space="preserve"> Issue 3, Winter, available from: </w:t>
      </w:r>
      <w:hyperlink r:id="rId209" w:history="1">
        <w:r w:rsidRPr="00C66550">
          <w:rPr>
            <w:rFonts w:cs="Times New Roman"/>
            <w:color w:val="0000FF"/>
            <w:sz w:val="22"/>
            <w:u w:val="single"/>
            <w:lang w:eastAsia="en-AU"/>
          </w:rPr>
          <w:t>http://www.resourceco.com.au/about-us/publications/full-circle-newsletters.html</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ROU (Recycled Organics Unit 2007) </w:t>
      </w:r>
      <w:r w:rsidRPr="00C66550">
        <w:rPr>
          <w:rFonts w:cs="Times New Roman"/>
          <w:i/>
          <w:iCs/>
          <w:color w:val="000000"/>
          <w:sz w:val="22"/>
          <w:lang w:eastAsia="en-AU"/>
        </w:rPr>
        <w:t xml:space="preserve">Organics Recycling in Australia Industry Statistics 2007, </w:t>
      </w:r>
      <w:r w:rsidRPr="00C66550">
        <w:rPr>
          <w:rFonts w:cs="Times New Roman"/>
          <w:color w:val="000000"/>
          <w:sz w:val="22"/>
          <w:lang w:eastAsia="en-AU"/>
        </w:rPr>
        <w:t xml:space="preserve">available from: </w:t>
      </w:r>
      <w:hyperlink r:id="rId210" w:anchor="survey" w:history="1">
        <w:r w:rsidRPr="00C66550">
          <w:rPr>
            <w:rFonts w:cs="Times New Roman"/>
            <w:color w:val="0000FF"/>
            <w:sz w:val="22"/>
            <w:u w:val="single"/>
            <w:lang w:eastAsia="en-AU"/>
          </w:rPr>
          <w:t>http://www.recycledorganics.com/publications/index.htm#survey</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ROU (Recycled Organics Unit 2008) </w:t>
      </w:r>
      <w:r w:rsidRPr="00C66550">
        <w:rPr>
          <w:rFonts w:cs="Times New Roman"/>
          <w:i/>
          <w:iCs/>
          <w:color w:val="000000"/>
          <w:sz w:val="22"/>
          <w:lang w:eastAsia="en-AU"/>
        </w:rPr>
        <w:t xml:space="preserve">Organics Recycling in Australia Industry Statistics 2009, </w:t>
      </w:r>
      <w:r w:rsidRPr="00C66550">
        <w:rPr>
          <w:rFonts w:cs="Times New Roman"/>
          <w:color w:val="000000"/>
          <w:sz w:val="22"/>
          <w:lang w:eastAsia="en-AU"/>
        </w:rPr>
        <w:t xml:space="preserve">available from: </w:t>
      </w:r>
      <w:hyperlink r:id="rId211" w:anchor="survey" w:history="1">
        <w:r w:rsidRPr="00C66550">
          <w:rPr>
            <w:rFonts w:cs="Times New Roman"/>
            <w:color w:val="0000FF"/>
            <w:sz w:val="22"/>
            <w:u w:val="single"/>
            <w:lang w:eastAsia="en-AU"/>
          </w:rPr>
          <w:t>http://www.recycledorganics.com/publications/index.htm#survey</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ROU (Recycled Organics Unit 2009) </w:t>
      </w:r>
      <w:r w:rsidRPr="00C66550">
        <w:rPr>
          <w:rFonts w:cs="Times New Roman"/>
          <w:i/>
          <w:iCs/>
          <w:color w:val="000000"/>
          <w:sz w:val="22"/>
          <w:lang w:eastAsia="en-AU"/>
        </w:rPr>
        <w:t xml:space="preserve">Organics Recycling in Australia Industry Statistics 2009, </w:t>
      </w:r>
      <w:r w:rsidRPr="00C66550">
        <w:rPr>
          <w:rFonts w:cs="Times New Roman"/>
          <w:color w:val="000000"/>
          <w:sz w:val="22"/>
          <w:lang w:eastAsia="en-AU"/>
        </w:rPr>
        <w:t xml:space="preserve">available from: </w:t>
      </w:r>
      <w:hyperlink r:id="rId212" w:anchor="survey" w:history="1">
        <w:r w:rsidRPr="00C66550">
          <w:rPr>
            <w:rFonts w:cs="Times New Roman"/>
            <w:color w:val="0000FF"/>
            <w:sz w:val="22"/>
            <w:u w:val="single"/>
            <w:lang w:eastAsia="en-AU"/>
          </w:rPr>
          <w:t>http://www.recycledorganics.com/publications/index.htm#survey</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ROU (Recycled Organics Unit 2010) </w:t>
      </w:r>
      <w:r w:rsidRPr="00C66550">
        <w:rPr>
          <w:rFonts w:cs="Times New Roman"/>
          <w:i/>
          <w:iCs/>
          <w:color w:val="000000"/>
          <w:sz w:val="22"/>
          <w:lang w:eastAsia="en-AU"/>
        </w:rPr>
        <w:t xml:space="preserve">Organics Recycling in Australia Industry Statistics 2010, </w:t>
      </w:r>
      <w:r w:rsidRPr="00C66550">
        <w:rPr>
          <w:rFonts w:cs="Times New Roman"/>
          <w:color w:val="000000"/>
          <w:sz w:val="22"/>
          <w:lang w:eastAsia="en-AU"/>
        </w:rPr>
        <w:t xml:space="preserve">available from: </w:t>
      </w:r>
      <w:hyperlink r:id="rId213" w:anchor="survey" w:history="1">
        <w:r w:rsidRPr="00C66550">
          <w:rPr>
            <w:rFonts w:cs="Times New Roman"/>
            <w:color w:val="0000FF"/>
            <w:sz w:val="22"/>
            <w:u w:val="single"/>
            <w:lang w:eastAsia="en-AU"/>
          </w:rPr>
          <w:t>http://www.recycledorganics.com/publications/index.htm#survey</w:t>
        </w:r>
      </w:hyperlink>
      <w:r w:rsidRPr="00C66550">
        <w:rPr>
          <w:rFonts w:cs="Times New Roman"/>
          <w:color w:val="000000"/>
          <w:sz w:val="22"/>
          <w:lang w:eastAsia="en-AU"/>
        </w:rPr>
        <w:t xml:space="preserve"> </w:t>
      </w:r>
    </w:p>
    <w:p w:rsidR="008C6864" w:rsidRPr="00C66550" w:rsidRDefault="008C6864" w:rsidP="00CF2701">
      <w:pPr>
        <w:spacing w:before="80" w:line="240" w:lineRule="auto"/>
        <w:rPr>
          <w:sz w:val="22"/>
        </w:rPr>
      </w:pPr>
      <w:r w:rsidRPr="00C66550">
        <w:rPr>
          <w:rFonts w:cs="Times New Roman"/>
          <w:color w:val="000000"/>
          <w:sz w:val="22"/>
          <w:lang w:eastAsia="en-AU"/>
        </w:rPr>
        <w:t>Serpo</w:t>
      </w:r>
      <w:r w:rsidRPr="00C66550">
        <w:rPr>
          <w:sz w:val="22"/>
        </w:rPr>
        <w:t xml:space="preserve"> A (2013) EarthPower rebirth an Aussie first, </w:t>
      </w:r>
      <w:r w:rsidRPr="00C66550">
        <w:rPr>
          <w:i/>
          <w:iCs/>
          <w:sz w:val="22"/>
        </w:rPr>
        <w:t>Inside Waste</w:t>
      </w:r>
      <w:r w:rsidRPr="00C66550">
        <w:rPr>
          <w:sz w:val="22"/>
        </w:rPr>
        <w:t xml:space="preserve"> June p.22</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South Australia Environment Protection (Waste to Resources) Policy 2010</w:t>
      </w:r>
    </w:p>
    <w:p w:rsidR="008C6864"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Statistics Canada (2012) </w:t>
      </w:r>
      <w:r w:rsidRPr="00C66550">
        <w:rPr>
          <w:rFonts w:cs="Times New Roman"/>
          <w:i/>
          <w:iCs/>
          <w:color w:val="000000"/>
          <w:sz w:val="22"/>
          <w:lang w:eastAsia="en-AU"/>
        </w:rPr>
        <w:t xml:space="preserve">Human Activity and the Environment - Waste Management in Canada, 2012 - Updated, </w:t>
      </w:r>
      <w:r w:rsidRPr="00C66550">
        <w:rPr>
          <w:rFonts w:cs="Times New Roman"/>
          <w:color w:val="000000"/>
          <w:sz w:val="22"/>
          <w:lang w:eastAsia="en-AU"/>
        </w:rPr>
        <w:t xml:space="preserve">available from: </w:t>
      </w:r>
      <w:hyperlink r:id="rId214" w:history="1">
        <w:r w:rsidRPr="00C66550">
          <w:rPr>
            <w:rFonts w:cs="Times New Roman"/>
            <w:color w:val="0000FF"/>
            <w:sz w:val="22"/>
            <w:u w:val="single"/>
            <w:lang w:eastAsia="en-AU"/>
          </w:rPr>
          <w:t>http://www.statcan.gc.ca/pub/16-201-x/16-201-x2012000-eng.pdf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Statistische Amter des Bundes und der Lande (Germany) (2012) </w:t>
      </w:r>
      <w:r w:rsidRPr="00C66550">
        <w:rPr>
          <w:rFonts w:cs="Times New Roman"/>
          <w:i/>
          <w:iCs/>
          <w:color w:val="000000"/>
          <w:sz w:val="22"/>
          <w:lang w:eastAsia="en-AU"/>
        </w:rPr>
        <w:t xml:space="preserve">Environment - Disposal of Wastes in 2010, by Waste Category, </w:t>
      </w:r>
      <w:r w:rsidRPr="00C66550">
        <w:rPr>
          <w:rFonts w:cs="Times New Roman"/>
          <w:color w:val="000000"/>
          <w:sz w:val="22"/>
          <w:lang w:eastAsia="en-AU"/>
        </w:rPr>
        <w:t xml:space="preserve">available from: </w:t>
      </w:r>
      <w:hyperlink r:id="rId215" w:history="1">
        <w:r w:rsidRPr="00C66550">
          <w:rPr>
            <w:rFonts w:cs="Times New Roman"/>
            <w:color w:val="0000FF"/>
            <w:sz w:val="22"/>
            <w:u w:val="single"/>
            <w:lang w:eastAsia="en-AU"/>
          </w:rPr>
          <w:t>http://www.statistik-portal.de/Statistik-Portal/en/en_jb10_jahrtabu12.asp</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Sustainability Victoria (2011) 2009/10 Local Government Annual Survey, November, available from: </w:t>
      </w:r>
      <w:hyperlink r:id="rId216" w:history="1">
        <w:r w:rsidRPr="00C66550">
          <w:rPr>
            <w:rFonts w:cs="Times New Roman"/>
            <w:color w:val="0000FF"/>
            <w:sz w:val="22"/>
            <w:u w:val="single"/>
            <w:lang w:eastAsia="en-AU"/>
          </w:rPr>
          <w:t>http://www.sustainability.vic.gov.au/www/html/1825-publications---i-l.asp?intSiteID=4</w:t>
        </w:r>
      </w:hyperlink>
      <w:r w:rsidRPr="00C66550">
        <w:rPr>
          <w:rFonts w:cs="Times New Roman"/>
          <w:color w:val="000000"/>
          <w:sz w:val="22"/>
          <w:lang w:eastAsia="en-AU"/>
        </w:rPr>
        <w:t xml:space="preserve"> </w:t>
      </w:r>
    </w:p>
    <w:p w:rsidR="008C6864" w:rsidRPr="00C66550" w:rsidRDefault="008C6864" w:rsidP="00CF2701">
      <w:pPr>
        <w:pStyle w:val="BodyText"/>
        <w:spacing w:before="80"/>
      </w:pPr>
      <w:r w:rsidRPr="00C66550">
        <w:lastRenderedPageBreak/>
        <w:t xml:space="preserve">UNEP (United Nations Environment Program &amp; United Nations University 2009) </w:t>
      </w:r>
      <w:r w:rsidRPr="00C66550">
        <w:rPr>
          <w:i/>
        </w:rPr>
        <w:t xml:space="preserve">Sustainable Innovation and Technology Transfer Industrial Sector Studies Recycling from e-waste to resources July 2009, </w:t>
      </w:r>
      <w:r w:rsidRPr="00C66550">
        <w:t xml:space="preserve">available from </w:t>
      </w:r>
      <w:hyperlink r:id="rId217" w:history="1">
        <w:r w:rsidRPr="00C66550">
          <w:rPr>
            <w:rStyle w:val="Hyperlink"/>
          </w:rPr>
          <w:t>http://www.unep.org/PDF/PressReleases/E-Waste_publication_screen_FINALVERSION-sml.pdf</w:t>
        </w:r>
      </w:hyperlink>
    </w:p>
    <w:p w:rsidR="00642B3C" w:rsidRPr="00642B3C" w:rsidRDefault="00642B3C" w:rsidP="00CF2701">
      <w:pPr>
        <w:spacing w:before="80" w:line="240" w:lineRule="auto"/>
        <w:rPr>
          <w:rFonts w:asciiTheme="minorHAnsi" w:hAnsiTheme="minorHAnsi" w:cs="Times New Roman"/>
          <w:color w:val="000000"/>
          <w:sz w:val="22"/>
          <w:lang w:eastAsia="en-GB"/>
        </w:rPr>
      </w:pPr>
      <w:r w:rsidRPr="00642B3C">
        <w:rPr>
          <w:rFonts w:asciiTheme="minorHAnsi" w:hAnsiTheme="minorHAnsi" w:cs="Times New Roman"/>
          <w:color w:val="000000"/>
          <w:sz w:val="22"/>
          <w:lang w:eastAsia="en-GB"/>
        </w:rPr>
        <w:t xml:space="preserve">US EPA (2003) Estimating Building Related Construction and Demolition Materials Amounts available: </w:t>
      </w:r>
      <w:hyperlink r:id="rId218" w:history="1">
        <w:r w:rsidRPr="00642B3C">
          <w:rPr>
            <w:rFonts w:asciiTheme="minorHAnsi" w:hAnsiTheme="minorHAnsi"/>
            <w:color w:val="0000FF"/>
            <w:sz w:val="22"/>
            <w:u w:val="single"/>
          </w:rPr>
          <w:t>http://www.epa.gov/epawaste/conserve/imr/cdm/pubs/cd-meas.pdf</w:t>
        </w:r>
      </w:hyperlink>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US EPA (United States Environmental Protection Agency 2011) </w:t>
      </w:r>
      <w:r w:rsidRPr="00C66550">
        <w:rPr>
          <w:rFonts w:cs="Times New Roman"/>
          <w:i/>
          <w:iCs/>
          <w:color w:val="000000"/>
          <w:sz w:val="22"/>
          <w:lang w:eastAsia="en-AU"/>
        </w:rPr>
        <w:t>Municipal Solid Waste Generation, Recycling, and Disposal in the United States, Tables and Figures for 2010</w:t>
      </w:r>
      <w:r w:rsidRPr="00C66550">
        <w:rPr>
          <w:rFonts w:cs="Times New Roman"/>
          <w:color w:val="000000"/>
          <w:sz w:val="22"/>
          <w:lang w:eastAsia="en-AU"/>
        </w:rPr>
        <w:t xml:space="preserve">, December, available from: </w:t>
      </w:r>
      <w:hyperlink r:id="rId219" w:history="1">
        <w:r w:rsidRPr="00C66550">
          <w:rPr>
            <w:rFonts w:cs="Times New Roman"/>
            <w:color w:val="0000FF"/>
            <w:sz w:val="22"/>
            <w:u w:val="single"/>
            <w:lang w:eastAsia="en-AU"/>
          </w:rPr>
          <w:t>http://www.epa.gov/epawaste/nonhaz/municipal/pubs/2010_MSW_Tables_and_Figures_508.pdf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Waste Audit and Consultancy Services and Golder Associates (2007) </w:t>
      </w:r>
      <w:r w:rsidRPr="00C66550">
        <w:rPr>
          <w:rFonts w:cs="Times New Roman"/>
          <w:i/>
          <w:iCs/>
          <w:color w:val="000000"/>
          <w:sz w:val="22"/>
          <w:lang w:eastAsia="en-AU"/>
        </w:rPr>
        <w:t>Disposal Based Audits of the C&amp;I and the C&amp;D Waste Streams,</w:t>
      </w:r>
      <w:r w:rsidRPr="00C66550">
        <w:rPr>
          <w:rFonts w:cs="Times New Roman"/>
          <w:color w:val="000000"/>
          <w:sz w:val="22"/>
          <w:lang w:eastAsia="en-AU"/>
        </w:rPr>
        <w:t xml:space="preserve"> prepared for the Department of Environment and Conservation WA, available from: </w:t>
      </w:r>
      <w:hyperlink r:id="rId220" w:history="1">
        <w:r w:rsidRPr="00C66550">
          <w:rPr>
            <w:rFonts w:cs="Times New Roman"/>
            <w:color w:val="0000FF"/>
            <w:sz w:val="22"/>
            <w:u w:val="single"/>
            <w:lang w:eastAsia="en-AU"/>
          </w:rPr>
          <w:t>http://www.zerowaste.wa.gov.au/media/files/documents/zwpds_phase1_0607.pdf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Waste Authority (2008) Review of Total </w:t>
      </w:r>
      <w:r w:rsidRPr="00C66550">
        <w:rPr>
          <w:rFonts w:cs="Times New Roman"/>
          <w:i/>
          <w:iCs/>
          <w:color w:val="000000"/>
          <w:sz w:val="22"/>
          <w:lang w:eastAsia="en-AU"/>
        </w:rPr>
        <w:t xml:space="preserve">Recycling Activity in Western Australia 2006-07, </w:t>
      </w:r>
      <w:r w:rsidRPr="00C66550">
        <w:rPr>
          <w:rFonts w:cs="Times New Roman"/>
          <w:color w:val="000000"/>
          <w:sz w:val="22"/>
          <w:lang w:eastAsia="en-AU"/>
        </w:rPr>
        <w:t xml:space="preserve">prepared by Cardno, available from: </w:t>
      </w:r>
      <w:hyperlink r:id="rId221" w:history="1">
        <w:r w:rsidRPr="00C66550">
          <w:rPr>
            <w:rFonts w:cs="Times New Roman"/>
            <w:color w:val="0000FF"/>
            <w:sz w:val="22"/>
            <w:u w:val="single"/>
            <w:lang w:eastAsia="en-AU"/>
          </w:rPr>
          <w:t>http://www.wasteauthority.wa.gov.au/resources/category/report</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Waste Authority (2009) </w:t>
      </w:r>
      <w:r w:rsidRPr="00C66550">
        <w:rPr>
          <w:rFonts w:cs="Times New Roman"/>
          <w:i/>
          <w:iCs/>
          <w:color w:val="000000"/>
          <w:sz w:val="22"/>
          <w:lang w:eastAsia="en-AU"/>
        </w:rPr>
        <w:t xml:space="preserve">Recycling Activity in Western Australia 2009-10, </w:t>
      </w:r>
      <w:r w:rsidRPr="00C66550">
        <w:rPr>
          <w:rFonts w:cs="Times New Roman"/>
          <w:color w:val="000000"/>
          <w:sz w:val="22"/>
          <w:lang w:eastAsia="en-AU"/>
        </w:rPr>
        <w:t xml:space="preserve">prepared by Hyder Consulting, available from: </w:t>
      </w:r>
      <w:hyperlink r:id="rId222" w:history="1">
        <w:r w:rsidRPr="00C66550">
          <w:rPr>
            <w:rFonts w:cs="Times New Roman"/>
            <w:color w:val="0000FF"/>
            <w:sz w:val="22"/>
            <w:u w:val="single"/>
            <w:lang w:eastAsia="en-AU"/>
          </w:rPr>
          <w:t>http://www.wasteauthority.wa.gov.au/resources/category/report</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Waste Authority (2010) </w:t>
      </w:r>
      <w:r w:rsidRPr="00C66550">
        <w:rPr>
          <w:rFonts w:cs="Times New Roman"/>
          <w:i/>
          <w:iCs/>
          <w:color w:val="000000"/>
          <w:sz w:val="22"/>
          <w:lang w:eastAsia="en-AU"/>
        </w:rPr>
        <w:t xml:space="preserve">Recycling Activity in Western Australia 2007-08 and 2008-09, </w:t>
      </w:r>
      <w:r w:rsidRPr="00C66550">
        <w:rPr>
          <w:rFonts w:cs="Times New Roman"/>
          <w:color w:val="000000"/>
          <w:sz w:val="22"/>
          <w:lang w:eastAsia="en-AU"/>
        </w:rPr>
        <w:t xml:space="preserve">prepared by Hyder Consulting, available from: </w:t>
      </w:r>
      <w:hyperlink r:id="rId223" w:history="1">
        <w:r w:rsidRPr="00C66550">
          <w:rPr>
            <w:rFonts w:cs="Times New Roman"/>
            <w:color w:val="0000FF"/>
            <w:sz w:val="22"/>
            <w:u w:val="single"/>
            <w:lang w:eastAsia="en-AU"/>
          </w:rPr>
          <w:t>http://www.wasteauthority.wa.gov.au/resources/category/report</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Waste Authority (2012) </w:t>
      </w:r>
      <w:r w:rsidRPr="00C66550">
        <w:rPr>
          <w:rFonts w:cs="Times New Roman"/>
          <w:i/>
          <w:iCs/>
          <w:color w:val="000000"/>
          <w:sz w:val="22"/>
          <w:lang w:eastAsia="en-AU"/>
        </w:rPr>
        <w:t xml:space="preserve">Recycling Activity in Western Australia 2010-11, </w:t>
      </w:r>
      <w:r w:rsidRPr="00C66550">
        <w:rPr>
          <w:rFonts w:cs="Times New Roman"/>
          <w:color w:val="000000"/>
          <w:sz w:val="22"/>
          <w:lang w:eastAsia="en-AU"/>
        </w:rPr>
        <w:t>prepared by Hyder Consulting.</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Western Australian Waste Authority (2010b) </w:t>
      </w:r>
      <w:r w:rsidRPr="00C66550">
        <w:rPr>
          <w:rFonts w:cs="Times New Roman"/>
          <w:i/>
          <w:color w:val="000000"/>
          <w:sz w:val="22"/>
          <w:lang w:eastAsia="en-AU"/>
        </w:rPr>
        <w:t>Waste Strategy for Western Australia March 2010</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WMAA (Waste Management Association of Australia 2008) </w:t>
      </w:r>
      <w:r w:rsidRPr="00C66550">
        <w:rPr>
          <w:rFonts w:cs="Times New Roman"/>
          <w:i/>
          <w:iCs/>
          <w:color w:val="000000"/>
          <w:sz w:val="22"/>
          <w:lang w:eastAsia="en-AU"/>
        </w:rPr>
        <w:t>Resource Recovery Industry Survey: Construction &amp; Demolition Sector For the financial year ending 30 June 2007,</w:t>
      </w:r>
      <w:r w:rsidRPr="00C66550">
        <w:rPr>
          <w:rFonts w:cs="Times New Roman"/>
          <w:color w:val="000000"/>
          <w:sz w:val="22"/>
          <w:lang w:eastAsia="en-AU"/>
        </w:rPr>
        <w:t xml:space="preserve"> prepared for DECC (NSW), available from: </w:t>
      </w:r>
      <w:hyperlink r:id="rId224" w:history="1">
        <w:r w:rsidRPr="00C66550">
          <w:rPr>
            <w:rFonts w:cs="Times New Roman"/>
            <w:color w:val="0000FF"/>
            <w:sz w:val="22"/>
            <w:u w:val="single"/>
            <w:lang w:eastAsia="en-AU"/>
          </w:rPr>
          <w:t>http://www.wmaa.asn.au/uploads/documents/RRIS_CDReport_DECC.pdf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sz w:val="22"/>
        </w:rPr>
      </w:pPr>
      <w:r w:rsidRPr="00C66550">
        <w:rPr>
          <w:rFonts w:cs="Times New Roman"/>
          <w:color w:val="000000"/>
          <w:sz w:val="22"/>
          <w:lang w:eastAsia="en-AU"/>
        </w:rPr>
        <w:t>ZWSA</w:t>
      </w:r>
      <w:r w:rsidRPr="00C66550">
        <w:rPr>
          <w:sz w:val="22"/>
        </w:rPr>
        <w:t xml:space="preserve"> (</w:t>
      </w:r>
      <w:r w:rsidR="001D615C" w:rsidRPr="00C66550">
        <w:rPr>
          <w:rFonts w:cs="Times New Roman"/>
          <w:color w:val="000000"/>
          <w:sz w:val="22"/>
          <w:lang w:eastAsia="en-AU"/>
        </w:rPr>
        <w:t xml:space="preserve">Zero Waste South Australia </w:t>
      </w:r>
      <w:r w:rsidRPr="00C66550">
        <w:rPr>
          <w:sz w:val="22"/>
        </w:rPr>
        <w:t xml:space="preserve">Dec 2009) </w:t>
      </w:r>
      <w:r w:rsidRPr="00C66550">
        <w:rPr>
          <w:i/>
          <w:sz w:val="22"/>
        </w:rPr>
        <w:t>ZWSA Food Waste Pilot Kerbside Audit 2008 - 2009 Master Report</w:t>
      </w:r>
      <w:r w:rsidRPr="00C66550">
        <w:rPr>
          <w:sz w:val="22"/>
        </w:rPr>
        <w:t>, prepared by EC Sustainable.</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ZWSA (Zero Waste South Australia 2007a) </w:t>
      </w:r>
      <w:r w:rsidRPr="00C66550">
        <w:rPr>
          <w:rFonts w:cs="Times New Roman"/>
          <w:i/>
          <w:iCs/>
          <w:color w:val="000000"/>
          <w:sz w:val="22"/>
          <w:lang w:eastAsia="en-AU"/>
        </w:rPr>
        <w:t>Recycling Activity Report - SA 2006-07,</w:t>
      </w:r>
      <w:r w:rsidRPr="00C66550">
        <w:rPr>
          <w:rFonts w:cs="Times New Roman"/>
          <w:color w:val="000000"/>
          <w:sz w:val="22"/>
          <w:lang w:eastAsia="en-AU"/>
        </w:rPr>
        <w:t xml:space="preserve"> prepared by Hyder Consulting, available from: </w:t>
      </w:r>
      <w:hyperlink r:id="rId225" w:history="1">
        <w:r w:rsidRPr="00C66550">
          <w:rPr>
            <w:rFonts w:cs="Times New Roman"/>
            <w:color w:val="0000FF"/>
            <w:sz w:val="22"/>
            <w:u w:val="single"/>
            <w:lang w:eastAsia="en-AU"/>
          </w:rPr>
          <w:t>http://www.zerowaste.sa.gov.au/resource-centre/publications/reuse-recovery-and-recycling</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ZWSA (Zero Waste South Australia 2007b) </w:t>
      </w:r>
      <w:r w:rsidRPr="00C66550">
        <w:rPr>
          <w:rFonts w:cs="Times New Roman"/>
          <w:i/>
          <w:iCs/>
          <w:color w:val="000000"/>
          <w:sz w:val="22"/>
          <w:lang w:eastAsia="en-AU"/>
        </w:rPr>
        <w:t>Disposal Based Survey,</w:t>
      </w:r>
      <w:r w:rsidRPr="00C66550">
        <w:rPr>
          <w:rFonts w:cs="Times New Roman"/>
          <w:color w:val="000000"/>
          <w:sz w:val="22"/>
          <w:lang w:eastAsia="en-AU"/>
        </w:rPr>
        <w:t xml:space="preserve"> October/November 2007, prepared by Waste Audit and Consultancy Services, available from: </w:t>
      </w:r>
      <w:hyperlink r:id="rId226" w:history="1">
        <w:r w:rsidRPr="00C66550">
          <w:rPr>
            <w:rFonts w:cs="Times New Roman"/>
            <w:color w:val="0000FF"/>
            <w:sz w:val="22"/>
            <w:u w:val="single"/>
            <w:lang w:eastAsia="en-AU"/>
          </w:rPr>
          <w:t>http://www.zerowaste.sa.gov.au/upload/resources/publications/landfill/Landfill_Audit_2007_1.pdf</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ZWSA (Zero Waste South Australia 2009) </w:t>
      </w:r>
      <w:r w:rsidRPr="00C66550">
        <w:rPr>
          <w:rFonts w:cs="Times New Roman"/>
          <w:i/>
          <w:iCs/>
          <w:color w:val="000000"/>
          <w:sz w:val="22"/>
          <w:lang w:eastAsia="en-AU"/>
        </w:rPr>
        <w:t>Recycling Activity Report - SA 2008-09,</w:t>
      </w:r>
      <w:r w:rsidRPr="00C66550">
        <w:rPr>
          <w:rFonts w:cs="Times New Roman"/>
          <w:color w:val="000000"/>
          <w:sz w:val="22"/>
          <w:lang w:eastAsia="en-AU"/>
        </w:rPr>
        <w:t xml:space="preserve"> prepared by Hyder Consulting, available from: </w:t>
      </w:r>
      <w:hyperlink r:id="rId227" w:history="1">
        <w:r w:rsidRPr="00C66550">
          <w:rPr>
            <w:rFonts w:cs="Times New Roman"/>
            <w:color w:val="0000FF"/>
            <w:sz w:val="22"/>
            <w:u w:val="single"/>
            <w:lang w:eastAsia="en-AU"/>
          </w:rPr>
          <w:t>http://www.zerowaste.sa.gov.au/resource-centre/publications/reuse-recovery-and-recycling</w:t>
        </w:r>
      </w:hyperlink>
      <w:r w:rsidRPr="00C66550">
        <w:rPr>
          <w:rFonts w:cs="Times New Roman"/>
          <w:color w:val="000000"/>
          <w:sz w:val="22"/>
          <w:lang w:eastAsia="en-AU"/>
        </w:rPr>
        <w:t xml:space="preserve"> </w:t>
      </w:r>
    </w:p>
    <w:p w:rsidR="008C6864"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ZWSA (Zero Waste South Australia 2010) </w:t>
      </w:r>
      <w:r w:rsidRPr="00C66550">
        <w:rPr>
          <w:rFonts w:cs="Times New Roman"/>
          <w:i/>
          <w:iCs/>
          <w:color w:val="000000"/>
          <w:sz w:val="22"/>
          <w:lang w:eastAsia="en-AU"/>
        </w:rPr>
        <w:t>Recycling Activity Report - SA 2009-10,</w:t>
      </w:r>
      <w:r w:rsidRPr="00C66550">
        <w:rPr>
          <w:rFonts w:cs="Times New Roman"/>
          <w:color w:val="000000"/>
          <w:sz w:val="22"/>
          <w:lang w:eastAsia="en-AU"/>
        </w:rPr>
        <w:t xml:space="preserve"> prepared by Rawtec in association with InfraPlan, available from: </w:t>
      </w:r>
      <w:hyperlink r:id="rId228" w:history="1">
        <w:r w:rsidRPr="00C66550">
          <w:rPr>
            <w:rFonts w:cs="Times New Roman"/>
            <w:color w:val="0000FF"/>
            <w:sz w:val="22"/>
            <w:u w:val="single"/>
            <w:lang w:eastAsia="en-AU"/>
          </w:rPr>
          <w:t>http://www.zerowaste.sa.gov.au/resource-centre/publications/reuse-recovery-and-recycling</w:t>
        </w:r>
      </w:hyperlink>
      <w:r w:rsidRPr="00C66550">
        <w:rPr>
          <w:rFonts w:cs="Times New Roman"/>
          <w:color w:val="000000"/>
          <w:sz w:val="22"/>
          <w:lang w:eastAsia="en-AU"/>
        </w:rPr>
        <w:t xml:space="preserve"> </w:t>
      </w:r>
    </w:p>
    <w:p w:rsidR="008C6864" w:rsidRPr="00C66550" w:rsidRDefault="008C6864" w:rsidP="00CF2701">
      <w:pPr>
        <w:pStyle w:val="BodyText"/>
        <w:spacing w:before="80"/>
        <w:rPr>
          <w:rFonts w:cs="Times New Roman"/>
          <w:color w:val="000000"/>
          <w:lang w:eastAsia="en-AU"/>
        </w:rPr>
      </w:pPr>
      <w:r w:rsidRPr="00C66550">
        <w:t xml:space="preserve">ZWSA (Zero Waste South Australia 2010b) </w:t>
      </w:r>
      <w:r w:rsidRPr="00C66550">
        <w:rPr>
          <w:i/>
        </w:rPr>
        <w:t>South Australia’s Waste Strategy 2010–2015</w:t>
      </w:r>
      <w:r w:rsidRPr="00C66550">
        <w:t xml:space="preserve"> </w:t>
      </w:r>
    </w:p>
    <w:p w:rsidR="00AA6CD5" w:rsidRPr="00C66550" w:rsidRDefault="008C6864" w:rsidP="00CF2701">
      <w:pPr>
        <w:spacing w:before="80" w:line="240" w:lineRule="auto"/>
        <w:rPr>
          <w:rFonts w:cs="Times New Roman"/>
          <w:color w:val="000000"/>
          <w:sz w:val="22"/>
          <w:lang w:eastAsia="en-AU"/>
        </w:rPr>
      </w:pPr>
      <w:r w:rsidRPr="00C66550">
        <w:rPr>
          <w:rFonts w:cs="Times New Roman"/>
          <w:color w:val="000000"/>
          <w:sz w:val="22"/>
          <w:lang w:eastAsia="en-AU"/>
        </w:rPr>
        <w:t xml:space="preserve">ZWSA (Zero Waste South Australia 2011) </w:t>
      </w:r>
      <w:r w:rsidRPr="00C66550">
        <w:rPr>
          <w:rFonts w:cs="Times New Roman"/>
          <w:i/>
          <w:iCs/>
          <w:color w:val="000000"/>
          <w:sz w:val="22"/>
          <w:lang w:eastAsia="en-AU"/>
        </w:rPr>
        <w:t xml:space="preserve">Recycling Activity Report - SA 2010-11, </w:t>
      </w:r>
      <w:r w:rsidRPr="00C66550">
        <w:rPr>
          <w:rFonts w:cs="Times New Roman"/>
          <w:color w:val="000000"/>
          <w:sz w:val="22"/>
          <w:lang w:eastAsia="en-AU"/>
        </w:rPr>
        <w:t xml:space="preserve">prepared by Rawtec in association with InfraPlan, available from: </w:t>
      </w:r>
      <w:hyperlink r:id="rId229" w:history="1">
        <w:r w:rsidRPr="00C66550">
          <w:rPr>
            <w:rFonts w:cs="Times New Roman"/>
            <w:color w:val="0000FF"/>
            <w:sz w:val="22"/>
            <w:u w:val="single"/>
            <w:lang w:eastAsia="en-AU"/>
          </w:rPr>
          <w:t>http://www.zerowaste.sa.gov.au/resource-centre/publications/reuse-recovery-and-recycling</w:t>
        </w:r>
      </w:hyperlink>
      <w:r w:rsidRPr="00C66550">
        <w:rPr>
          <w:rFonts w:cs="Times New Roman"/>
          <w:color w:val="000000"/>
          <w:sz w:val="22"/>
          <w:lang w:eastAsia="en-AU"/>
        </w:rPr>
        <w:t xml:space="preserve">. </w:t>
      </w:r>
    </w:p>
    <w:p w:rsidR="006F5654" w:rsidRPr="00C66550" w:rsidRDefault="006F5654" w:rsidP="00F810CB">
      <w:pPr>
        <w:pStyle w:val="AppendixSectionHolder"/>
      </w:pPr>
    </w:p>
    <w:p w:rsidR="006F5654" w:rsidRPr="00C66550" w:rsidRDefault="006F5654" w:rsidP="00F810CB">
      <w:pPr>
        <w:pStyle w:val="AppendixSectionnumber"/>
      </w:pPr>
    </w:p>
    <w:p w:rsidR="006F5654" w:rsidRPr="00C66550" w:rsidRDefault="006D535E" w:rsidP="00F810CB">
      <w:pPr>
        <w:pStyle w:val="AppendixSection"/>
      </w:pPr>
      <w:r w:rsidRPr="00C66550">
        <w:t>NSW data quality declaration</w:t>
      </w:r>
    </w:p>
    <w:p w:rsidR="006F5654" w:rsidRPr="00C66550" w:rsidRDefault="006F5654" w:rsidP="00F810CB">
      <w:pPr>
        <w:spacing w:line="240" w:lineRule="auto"/>
        <w:jc w:val="both"/>
      </w:pPr>
    </w:p>
    <w:p w:rsidR="006F5654" w:rsidRPr="00C66550" w:rsidRDefault="006F5654" w:rsidP="00F810CB">
      <w:pPr>
        <w:spacing w:line="240" w:lineRule="auto"/>
        <w:jc w:val="both"/>
        <w:sectPr w:rsidR="006F5654" w:rsidRPr="00C66550" w:rsidSect="006D535E">
          <w:headerReference w:type="even" r:id="rId230"/>
          <w:headerReference w:type="default" r:id="rId231"/>
          <w:footerReference w:type="even" r:id="rId232"/>
          <w:footerReference w:type="default" r:id="rId233"/>
          <w:headerReference w:type="first" r:id="rId234"/>
          <w:footerReference w:type="first" r:id="rId235"/>
          <w:pgSz w:w="11907" w:h="16840" w:code="9"/>
          <w:pgMar w:top="1701" w:right="1077" w:bottom="1559" w:left="1474" w:header="709" w:footer="709" w:gutter="0"/>
          <w:cols w:space="708"/>
          <w:docGrid w:linePitch="360"/>
        </w:sectPr>
      </w:pPr>
    </w:p>
    <w:p w:rsidR="006F5654" w:rsidRPr="00C66550" w:rsidRDefault="006F5654" w:rsidP="00825772">
      <w:pPr>
        <w:pStyle w:val="AppendixHeading1"/>
      </w:pPr>
      <w:bookmarkStart w:id="315" w:name="_Toc362259598"/>
      <w:r w:rsidRPr="00C66550">
        <w:lastRenderedPageBreak/>
        <w:t>NSW data quality declaration</w:t>
      </w:r>
      <w:bookmarkEnd w:id="315"/>
    </w:p>
    <w:p w:rsidR="001179F0" w:rsidRPr="00C66550" w:rsidRDefault="001179F0" w:rsidP="006D535E">
      <w:pPr>
        <w:pStyle w:val="AppendixHeading2"/>
      </w:pPr>
      <w:r w:rsidRPr="00C66550">
        <w:t>Quality Declaration – Waste Avoidance and Resource Recovery (WARR) Strategy - recycling rates</w:t>
      </w:r>
    </w:p>
    <w:p w:rsidR="001179F0" w:rsidRPr="00C66550" w:rsidRDefault="001179F0" w:rsidP="001179F0">
      <w:pPr>
        <w:pStyle w:val="NoSpacing"/>
        <w:rPr>
          <w:rFonts w:asciiTheme="minorHAnsi" w:hAnsiTheme="minorHAnsi"/>
          <w:b/>
          <w:sz w:val="20"/>
          <w:szCs w:val="20"/>
        </w:rPr>
      </w:pPr>
    </w:p>
    <w:p w:rsidR="001179F0" w:rsidRPr="00C66550" w:rsidRDefault="001179F0" w:rsidP="001179F0">
      <w:pPr>
        <w:pStyle w:val="NoSpacing"/>
        <w:spacing w:after="120"/>
        <w:rPr>
          <w:rFonts w:asciiTheme="minorHAnsi" w:hAnsiTheme="minorHAnsi"/>
          <w:b/>
          <w:sz w:val="20"/>
          <w:szCs w:val="20"/>
        </w:rPr>
      </w:pPr>
      <w:r w:rsidRPr="00C66550">
        <w:rPr>
          <w:rFonts w:asciiTheme="minorHAnsi" w:hAnsiTheme="minorHAnsi"/>
          <w:b/>
          <w:sz w:val="20"/>
          <w:szCs w:val="20"/>
        </w:rPr>
        <w:t xml:space="preserve">Institutional Environment </w:t>
      </w: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Data Collectors</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 xml:space="preserve">The </w:t>
      </w:r>
      <w:r w:rsidRPr="00C66550">
        <w:rPr>
          <w:rFonts w:asciiTheme="minorHAnsi" w:hAnsiTheme="minorHAnsi"/>
          <w:i/>
          <w:sz w:val="20"/>
          <w:szCs w:val="20"/>
        </w:rPr>
        <w:t>Waste Avoidance and Resource Recovery Strategy Progress Report 2012</w:t>
      </w:r>
      <w:r w:rsidRPr="00C66550">
        <w:rPr>
          <w:rFonts w:asciiTheme="minorHAnsi" w:hAnsiTheme="minorHAnsi"/>
          <w:sz w:val="20"/>
          <w:szCs w:val="20"/>
        </w:rPr>
        <w:t xml:space="preserve"> presents Waste Avoidance and Resource Recovery (WARR) recycling rates that were derived using a combination of data.</w:t>
      </w:r>
      <w:r w:rsidR="00E5424C" w:rsidRPr="00C66550">
        <w:rPr>
          <w:rFonts w:asciiTheme="minorHAnsi" w:hAnsiTheme="minorHAnsi"/>
          <w:sz w:val="20"/>
          <w:szCs w:val="20"/>
        </w:rPr>
        <w:t xml:space="preserve"> </w:t>
      </w:r>
      <w:r w:rsidRPr="00C66550">
        <w:rPr>
          <w:rFonts w:asciiTheme="minorHAnsi" w:hAnsiTheme="minorHAnsi"/>
          <w:sz w:val="20"/>
          <w:szCs w:val="20"/>
        </w:rPr>
        <w:t>The principal waste disposal data was collected by the NSW Environment Protection Authority (EPA).</w:t>
      </w:r>
      <w:r w:rsidR="00E5424C" w:rsidRPr="00C66550">
        <w:rPr>
          <w:rFonts w:asciiTheme="minorHAnsi" w:hAnsiTheme="minorHAnsi"/>
          <w:sz w:val="20"/>
          <w:szCs w:val="20"/>
        </w:rPr>
        <w:t xml:space="preserve"> </w:t>
      </w:r>
      <w:r w:rsidRPr="00C66550">
        <w:rPr>
          <w:rFonts w:asciiTheme="minorHAnsi" w:hAnsiTheme="minorHAnsi"/>
          <w:sz w:val="20"/>
          <w:szCs w:val="20"/>
        </w:rPr>
        <w:t>The principal waste recovery data was collected for the EPA using private contractors (MS2, Industry Edge) and national industry associations (</w:t>
      </w:r>
      <w:r w:rsidRPr="00C66550">
        <w:rPr>
          <w:rFonts w:asciiTheme="minorHAnsi" w:eastAsia="Times New Roman" w:hAnsiTheme="minorHAnsi"/>
          <w:sz w:val="20"/>
          <w:szCs w:val="20"/>
          <w:lang w:eastAsia="en-AU"/>
        </w:rPr>
        <w:t>Plastics and Chemicals Industries Association (PACIA)</w:t>
      </w:r>
      <w:r w:rsidRPr="00C66550">
        <w:rPr>
          <w:rFonts w:asciiTheme="minorHAnsi" w:hAnsiTheme="minorHAnsi"/>
          <w:sz w:val="20"/>
          <w:szCs w:val="20"/>
        </w:rPr>
        <w:t xml:space="preserve">, </w:t>
      </w:r>
      <w:r w:rsidRPr="00C66550">
        <w:rPr>
          <w:rFonts w:asciiTheme="minorHAnsi" w:eastAsia="Times New Roman" w:hAnsiTheme="minorHAnsi"/>
          <w:sz w:val="20"/>
          <w:szCs w:val="20"/>
          <w:lang w:eastAsia="en-AU"/>
        </w:rPr>
        <w:t>Waste Management Association of Australia (WMAA) and</w:t>
      </w:r>
      <w:r w:rsidRPr="00C66550">
        <w:rPr>
          <w:rFonts w:asciiTheme="minorHAnsi" w:hAnsiTheme="minorHAnsi"/>
          <w:sz w:val="20"/>
          <w:szCs w:val="20"/>
        </w:rPr>
        <w:t xml:space="preserve"> Compost Australia).</w:t>
      </w:r>
      <w:r w:rsidR="00E5424C" w:rsidRPr="00C66550">
        <w:rPr>
          <w:rFonts w:asciiTheme="minorHAnsi" w:hAnsiTheme="minorHAnsi"/>
          <w:sz w:val="20"/>
          <w:szCs w:val="20"/>
        </w:rPr>
        <w:t xml:space="preserve"> </w:t>
      </w:r>
      <w:r w:rsidRPr="00C66550">
        <w:rPr>
          <w:rFonts w:asciiTheme="minorHAnsi" w:hAnsiTheme="minorHAnsi"/>
          <w:sz w:val="20"/>
          <w:szCs w:val="20"/>
        </w:rPr>
        <w:t>Resource recovery data was also collected from Local Government councils.</w:t>
      </w:r>
      <w:r w:rsidR="00E5424C" w:rsidRPr="00C66550">
        <w:rPr>
          <w:rFonts w:asciiTheme="minorHAnsi" w:hAnsiTheme="minorHAnsi"/>
          <w:sz w:val="20"/>
          <w:szCs w:val="20"/>
        </w:rPr>
        <w:t xml:space="preserve"> </w:t>
      </w:r>
      <w:r w:rsidRPr="00C66550">
        <w:rPr>
          <w:rFonts w:asciiTheme="minorHAnsi" w:hAnsiTheme="minorHAnsi"/>
          <w:sz w:val="20"/>
          <w:szCs w:val="20"/>
        </w:rPr>
        <w:t>Most of the supplementary data used in the collation of WARR recycling rates was collected by the EPA.</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Collection Authority</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 xml:space="preserve">The EPA collects mandatory monthly disposal and recovery tonnages from disposal facilities that pay the waste environment levy under s.88 of the </w:t>
      </w:r>
      <w:r w:rsidRPr="00C66550">
        <w:rPr>
          <w:rFonts w:asciiTheme="minorHAnsi" w:hAnsiTheme="minorHAnsi"/>
          <w:b/>
          <w:sz w:val="20"/>
          <w:szCs w:val="20"/>
        </w:rPr>
        <w:t>Protection of the Environment Operations Act 1997</w:t>
      </w:r>
      <w:r w:rsidRPr="00C66550">
        <w:rPr>
          <w:rFonts w:asciiTheme="minorHAnsi" w:hAnsiTheme="minorHAnsi"/>
          <w:sz w:val="20"/>
          <w:szCs w:val="20"/>
        </w:rPr>
        <w:t>.</w:t>
      </w:r>
      <w:r w:rsidR="00E5424C" w:rsidRPr="00C66550">
        <w:rPr>
          <w:rFonts w:asciiTheme="minorHAnsi" w:hAnsiTheme="minorHAnsi"/>
          <w:sz w:val="20"/>
          <w:szCs w:val="20"/>
        </w:rPr>
        <w:t xml:space="preserve"> </w:t>
      </w:r>
      <w:r w:rsidRPr="00C66550">
        <w:rPr>
          <w:rFonts w:asciiTheme="minorHAnsi" w:hAnsiTheme="minorHAnsi"/>
          <w:sz w:val="20"/>
          <w:szCs w:val="20"/>
        </w:rPr>
        <w:t xml:space="preserve">Mandatory annual waste disposal tonnages provided by waste facilities in the rest of the state are collected under the </w:t>
      </w:r>
      <w:r w:rsidRPr="00C66550">
        <w:rPr>
          <w:rFonts w:asciiTheme="minorHAnsi" w:hAnsiTheme="minorHAnsi"/>
          <w:b/>
          <w:sz w:val="20"/>
          <w:szCs w:val="20"/>
        </w:rPr>
        <w:t>Protection of the Environment Operations (Waste) Regulation 2005</w:t>
      </w:r>
      <w:r w:rsidRPr="00C66550">
        <w:rPr>
          <w:rFonts w:asciiTheme="minorHAnsi" w:hAnsiTheme="minorHAnsi"/>
          <w:sz w:val="20"/>
          <w:szCs w:val="20"/>
        </w:rPr>
        <w:t xml:space="preserve">. </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Local government councils are required under NSW legislation to report annual resource recovery data.</w:t>
      </w:r>
      <w:r w:rsidR="00E5424C" w:rsidRPr="00C66550">
        <w:rPr>
          <w:rFonts w:asciiTheme="minorHAnsi" w:hAnsiTheme="minorHAnsi"/>
          <w:sz w:val="20"/>
          <w:szCs w:val="20"/>
        </w:rPr>
        <w:t xml:space="preserve"> </w:t>
      </w:r>
      <w:r w:rsidRPr="00C66550">
        <w:rPr>
          <w:rFonts w:asciiTheme="minorHAnsi" w:hAnsiTheme="minorHAnsi"/>
          <w:sz w:val="20"/>
          <w:szCs w:val="20"/>
        </w:rPr>
        <w:t>Recovery data collected through private contractor and national industry association surveys is voluntary.</w:t>
      </w:r>
      <w:r w:rsidR="00E5424C" w:rsidRPr="00C66550">
        <w:rPr>
          <w:rFonts w:asciiTheme="minorHAnsi" w:hAnsiTheme="minorHAnsi"/>
          <w:sz w:val="20"/>
          <w:szCs w:val="20"/>
        </w:rPr>
        <w:t xml:space="preserve"> </w:t>
      </w:r>
      <w:r w:rsidRPr="00C66550">
        <w:rPr>
          <w:rFonts w:asciiTheme="minorHAnsi" w:hAnsiTheme="minorHAnsi"/>
          <w:sz w:val="20"/>
          <w:szCs w:val="20"/>
        </w:rPr>
        <w:t xml:space="preserve">Contractors sign an undertaking with the EPA regarding the security and confidentiality of the data collected.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Data Compilers</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Recovery data collected by private contractors and national industry associations is compiled by these bodies (aggregated data are provided to the EPA).</w:t>
      </w:r>
      <w:r w:rsidR="00E5424C" w:rsidRPr="00C66550">
        <w:rPr>
          <w:rFonts w:asciiTheme="minorHAnsi" w:hAnsiTheme="minorHAnsi"/>
          <w:sz w:val="20"/>
          <w:szCs w:val="20"/>
        </w:rPr>
        <w:t xml:space="preserve"> </w:t>
      </w:r>
      <w:r w:rsidRPr="00C66550">
        <w:rPr>
          <w:rFonts w:asciiTheme="minorHAnsi" w:hAnsiTheme="minorHAnsi"/>
          <w:sz w:val="20"/>
          <w:szCs w:val="20"/>
        </w:rPr>
        <w:t>Disposal data is compiled by the EPA.</w:t>
      </w:r>
      <w:r w:rsidR="00E5424C" w:rsidRPr="00C66550">
        <w:rPr>
          <w:rFonts w:asciiTheme="minorHAnsi" w:hAnsiTheme="minorHAnsi"/>
          <w:sz w:val="20"/>
          <w:szCs w:val="20"/>
        </w:rPr>
        <w:t xml:space="preserve"> </w:t>
      </w:r>
      <w:r w:rsidRPr="00C66550">
        <w:rPr>
          <w:rFonts w:asciiTheme="minorHAnsi" w:hAnsiTheme="minorHAnsi"/>
          <w:sz w:val="20"/>
          <w:szCs w:val="20"/>
        </w:rPr>
        <w:t>The EPA combines disposal and recovery information to compile the final WARR recovery rates included in the WARR report.</w:t>
      </w:r>
      <w:r w:rsidR="00E5424C" w:rsidRPr="00C66550">
        <w:rPr>
          <w:rFonts w:asciiTheme="minorHAnsi" w:hAnsiTheme="minorHAnsi"/>
          <w:sz w:val="20"/>
          <w:szCs w:val="20"/>
        </w:rPr>
        <w:t xml:space="preserve"> </w:t>
      </w:r>
      <w:r w:rsidRPr="00C66550">
        <w:rPr>
          <w:rFonts w:asciiTheme="minorHAnsi" w:hAnsiTheme="minorHAnsi"/>
          <w:sz w:val="20"/>
          <w:szCs w:val="20"/>
        </w:rPr>
        <w:t xml:space="preserve">The EPA is a NSW state government department.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Confidentiality and security</w:t>
      </w:r>
    </w:p>
    <w:p w:rsidR="001179F0" w:rsidRPr="00C66550" w:rsidRDefault="001179F0" w:rsidP="001179F0">
      <w:pPr>
        <w:pStyle w:val="NormalWeb"/>
        <w:rPr>
          <w:rFonts w:asciiTheme="minorHAnsi" w:hAnsiTheme="minorHAnsi" w:cs="Arial"/>
          <w:szCs w:val="20"/>
          <w:u w:val="single"/>
        </w:rPr>
      </w:pPr>
      <w:r w:rsidRPr="00C66550">
        <w:rPr>
          <w:rFonts w:asciiTheme="minorHAnsi" w:hAnsiTheme="minorHAnsi" w:cs="Arial"/>
          <w:szCs w:val="20"/>
          <w:u w:val="single"/>
        </w:rPr>
        <w:t xml:space="preserve">The EPA </w:t>
      </w:r>
    </w:p>
    <w:p w:rsidR="001179F0" w:rsidRPr="00C66550" w:rsidRDefault="001179F0" w:rsidP="001179F0">
      <w:pPr>
        <w:pStyle w:val="NormalWeb"/>
        <w:spacing w:before="120"/>
        <w:rPr>
          <w:rFonts w:asciiTheme="minorHAnsi" w:hAnsiTheme="minorHAnsi" w:cs="Arial"/>
          <w:szCs w:val="20"/>
        </w:rPr>
      </w:pPr>
      <w:r w:rsidRPr="00C66550">
        <w:rPr>
          <w:rFonts w:asciiTheme="minorHAnsi" w:hAnsiTheme="minorHAnsi" w:cs="Arial"/>
          <w:szCs w:val="20"/>
        </w:rPr>
        <w:t xml:space="preserve">Data supplied electronically to the EPA is accessible only to the user providing the data and to relevant the EPA officers. Data is protected from unauthorised access. Users require a username and password to access the system and need to be authorised to view and/or edit and/or certify data. The system keeps an audit trail of all users accessing and editing reports. There is no opportunity for users to view reports or data provided by other users. Personal information provided on the EPA forms is also regulated by the </w:t>
      </w:r>
      <w:r w:rsidRPr="00C66550">
        <w:rPr>
          <w:rFonts w:asciiTheme="minorHAnsi" w:hAnsiTheme="minorHAnsi" w:cs="Arial"/>
          <w:b/>
          <w:szCs w:val="20"/>
        </w:rPr>
        <w:t>Privacy and Personal Information Protection Act 1998 (NSW)</w:t>
      </w:r>
      <w:r w:rsidRPr="00C66550">
        <w:rPr>
          <w:rFonts w:asciiTheme="minorHAnsi" w:hAnsiTheme="minorHAnsi" w:cs="Arial"/>
          <w:szCs w:val="20"/>
        </w:rPr>
        <w:t xml:space="preserve">. </w:t>
      </w:r>
    </w:p>
    <w:p w:rsidR="001179F0" w:rsidRPr="00C66550" w:rsidRDefault="001179F0" w:rsidP="001179F0">
      <w:pPr>
        <w:pStyle w:val="NoSpacing"/>
        <w:rPr>
          <w:rFonts w:asciiTheme="minorHAnsi" w:hAnsiTheme="minorHAnsi"/>
          <w:sz w:val="20"/>
          <w:szCs w:val="20"/>
          <w:u w:val="single"/>
        </w:rPr>
      </w:pPr>
      <w:r w:rsidRPr="00C66550">
        <w:rPr>
          <w:rFonts w:asciiTheme="minorHAnsi" w:hAnsiTheme="minorHAnsi"/>
          <w:sz w:val="20"/>
          <w:szCs w:val="20"/>
          <w:u w:val="single"/>
        </w:rPr>
        <w:t>WMAA</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Providers are informed that the data they provide:</w:t>
      </w:r>
    </w:p>
    <w:p w:rsidR="001179F0" w:rsidRPr="00C66550" w:rsidRDefault="001179F0" w:rsidP="0042276E">
      <w:pPr>
        <w:pStyle w:val="NoSpacing"/>
        <w:numPr>
          <w:ilvl w:val="0"/>
          <w:numId w:val="22"/>
        </w:numPr>
        <w:ind w:left="714" w:hanging="357"/>
        <w:rPr>
          <w:rFonts w:asciiTheme="minorHAnsi" w:hAnsiTheme="minorHAnsi"/>
          <w:sz w:val="20"/>
          <w:szCs w:val="20"/>
        </w:rPr>
      </w:pPr>
      <w:r w:rsidRPr="00C66550">
        <w:rPr>
          <w:rFonts w:asciiTheme="minorHAnsi" w:hAnsiTheme="minorHAnsi"/>
          <w:sz w:val="20"/>
          <w:szCs w:val="20"/>
        </w:rPr>
        <w:t xml:space="preserve">will be kept confidential and data from an individual business will not be revealed and will be aggregated on a state basis for publication </w:t>
      </w:r>
    </w:p>
    <w:p w:rsidR="001179F0" w:rsidRPr="00C66550" w:rsidRDefault="001179F0" w:rsidP="0042276E">
      <w:pPr>
        <w:pStyle w:val="NoSpacing"/>
        <w:numPr>
          <w:ilvl w:val="0"/>
          <w:numId w:val="22"/>
        </w:numPr>
        <w:ind w:left="714" w:hanging="357"/>
        <w:rPr>
          <w:rFonts w:asciiTheme="minorHAnsi" w:hAnsiTheme="minorHAnsi"/>
          <w:sz w:val="20"/>
          <w:szCs w:val="20"/>
        </w:rPr>
      </w:pPr>
      <w:r w:rsidRPr="00C66550">
        <w:rPr>
          <w:rFonts w:asciiTheme="minorHAnsi" w:hAnsiTheme="minorHAnsi"/>
          <w:sz w:val="20"/>
          <w:szCs w:val="20"/>
        </w:rPr>
        <w:t>is confidential to the contractor and only aggregated data is supplied to the EPA</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 xml:space="preserve">WMAA also sign an undertaking with the EPA regarding the security and confidentiality of the data collected.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u w:val="single"/>
        </w:rPr>
      </w:pPr>
      <w:r w:rsidRPr="00C66550">
        <w:rPr>
          <w:rFonts w:asciiTheme="minorHAnsi" w:hAnsiTheme="minorHAnsi"/>
          <w:sz w:val="20"/>
          <w:szCs w:val="20"/>
          <w:u w:val="single"/>
        </w:rPr>
        <w:lastRenderedPageBreak/>
        <w:t xml:space="preserve">Industry Edge, MS2, PACIA, Compost Australia </w:t>
      </w: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Providers are given assurances of the privacy of their data as determined by the contractors’ Privacy policy.</w:t>
      </w:r>
    </w:p>
    <w:p w:rsidR="001179F0" w:rsidRPr="00C66550" w:rsidRDefault="001179F0" w:rsidP="001179F0">
      <w:pPr>
        <w:pStyle w:val="NoSpacing"/>
        <w:spacing w:after="120"/>
        <w:rPr>
          <w:rFonts w:asciiTheme="minorHAnsi" w:hAnsiTheme="minorHAnsi"/>
          <w:b/>
          <w:sz w:val="20"/>
          <w:szCs w:val="20"/>
        </w:rPr>
      </w:pPr>
      <w:r w:rsidRPr="00C66550">
        <w:rPr>
          <w:rFonts w:asciiTheme="minorHAnsi" w:hAnsiTheme="minorHAnsi"/>
          <w:b/>
          <w:sz w:val="20"/>
          <w:szCs w:val="20"/>
        </w:rPr>
        <w:t>Relevance</w:t>
      </w:r>
    </w:p>
    <w:p w:rsidR="001179F0" w:rsidRPr="00C66550" w:rsidRDefault="001179F0" w:rsidP="001179F0">
      <w:pPr>
        <w:spacing w:line="240" w:lineRule="auto"/>
        <w:rPr>
          <w:rFonts w:asciiTheme="minorHAnsi" w:hAnsiTheme="minorHAnsi" w:cs="Arial"/>
          <w:szCs w:val="20"/>
        </w:rPr>
      </w:pPr>
      <w:r w:rsidRPr="00C66550">
        <w:rPr>
          <w:rFonts w:asciiTheme="minorHAnsi" w:hAnsiTheme="minorHAnsi"/>
          <w:szCs w:val="20"/>
        </w:rPr>
        <w:t xml:space="preserve">Under the </w:t>
      </w:r>
      <w:r w:rsidRPr="00C66550">
        <w:rPr>
          <w:rFonts w:asciiTheme="minorHAnsi" w:hAnsiTheme="minorHAnsi"/>
          <w:b/>
          <w:szCs w:val="20"/>
        </w:rPr>
        <w:t>(NSW) Waste Avoidance and Resource Recovery Act 2001</w:t>
      </w:r>
      <w:r w:rsidRPr="00C66550">
        <w:rPr>
          <w:rFonts w:asciiTheme="minorHAnsi" w:hAnsiTheme="minorHAnsi"/>
          <w:szCs w:val="20"/>
        </w:rPr>
        <w:t xml:space="preserve">, the EPA is required to report against the </w:t>
      </w:r>
      <w:r w:rsidRPr="00C66550">
        <w:rPr>
          <w:rFonts w:asciiTheme="minorHAnsi" w:hAnsiTheme="minorHAnsi"/>
          <w:i/>
          <w:szCs w:val="20"/>
        </w:rPr>
        <w:t>Waste Avoidance and Resource Recovery Strategy (WARR)</w:t>
      </w:r>
      <w:r w:rsidRPr="00C66550">
        <w:rPr>
          <w:rFonts w:asciiTheme="minorHAnsi" w:hAnsiTheme="minorHAnsi"/>
          <w:szCs w:val="20"/>
        </w:rPr>
        <w:t xml:space="preserve"> every 2 years. The Act promotes waste avoidance and resource recovery in NSW and the strategy sets goals and targets which are monitored. This exercise is related only to quantifying recycling rates – not waste avoidance. </w:t>
      </w:r>
      <w:r w:rsidRPr="00C66550">
        <w:rPr>
          <w:rFonts w:asciiTheme="minorHAnsi" w:hAnsiTheme="minorHAnsi" w:cs="Arial"/>
          <w:iCs/>
          <w:szCs w:val="20"/>
        </w:rPr>
        <w:t xml:space="preserve">Using a baseline year of 2000, the WARR strategy sets </w:t>
      </w:r>
      <w:r w:rsidRPr="00C66550">
        <w:rPr>
          <w:rFonts w:asciiTheme="minorHAnsi" w:hAnsiTheme="minorHAnsi"/>
          <w:szCs w:val="20"/>
        </w:rPr>
        <w:t>recycling targets for each of the three major waste streams</w:t>
      </w:r>
      <w:r w:rsidRPr="00C66550">
        <w:rPr>
          <w:rFonts w:asciiTheme="minorHAnsi" w:hAnsiTheme="minorHAnsi" w:cs="Arial"/>
          <w:iCs/>
          <w:szCs w:val="20"/>
        </w:rPr>
        <w:t xml:space="preserve"> and this report provides data for the 2010-11 year.</w:t>
      </w:r>
      <w:r w:rsidR="00E5424C" w:rsidRPr="00C66550">
        <w:rPr>
          <w:rFonts w:asciiTheme="minorHAnsi" w:hAnsiTheme="minorHAnsi" w:cs="Arial"/>
          <w:iCs/>
          <w:szCs w:val="20"/>
        </w:rPr>
        <w:t xml:space="preserve"> </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Both disposal and recovery data are required to calculate the WARR recycling rate (see ‘Concepts’ section).</w:t>
      </w:r>
      <w:r w:rsidR="00E5424C" w:rsidRPr="00C66550">
        <w:rPr>
          <w:rFonts w:asciiTheme="minorHAnsi" w:hAnsiTheme="minorHAnsi"/>
          <w:sz w:val="20"/>
          <w:szCs w:val="20"/>
        </w:rPr>
        <w:t xml:space="preserve"> </w:t>
      </w:r>
      <w:r w:rsidRPr="00C66550">
        <w:rPr>
          <w:rFonts w:asciiTheme="minorHAnsi" w:hAnsiTheme="minorHAnsi"/>
          <w:sz w:val="20"/>
          <w:szCs w:val="20"/>
        </w:rPr>
        <w:t xml:space="preserve">Data sources are listed below.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For disposal data:</w:t>
      </w:r>
    </w:p>
    <w:p w:rsidR="001179F0" w:rsidRPr="00C66550" w:rsidRDefault="001179F0" w:rsidP="0042276E">
      <w:pPr>
        <w:pStyle w:val="ListParagraph"/>
        <w:numPr>
          <w:ilvl w:val="0"/>
          <w:numId w:val="32"/>
        </w:numPr>
        <w:tabs>
          <w:tab w:val="clear" w:pos="1440"/>
          <w:tab w:val="num" w:pos="900"/>
        </w:tabs>
        <w:spacing w:line="240" w:lineRule="auto"/>
        <w:ind w:left="714" w:hanging="357"/>
        <w:contextualSpacing w:val="0"/>
        <w:rPr>
          <w:rFonts w:asciiTheme="minorHAnsi" w:hAnsiTheme="minorHAnsi"/>
          <w:szCs w:val="20"/>
          <w:lang w:eastAsia="en-AU"/>
        </w:rPr>
      </w:pPr>
      <w:r w:rsidRPr="00C66550">
        <w:rPr>
          <w:rFonts w:asciiTheme="minorHAnsi" w:hAnsiTheme="minorHAnsi"/>
          <w:szCs w:val="20"/>
        </w:rPr>
        <w:t xml:space="preserve">The EPA: </w:t>
      </w:r>
      <w:r w:rsidRPr="00C66550">
        <w:rPr>
          <w:rFonts w:asciiTheme="minorHAnsi" w:hAnsiTheme="minorHAnsi"/>
          <w:i/>
          <w:szCs w:val="20"/>
        </w:rPr>
        <w:t xml:space="preserve">Section 88 Waste </w:t>
      </w:r>
      <w:r w:rsidRPr="00C66550">
        <w:rPr>
          <w:rFonts w:asciiTheme="minorHAnsi" w:hAnsiTheme="minorHAnsi"/>
          <w:bCs/>
          <w:i/>
          <w:szCs w:val="20"/>
        </w:rPr>
        <w:t>Contributions Monthly Report</w:t>
      </w:r>
      <w:r w:rsidRPr="00C66550">
        <w:rPr>
          <w:rFonts w:asciiTheme="minorHAnsi" w:hAnsiTheme="minorHAnsi"/>
          <w:bCs/>
          <w:szCs w:val="20"/>
        </w:rPr>
        <w:t xml:space="preserve"> – (m</w:t>
      </w:r>
      <w:r w:rsidRPr="00C66550">
        <w:rPr>
          <w:rFonts w:asciiTheme="minorHAnsi" w:hAnsiTheme="minorHAnsi"/>
          <w:szCs w:val="20"/>
          <w:lang w:eastAsia="en-AU"/>
        </w:rPr>
        <w:t>andatory monthly disposal and recovery tonnages collected from disposal facilities that pay the Waste and Environment Levy);</w:t>
      </w:r>
    </w:p>
    <w:p w:rsidR="001179F0" w:rsidRPr="00C66550" w:rsidRDefault="001179F0" w:rsidP="0042276E">
      <w:pPr>
        <w:pStyle w:val="NoSpacing"/>
        <w:numPr>
          <w:ilvl w:val="0"/>
          <w:numId w:val="32"/>
        </w:numPr>
        <w:tabs>
          <w:tab w:val="clear" w:pos="1440"/>
          <w:tab w:val="num" w:pos="900"/>
        </w:tabs>
        <w:ind w:left="714" w:hanging="357"/>
        <w:rPr>
          <w:rFonts w:asciiTheme="minorHAnsi" w:hAnsiTheme="minorHAnsi"/>
          <w:sz w:val="20"/>
          <w:szCs w:val="20"/>
        </w:rPr>
      </w:pPr>
      <w:r w:rsidRPr="00C66550">
        <w:rPr>
          <w:rFonts w:asciiTheme="minorHAnsi" w:hAnsiTheme="minorHAnsi"/>
          <w:sz w:val="20"/>
          <w:szCs w:val="20"/>
        </w:rPr>
        <w:t xml:space="preserve">The EPA: </w:t>
      </w:r>
      <w:r w:rsidRPr="00C66550">
        <w:rPr>
          <w:rFonts w:asciiTheme="minorHAnsi" w:hAnsiTheme="minorHAnsi"/>
          <w:i/>
          <w:sz w:val="20"/>
          <w:szCs w:val="20"/>
        </w:rPr>
        <w:t>Regional Waste Data System</w:t>
      </w:r>
      <w:r w:rsidRPr="00C66550">
        <w:rPr>
          <w:rFonts w:asciiTheme="minorHAnsi" w:hAnsiTheme="minorHAnsi"/>
          <w:sz w:val="20"/>
          <w:szCs w:val="20"/>
        </w:rPr>
        <w:t xml:space="preserve"> – (</w:t>
      </w:r>
      <w:r w:rsidRPr="00C66550">
        <w:rPr>
          <w:rFonts w:asciiTheme="minorHAnsi" w:eastAsia="Times New Roman" w:hAnsiTheme="minorHAnsi"/>
          <w:sz w:val="20"/>
          <w:szCs w:val="20"/>
          <w:lang w:eastAsia="en-AU"/>
        </w:rPr>
        <w:t>Mandatory annual waste disposal tonnages provided by waste facilities in the rest of the State).</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For recovery data:</w:t>
      </w:r>
    </w:p>
    <w:p w:rsidR="001179F0" w:rsidRPr="00C66550" w:rsidRDefault="001179F0" w:rsidP="001179F0">
      <w:pPr>
        <w:pStyle w:val="FootnoteText"/>
        <w:numPr>
          <w:ilvl w:val="0"/>
          <w:numId w:val="33"/>
        </w:numPr>
        <w:tabs>
          <w:tab w:val="clear" w:pos="1440"/>
          <w:tab w:val="num" w:pos="900"/>
        </w:tabs>
        <w:spacing w:before="120" w:after="0" w:line="240" w:lineRule="auto"/>
        <w:ind w:left="900" w:hanging="540"/>
        <w:rPr>
          <w:rFonts w:asciiTheme="minorHAnsi" w:hAnsiTheme="minorHAnsi"/>
          <w:sz w:val="20"/>
          <w:szCs w:val="20"/>
        </w:rPr>
      </w:pPr>
      <w:r w:rsidRPr="00C66550">
        <w:rPr>
          <w:rFonts w:asciiTheme="minorHAnsi" w:hAnsiTheme="minorHAnsi"/>
          <w:sz w:val="20"/>
          <w:szCs w:val="20"/>
        </w:rPr>
        <w:t xml:space="preserve">The EPA </w:t>
      </w:r>
      <w:r w:rsidRPr="00C66550">
        <w:rPr>
          <w:rFonts w:asciiTheme="minorHAnsi" w:hAnsiTheme="minorHAnsi"/>
          <w:i/>
          <w:sz w:val="20"/>
          <w:szCs w:val="20"/>
        </w:rPr>
        <w:t>NSW Reprocessing Industry Surveys 2010-11</w:t>
      </w:r>
      <w:r w:rsidRPr="00C66550">
        <w:rPr>
          <w:rFonts w:asciiTheme="minorHAnsi" w:hAnsiTheme="minorHAnsi"/>
          <w:sz w:val="20"/>
          <w:szCs w:val="20"/>
        </w:rPr>
        <w:t xml:space="preserve"> (voluntary surveys) as listed below: </w:t>
      </w:r>
    </w:p>
    <w:p w:rsidR="001179F0" w:rsidRPr="00C66550" w:rsidRDefault="001179F0" w:rsidP="001179F0">
      <w:pPr>
        <w:pStyle w:val="ListParagraph"/>
        <w:numPr>
          <w:ilvl w:val="0"/>
          <w:numId w:val="35"/>
        </w:numPr>
        <w:tabs>
          <w:tab w:val="clear" w:pos="1080"/>
          <w:tab w:val="num" w:pos="1260"/>
        </w:tabs>
        <w:spacing w:line="240" w:lineRule="auto"/>
        <w:ind w:left="1260"/>
        <w:rPr>
          <w:rFonts w:asciiTheme="minorHAnsi" w:hAnsiTheme="minorHAnsi"/>
          <w:szCs w:val="20"/>
          <w:lang w:eastAsia="en-AU"/>
        </w:rPr>
      </w:pPr>
      <w:r w:rsidRPr="00C66550">
        <w:rPr>
          <w:rFonts w:asciiTheme="minorHAnsi" w:hAnsiTheme="minorHAnsi"/>
          <w:szCs w:val="20"/>
          <w:lang w:eastAsia="en-AU"/>
        </w:rPr>
        <w:t>survey of paper reprocessors undertaken by Industry Edge on behalf of the EPA;</w:t>
      </w:r>
    </w:p>
    <w:p w:rsidR="001179F0" w:rsidRPr="00C66550" w:rsidRDefault="001179F0" w:rsidP="001179F0">
      <w:pPr>
        <w:pStyle w:val="ListParagraph"/>
        <w:numPr>
          <w:ilvl w:val="0"/>
          <w:numId w:val="34"/>
        </w:numPr>
        <w:tabs>
          <w:tab w:val="clear" w:pos="1080"/>
          <w:tab w:val="num" w:pos="1260"/>
        </w:tabs>
        <w:spacing w:line="240" w:lineRule="auto"/>
        <w:ind w:left="1260"/>
        <w:rPr>
          <w:rFonts w:asciiTheme="minorHAnsi" w:hAnsiTheme="minorHAnsi"/>
          <w:szCs w:val="20"/>
          <w:lang w:eastAsia="en-AU"/>
        </w:rPr>
      </w:pPr>
      <w:r w:rsidRPr="00C66550">
        <w:rPr>
          <w:rFonts w:asciiTheme="minorHAnsi" w:hAnsiTheme="minorHAnsi"/>
          <w:szCs w:val="20"/>
          <w:lang w:eastAsia="en-AU"/>
        </w:rPr>
        <w:t>survey of glass reprocessors undertaken by MS2 on behalf of the EPA;</w:t>
      </w:r>
    </w:p>
    <w:p w:rsidR="001179F0" w:rsidRPr="00C66550" w:rsidRDefault="001179F0" w:rsidP="001179F0">
      <w:pPr>
        <w:pStyle w:val="ListParagraph"/>
        <w:numPr>
          <w:ilvl w:val="0"/>
          <w:numId w:val="34"/>
        </w:numPr>
        <w:tabs>
          <w:tab w:val="clear" w:pos="1080"/>
          <w:tab w:val="num" w:pos="1260"/>
        </w:tabs>
        <w:spacing w:line="240" w:lineRule="auto"/>
        <w:ind w:left="1260"/>
        <w:rPr>
          <w:rFonts w:asciiTheme="minorHAnsi" w:hAnsiTheme="minorHAnsi"/>
          <w:szCs w:val="20"/>
          <w:lang w:eastAsia="en-AU"/>
        </w:rPr>
      </w:pPr>
      <w:r w:rsidRPr="00C66550">
        <w:rPr>
          <w:rFonts w:asciiTheme="minorHAnsi" w:hAnsiTheme="minorHAnsi"/>
          <w:szCs w:val="20"/>
          <w:lang w:eastAsia="en-AU"/>
        </w:rPr>
        <w:t>survey of C&amp;D reprocessors undertaken by WMAA;</w:t>
      </w:r>
    </w:p>
    <w:p w:rsidR="001179F0" w:rsidRPr="00C66550" w:rsidRDefault="001179F0" w:rsidP="001179F0">
      <w:pPr>
        <w:pStyle w:val="ListParagraph"/>
        <w:numPr>
          <w:ilvl w:val="0"/>
          <w:numId w:val="34"/>
        </w:numPr>
        <w:tabs>
          <w:tab w:val="clear" w:pos="1080"/>
          <w:tab w:val="num" w:pos="1260"/>
        </w:tabs>
        <w:spacing w:line="240" w:lineRule="auto"/>
        <w:ind w:left="1260"/>
        <w:rPr>
          <w:rFonts w:asciiTheme="minorHAnsi" w:hAnsiTheme="minorHAnsi"/>
          <w:szCs w:val="20"/>
          <w:lang w:eastAsia="en-AU"/>
        </w:rPr>
      </w:pPr>
      <w:r w:rsidRPr="00C66550">
        <w:rPr>
          <w:rFonts w:asciiTheme="minorHAnsi" w:hAnsiTheme="minorHAnsi"/>
          <w:szCs w:val="20"/>
          <w:lang w:eastAsia="en-AU"/>
        </w:rPr>
        <w:t>survey of metals, textiles and rubber reprocessors undertaken by the WMAA;</w:t>
      </w:r>
    </w:p>
    <w:p w:rsidR="001179F0" w:rsidRPr="00C66550" w:rsidRDefault="001179F0" w:rsidP="001179F0">
      <w:pPr>
        <w:pStyle w:val="ListParagraph"/>
        <w:numPr>
          <w:ilvl w:val="0"/>
          <w:numId w:val="34"/>
        </w:numPr>
        <w:tabs>
          <w:tab w:val="clear" w:pos="1080"/>
          <w:tab w:val="num" w:pos="1260"/>
        </w:tabs>
        <w:spacing w:line="240" w:lineRule="auto"/>
        <w:ind w:left="1260"/>
        <w:rPr>
          <w:rFonts w:asciiTheme="minorHAnsi" w:hAnsiTheme="minorHAnsi"/>
          <w:szCs w:val="20"/>
          <w:lang w:eastAsia="en-AU"/>
        </w:rPr>
      </w:pPr>
      <w:r w:rsidRPr="00C66550">
        <w:rPr>
          <w:rFonts w:asciiTheme="minorHAnsi" w:hAnsiTheme="minorHAnsi"/>
          <w:szCs w:val="20"/>
          <w:lang w:eastAsia="en-AU"/>
        </w:rPr>
        <w:t>national survey of organics reprocessors undertaken by Compost Australia on behalf of the EPA, other jurisdictions and the organics processing and recycling industry;</w:t>
      </w:r>
    </w:p>
    <w:p w:rsidR="001179F0" w:rsidRPr="00C66550" w:rsidRDefault="001179F0" w:rsidP="001179F0">
      <w:pPr>
        <w:pStyle w:val="ListParagraph"/>
        <w:numPr>
          <w:ilvl w:val="0"/>
          <w:numId w:val="34"/>
        </w:numPr>
        <w:tabs>
          <w:tab w:val="clear" w:pos="1080"/>
          <w:tab w:val="num" w:pos="1260"/>
        </w:tabs>
        <w:spacing w:line="240" w:lineRule="auto"/>
        <w:ind w:left="1260"/>
        <w:rPr>
          <w:rFonts w:asciiTheme="minorHAnsi" w:hAnsiTheme="minorHAnsi"/>
          <w:szCs w:val="20"/>
        </w:rPr>
      </w:pPr>
      <w:r w:rsidRPr="00C66550">
        <w:rPr>
          <w:rFonts w:asciiTheme="minorHAnsi" w:hAnsiTheme="minorHAnsi"/>
          <w:szCs w:val="20"/>
          <w:lang w:eastAsia="en-AU"/>
        </w:rPr>
        <w:t>national survey of plastics reprocessors undertaken by PACIA on behalf of the EPA, other jurisdictions and the plastics industry (contracted to independent consultants, Hyder Consulting).</w:t>
      </w:r>
    </w:p>
    <w:p w:rsidR="001179F0" w:rsidRPr="00C66550" w:rsidRDefault="001179F0" w:rsidP="001179F0">
      <w:pPr>
        <w:pStyle w:val="FootnoteText"/>
        <w:numPr>
          <w:ilvl w:val="0"/>
          <w:numId w:val="33"/>
        </w:numPr>
        <w:tabs>
          <w:tab w:val="clear" w:pos="1440"/>
          <w:tab w:val="num" w:pos="900"/>
        </w:tabs>
        <w:spacing w:before="120" w:after="0" w:line="240" w:lineRule="auto"/>
        <w:ind w:left="900" w:hanging="540"/>
        <w:rPr>
          <w:rFonts w:asciiTheme="minorHAnsi" w:hAnsiTheme="minorHAnsi"/>
          <w:sz w:val="20"/>
          <w:szCs w:val="20"/>
        </w:rPr>
      </w:pPr>
      <w:r w:rsidRPr="00C66550">
        <w:rPr>
          <w:rFonts w:asciiTheme="minorHAnsi" w:hAnsiTheme="minorHAnsi"/>
          <w:sz w:val="20"/>
          <w:szCs w:val="20"/>
        </w:rPr>
        <w:t xml:space="preserve">The EPA </w:t>
      </w:r>
      <w:r w:rsidRPr="00C66550">
        <w:rPr>
          <w:rFonts w:asciiTheme="minorHAnsi" w:hAnsiTheme="minorHAnsi"/>
          <w:i/>
          <w:sz w:val="20"/>
          <w:szCs w:val="20"/>
        </w:rPr>
        <w:t>Yearly Local Government Waste and Resource Recovery Data Return</w:t>
      </w:r>
    </w:p>
    <w:p w:rsidR="001179F0" w:rsidRPr="00C66550" w:rsidRDefault="001179F0" w:rsidP="001179F0">
      <w:pPr>
        <w:pStyle w:val="FootnoteText"/>
        <w:numPr>
          <w:ilvl w:val="0"/>
          <w:numId w:val="33"/>
        </w:numPr>
        <w:tabs>
          <w:tab w:val="clear" w:pos="1440"/>
          <w:tab w:val="num" w:pos="900"/>
        </w:tabs>
        <w:spacing w:before="120" w:after="0" w:line="240" w:lineRule="auto"/>
        <w:ind w:left="900" w:hanging="540"/>
        <w:rPr>
          <w:rFonts w:asciiTheme="minorHAnsi" w:hAnsiTheme="minorHAnsi"/>
          <w:sz w:val="20"/>
          <w:szCs w:val="20"/>
        </w:rPr>
      </w:pPr>
      <w:r w:rsidRPr="00C66550">
        <w:rPr>
          <w:rFonts w:asciiTheme="minorHAnsi" w:hAnsiTheme="minorHAnsi"/>
          <w:sz w:val="20"/>
          <w:szCs w:val="20"/>
        </w:rPr>
        <w:t>The EPA</w:t>
      </w:r>
      <w:r w:rsidRPr="00C66550">
        <w:rPr>
          <w:rFonts w:asciiTheme="minorHAnsi" w:hAnsiTheme="minorHAnsi"/>
          <w:i/>
          <w:sz w:val="20"/>
          <w:szCs w:val="20"/>
        </w:rPr>
        <w:t xml:space="preserve"> Section 88 Waste Contributions Monthly </w:t>
      </w:r>
      <w:r w:rsidRPr="00C66550">
        <w:rPr>
          <w:rFonts w:asciiTheme="minorHAnsi" w:hAnsiTheme="minorHAnsi"/>
          <w:bCs/>
          <w:i/>
          <w:sz w:val="20"/>
          <w:szCs w:val="20"/>
        </w:rPr>
        <w:t>Report (WCMR)</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cs="Arial"/>
          <w:bCs/>
          <w:sz w:val="20"/>
          <w:szCs w:val="20"/>
        </w:rPr>
      </w:pPr>
      <w:r w:rsidRPr="00C66550">
        <w:rPr>
          <w:rFonts w:asciiTheme="minorHAnsi" w:hAnsiTheme="minorHAnsi" w:cs="Arial"/>
          <w:bCs/>
          <w:sz w:val="20"/>
          <w:szCs w:val="20"/>
        </w:rPr>
        <w:t>Disposal data is recorded in a variety of ways (e.g. mixed waste, single material loads)</w:t>
      </w:r>
      <w:r w:rsidR="00E5424C" w:rsidRPr="00C66550">
        <w:rPr>
          <w:rFonts w:asciiTheme="minorHAnsi" w:hAnsiTheme="minorHAnsi" w:cs="Arial"/>
          <w:bCs/>
          <w:sz w:val="20"/>
          <w:szCs w:val="20"/>
        </w:rPr>
        <w:t xml:space="preserve"> </w:t>
      </w:r>
      <w:r w:rsidRPr="00C66550">
        <w:rPr>
          <w:rFonts w:asciiTheme="minorHAnsi" w:hAnsiTheme="minorHAnsi" w:cs="Arial"/>
          <w:bCs/>
          <w:sz w:val="20"/>
          <w:szCs w:val="20"/>
        </w:rPr>
        <w:t>and some estimation is required to split tonnages</w:t>
      </w:r>
      <w:r w:rsidR="00E5424C" w:rsidRPr="00C66550">
        <w:rPr>
          <w:rFonts w:asciiTheme="minorHAnsi" w:hAnsiTheme="minorHAnsi" w:cs="Arial"/>
          <w:bCs/>
          <w:sz w:val="20"/>
          <w:szCs w:val="20"/>
        </w:rPr>
        <w:t xml:space="preserve"> </w:t>
      </w:r>
      <w:r w:rsidRPr="00C66550">
        <w:rPr>
          <w:rFonts w:asciiTheme="minorHAnsi" w:hAnsiTheme="minorHAnsi" w:cs="Arial"/>
          <w:bCs/>
          <w:sz w:val="20"/>
          <w:szCs w:val="20"/>
        </w:rPr>
        <w:t>received at disposal facilities into component materials.</w:t>
      </w:r>
      <w:r w:rsidR="00E5424C" w:rsidRPr="00C66550">
        <w:rPr>
          <w:rFonts w:asciiTheme="minorHAnsi" w:hAnsiTheme="minorHAnsi" w:cs="Arial"/>
          <w:bCs/>
          <w:sz w:val="20"/>
          <w:szCs w:val="20"/>
        </w:rPr>
        <w:t xml:space="preserve"> </w:t>
      </w:r>
      <w:r w:rsidRPr="00C66550">
        <w:rPr>
          <w:rFonts w:asciiTheme="minorHAnsi" w:hAnsiTheme="minorHAnsi" w:cs="Arial"/>
          <w:bCs/>
          <w:sz w:val="20"/>
          <w:szCs w:val="20"/>
        </w:rPr>
        <w:t>The EPA conducts audits of mixed waste to obtain ratios which are used to estimate these splits.</w:t>
      </w:r>
      <w:r w:rsidR="00E5424C" w:rsidRPr="00C66550">
        <w:rPr>
          <w:rFonts w:asciiTheme="minorHAnsi" w:hAnsiTheme="minorHAnsi" w:cs="Arial"/>
          <w:bCs/>
          <w:sz w:val="20"/>
          <w:szCs w:val="20"/>
        </w:rPr>
        <w:t xml:space="preserve"> </w:t>
      </w:r>
      <w:r w:rsidRPr="00C66550">
        <w:rPr>
          <w:rFonts w:asciiTheme="minorHAnsi" w:hAnsiTheme="minorHAnsi" w:cs="Arial"/>
          <w:bCs/>
          <w:sz w:val="20"/>
          <w:szCs w:val="20"/>
        </w:rPr>
        <w:t>A number of assumptions and extrapolations are also used to allocate Reprocessing survey tonnages to a source waste stream as this source stream information is not reported by most reprocessors, a major exception being resource recovery data reported by Local Government.</w:t>
      </w:r>
      <w:r w:rsidR="00E5424C" w:rsidRPr="00C66550">
        <w:rPr>
          <w:rFonts w:asciiTheme="minorHAnsi" w:hAnsiTheme="minorHAnsi" w:cs="Arial"/>
          <w:bCs/>
          <w:sz w:val="20"/>
          <w:szCs w:val="20"/>
        </w:rPr>
        <w:t xml:space="preserve"> </w:t>
      </w:r>
      <w:r w:rsidRPr="00C66550">
        <w:rPr>
          <w:rFonts w:asciiTheme="minorHAnsi" w:hAnsiTheme="minorHAnsi" w:cs="Arial"/>
          <w:bCs/>
          <w:sz w:val="20"/>
          <w:szCs w:val="20"/>
        </w:rPr>
        <w:t xml:space="preserve"> </w:t>
      </w:r>
    </w:p>
    <w:p w:rsidR="001179F0" w:rsidRPr="00C66550" w:rsidRDefault="001179F0" w:rsidP="001179F0">
      <w:pPr>
        <w:pStyle w:val="NoSpacing"/>
        <w:rPr>
          <w:rFonts w:asciiTheme="minorHAnsi" w:hAnsiTheme="minorHAnsi" w:cs="Arial"/>
          <w:bCs/>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cs="Arial"/>
          <w:bCs/>
          <w:sz w:val="20"/>
          <w:szCs w:val="20"/>
        </w:rPr>
        <w:t xml:space="preserve">The following supplementary data sources are </w:t>
      </w:r>
      <w:r w:rsidRPr="00C66550">
        <w:rPr>
          <w:rFonts w:asciiTheme="minorHAnsi" w:hAnsiTheme="minorHAnsi"/>
          <w:sz w:val="20"/>
          <w:szCs w:val="20"/>
        </w:rPr>
        <w:t xml:space="preserve">used in the calculation of WARR recycling rates: </w:t>
      </w:r>
    </w:p>
    <w:p w:rsidR="001179F0" w:rsidRPr="00C66550" w:rsidRDefault="001179F0" w:rsidP="001179F0">
      <w:pPr>
        <w:pStyle w:val="NoSpacing"/>
        <w:numPr>
          <w:ilvl w:val="0"/>
          <w:numId w:val="23"/>
        </w:numPr>
        <w:tabs>
          <w:tab w:val="clear" w:pos="1440"/>
          <w:tab w:val="num" w:pos="900"/>
        </w:tabs>
        <w:ind w:left="900" w:hanging="540"/>
        <w:rPr>
          <w:rFonts w:asciiTheme="minorHAnsi" w:hAnsiTheme="minorHAnsi"/>
          <w:sz w:val="20"/>
          <w:szCs w:val="20"/>
        </w:rPr>
      </w:pPr>
      <w:r w:rsidRPr="00C66550">
        <w:rPr>
          <w:rFonts w:asciiTheme="minorHAnsi" w:hAnsiTheme="minorHAnsi"/>
          <w:sz w:val="20"/>
          <w:szCs w:val="20"/>
        </w:rPr>
        <w:t xml:space="preserve">Office of Environment and Heritage (OEH) 2011 </w:t>
      </w:r>
      <w:r w:rsidRPr="00C66550">
        <w:rPr>
          <w:rFonts w:asciiTheme="minorHAnsi" w:hAnsiTheme="minorHAnsi"/>
          <w:i/>
          <w:sz w:val="20"/>
          <w:szCs w:val="20"/>
        </w:rPr>
        <w:t>– Domestic Kerbside Waste and Recycling in NSW 2007-08</w:t>
      </w:r>
      <w:r w:rsidRPr="00C66550">
        <w:rPr>
          <w:rFonts w:asciiTheme="minorHAnsi" w:hAnsiTheme="minorHAnsi"/>
          <w:sz w:val="20"/>
          <w:szCs w:val="20"/>
        </w:rPr>
        <w:t xml:space="preserve">. </w:t>
      </w:r>
      <w:hyperlink r:id="rId236" w:history="1">
        <w:r w:rsidRPr="00C66550">
          <w:rPr>
            <w:rStyle w:val="Hyperlink"/>
            <w:rFonts w:asciiTheme="minorHAnsi" w:hAnsiTheme="minorHAnsi"/>
            <w:sz w:val="20"/>
            <w:szCs w:val="20"/>
          </w:rPr>
          <w:t>http://www.environment.nsw.gov.au/warr/datareport.htm</w:t>
        </w:r>
      </w:hyperlink>
      <w:r w:rsidRPr="00C66550">
        <w:rPr>
          <w:rFonts w:asciiTheme="minorHAnsi" w:hAnsiTheme="minorHAnsi"/>
          <w:sz w:val="20"/>
          <w:szCs w:val="20"/>
        </w:rPr>
        <w:t xml:space="preserve"> </w:t>
      </w:r>
    </w:p>
    <w:p w:rsidR="001179F0" w:rsidRPr="00C66550" w:rsidRDefault="001179F0" w:rsidP="001179F0">
      <w:pPr>
        <w:pStyle w:val="FootnoteText"/>
        <w:numPr>
          <w:ilvl w:val="0"/>
          <w:numId w:val="23"/>
        </w:numPr>
        <w:tabs>
          <w:tab w:val="clear" w:pos="1440"/>
          <w:tab w:val="num" w:pos="900"/>
        </w:tabs>
        <w:spacing w:after="0" w:line="240" w:lineRule="auto"/>
        <w:ind w:left="900" w:hanging="540"/>
        <w:rPr>
          <w:rFonts w:asciiTheme="minorHAnsi" w:hAnsiTheme="minorHAnsi"/>
          <w:sz w:val="20"/>
          <w:szCs w:val="20"/>
        </w:rPr>
      </w:pPr>
      <w:r w:rsidRPr="00C66550">
        <w:rPr>
          <w:rFonts w:asciiTheme="minorHAnsi" w:hAnsiTheme="minorHAnsi"/>
          <w:sz w:val="20"/>
          <w:szCs w:val="20"/>
        </w:rPr>
        <w:t xml:space="preserve">California Integrated Waste Management Board, </w:t>
      </w:r>
      <w:hyperlink r:id="rId237" w:history="1">
        <w:r w:rsidRPr="00C66550">
          <w:rPr>
            <w:rStyle w:val="Hyperlink"/>
            <w:rFonts w:asciiTheme="minorHAnsi" w:hAnsiTheme="minorHAnsi"/>
            <w:sz w:val="20"/>
            <w:szCs w:val="20"/>
          </w:rPr>
          <w:t>California 2008 Statewide Waste Characterization Study</w:t>
        </w:r>
      </w:hyperlink>
      <w:r w:rsidRPr="00C66550">
        <w:rPr>
          <w:rFonts w:asciiTheme="minorHAnsi" w:hAnsiTheme="minorHAnsi"/>
          <w:sz w:val="20"/>
          <w:szCs w:val="20"/>
        </w:rPr>
        <w:t>, August 2009.</w:t>
      </w:r>
    </w:p>
    <w:p w:rsidR="001179F0" w:rsidRPr="00C66550" w:rsidRDefault="001179F0" w:rsidP="001179F0">
      <w:pPr>
        <w:pStyle w:val="FootnoteText"/>
        <w:numPr>
          <w:ilvl w:val="0"/>
          <w:numId w:val="23"/>
        </w:numPr>
        <w:tabs>
          <w:tab w:val="clear" w:pos="1440"/>
          <w:tab w:val="num" w:pos="900"/>
        </w:tabs>
        <w:spacing w:after="0" w:line="240" w:lineRule="auto"/>
        <w:ind w:left="900" w:hanging="540"/>
        <w:rPr>
          <w:rFonts w:asciiTheme="minorHAnsi" w:hAnsiTheme="minorHAnsi"/>
          <w:sz w:val="20"/>
          <w:szCs w:val="20"/>
        </w:rPr>
      </w:pPr>
      <w:r w:rsidRPr="00C66550">
        <w:rPr>
          <w:rFonts w:asciiTheme="minorHAnsi" w:hAnsiTheme="minorHAnsi"/>
          <w:sz w:val="20"/>
          <w:szCs w:val="20"/>
        </w:rPr>
        <w:t xml:space="preserve">DECCW (NSW) </w:t>
      </w:r>
      <w:r w:rsidRPr="00C66550">
        <w:rPr>
          <w:rFonts w:asciiTheme="minorHAnsi" w:hAnsiTheme="minorHAnsi"/>
          <w:i/>
          <w:sz w:val="20"/>
          <w:szCs w:val="20"/>
        </w:rPr>
        <w:t>2008 C&amp;I Disposal Based Survey June/July/August 2008</w:t>
      </w:r>
      <w:r w:rsidRPr="00C66550">
        <w:rPr>
          <w:rFonts w:asciiTheme="minorHAnsi" w:hAnsiTheme="minorHAnsi"/>
          <w:sz w:val="20"/>
          <w:szCs w:val="20"/>
        </w:rPr>
        <w:t xml:space="preserve"> </w:t>
      </w:r>
      <w:hyperlink r:id="rId238" w:history="1">
        <w:r w:rsidRPr="00C66550">
          <w:rPr>
            <w:rStyle w:val="Hyperlink"/>
            <w:rFonts w:asciiTheme="minorHAnsi" w:hAnsiTheme="minorHAnsi"/>
            <w:sz w:val="20"/>
            <w:szCs w:val="20"/>
          </w:rPr>
          <w:t>http://www.environment.nsw.gov.au/resources/warr/105WasteSurveypt1.pdf</w:t>
        </w:r>
      </w:hyperlink>
      <w:r w:rsidRPr="00C66550">
        <w:rPr>
          <w:rFonts w:asciiTheme="minorHAnsi" w:hAnsiTheme="minorHAnsi"/>
          <w:sz w:val="20"/>
          <w:szCs w:val="20"/>
        </w:rPr>
        <w:t xml:space="preserve"> </w:t>
      </w:r>
      <w:hyperlink r:id="rId239" w:history="1">
        <w:r w:rsidRPr="00C66550">
          <w:rPr>
            <w:rStyle w:val="Hyperlink"/>
            <w:rFonts w:asciiTheme="minorHAnsi" w:hAnsiTheme="minorHAnsi"/>
            <w:sz w:val="20"/>
            <w:szCs w:val="20"/>
          </w:rPr>
          <w:t>http://www.environment.nsw.gov.au/resources/warr/105WasteSurveyappend.pdf</w:t>
        </w:r>
      </w:hyperlink>
    </w:p>
    <w:p w:rsidR="001179F0" w:rsidRPr="00C66550" w:rsidRDefault="001179F0" w:rsidP="001179F0">
      <w:pPr>
        <w:pStyle w:val="NoSpacing"/>
        <w:numPr>
          <w:ilvl w:val="0"/>
          <w:numId w:val="23"/>
        </w:numPr>
        <w:tabs>
          <w:tab w:val="clear" w:pos="1440"/>
          <w:tab w:val="num" w:pos="900"/>
        </w:tabs>
        <w:ind w:left="900" w:hanging="540"/>
        <w:rPr>
          <w:rFonts w:asciiTheme="minorHAnsi" w:hAnsiTheme="minorHAnsi"/>
          <w:sz w:val="20"/>
          <w:szCs w:val="20"/>
        </w:rPr>
      </w:pPr>
      <w:r w:rsidRPr="00C66550">
        <w:rPr>
          <w:rFonts w:asciiTheme="minorHAnsi" w:hAnsiTheme="minorHAnsi"/>
          <w:sz w:val="20"/>
          <w:szCs w:val="20"/>
        </w:rPr>
        <w:t xml:space="preserve">DECC </w:t>
      </w:r>
      <w:r w:rsidRPr="00C66550">
        <w:rPr>
          <w:rFonts w:asciiTheme="minorHAnsi" w:hAnsiTheme="minorHAnsi"/>
          <w:i/>
          <w:sz w:val="20"/>
          <w:szCs w:val="20"/>
        </w:rPr>
        <w:t>Sustainable Commercial and Industrial Waste Stream Garbage Bag Survey: Final Report Dec 2008</w:t>
      </w:r>
    </w:p>
    <w:p w:rsidR="001179F0" w:rsidRPr="00C66550" w:rsidRDefault="001179F0" w:rsidP="001179F0">
      <w:pPr>
        <w:pStyle w:val="FootnoteText"/>
        <w:numPr>
          <w:ilvl w:val="0"/>
          <w:numId w:val="23"/>
        </w:numPr>
        <w:tabs>
          <w:tab w:val="clear" w:pos="1440"/>
          <w:tab w:val="num" w:pos="900"/>
        </w:tabs>
        <w:spacing w:after="0" w:line="240" w:lineRule="auto"/>
        <w:ind w:left="900" w:hanging="540"/>
        <w:rPr>
          <w:rFonts w:asciiTheme="minorHAnsi" w:hAnsiTheme="minorHAnsi"/>
          <w:sz w:val="20"/>
          <w:szCs w:val="20"/>
        </w:rPr>
      </w:pPr>
      <w:r w:rsidRPr="00C66550">
        <w:rPr>
          <w:rFonts w:asciiTheme="minorHAnsi" w:hAnsiTheme="minorHAnsi"/>
          <w:sz w:val="20"/>
          <w:szCs w:val="20"/>
        </w:rPr>
        <w:t xml:space="preserve">DECC (NSW) </w:t>
      </w:r>
      <w:r w:rsidRPr="00C66550">
        <w:rPr>
          <w:rFonts w:asciiTheme="minorHAnsi" w:hAnsiTheme="minorHAnsi"/>
          <w:i/>
          <w:sz w:val="20"/>
          <w:szCs w:val="20"/>
        </w:rPr>
        <w:t>2007 Report into the Construction and Demolition Waste Stream Audit 2000-05 Sydney Metropolitan Area</w:t>
      </w:r>
      <w:r w:rsidRPr="00C66550">
        <w:rPr>
          <w:rFonts w:asciiTheme="minorHAnsi" w:hAnsiTheme="minorHAnsi"/>
          <w:sz w:val="20"/>
          <w:szCs w:val="20"/>
        </w:rPr>
        <w:t xml:space="preserve">. </w:t>
      </w:r>
      <w:hyperlink r:id="rId240" w:history="1">
        <w:r w:rsidRPr="00C66550">
          <w:rPr>
            <w:rStyle w:val="Hyperlink"/>
            <w:rFonts w:asciiTheme="minorHAnsi" w:hAnsiTheme="minorHAnsi"/>
            <w:sz w:val="20"/>
            <w:szCs w:val="20"/>
          </w:rPr>
          <w:t>http://www.environment.nsw.gov.au/warr/cndwastestream.htm</w:t>
        </w:r>
      </w:hyperlink>
    </w:p>
    <w:p w:rsidR="001179F0" w:rsidRPr="00C66550" w:rsidRDefault="001179F0" w:rsidP="001179F0">
      <w:pPr>
        <w:pStyle w:val="FootnoteText"/>
        <w:numPr>
          <w:ilvl w:val="0"/>
          <w:numId w:val="23"/>
        </w:numPr>
        <w:tabs>
          <w:tab w:val="clear" w:pos="1440"/>
          <w:tab w:val="num" w:pos="900"/>
        </w:tabs>
        <w:spacing w:after="0" w:line="240" w:lineRule="auto"/>
        <w:ind w:left="900" w:hanging="540"/>
        <w:rPr>
          <w:rFonts w:asciiTheme="minorHAnsi" w:hAnsiTheme="minorHAnsi"/>
          <w:sz w:val="20"/>
          <w:szCs w:val="20"/>
        </w:rPr>
      </w:pPr>
      <w:r w:rsidRPr="00C66550">
        <w:rPr>
          <w:rFonts w:asciiTheme="minorHAnsi" w:hAnsiTheme="minorHAnsi"/>
          <w:sz w:val="20"/>
          <w:szCs w:val="20"/>
        </w:rPr>
        <w:t xml:space="preserve">ABS 2009: </w:t>
      </w:r>
      <w:r w:rsidRPr="00C66550">
        <w:rPr>
          <w:rFonts w:asciiTheme="minorHAnsi" w:hAnsiTheme="minorHAnsi"/>
          <w:i/>
          <w:sz w:val="20"/>
          <w:szCs w:val="20"/>
        </w:rPr>
        <w:t>3218.0 Regional Population Growth April 2009</w:t>
      </w:r>
      <w:r w:rsidRPr="00C66550">
        <w:rPr>
          <w:rFonts w:asciiTheme="minorHAnsi" w:hAnsiTheme="minorHAnsi"/>
          <w:sz w:val="20"/>
          <w:szCs w:val="20"/>
        </w:rPr>
        <w:t>.</w:t>
      </w:r>
    </w:p>
    <w:p w:rsidR="001179F0" w:rsidRPr="00C66550" w:rsidRDefault="001179F0" w:rsidP="001179F0">
      <w:pPr>
        <w:pStyle w:val="FootnoteText"/>
        <w:numPr>
          <w:ilvl w:val="0"/>
          <w:numId w:val="23"/>
        </w:numPr>
        <w:tabs>
          <w:tab w:val="clear" w:pos="1440"/>
          <w:tab w:val="num" w:pos="900"/>
        </w:tabs>
        <w:spacing w:after="0" w:line="240" w:lineRule="auto"/>
        <w:ind w:left="900" w:hanging="540"/>
        <w:rPr>
          <w:rFonts w:asciiTheme="minorHAnsi" w:hAnsiTheme="minorHAnsi"/>
          <w:sz w:val="20"/>
          <w:szCs w:val="20"/>
        </w:rPr>
      </w:pPr>
      <w:r w:rsidRPr="00C66550">
        <w:rPr>
          <w:rFonts w:asciiTheme="minorHAnsi" w:hAnsiTheme="minorHAnsi"/>
          <w:sz w:val="20"/>
          <w:szCs w:val="20"/>
        </w:rPr>
        <w:t xml:space="preserve">Office of Environment and Heritage (OEH) </w:t>
      </w:r>
      <w:r w:rsidRPr="00C66550">
        <w:rPr>
          <w:rFonts w:asciiTheme="minorHAnsi" w:hAnsiTheme="minorHAnsi"/>
          <w:i/>
          <w:sz w:val="20"/>
          <w:szCs w:val="20"/>
        </w:rPr>
        <w:t>2009 Domestic Kerbside Waste and Recycling in NSW. Sept. 2009</w:t>
      </w:r>
    </w:p>
    <w:p w:rsidR="001179F0" w:rsidRPr="00C66550" w:rsidRDefault="001179F0" w:rsidP="001179F0">
      <w:pPr>
        <w:pStyle w:val="FootnoteText"/>
        <w:numPr>
          <w:ilvl w:val="0"/>
          <w:numId w:val="23"/>
        </w:numPr>
        <w:tabs>
          <w:tab w:val="clear" w:pos="1440"/>
          <w:tab w:val="num" w:pos="900"/>
        </w:tabs>
        <w:spacing w:after="0" w:line="240" w:lineRule="auto"/>
        <w:ind w:left="900" w:hanging="540"/>
        <w:rPr>
          <w:rFonts w:asciiTheme="minorHAnsi" w:hAnsiTheme="minorHAnsi"/>
          <w:sz w:val="20"/>
          <w:szCs w:val="20"/>
        </w:rPr>
      </w:pPr>
      <w:r w:rsidRPr="00C66550">
        <w:rPr>
          <w:rFonts w:asciiTheme="minorHAnsi" w:hAnsiTheme="minorHAnsi"/>
          <w:sz w:val="20"/>
          <w:szCs w:val="20"/>
        </w:rPr>
        <w:t xml:space="preserve">NSW EPA </w:t>
      </w:r>
      <w:r w:rsidRPr="00C66550">
        <w:rPr>
          <w:rFonts w:asciiTheme="minorHAnsi" w:hAnsiTheme="minorHAnsi"/>
          <w:i/>
          <w:sz w:val="20"/>
          <w:szCs w:val="20"/>
        </w:rPr>
        <w:t xml:space="preserve">Domestic Kerbside Waste and Recycling in NSW 2012. </w:t>
      </w:r>
      <w:r w:rsidRPr="00C66550">
        <w:rPr>
          <w:rFonts w:asciiTheme="minorHAnsi" w:hAnsiTheme="minorHAnsi"/>
          <w:sz w:val="20"/>
          <w:szCs w:val="20"/>
        </w:rPr>
        <w:t>To be published</w:t>
      </w:r>
    </w:p>
    <w:p w:rsidR="001179F0" w:rsidRPr="00C66550" w:rsidRDefault="001179F0" w:rsidP="001179F0">
      <w:pPr>
        <w:pStyle w:val="NoSpacing"/>
        <w:rPr>
          <w:rFonts w:asciiTheme="minorHAnsi" w:hAnsiTheme="minorHAnsi"/>
          <w:b/>
          <w:sz w:val="20"/>
          <w:szCs w:val="20"/>
          <w:u w:val="single"/>
        </w:rPr>
      </w:pPr>
    </w:p>
    <w:p w:rsidR="001179F0" w:rsidRPr="00C66550" w:rsidRDefault="001179F0" w:rsidP="001179F0">
      <w:pPr>
        <w:pStyle w:val="NoSpacing"/>
        <w:rPr>
          <w:rFonts w:asciiTheme="minorHAnsi" w:hAnsiTheme="minorHAnsi"/>
          <w:b/>
          <w:sz w:val="20"/>
          <w:szCs w:val="20"/>
          <w:u w:val="single"/>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 xml:space="preserve">Scope </w:t>
      </w:r>
    </w:p>
    <w:p w:rsidR="001179F0" w:rsidRPr="00C66550" w:rsidRDefault="001179F0" w:rsidP="001179F0">
      <w:pPr>
        <w:pStyle w:val="NoSpacing"/>
        <w:rPr>
          <w:rFonts w:asciiTheme="minorHAnsi" w:hAnsiTheme="minorHAnsi"/>
          <w:sz w:val="20"/>
          <w:szCs w:val="20"/>
          <w:u w:val="single"/>
        </w:rPr>
      </w:pPr>
    </w:p>
    <w:p w:rsidR="001179F0" w:rsidRPr="00C66550" w:rsidRDefault="001179F0" w:rsidP="001179F0">
      <w:pPr>
        <w:pStyle w:val="NoSpacing"/>
        <w:rPr>
          <w:rFonts w:asciiTheme="minorHAnsi" w:hAnsiTheme="minorHAnsi"/>
          <w:sz w:val="20"/>
          <w:szCs w:val="20"/>
          <w:u w:val="single"/>
        </w:rPr>
      </w:pPr>
      <w:r w:rsidRPr="00C66550">
        <w:rPr>
          <w:rFonts w:asciiTheme="minorHAnsi" w:hAnsiTheme="minorHAnsi"/>
          <w:sz w:val="20"/>
          <w:szCs w:val="20"/>
          <w:u w:val="single"/>
        </w:rPr>
        <w:t>Disposal data</w:t>
      </w:r>
    </w:p>
    <w:p w:rsidR="001179F0" w:rsidRPr="00C66550" w:rsidRDefault="001179F0" w:rsidP="001179F0">
      <w:pPr>
        <w:spacing w:before="120" w:line="240" w:lineRule="auto"/>
        <w:rPr>
          <w:rFonts w:asciiTheme="minorHAnsi" w:hAnsiTheme="minorHAnsi"/>
          <w:color w:val="000000"/>
          <w:szCs w:val="20"/>
        </w:rPr>
      </w:pPr>
      <w:r w:rsidRPr="00C66550">
        <w:rPr>
          <w:rFonts w:asciiTheme="minorHAnsi" w:hAnsiTheme="minorHAnsi"/>
          <w:szCs w:val="20"/>
        </w:rPr>
        <w:t xml:space="preserve">All NSW waste facilities report waste tonnages disposed to landfill (Note: </w:t>
      </w:r>
      <w:r w:rsidRPr="00C66550">
        <w:rPr>
          <w:rFonts w:asciiTheme="minorHAnsi" w:hAnsiTheme="minorHAnsi"/>
          <w:color w:val="000000"/>
          <w:szCs w:val="20"/>
        </w:rPr>
        <w:t>no data is available for waste that is disposed of illegally).</w:t>
      </w:r>
    </w:p>
    <w:p w:rsidR="001179F0" w:rsidRPr="00C66550" w:rsidRDefault="001179F0" w:rsidP="001179F0">
      <w:pPr>
        <w:spacing w:line="240" w:lineRule="auto"/>
        <w:rPr>
          <w:rFonts w:asciiTheme="minorHAnsi" w:hAnsiTheme="minorHAnsi"/>
          <w:color w:val="000000"/>
          <w:szCs w:val="20"/>
        </w:rPr>
      </w:pPr>
    </w:p>
    <w:p w:rsidR="001179F0" w:rsidRPr="00C66550" w:rsidRDefault="001179F0" w:rsidP="001179F0">
      <w:pPr>
        <w:pStyle w:val="NoSpacing"/>
        <w:rPr>
          <w:rFonts w:asciiTheme="minorHAnsi" w:hAnsiTheme="minorHAnsi"/>
          <w:sz w:val="20"/>
          <w:szCs w:val="20"/>
          <w:u w:val="single"/>
        </w:rPr>
      </w:pPr>
      <w:r w:rsidRPr="00C66550">
        <w:rPr>
          <w:rFonts w:asciiTheme="minorHAnsi" w:hAnsiTheme="minorHAnsi"/>
          <w:sz w:val="20"/>
          <w:szCs w:val="20"/>
          <w:u w:val="single"/>
        </w:rPr>
        <w:t>Recovery data</w:t>
      </w:r>
    </w:p>
    <w:p w:rsidR="001179F0" w:rsidRPr="00C66550" w:rsidRDefault="001179F0" w:rsidP="001179F0">
      <w:pPr>
        <w:spacing w:before="120" w:line="240" w:lineRule="auto"/>
        <w:rPr>
          <w:rFonts w:asciiTheme="minorHAnsi" w:hAnsiTheme="minorHAnsi"/>
          <w:szCs w:val="20"/>
        </w:rPr>
      </w:pPr>
      <w:r w:rsidRPr="00C66550">
        <w:rPr>
          <w:rFonts w:asciiTheme="minorHAnsi" w:hAnsiTheme="minorHAnsi"/>
          <w:szCs w:val="20"/>
        </w:rPr>
        <w:t xml:space="preserve">The WARR report aims to include data on all materials collected and moved off-site for reprocessing in NSW as an input into the overall recovery rates for the three waste streams. The report does not cover ‘waste avoidance’, it only records off-site recycling or reprocessing. Waste avoidance includes those reuse or recycling activities that occur on-site, e.g. a factory that uses its own process off-cuts to be reprocessed into products or householders that compost their own kitchen waste. </w:t>
      </w:r>
    </w:p>
    <w:p w:rsidR="001179F0" w:rsidRPr="00C66550" w:rsidRDefault="001179F0" w:rsidP="001179F0">
      <w:pPr>
        <w:spacing w:before="120" w:line="240" w:lineRule="auto"/>
        <w:rPr>
          <w:rFonts w:asciiTheme="minorHAnsi" w:hAnsiTheme="minorHAnsi"/>
          <w:szCs w:val="20"/>
        </w:rPr>
      </w:pPr>
    </w:p>
    <w:p w:rsidR="001179F0" w:rsidRPr="00C66550" w:rsidRDefault="001179F0" w:rsidP="001179F0">
      <w:pPr>
        <w:spacing w:line="240" w:lineRule="auto"/>
        <w:rPr>
          <w:rFonts w:asciiTheme="minorHAnsi" w:hAnsiTheme="minorHAnsi"/>
          <w:szCs w:val="20"/>
        </w:rPr>
      </w:pPr>
      <w:r w:rsidRPr="00C66550">
        <w:rPr>
          <w:rFonts w:asciiTheme="minorHAnsi" w:hAnsiTheme="minorHAnsi"/>
          <w:szCs w:val="20"/>
        </w:rPr>
        <w:t xml:space="preserve">The main mechanism for collecting this data is the EPA (NSW) </w:t>
      </w:r>
      <w:r w:rsidRPr="00C66550">
        <w:rPr>
          <w:rFonts w:asciiTheme="minorHAnsi" w:hAnsiTheme="minorHAnsi"/>
          <w:i/>
          <w:szCs w:val="20"/>
        </w:rPr>
        <w:t>NSW Reprocessing Industry Surveys 2010-11</w:t>
      </w:r>
      <w:r w:rsidRPr="00C66550">
        <w:rPr>
          <w:rFonts w:asciiTheme="minorHAnsi" w:hAnsiTheme="minorHAnsi"/>
          <w:szCs w:val="20"/>
        </w:rPr>
        <w:t>.</w:t>
      </w:r>
      <w:r w:rsidR="00E5424C" w:rsidRPr="00C66550">
        <w:rPr>
          <w:rFonts w:asciiTheme="minorHAnsi" w:hAnsiTheme="minorHAnsi"/>
          <w:szCs w:val="20"/>
        </w:rPr>
        <w:t xml:space="preserve"> </w:t>
      </w:r>
      <w:r w:rsidRPr="00C66550">
        <w:rPr>
          <w:rFonts w:asciiTheme="minorHAnsi" w:hAnsiTheme="minorHAnsi"/>
          <w:szCs w:val="20"/>
        </w:rPr>
        <w:t>The target population is all businesses and households in NSW that reprocess/reuse waste collected in NSW or export/transfer waste collected in NSW interstate for reprocessing/reuse.</w:t>
      </w:r>
      <w:r w:rsidR="00E5424C" w:rsidRPr="00C66550">
        <w:rPr>
          <w:rFonts w:asciiTheme="minorHAnsi" w:hAnsiTheme="minorHAnsi"/>
          <w:szCs w:val="20"/>
        </w:rPr>
        <w:t xml:space="preserve"> </w:t>
      </w:r>
      <w:r w:rsidRPr="00C66550">
        <w:rPr>
          <w:rFonts w:asciiTheme="minorHAnsi" w:hAnsiTheme="minorHAnsi"/>
          <w:szCs w:val="20"/>
        </w:rPr>
        <w:t>However, there are a number of limitations in being able to achieve this aim.</w:t>
      </w:r>
      <w:r w:rsidR="00E5424C" w:rsidRPr="00C66550">
        <w:rPr>
          <w:rFonts w:asciiTheme="minorHAnsi" w:hAnsiTheme="minorHAnsi"/>
          <w:szCs w:val="20"/>
        </w:rPr>
        <w:t xml:space="preserve"> </w:t>
      </w:r>
      <w:r w:rsidRPr="00C66550">
        <w:rPr>
          <w:rFonts w:asciiTheme="minorHAnsi" w:hAnsiTheme="minorHAnsi"/>
          <w:szCs w:val="20"/>
        </w:rPr>
        <w:t>The current state of the EPA’s waste intelligence combined with practical difficulties in collecting data means that this survey cannot at this stage capture recycling of every possible material, especially those avoided by on-site composting, reprocessing or reuse.</w:t>
      </w:r>
      <w:r w:rsidR="00E5424C" w:rsidRPr="00C66550">
        <w:rPr>
          <w:rFonts w:asciiTheme="minorHAnsi" w:hAnsiTheme="minorHAnsi"/>
          <w:szCs w:val="20"/>
        </w:rPr>
        <w:t xml:space="preserve"> </w:t>
      </w:r>
      <w:r w:rsidRPr="00C66550">
        <w:rPr>
          <w:rFonts w:asciiTheme="minorHAnsi" w:hAnsiTheme="minorHAnsi"/>
          <w:szCs w:val="20"/>
        </w:rPr>
        <w:t>Due to these limitations, the survey currently focuses on six groups of materials and the survey population is all businesses involved in reprocessing these materials during the survey period:</w:t>
      </w:r>
    </w:p>
    <w:p w:rsidR="001179F0" w:rsidRPr="00C66550" w:rsidRDefault="001179F0" w:rsidP="001179F0">
      <w:pPr>
        <w:pStyle w:val="ListParagraph"/>
        <w:numPr>
          <w:ilvl w:val="0"/>
          <w:numId w:val="30"/>
        </w:numPr>
        <w:autoSpaceDE w:val="0"/>
        <w:autoSpaceDN w:val="0"/>
        <w:adjustRightInd w:val="0"/>
        <w:spacing w:before="120" w:line="240" w:lineRule="auto"/>
        <w:rPr>
          <w:rFonts w:asciiTheme="minorHAnsi" w:hAnsiTheme="minorHAnsi" w:cs="Arial"/>
          <w:szCs w:val="20"/>
        </w:rPr>
      </w:pPr>
      <w:r w:rsidRPr="00C66550">
        <w:rPr>
          <w:rFonts w:asciiTheme="minorHAnsi" w:hAnsiTheme="minorHAnsi" w:cs="Arial"/>
          <w:szCs w:val="20"/>
        </w:rPr>
        <w:t>Metals/textiles/rubber</w:t>
      </w:r>
    </w:p>
    <w:p w:rsidR="001179F0" w:rsidRPr="00C66550" w:rsidRDefault="001179F0" w:rsidP="001179F0">
      <w:pPr>
        <w:pStyle w:val="ListParagraph"/>
        <w:numPr>
          <w:ilvl w:val="0"/>
          <w:numId w:val="30"/>
        </w:numPr>
        <w:autoSpaceDE w:val="0"/>
        <w:autoSpaceDN w:val="0"/>
        <w:adjustRightInd w:val="0"/>
        <w:spacing w:before="120" w:line="240" w:lineRule="auto"/>
        <w:rPr>
          <w:rFonts w:asciiTheme="minorHAnsi" w:hAnsiTheme="minorHAnsi" w:cs="Arial"/>
          <w:szCs w:val="20"/>
        </w:rPr>
      </w:pPr>
      <w:r w:rsidRPr="00C66550">
        <w:rPr>
          <w:rFonts w:asciiTheme="minorHAnsi" w:hAnsiTheme="minorHAnsi" w:cs="Arial"/>
          <w:szCs w:val="20"/>
        </w:rPr>
        <w:t>Construction and demolition</w:t>
      </w:r>
    </w:p>
    <w:p w:rsidR="001179F0" w:rsidRPr="00C66550" w:rsidRDefault="001179F0" w:rsidP="001179F0">
      <w:pPr>
        <w:pStyle w:val="ListParagraph"/>
        <w:numPr>
          <w:ilvl w:val="0"/>
          <w:numId w:val="30"/>
        </w:numPr>
        <w:autoSpaceDE w:val="0"/>
        <w:autoSpaceDN w:val="0"/>
        <w:adjustRightInd w:val="0"/>
        <w:spacing w:before="120" w:line="240" w:lineRule="auto"/>
        <w:rPr>
          <w:rFonts w:asciiTheme="minorHAnsi" w:hAnsiTheme="minorHAnsi" w:cs="Arial"/>
          <w:szCs w:val="20"/>
        </w:rPr>
      </w:pPr>
      <w:r w:rsidRPr="00C66550">
        <w:rPr>
          <w:rFonts w:asciiTheme="minorHAnsi" w:hAnsiTheme="minorHAnsi" w:cs="Arial"/>
          <w:szCs w:val="20"/>
        </w:rPr>
        <w:t>Paper</w:t>
      </w:r>
    </w:p>
    <w:p w:rsidR="001179F0" w:rsidRPr="00C66550" w:rsidRDefault="001179F0" w:rsidP="001179F0">
      <w:pPr>
        <w:pStyle w:val="ListParagraph"/>
        <w:numPr>
          <w:ilvl w:val="0"/>
          <w:numId w:val="30"/>
        </w:numPr>
        <w:autoSpaceDE w:val="0"/>
        <w:autoSpaceDN w:val="0"/>
        <w:adjustRightInd w:val="0"/>
        <w:spacing w:before="120" w:line="240" w:lineRule="auto"/>
        <w:rPr>
          <w:rFonts w:asciiTheme="minorHAnsi" w:hAnsiTheme="minorHAnsi" w:cs="Arial"/>
          <w:szCs w:val="20"/>
        </w:rPr>
      </w:pPr>
      <w:r w:rsidRPr="00C66550">
        <w:rPr>
          <w:rFonts w:asciiTheme="minorHAnsi" w:hAnsiTheme="minorHAnsi" w:cs="Arial"/>
          <w:szCs w:val="20"/>
        </w:rPr>
        <w:t>Glass</w:t>
      </w:r>
    </w:p>
    <w:p w:rsidR="001179F0" w:rsidRPr="00C66550" w:rsidRDefault="001179F0" w:rsidP="001179F0">
      <w:pPr>
        <w:pStyle w:val="ListParagraph"/>
        <w:numPr>
          <w:ilvl w:val="0"/>
          <w:numId w:val="30"/>
        </w:numPr>
        <w:autoSpaceDE w:val="0"/>
        <w:autoSpaceDN w:val="0"/>
        <w:adjustRightInd w:val="0"/>
        <w:spacing w:before="120" w:line="240" w:lineRule="auto"/>
        <w:rPr>
          <w:rFonts w:asciiTheme="minorHAnsi" w:hAnsiTheme="minorHAnsi"/>
          <w:color w:val="000000"/>
          <w:szCs w:val="20"/>
        </w:rPr>
      </w:pPr>
      <w:r w:rsidRPr="00C66550">
        <w:rPr>
          <w:rFonts w:asciiTheme="minorHAnsi" w:hAnsiTheme="minorHAnsi" w:cs="Arial"/>
          <w:szCs w:val="20"/>
        </w:rPr>
        <w:t>Plastics</w:t>
      </w:r>
      <w:r w:rsidR="00E5424C" w:rsidRPr="00C66550">
        <w:rPr>
          <w:rFonts w:asciiTheme="minorHAnsi" w:hAnsiTheme="minorHAnsi" w:cs="Arial"/>
          <w:szCs w:val="20"/>
        </w:rPr>
        <w:t xml:space="preserve"> </w:t>
      </w:r>
    </w:p>
    <w:p w:rsidR="001179F0" w:rsidRPr="00C66550" w:rsidRDefault="001179F0" w:rsidP="001179F0">
      <w:pPr>
        <w:pStyle w:val="ListParagraph"/>
        <w:numPr>
          <w:ilvl w:val="0"/>
          <w:numId w:val="30"/>
        </w:numPr>
        <w:autoSpaceDE w:val="0"/>
        <w:autoSpaceDN w:val="0"/>
        <w:adjustRightInd w:val="0"/>
        <w:spacing w:before="120" w:line="240" w:lineRule="auto"/>
        <w:rPr>
          <w:rFonts w:asciiTheme="minorHAnsi" w:hAnsiTheme="minorHAnsi"/>
          <w:color w:val="000000"/>
          <w:szCs w:val="20"/>
        </w:rPr>
      </w:pPr>
      <w:r w:rsidRPr="00C66550">
        <w:rPr>
          <w:rFonts w:asciiTheme="minorHAnsi" w:hAnsiTheme="minorHAnsi" w:cs="Arial"/>
          <w:szCs w:val="20"/>
        </w:rPr>
        <w:t>Compost</w:t>
      </w:r>
      <w:r w:rsidR="00E5424C" w:rsidRPr="00C66550">
        <w:rPr>
          <w:rFonts w:asciiTheme="minorHAnsi" w:hAnsiTheme="minorHAnsi" w:cs="Arial"/>
          <w:szCs w:val="20"/>
        </w:rPr>
        <w:t xml:space="preserve"> </w:t>
      </w:r>
    </w:p>
    <w:p w:rsidR="001179F0" w:rsidRPr="00C66550" w:rsidRDefault="001179F0" w:rsidP="001179F0">
      <w:pPr>
        <w:spacing w:before="120"/>
        <w:rPr>
          <w:rFonts w:asciiTheme="minorHAnsi" w:hAnsiTheme="minorHAnsi"/>
          <w:color w:val="000000"/>
          <w:szCs w:val="20"/>
        </w:rPr>
      </w:pPr>
      <w:r w:rsidRPr="00C66550">
        <w:rPr>
          <w:rFonts w:asciiTheme="minorHAnsi" w:hAnsiTheme="minorHAnsi"/>
          <w:color w:val="000000"/>
          <w:szCs w:val="20"/>
        </w:rPr>
        <w:t>Reprocessor survey data is supplemented by:</w:t>
      </w:r>
      <w:r w:rsidR="00E5424C" w:rsidRPr="00C66550">
        <w:rPr>
          <w:rFonts w:asciiTheme="minorHAnsi" w:hAnsiTheme="minorHAnsi"/>
          <w:color w:val="000000"/>
          <w:szCs w:val="20"/>
        </w:rPr>
        <w:t xml:space="preserve"> </w:t>
      </w:r>
    </w:p>
    <w:p w:rsidR="001179F0" w:rsidRPr="00C66550" w:rsidRDefault="001179F0" w:rsidP="001179F0">
      <w:pPr>
        <w:pStyle w:val="FootnoteText"/>
        <w:numPr>
          <w:ilvl w:val="0"/>
          <w:numId w:val="21"/>
        </w:numPr>
        <w:spacing w:before="120" w:after="0" w:line="240" w:lineRule="auto"/>
        <w:ind w:left="720"/>
        <w:rPr>
          <w:rFonts w:asciiTheme="minorHAnsi" w:hAnsiTheme="minorHAnsi"/>
          <w:sz w:val="20"/>
          <w:szCs w:val="20"/>
        </w:rPr>
      </w:pPr>
      <w:r w:rsidRPr="00C66550">
        <w:rPr>
          <w:rFonts w:asciiTheme="minorHAnsi" w:hAnsiTheme="minorHAnsi"/>
          <w:sz w:val="20"/>
          <w:szCs w:val="20"/>
        </w:rPr>
        <w:t>The EPA Yearly Local Government Waste and Resource Recovery Data Return. The scope is all NSW local government councils.</w:t>
      </w:r>
      <w:r w:rsidR="00E5424C" w:rsidRPr="00C66550">
        <w:rPr>
          <w:rFonts w:asciiTheme="minorHAnsi" w:hAnsiTheme="minorHAnsi"/>
          <w:sz w:val="20"/>
          <w:szCs w:val="20"/>
        </w:rPr>
        <w:t xml:space="preserve"> </w:t>
      </w:r>
      <w:r w:rsidRPr="00C66550">
        <w:rPr>
          <w:rFonts w:asciiTheme="minorHAnsi" w:hAnsiTheme="minorHAnsi"/>
          <w:sz w:val="20"/>
          <w:szCs w:val="20"/>
        </w:rPr>
        <w:t>Data is collected from all councils that reprocess material at their facilities.</w:t>
      </w:r>
    </w:p>
    <w:p w:rsidR="001179F0" w:rsidRPr="00C66550" w:rsidRDefault="001179F0" w:rsidP="001179F0">
      <w:pPr>
        <w:pStyle w:val="FootnoteText"/>
        <w:numPr>
          <w:ilvl w:val="0"/>
          <w:numId w:val="21"/>
        </w:numPr>
        <w:spacing w:before="120" w:after="0" w:line="240" w:lineRule="auto"/>
        <w:ind w:left="720"/>
        <w:rPr>
          <w:rFonts w:asciiTheme="minorHAnsi" w:hAnsiTheme="minorHAnsi"/>
          <w:sz w:val="20"/>
          <w:szCs w:val="20"/>
        </w:rPr>
      </w:pPr>
      <w:r w:rsidRPr="00C66550">
        <w:rPr>
          <w:rFonts w:asciiTheme="minorHAnsi" w:hAnsiTheme="minorHAnsi"/>
          <w:sz w:val="20"/>
          <w:szCs w:val="20"/>
        </w:rPr>
        <w:t xml:space="preserve">The EPA (NSW) Section 88 Waste Contributions Monthly </w:t>
      </w:r>
      <w:r w:rsidRPr="00C66550">
        <w:rPr>
          <w:rFonts w:asciiTheme="minorHAnsi" w:hAnsiTheme="minorHAnsi"/>
          <w:bCs/>
          <w:sz w:val="20"/>
          <w:szCs w:val="20"/>
        </w:rPr>
        <w:t xml:space="preserve">Report (WCMR). </w:t>
      </w:r>
      <w:r w:rsidRPr="00C66550">
        <w:rPr>
          <w:rFonts w:asciiTheme="minorHAnsi" w:hAnsiTheme="minorHAnsi"/>
          <w:color w:val="000000"/>
          <w:sz w:val="20"/>
          <w:szCs w:val="20"/>
        </w:rPr>
        <w:t>The scope is all licensed waste facilities in the Greater Sydney Region and the Regional Regulated Area (RRA).</w:t>
      </w:r>
      <w:r w:rsidR="00E5424C" w:rsidRPr="00C66550">
        <w:rPr>
          <w:rFonts w:asciiTheme="minorHAnsi" w:hAnsiTheme="minorHAnsi"/>
          <w:color w:val="000000"/>
          <w:sz w:val="20"/>
          <w:szCs w:val="20"/>
        </w:rPr>
        <w:t xml:space="preserve"> </w:t>
      </w:r>
      <w:r w:rsidRPr="00C66550">
        <w:rPr>
          <w:rFonts w:asciiTheme="minorHAnsi" w:hAnsiTheme="minorHAnsi"/>
          <w:color w:val="000000"/>
          <w:sz w:val="20"/>
          <w:szCs w:val="20"/>
        </w:rPr>
        <w:t xml:space="preserve"> Da</w:t>
      </w:r>
      <w:r w:rsidRPr="00C66550">
        <w:rPr>
          <w:rFonts w:asciiTheme="minorHAnsi" w:hAnsiTheme="minorHAnsi"/>
          <w:sz w:val="20"/>
          <w:szCs w:val="20"/>
        </w:rPr>
        <w:t>ta is collected on all materials recycled from landfills that are sold directly to the public or to facilities not included in the Reprocessor surveys.</w:t>
      </w:r>
      <w:r w:rsidR="00E5424C" w:rsidRPr="00C66550">
        <w:rPr>
          <w:rFonts w:asciiTheme="minorHAnsi" w:hAnsiTheme="minorHAnsi"/>
          <w:sz w:val="20"/>
          <w:szCs w:val="20"/>
        </w:rPr>
        <w:t xml:space="preserve"> </w:t>
      </w:r>
      <w:r w:rsidRPr="00C66550">
        <w:rPr>
          <w:rFonts w:asciiTheme="minorHAnsi" w:hAnsiTheme="minorHAnsi"/>
          <w:sz w:val="20"/>
          <w:szCs w:val="20"/>
        </w:rPr>
        <w:t>(No recycling data is collected from landfills outside these regions).</w:t>
      </w:r>
    </w:p>
    <w:p w:rsidR="001179F0" w:rsidRPr="00C66550" w:rsidRDefault="001179F0" w:rsidP="001179F0">
      <w:pPr>
        <w:rPr>
          <w:rFonts w:asciiTheme="minorHAnsi" w:hAnsiTheme="minorHAnsi"/>
          <w:szCs w:val="20"/>
          <w:u w:val="single"/>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 xml:space="preserve">Reporting units </w:t>
      </w:r>
    </w:p>
    <w:p w:rsidR="001179F0" w:rsidRPr="00C66550" w:rsidRDefault="001179F0" w:rsidP="0042276E">
      <w:pPr>
        <w:pStyle w:val="NoSpacing"/>
        <w:numPr>
          <w:ilvl w:val="0"/>
          <w:numId w:val="29"/>
        </w:numPr>
        <w:tabs>
          <w:tab w:val="clear" w:pos="1080"/>
          <w:tab w:val="num" w:pos="720"/>
        </w:tabs>
        <w:ind w:left="714" w:hanging="357"/>
        <w:rPr>
          <w:rFonts w:asciiTheme="minorHAnsi" w:hAnsiTheme="minorHAnsi"/>
          <w:sz w:val="20"/>
          <w:szCs w:val="20"/>
        </w:rPr>
      </w:pPr>
      <w:r w:rsidRPr="00C66550">
        <w:rPr>
          <w:rFonts w:asciiTheme="minorHAnsi" w:hAnsiTheme="minorHAnsi"/>
          <w:sz w:val="20"/>
          <w:szCs w:val="20"/>
        </w:rPr>
        <w:t>Waste facilities.</w:t>
      </w:r>
      <w:r w:rsidR="00E5424C" w:rsidRPr="00C66550">
        <w:rPr>
          <w:rFonts w:asciiTheme="minorHAnsi" w:hAnsiTheme="minorHAnsi"/>
          <w:sz w:val="20"/>
          <w:szCs w:val="20"/>
        </w:rPr>
        <w:t xml:space="preserve"> </w:t>
      </w:r>
      <w:r w:rsidRPr="00C66550">
        <w:rPr>
          <w:rFonts w:asciiTheme="minorHAnsi" w:hAnsiTheme="minorHAnsi"/>
          <w:sz w:val="20"/>
          <w:szCs w:val="20"/>
        </w:rPr>
        <w:t>A waste facility is any premise used for the storage, treatment, processing, sorting or disposal of waste.</w:t>
      </w:r>
      <w:r w:rsidR="00E5424C" w:rsidRPr="00C66550">
        <w:rPr>
          <w:rFonts w:asciiTheme="minorHAnsi" w:hAnsiTheme="minorHAnsi"/>
          <w:sz w:val="20"/>
          <w:szCs w:val="20"/>
        </w:rPr>
        <w:t xml:space="preserve"> </w:t>
      </w:r>
    </w:p>
    <w:p w:rsidR="001179F0" w:rsidRPr="00C66550" w:rsidRDefault="001179F0" w:rsidP="0042276E">
      <w:pPr>
        <w:pStyle w:val="NoSpacing"/>
        <w:numPr>
          <w:ilvl w:val="0"/>
          <w:numId w:val="29"/>
        </w:numPr>
        <w:tabs>
          <w:tab w:val="clear" w:pos="1080"/>
          <w:tab w:val="num" w:pos="720"/>
        </w:tabs>
        <w:ind w:left="714" w:hanging="357"/>
        <w:rPr>
          <w:rFonts w:asciiTheme="minorHAnsi" w:hAnsiTheme="minorHAnsi"/>
          <w:sz w:val="20"/>
          <w:szCs w:val="20"/>
          <w:u w:val="single"/>
        </w:rPr>
      </w:pPr>
      <w:r w:rsidRPr="00C66550">
        <w:rPr>
          <w:rFonts w:asciiTheme="minorHAnsi" w:hAnsiTheme="minorHAnsi"/>
          <w:color w:val="000000"/>
          <w:sz w:val="20"/>
          <w:szCs w:val="20"/>
        </w:rPr>
        <w:t xml:space="preserve">Businesses with reprocessing or reuse activity. </w:t>
      </w:r>
      <w:r w:rsidRPr="00C66550">
        <w:rPr>
          <w:rFonts w:asciiTheme="minorHAnsi" w:hAnsiTheme="minorHAnsi"/>
          <w:sz w:val="20"/>
          <w:szCs w:val="20"/>
        </w:rPr>
        <w:t xml:space="preserve">Note that the </w:t>
      </w:r>
      <w:r w:rsidRPr="00C66550">
        <w:rPr>
          <w:rFonts w:asciiTheme="minorHAnsi" w:hAnsiTheme="minorHAnsi"/>
          <w:color w:val="000000"/>
          <w:sz w:val="20"/>
          <w:szCs w:val="20"/>
        </w:rPr>
        <w:t>primary activity of these units is not always reprocessing or reuse of materials.</w:t>
      </w:r>
      <w:r w:rsidR="00E5424C" w:rsidRPr="00C66550">
        <w:rPr>
          <w:rFonts w:asciiTheme="minorHAnsi" w:hAnsiTheme="minorHAnsi"/>
          <w:color w:val="000000"/>
          <w:sz w:val="20"/>
          <w:szCs w:val="20"/>
        </w:rPr>
        <w:t xml:space="preserve"> </w:t>
      </w:r>
      <w:r w:rsidRPr="00C66550">
        <w:rPr>
          <w:rFonts w:asciiTheme="minorHAnsi" w:hAnsiTheme="minorHAnsi"/>
          <w:color w:val="000000"/>
          <w:sz w:val="20"/>
          <w:szCs w:val="20"/>
        </w:rPr>
        <w:t xml:space="preserve">For example in the construction industry many company’s </w:t>
      </w:r>
      <w:r w:rsidRPr="00C66550">
        <w:rPr>
          <w:rFonts w:asciiTheme="minorHAnsi" w:hAnsiTheme="minorHAnsi"/>
          <w:sz w:val="20"/>
          <w:szCs w:val="20"/>
        </w:rPr>
        <w:t>resource recovery activities are a response to handling by-products of their core business activities.</w:t>
      </w:r>
      <w:r w:rsidR="00E5424C" w:rsidRPr="00C66550">
        <w:rPr>
          <w:rFonts w:asciiTheme="minorHAnsi" w:hAnsiTheme="minorHAnsi"/>
          <w:sz w:val="20"/>
          <w:szCs w:val="20"/>
        </w:rPr>
        <w:t xml:space="preserve"> </w:t>
      </w:r>
    </w:p>
    <w:p w:rsidR="001179F0" w:rsidRPr="00C66550" w:rsidRDefault="001179F0" w:rsidP="0042276E">
      <w:pPr>
        <w:pStyle w:val="NoSpacing"/>
        <w:numPr>
          <w:ilvl w:val="0"/>
          <w:numId w:val="29"/>
        </w:numPr>
        <w:tabs>
          <w:tab w:val="clear" w:pos="1080"/>
          <w:tab w:val="num" w:pos="720"/>
        </w:tabs>
        <w:ind w:left="714" w:hanging="357"/>
        <w:rPr>
          <w:rFonts w:asciiTheme="minorHAnsi" w:hAnsiTheme="minorHAnsi"/>
          <w:sz w:val="20"/>
          <w:szCs w:val="20"/>
        </w:rPr>
      </w:pPr>
      <w:r w:rsidRPr="00C66550">
        <w:rPr>
          <w:rFonts w:asciiTheme="minorHAnsi" w:hAnsiTheme="minorHAnsi"/>
          <w:sz w:val="20"/>
          <w:szCs w:val="20"/>
        </w:rPr>
        <w:t>Local government councils</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Frame</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The EPA maintains a list of all NSW waste facilities including those licensed and unlicensed.</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 xml:space="preserve">The </w:t>
      </w:r>
      <w:r w:rsidRPr="00C66550">
        <w:rPr>
          <w:rFonts w:asciiTheme="minorHAnsi" w:hAnsiTheme="minorHAnsi"/>
          <w:i/>
          <w:sz w:val="20"/>
          <w:szCs w:val="20"/>
        </w:rPr>
        <w:t>NSW Reprocessing Industry Surveys 2010-11</w:t>
      </w:r>
      <w:r w:rsidRPr="00C66550">
        <w:rPr>
          <w:rFonts w:asciiTheme="minorHAnsi" w:hAnsiTheme="minorHAnsi"/>
          <w:sz w:val="20"/>
          <w:szCs w:val="20"/>
        </w:rPr>
        <w:t xml:space="preserve"> survey frames are developed and maintained for each material type by the relevant contractor.</w:t>
      </w:r>
      <w:r w:rsidR="00E5424C" w:rsidRPr="00C66550">
        <w:rPr>
          <w:rFonts w:asciiTheme="minorHAnsi" w:hAnsiTheme="minorHAnsi"/>
          <w:sz w:val="20"/>
          <w:szCs w:val="20"/>
        </w:rPr>
        <w:t xml:space="preserve"> </w:t>
      </w:r>
      <w:r w:rsidRPr="00C66550">
        <w:rPr>
          <w:rFonts w:asciiTheme="minorHAnsi" w:hAnsiTheme="minorHAnsi"/>
          <w:sz w:val="20"/>
          <w:szCs w:val="20"/>
        </w:rPr>
        <w:t>Generally, the combined survey frame contains most relevant large businesses that are expected to account for the bulk of reprocessing activity.</w:t>
      </w:r>
      <w:r w:rsidR="00E5424C" w:rsidRPr="00C66550">
        <w:rPr>
          <w:rFonts w:asciiTheme="minorHAnsi" w:hAnsiTheme="minorHAnsi"/>
          <w:sz w:val="20"/>
          <w:szCs w:val="20"/>
        </w:rPr>
        <w:t xml:space="preserve"> </w:t>
      </w:r>
      <w:r w:rsidRPr="00C66550">
        <w:rPr>
          <w:rFonts w:asciiTheme="minorHAnsi" w:hAnsiTheme="minorHAnsi"/>
          <w:sz w:val="20"/>
          <w:szCs w:val="20"/>
        </w:rPr>
        <w:t xml:space="preserve">However, there are deficiencies in the frame. In the construction and demolition waste stream, materials reprocessed or reused on another site without first </w:t>
      </w:r>
      <w:r w:rsidRPr="00C66550">
        <w:rPr>
          <w:rFonts w:asciiTheme="minorHAnsi" w:hAnsiTheme="minorHAnsi"/>
          <w:sz w:val="20"/>
          <w:szCs w:val="20"/>
        </w:rPr>
        <w:lastRenderedPageBreak/>
        <w:t>passing through a reprocessor is not captured on the frame.</w:t>
      </w:r>
      <w:r w:rsidR="00E5424C" w:rsidRPr="00C66550">
        <w:rPr>
          <w:rFonts w:asciiTheme="minorHAnsi" w:hAnsiTheme="minorHAnsi"/>
          <w:sz w:val="20"/>
          <w:szCs w:val="20"/>
        </w:rPr>
        <w:t xml:space="preserve"> </w:t>
      </w:r>
      <w:r w:rsidRPr="00C66550">
        <w:rPr>
          <w:rFonts w:asciiTheme="minorHAnsi" w:hAnsiTheme="minorHAnsi"/>
          <w:sz w:val="20"/>
          <w:szCs w:val="20"/>
        </w:rPr>
        <w:t>Similarly, some C&amp;I materials are sent from one business to another to be used as raw materials.</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Concepts used</w:t>
      </w:r>
    </w:p>
    <w:p w:rsidR="001179F0" w:rsidRPr="00C66550" w:rsidRDefault="001179F0" w:rsidP="001179F0">
      <w:pPr>
        <w:pStyle w:val="NoSpacing"/>
        <w:rPr>
          <w:rFonts w:asciiTheme="minorHAnsi" w:hAnsiTheme="minorHAnsi"/>
          <w:sz w:val="20"/>
          <w:szCs w:val="20"/>
          <w:u w:val="single"/>
        </w:rPr>
      </w:pPr>
    </w:p>
    <w:p w:rsidR="001179F0" w:rsidRPr="00C66550" w:rsidRDefault="001179F0" w:rsidP="001179F0">
      <w:pPr>
        <w:pStyle w:val="NoSpacing"/>
        <w:rPr>
          <w:rFonts w:asciiTheme="minorHAnsi" w:hAnsiTheme="minorHAnsi"/>
          <w:sz w:val="20"/>
          <w:szCs w:val="20"/>
          <w:u w:val="single"/>
        </w:rPr>
      </w:pPr>
      <w:r w:rsidRPr="00C66550">
        <w:rPr>
          <w:rFonts w:asciiTheme="minorHAnsi" w:hAnsiTheme="minorHAnsi"/>
          <w:sz w:val="20"/>
          <w:szCs w:val="20"/>
          <w:u w:val="single"/>
        </w:rPr>
        <w:t>Waste</w:t>
      </w:r>
    </w:p>
    <w:p w:rsidR="001179F0" w:rsidRPr="00C66550" w:rsidRDefault="001179F0" w:rsidP="001179F0">
      <w:pPr>
        <w:spacing w:line="240" w:lineRule="auto"/>
        <w:rPr>
          <w:rFonts w:asciiTheme="minorHAnsi" w:hAnsiTheme="minorHAnsi"/>
          <w:i/>
          <w:szCs w:val="20"/>
          <w:lang w:eastAsia="en-AU"/>
        </w:rPr>
      </w:pPr>
      <w:r w:rsidRPr="00C66550">
        <w:rPr>
          <w:rFonts w:asciiTheme="minorHAnsi" w:hAnsiTheme="minorHAnsi"/>
          <w:szCs w:val="20"/>
          <w:lang w:eastAsia="en-AU"/>
        </w:rPr>
        <w:t xml:space="preserve">The </w:t>
      </w:r>
      <w:r w:rsidRPr="00C66550">
        <w:rPr>
          <w:rFonts w:asciiTheme="minorHAnsi" w:hAnsiTheme="minorHAnsi"/>
          <w:b/>
          <w:szCs w:val="20"/>
          <w:lang w:eastAsia="en-AU"/>
        </w:rPr>
        <w:t>Protection of the Environment Operations Act 1997</w:t>
      </w:r>
      <w:r w:rsidRPr="00C66550">
        <w:rPr>
          <w:rFonts w:asciiTheme="minorHAnsi" w:hAnsiTheme="minorHAnsi"/>
          <w:szCs w:val="20"/>
          <w:lang w:eastAsia="en-AU"/>
        </w:rPr>
        <w:t xml:space="preserve"> defines ‘waste’.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spacing w:line="240" w:lineRule="auto"/>
        <w:rPr>
          <w:rFonts w:asciiTheme="minorHAnsi" w:hAnsiTheme="minorHAnsi"/>
          <w:szCs w:val="20"/>
          <w:lang w:eastAsia="en-AU"/>
        </w:rPr>
      </w:pPr>
      <w:r w:rsidRPr="00C66550">
        <w:rPr>
          <w:rFonts w:asciiTheme="minorHAnsi" w:hAnsiTheme="minorHAnsi"/>
          <w:szCs w:val="20"/>
          <w:lang w:eastAsia="en-AU"/>
        </w:rPr>
        <w:t>The WARR Strategy focuses on solid wastes that, unless recovered and diverted to beneficial uses, would be disposed of to solid and inert waste landfills throughout NSW.</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u w:val="single"/>
        </w:rPr>
      </w:pPr>
      <w:r w:rsidRPr="00C66550">
        <w:rPr>
          <w:rFonts w:asciiTheme="minorHAnsi" w:hAnsiTheme="minorHAnsi"/>
          <w:sz w:val="20"/>
          <w:szCs w:val="20"/>
          <w:u w:val="single"/>
        </w:rPr>
        <w:t>WARR recycling rates</w:t>
      </w:r>
    </w:p>
    <w:p w:rsidR="001179F0" w:rsidRPr="00C66550" w:rsidRDefault="001179F0" w:rsidP="001179F0">
      <w:pPr>
        <w:rPr>
          <w:rFonts w:asciiTheme="minorHAnsi" w:hAnsiTheme="minorHAnsi"/>
          <w:szCs w:val="20"/>
        </w:rPr>
      </w:pPr>
      <w:r w:rsidRPr="00C66550">
        <w:rPr>
          <w:rFonts w:asciiTheme="minorHAnsi" w:hAnsiTheme="minorHAnsi" w:cs="Arial"/>
          <w:bCs/>
          <w:szCs w:val="20"/>
        </w:rPr>
        <w:t>The WARR recycling rate for any waste stream is calculated using this formula:</w:t>
      </w: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Recycling Rate of that stream =</w:t>
      </w:r>
      <w:r w:rsidR="00E5424C" w:rsidRPr="00C66550">
        <w:rPr>
          <w:rFonts w:asciiTheme="minorHAnsi" w:hAnsiTheme="minorHAnsi"/>
          <w:sz w:val="20"/>
          <w:szCs w:val="20"/>
        </w:rPr>
        <w:t xml:space="preserve">  </w:t>
      </w:r>
      <w:r w:rsidRPr="00C66550">
        <w:rPr>
          <w:rFonts w:asciiTheme="minorHAnsi" w:hAnsiTheme="minorHAnsi"/>
          <w:sz w:val="20"/>
          <w:szCs w:val="20"/>
        </w:rPr>
        <w:t xml:space="preserve"> Total diverted from landfill from that stream * 100</w:t>
      </w: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ab/>
      </w:r>
      <w:r w:rsidRPr="00C66550">
        <w:rPr>
          <w:rFonts w:asciiTheme="minorHAnsi" w:hAnsiTheme="minorHAnsi"/>
          <w:sz w:val="20"/>
          <w:szCs w:val="20"/>
        </w:rPr>
        <w:tab/>
      </w:r>
      <w:r w:rsidRPr="00C66550">
        <w:rPr>
          <w:rFonts w:asciiTheme="minorHAnsi" w:hAnsiTheme="minorHAnsi"/>
          <w:sz w:val="20"/>
          <w:szCs w:val="20"/>
        </w:rPr>
        <w:tab/>
      </w:r>
      <w:r w:rsidRPr="00C66550">
        <w:rPr>
          <w:rFonts w:asciiTheme="minorHAnsi" w:hAnsiTheme="minorHAnsi"/>
          <w:sz w:val="20"/>
          <w:szCs w:val="20"/>
        </w:rPr>
        <w:tab/>
      </w:r>
      <w:r w:rsidR="00E5424C" w:rsidRPr="00C66550">
        <w:rPr>
          <w:rFonts w:asciiTheme="minorHAnsi" w:hAnsiTheme="minorHAnsi"/>
          <w:sz w:val="20"/>
          <w:szCs w:val="20"/>
        </w:rPr>
        <w:t xml:space="preserve">   </w:t>
      </w:r>
      <w:r w:rsidRPr="00C66550">
        <w:rPr>
          <w:rFonts w:asciiTheme="minorHAnsi" w:hAnsiTheme="minorHAnsi"/>
          <w:sz w:val="20"/>
          <w:szCs w:val="20"/>
        </w:rPr>
        <w:t>--------------------------------------------------------</w:t>
      </w:r>
      <w:r w:rsidRPr="00C66550">
        <w:rPr>
          <w:rFonts w:asciiTheme="minorHAnsi" w:hAnsiTheme="minorHAnsi"/>
          <w:sz w:val="20"/>
          <w:szCs w:val="20"/>
        </w:rPr>
        <w:tab/>
      </w:r>
      <w:r w:rsidR="00E5424C" w:rsidRPr="00C66550">
        <w:rPr>
          <w:rFonts w:asciiTheme="minorHAnsi" w:hAnsiTheme="minorHAnsi"/>
          <w:sz w:val="20"/>
          <w:szCs w:val="20"/>
        </w:rPr>
        <w:t xml:space="preserve">    </w:t>
      </w:r>
      <w:r w:rsidRPr="00C66550">
        <w:rPr>
          <w:rFonts w:asciiTheme="minorHAnsi" w:hAnsiTheme="minorHAnsi"/>
          <w:sz w:val="20"/>
          <w:szCs w:val="20"/>
        </w:rPr>
        <w:t xml:space="preserve">% </w:t>
      </w:r>
      <w:r w:rsidRPr="00C66550">
        <w:rPr>
          <w:rFonts w:asciiTheme="minorHAnsi" w:hAnsiTheme="minorHAnsi"/>
          <w:sz w:val="20"/>
          <w:szCs w:val="20"/>
        </w:rPr>
        <w:tab/>
      </w:r>
      <w:r w:rsidRPr="00C66550">
        <w:rPr>
          <w:rFonts w:asciiTheme="minorHAnsi" w:hAnsiTheme="minorHAnsi"/>
          <w:sz w:val="20"/>
          <w:szCs w:val="20"/>
        </w:rPr>
        <w:tab/>
      </w:r>
      <w:r w:rsidRPr="00C66550">
        <w:rPr>
          <w:rFonts w:asciiTheme="minorHAnsi" w:hAnsiTheme="minorHAnsi"/>
          <w:sz w:val="20"/>
          <w:szCs w:val="20"/>
        </w:rPr>
        <w:tab/>
      </w:r>
      <w:r w:rsidRPr="00C66550">
        <w:rPr>
          <w:rFonts w:asciiTheme="minorHAnsi" w:hAnsiTheme="minorHAnsi"/>
          <w:sz w:val="20"/>
          <w:szCs w:val="20"/>
        </w:rPr>
        <w:tab/>
      </w:r>
      <w:r w:rsidRPr="00C66550">
        <w:rPr>
          <w:rFonts w:asciiTheme="minorHAnsi" w:hAnsiTheme="minorHAnsi"/>
          <w:sz w:val="20"/>
          <w:szCs w:val="20"/>
        </w:rPr>
        <w:tab/>
      </w:r>
      <w:r w:rsidRPr="00C66550">
        <w:rPr>
          <w:rFonts w:asciiTheme="minorHAnsi" w:hAnsiTheme="minorHAnsi"/>
          <w:sz w:val="20"/>
          <w:szCs w:val="20"/>
        </w:rPr>
        <w:tab/>
      </w:r>
      <w:r w:rsidR="00E5424C" w:rsidRPr="00C66550">
        <w:rPr>
          <w:rFonts w:asciiTheme="minorHAnsi" w:hAnsiTheme="minorHAnsi"/>
          <w:sz w:val="20"/>
          <w:szCs w:val="20"/>
        </w:rPr>
        <w:t xml:space="preserve">          </w:t>
      </w:r>
      <w:r w:rsidRPr="00C66550">
        <w:rPr>
          <w:rFonts w:asciiTheme="minorHAnsi" w:hAnsiTheme="minorHAnsi"/>
          <w:sz w:val="20"/>
          <w:szCs w:val="20"/>
        </w:rPr>
        <w:t>Total generated in that stream</w:t>
      </w:r>
      <w:r w:rsidRPr="00C66550">
        <w:rPr>
          <w:rFonts w:asciiTheme="minorHAnsi" w:hAnsiTheme="minorHAnsi"/>
          <w:sz w:val="20"/>
          <w:szCs w:val="20"/>
        </w:rPr>
        <w:tab/>
        <w:t xml:space="preserve">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Where: Total diverted from landfill = Total recycled, reused or reprocessed</w:t>
      </w:r>
    </w:p>
    <w:p w:rsidR="001179F0" w:rsidRPr="00C66550" w:rsidRDefault="00E5424C" w:rsidP="001179F0">
      <w:pPr>
        <w:pStyle w:val="NoSpacing"/>
        <w:rPr>
          <w:rFonts w:asciiTheme="minorHAnsi" w:hAnsiTheme="minorHAnsi"/>
          <w:sz w:val="20"/>
          <w:szCs w:val="20"/>
        </w:rPr>
      </w:pPr>
      <w:r w:rsidRPr="00C66550">
        <w:rPr>
          <w:rFonts w:asciiTheme="minorHAnsi" w:hAnsiTheme="minorHAnsi"/>
          <w:sz w:val="20"/>
          <w:szCs w:val="20"/>
        </w:rPr>
        <w:t xml:space="preserve">      </w:t>
      </w:r>
      <w:r w:rsidR="001179F0" w:rsidRPr="00C66550">
        <w:rPr>
          <w:rFonts w:asciiTheme="minorHAnsi" w:hAnsiTheme="minorHAnsi"/>
          <w:sz w:val="20"/>
          <w:szCs w:val="20"/>
        </w:rPr>
        <w:t>Total Generated = Total disposed to landfill + Total diverted</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Level of Geography</w:t>
      </w:r>
      <w:r w:rsidR="00E5424C" w:rsidRPr="00C66550">
        <w:rPr>
          <w:rFonts w:asciiTheme="minorHAnsi" w:hAnsiTheme="minorHAnsi"/>
          <w:b/>
          <w:sz w:val="20"/>
          <w:szCs w:val="20"/>
          <w:u w:val="single"/>
        </w:rPr>
        <w:t xml:space="preserve"> </w:t>
      </w:r>
    </w:p>
    <w:p w:rsidR="001179F0" w:rsidRPr="00C66550" w:rsidRDefault="001179F0" w:rsidP="001179F0">
      <w:pPr>
        <w:spacing w:before="120"/>
        <w:rPr>
          <w:rFonts w:asciiTheme="minorHAnsi" w:hAnsiTheme="minorHAnsi"/>
          <w:color w:val="000000"/>
          <w:szCs w:val="20"/>
        </w:rPr>
      </w:pPr>
      <w:r w:rsidRPr="00C66550">
        <w:rPr>
          <w:rFonts w:asciiTheme="minorHAnsi" w:hAnsiTheme="minorHAnsi"/>
          <w:szCs w:val="20"/>
          <w:lang w:eastAsia="en-AU"/>
        </w:rPr>
        <w:t>WARR recycling rate data is available for NSW, the Sydney Metropolitan Area (SMA) and</w:t>
      </w:r>
      <w:r w:rsidRPr="00C66550">
        <w:rPr>
          <w:rFonts w:asciiTheme="minorHAnsi" w:hAnsiTheme="minorHAnsi"/>
          <w:color w:val="000000"/>
          <w:szCs w:val="20"/>
        </w:rPr>
        <w:t xml:space="preserve"> the Extended Regulated Area (ERA – Hunter, Central Coast and Illawarra).</w:t>
      </w:r>
      <w:r w:rsidR="00E5424C" w:rsidRPr="00C66550">
        <w:rPr>
          <w:rFonts w:asciiTheme="minorHAnsi" w:hAnsiTheme="minorHAnsi"/>
          <w:color w:val="000000"/>
          <w:szCs w:val="20"/>
        </w:rPr>
        <w:t xml:space="preserve"> </w:t>
      </w:r>
    </w:p>
    <w:p w:rsidR="001179F0" w:rsidRPr="00C66550" w:rsidRDefault="001179F0" w:rsidP="001179F0">
      <w:pPr>
        <w:spacing w:line="360" w:lineRule="auto"/>
        <w:rPr>
          <w:rFonts w:asciiTheme="minorHAnsi" w:hAnsiTheme="minorHAnsi"/>
          <w:color w:val="000000"/>
          <w:szCs w:val="20"/>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Key data items</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Key data items of interest for the WARR report are total tonnages disposed, total recycled tonnages, total waste generated tonnages and the percentage recycled rate which are available by NSW, Sydney and the ERA by the three waste streams (MSW, C&amp;I and C&amp;D).</w:t>
      </w:r>
      <w:r w:rsidR="00E5424C" w:rsidRPr="00C66550">
        <w:rPr>
          <w:rFonts w:asciiTheme="minorHAnsi" w:hAnsiTheme="minorHAnsi"/>
          <w:sz w:val="20"/>
          <w:szCs w:val="20"/>
        </w:rPr>
        <w:t xml:space="preserve">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These key data items are mainly derived from the component data items listed below:</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Disposal data items:</w:t>
      </w:r>
    </w:p>
    <w:p w:rsidR="001179F0" w:rsidRPr="00C66550" w:rsidRDefault="001179F0" w:rsidP="0042276E">
      <w:pPr>
        <w:pStyle w:val="NoSpacing"/>
        <w:numPr>
          <w:ilvl w:val="0"/>
          <w:numId w:val="27"/>
        </w:numPr>
        <w:ind w:left="714" w:hanging="357"/>
        <w:rPr>
          <w:rFonts w:asciiTheme="minorHAnsi" w:hAnsiTheme="minorHAnsi"/>
          <w:sz w:val="20"/>
          <w:szCs w:val="20"/>
        </w:rPr>
      </w:pPr>
      <w:r w:rsidRPr="00C66550">
        <w:rPr>
          <w:rFonts w:asciiTheme="minorHAnsi" w:hAnsiTheme="minorHAnsi" w:cs="Arial"/>
          <w:bCs/>
          <w:color w:val="000000"/>
          <w:sz w:val="20"/>
          <w:szCs w:val="20"/>
        </w:rPr>
        <w:t>Weighed Tonne Quantity</w:t>
      </w:r>
    </w:p>
    <w:p w:rsidR="001179F0" w:rsidRPr="00C66550" w:rsidRDefault="001179F0" w:rsidP="0042276E">
      <w:pPr>
        <w:pStyle w:val="NoSpacing"/>
        <w:numPr>
          <w:ilvl w:val="0"/>
          <w:numId w:val="27"/>
        </w:numPr>
        <w:ind w:left="714" w:hanging="357"/>
        <w:rPr>
          <w:rFonts w:asciiTheme="minorHAnsi" w:hAnsiTheme="minorHAnsi"/>
          <w:sz w:val="20"/>
          <w:szCs w:val="20"/>
        </w:rPr>
      </w:pPr>
      <w:r w:rsidRPr="00C66550">
        <w:rPr>
          <w:rFonts w:asciiTheme="minorHAnsi" w:hAnsiTheme="minorHAnsi" w:cs="Arial"/>
          <w:bCs/>
          <w:color w:val="000000"/>
          <w:sz w:val="20"/>
          <w:szCs w:val="20"/>
        </w:rPr>
        <w:t>Regulated Region Weighed Exempted Tonne</w:t>
      </w:r>
    </w:p>
    <w:p w:rsidR="001179F0" w:rsidRPr="00C66550" w:rsidRDefault="001179F0" w:rsidP="0042276E">
      <w:pPr>
        <w:pStyle w:val="NoSpacing"/>
        <w:numPr>
          <w:ilvl w:val="0"/>
          <w:numId w:val="27"/>
        </w:numPr>
        <w:ind w:left="714" w:hanging="357"/>
        <w:rPr>
          <w:rFonts w:asciiTheme="minorHAnsi" w:hAnsiTheme="minorHAnsi" w:cs="Arial"/>
          <w:bCs/>
          <w:color w:val="000000"/>
          <w:sz w:val="20"/>
          <w:szCs w:val="20"/>
        </w:rPr>
      </w:pPr>
      <w:r w:rsidRPr="00C66550">
        <w:rPr>
          <w:rFonts w:asciiTheme="minorHAnsi" w:hAnsiTheme="minorHAnsi" w:cs="Arial"/>
          <w:bCs/>
          <w:color w:val="000000"/>
          <w:sz w:val="20"/>
          <w:szCs w:val="20"/>
        </w:rPr>
        <w:t>Other Facility Tonne Quantity</w:t>
      </w:r>
    </w:p>
    <w:p w:rsidR="001179F0" w:rsidRPr="00C66550" w:rsidRDefault="001179F0" w:rsidP="0042276E">
      <w:pPr>
        <w:pStyle w:val="NoSpacing"/>
        <w:numPr>
          <w:ilvl w:val="0"/>
          <w:numId w:val="27"/>
        </w:numPr>
        <w:ind w:left="714" w:hanging="357"/>
        <w:rPr>
          <w:rFonts w:asciiTheme="minorHAnsi" w:hAnsiTheme="minorHAnsi" w:cs="Arial"/>
          <w:bCs/>
          <w:color w:val="000000"/>
          <w:sz w:val="20"/>
          <w:szCs w:val="20"/>
        </w:rPr>
      </w:pPr>
      <w:r w:rsidRPr="00C66550">
        <w:rPr>
          <w:rFonts w:asciiTheme="minorHAnsi" w:hAnsiTheme="minorHAnsi" w:cs="Arial"/>
          <w:bCs/>
          <w:color w:val="000000"/>
          <w:sz w:val="20"/>
          <w:szCs w:val="20"/>
        </w:rPr>
        <w:t>Unweighed Tonne Quantity</w:t>
      </w:r>
    </w:p>
    <w:p w:rsidR="001179F0" w:rsidRPr="00C66550" w:rsidRDefault="001179F0" w:rsidP="0042276E">
      <w:pPr>
        <w:pStyle w:val="NoSpacing"/>
        <w:numPr>
          <w:ilvl w:val="0"/>
          <w:numId w:val="27"/>
        </w:numPr>
        <w:ind w:left="714" w:hanging="357"/>
        <w:rPr>
          <w:rFonts w:asciiTheme="minorHAnsi" w:hAnsiTheme="minorHAnsi" w:cs="Arial"/>
          <w:bCs/>
          <w:color w:val="000000"/>
          <w:sz w:val="20"/>
          <w:szCs w:val="20"/>
        </w:rPr>
      </w:pPr>
      <w:r w:rsidRPr="00C66550">
        <w:rPr>
          <w:rFonts w:asciiTheme="minorHAnsi" w:hAnsiTheme="minorHAnsi" w:cs="Arial"/>
          <w:bCs/>
          <w:color w:val="000000"/>
          <w:sz w:val="20"/>
          <w:szCs w:val="20"/>
        </w:rPr>
        <w:t>Regulated Region Unweighed Exempted Tonne</w:t>
      </w:r>
    </w:p>
    <w:p w:rsidR="001179F0" w:rsidRPr="00C66550" w:rsidRDefault="001179F0" w:rsidP="0042276E">
      <w:pPr>
        <w:pStyle w:val="NoSpacing"/>
        <w:numPr>
          <w:ilvl w:val="0"/>
          <w:numId w:val="27"/>
        </w:numPr>
        <w:ind w:left="714" w:hanging="357"/>
        <w:rPr>
          <w:rFonts w:asciiTheme="minorHAnsi" w:hAnsiTheme="minorHAnsi" w:cs="Arial"/>
          <w:bCs/>
          <w:color w:val="000000"/>
          <w:sz w:val="20"/>
          <w:szCs w:val="20"/>
        </w:rPr>
      </w:pPr>
      <w:r w:rsidRPr="00C66550">
        <w:rPr>
          <w:rFonts w:asciiTheme="minorHAnsi" w:hAnsiTheme="minorHAnsi" w:cs="Arial"/>
          <w:bCs/>
          <w:color w:val="000000"/>
          <w:sz w:val="20"/>
          <w:szCs w:val="20"/>
        </w:rPr>
        <w:t>Regulated Region Rebate_ Deduction Tonne</w:t>
      </w:r>
    </w:p>
    <w:p w:rsidR="001179F0" w:rsidRPr="00C66550" w:rsidRDefault="001179F0" w:rsidP="0042276E">
      <w:pPr>
        <w:pStyle w:val="NoSpacing"/>
        <w:numPr>
          <w:ilvl w:val="0"/>
          <w:numId w:val="27"/>
        </w:numPr>
        <w:ind w:left="714" w:hanging="357"/>
        <w:rPr>
          <w:rFonts w:asciiTheme="minorHAnsi" w:hAnsiTheme="minorHAnsi" w:cs="Arial"/>
          <w:bCs/>
          <w:color w:val="000000"/>
          <w:sz w:val="20"/>
          <w:szCs w:val="20"/>
        </w:rPr>
      </w:pPr>
      <w:r w:rsidRPr="00C66550">
        <w:rPr>
          <w:rFonts w:asciiTheme="minorHAnsi" w:hAnsiTheme="minorHAnsi" w:cs="Arial"/>
          <w:bCs/>
          <w:color w:val="000000"/>
          <w:sz w:val="20"/>
          <w:szCs w:val="20"/>
        </w:rPr>
        <w:t>Transported Disposal Deduction Tonne</w:t>
      </w:r>
    </w:p>
    <w:p w:rsidR="001179F0" w:rsidRPr="00C66550" w:rsidRDefault="001179F0" w:rsidP="0042276E">
      <w:pPr>
        <w:pStyle w:val="NoSpacing"/>
        <w:numPr>
          <w:ilvl w:val="0"/>
          <w:numId w:val="27"/>
        </w:numPr>
        <w:ind w:left="714" w:hanging="357"/>
        <w:rPr>
          <w:rFonts w:asciiTheme="minorHAnsi" w:hAnsiTheme="minorHAnsi" w:cs="Arial"/>
          <w:bCs/>
          <w:color w:val="000000"/>
          <w:sz w:val="20"/>
          <w:szCs w:val="20"/>
        </w:rPr>
      </w:pPr>
      <w:r w:rsidRPr="00C66550">
        <w:rPr>
          <w:rFonts w:asciiTheme="minorHAnsi" w:hAnsiTheme="minorHAnsi" w:cs="Arial"/>
          <w:bCs/>
          <w:color w:val="000000"/>
          <w:sz w:val="20"/>
          <w:szCs w:val="20"/>
        </w:rPr>
        <w:t>Total Disposed Tonne</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 xml:space="preserve">Data items are collected by region by stream (and by material in some cases).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Reprocessor Survey data items:</w:t>
      </w:r>
    </w:p>
    <w:p w:rsidR="001179F0" w:rsidRPr="00C66550" w:rsidRDefault="001179F0" w:rsidP="0042276E">
      <w:pPr>
        <w:pStyle w:val="NoSpacing"/>
        <w:numPr>
          <w:ilvl w:val="0"/>
          <w:numId w:val="28"/>
        </w:numPr>
        <w:ind w:left="714" w:hanging="357"/>
        <w:rPr>
          <w:rFonts w:asciiTheme="minorHAnsi" w:hAnsiTheme="minorHAnsi"/>
          <w:sz w:val="20"/>
          <w:szCs w:val="20"/>
        </w:rPr>
      </w:pPr>
      <w:r w:rsidRPr="00C66550">
        <w:rPr>
          <w:rFonts w:asciiTheme="minorHAnsi" w:hAnsiTheme="minorHAnsi"/>
          <w:sz w:val="20"/>
          <w:szCs w:val="20"/>
        </w:rPr>
        <w:t>Total tonnes of unprocessed (material) recovered (collected) in NSW for reprocessing during the 2010-11 financial year</w:t>
      </w:r>
    </w:p>
    <w:p w:rsidR="001179F0" w:rsidRPr="00C66550" w:rsidRDefault="001179F0" w:rsidP="0042276E">
      <w:pPr>
        <w:pStyle w:val="NoSpacing"/>
        <w:numPr>
          <w:ilvl w:val="0"/>
          <w:numId w:val="28"/>
        </w:numPr>
        <w:ind w:left="714" w:hanging="357"/>
        <w:rPr>
          <w:rFonts w:asciiTheme="minorHAnsi" w:hAnsiTheme="minorHAnsi"/>
          <w:sz w:val="20"/>
          <w:szCs w:val="20"/>
        </w:rPr>
      </w:pPr>
      <w:r w:rsidRPr="00C66550">
        <w:rPr>
          <w:rFonts w:asciiTheme="minorHAnsi" w:hAnsiTheme="minorHAnsi"/>
          <w:sz w:val="20"/>
          <w:szCs w:val="20"/>
        </w:rPr>
        <w:t>Total tonnes reprocessed in NSW during the 2010-11 financial year</w:t>
      </w:r>
    </w:p>
    <w:p w:rsidR="001179F0" w:rsidRPr="00C66550" w:rsidRDefault="001179F0" w:rsidP="0042276E">
      <w:pPr>
        <w:pStyle w:val="NoSpacing"/>
        <w:numPr>
          <w:ilvl w:val="0"/>
          <w:numId w:val="28"/>
        </w:numPr>
        <w:ind w:left="714" w:hanging="357"/>
        <w:rPr>
          <w:rFonts w:asciiTheme="minorHAnsi" w:hAnsiTheme="minorHAnsi"/>
          <w:sz w:val="20"/>
          <w:szCs w:val="20"/>
        </w:rPr>
      </w:pPr>
      <w:r w:rsidRPr="00C66550">
        <w:rPr>
          <w:rFonts w:asciiTheme="minorHAnsi" w:hAnsiTheme="minorHAnsi"/>
          <w:sz w:val="20"/>
          <w:szCs w:val="20"/>
        </w:rPr>
        <w:t>Total tonnes disposed to landfill</w:t>
      </w:r>
      <w:r w:rsidR="00E5424C" w:rsidRPr="00C66550">
        <w:rPr>
          <w:rFonts w:asciiTheme="minorHAnsi" w:hAnsiTheme="minorHAnsi"/>
          <w:sz w:val="20"/>
          <w:szCs w:val="20"/>
        </w:rPr>
        <w:t xml:space="preserve"> </w:t>
      </w:r>
      <w:r w:rsidRPr="00C66550">
        <w:rPr>
          <w:rFonts w:asciiTheme="minorHAnsi" w:hAnsiTheme="minorHAnsi"/>
          <w:sz w:val="20"/>
          <w:szCs w:val="20"/>
        </w:rPr>
        <w:t>due to contamination or unsuitability during the 2010-11 financial year</w:t>
      </w:r>
    </w:p>
    <w:p w:rsidR="001179F0" w:rsidRPr="00C66550" w:rsidRDefault="001179F0" w:rsidP="0042276E">
      <w:pPr>
        <w:pStyle w:val="NoSpacing"/>
        <w:numPr>
          <w:ilvl w:val="0"/>
          <w:numId w:val="28"/>
        </w:numPr>
        <w:ind w:left="714" w:hanging="357"/>
        <w:rPr>
          <w:rFonts w:asciiTheme="minorHAnsi" w:hAnsiTheme="minorHAnsi"/>
          <w:sz w:val="20"/>
          <w:szCs w:val="20"/>
        </w:rPr>
      </w:pPr>
      <w:r w:rsidRPr="00C66550">
        <w:rPr>
          <w:rFonts w:asciiTheme="minorHAnsi" w:hAnsiTheme="minorHAnsi"/>
          <w:sz w:val="20"/>
          <w:szCs w:val="20"/>
        </w:rPr>
        <w:t>Total tonnes sent interstate for reprocessing during the 2010-11 financial year</w:t>
      </w:r>
    </w:p>
    <w:p w:rsidR="001179F0" w:rsidRPr="00C66550" w:rsidRDefault="001179F0" w:rsidP="0042276E">
      <w:pPr>
        <w:pStyle w:val="NoSpacing"/>
        <w:numPr>
          <w:ilvl w:val="0"/>
          <w:numId w:val="28"/>
        </w:numPr>
        <w:ind w:left="714" w:hanging="357"/>
        <w:rPr>
          <w:rFonts w:asciiTheme="minorHAnsi" w:hAnsiTheme="minorHAnsi"/>
          <w:sz w:val="20"/>
          <w:szCs w:val="20"/>
        </w:rPr>
      </w:pPr>
      <w:r w:rsidRPr="00C66550">
        <w:rPr>
          <w:rFonts w:asciiTheme="minorHAnsi" w:hAnsiTheme="minorHAnsi"/>
          <w:sz w:val="20"/>
          <w:szCs w:val="20"/>
        </w:rPr>
        <w:t>Total tonnes</w:t>
      </w:r>
      <w:r w:rsidR="00E5424C" w:rsidRPr="00C66550">
        <w:rPr>
          <w:rFonts w:asciiTheme="minorHAnsi" w:hAnsiTheme="minorHAnsi"/>
          <w:sz w:val="20"/>
          <w:szCs w:val="20"/>
        </w:rPr>
        <w:t xml:space="preserve"> </w:t>
      </w:r>
      <w:r w:rsidRPr="00C66550">
        <w:rPr>
          <w:rFonts w:asciiTheme="minorHAnsi" w:hAnsiTheme="minorHAnsi"/>
          <w:sz w:val="20"/>
          <w:szCs w:val="20"/>
        </w:rPr>
        <w:t>sent overseas for reprocessing during the 2010-11 financial year</w:t>
      </w:r>
    </w:p>
    <w:p w:rsidR="001179F0" w:rsidRPr="00C66550" w:rsidRDefault="001179F0" w:rsidP="0042276E">
      <w:pPr>
        <w:pStyle w:val="NoSpacing"/>
        <w:numPr>
          <w:ilvl w:val="0"/>
          <w:numId w:val="28"/>
        </w:numPr>
        <w:ind w:left="714" w:hanging="357"/>
        <w:rPr>
          <w:rFonts w:asciiTheme="minorHAnsi" w:hAnsiTheme="minorHAnsi"/>
          <w:sz w:val="20"/>
          <w:szCs w:val="20"/>
        </w:rPr>
      </w:pPr>
      <w:r w:rsidRPr="00C66550">
        <w:rPr>
          <w:rFonts w:asciiTheme="minorHAnsi" w:hAnsiTheme="minorHAnsi"/>
          <w:sz w:val="20"/>
          <w:szCs w:val="20"/>
        </w:rPr>
        <w:t>Total tonnes reprocessed during the 2010-11 financial year</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Data items are collected by material type.</w:t>
      </w:r>
    </w:p>
    <w:p w:rsidR="001179F0" w:rsidRPr="00C66550" w:rsidRDefault="001179F0" w:rsidP="001179F0">
      <w:pPr>
        <w:pStyle w:val="NoSpacing"/>
        <w:rPr>
          <w:rFonts w:asciiTheme="minorHAnsi" w:hAnsiTheme="minorHAnsi"/>
          <w:sz w:val="20"/>
          <w:szCs w:val="20"/>
          <w:u w:val="single"/>
        </w:rPr>
      </w:pPr>
    </w:p>
    <w:p w:rsidR="001179F0" w:rsidRPr="00C66550" w:rsidRDefault="001179F0" w:rsidP="001179F0">
      <w:pPr>
        <w:pStyle w:val="NoSpacing"/>
        <w:rPr>
          <w:rFonts w:asciiTheme="minorHAnsi" w:hAnsiTheme="minorHAnsi"/>
          <w:b/>
          <w:sz w:val="20"/>
          <w:szCs w:val="20"/>
          <w:u w:val="single"/>
        </w:rPr>
      </w:pPr>
      <w:r w:rsidRPr="00C66550">
        <w:rPr>
          <w:rFonts w:asciiTheme="minorHAnsi" w:hAnsiTheme="minorHAnsi"/>
          <w:b/>
          <w:sz w:val="20"/>
          <w:szCs w:val="20"/>
          <w:u w:val="single"/>
        </w:rPr>
        <w:t>Standard Classifications</w:t>
      </w:r>
    </w:p>
    <w:p w:rsidR="001179F0" w:rsidRPr="00C66550" w:rsidRDefault="001179F0" w:rsidP="001179F0">
      <w:pPr>
        <w:pStyle w:val="NoSpacing"/>
        <w:rPr>
          <w:rFonts w:asciiTheme="minorHAnsi" w:hAnsiTheme="minorHAnsi"/>
          <w:sz w:val="20"/>
          <w:szCs w:val="20"/>
          <w:u w:val="single"/>
        </w:rPr>
      </w:pPr>
    </w:p>
    <w:p w:rsidR="001179F0" w:rsidRPr="00C66550" w:rsidRDefault="001179F0" w:rsidP="001179F0">
      <w:pPr>
        <w:pStyle w:val="NoSpacing"/>
        <w:rPr>
          <w:rFonts w:asciiTheme="minorHAnsi" w:hAnsiTheme="minorHAnsi"/>
          <w:sz w:val="20"/>
          <w:szCs w:val="20"/>
          <w:u w:val="single"/>
        </w:rPr>
      </w:pPr>
      <w:r w:rsidRPr="00C66550">
        <w:rPr>
          <w:rFonts w:asciiTheme="minorHAnsi" w:hAnsiTheme="minorHAnsi"/>
          <w:sz w:val="20"/>
          <w:szCs w:val="20"/>
          <w:u w:val="single"/>
        </w:rPr>
        <w:t>Disposal data</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The key classifications used are:</w:t>
      </w:r>
    </w:p>
    <w:p w:rsidR="001179F0" w:rsidRPr="00C66550" w:rsidRDefault="001179F0" w:rsidP="0042276E">
      <w:pPr>
        <w:pStyle w:val="NoSpacing"/>
        <w:numPr>
          <w:ilvl w:val="0"/>
          <w:numId w:val="24"/>
        </w:numPr>
        <w:ind w:left="714" w:hanging="357"/>
        <w:rPr>
          <w:rFonts w:asciiTheme="minorHAnsi" w:hAnsiTheme="minorHAnsi"/>
          <w:sz w:val="20"/>
          <w:szCs w:val="20"/>
        </w:rPr>
      </w:pPr>
      <w:r w:rsidRPr="00C66550">
        <w:rPr>
          <w:rFonts w:asciiTheme="minorHAnsi" w:hAnsiTheme="minorHAnsi"/>
          <w:sz w:val="20"/>
          <w:szCs w:val="20"/>
        </w:rPr>
        <w:t>Waste stream</w:t>
      </w:r>
    </w:p>
    <w:p w:rsidR="001179F0" w:rsidRPr="00C66550" w:rsidRDefault="001179F0" w:rsidP="0042276E">
      <w:pPr>
        <w:pStyle w:val="NoSpacing"/>
        <w:numPr>
          <w:ilvl w:val="0"/>
          <w:numId w:val="24"/>
        </w:numPr>
        <w:ind w:left="714" w:hanging="357"/>
        <w:rPr>
          <w:rFonts w:asciiTheme="minorHAnsi" w:hAnsiTheme="minorHAnsi"/>
          <w:sz w:val="20"/>
          <w:szCs w:val="20"/>
        </w:rPr>
      </w:pPr>
      <w:r w:rsidRPr="00C66550">
        <w:rPr>
          <w:rFonts w:asciiTheme="minorHAnsi" w:hAnsiTheme="minorHAnsi"/>
          <w:sz w:val="20"/>
          <w:szCs w:val="20"/>
        </w:rPr>
        <w:t>Material Composition Code</w:t>
      </w:r>
    </w:p>
    <w:p w:rsidR="001179F0" w:rsidRPr="00C66550" w:rsidRDefault="001179F0" w:rsidP="0042276E">
      <w:pPr>
        <w:pStyle w:val="NoSpacing"/>
        <w:numPr>
          <w:ilvl w:val="0"/>
          <w:numId w:val="24"/>
        </w:numPr>
        <w:ind w:left="714" w:hanging="357"/>
        <w:rPr>
          <w:rFonts w:asciiTheme="minorHAnsi" w:hAnsiTheme="minorHAnsi"/>
          <w:sz w:val="20"/>
          <w:szCs w:val="20"/>
        </w:rPr>
      </w:pPr>
      <w:r w:rsidRPr="00C66550">
        <w:rPr>
          <w:rFonts w:asciiTheme="minorHAnsi" w:hAnsiTheme="minorHAnsi"/>
          <w:sz w:val="20"/>
          <w:szCs w:val="20"/>
        </w:rPr>
        <w:t xml:space="preserve">Region -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For purposes of reporting their data, waste facilities are classified using LGA to the following regions:</w:t>
      </w:r>
    </w:p>
    <w:p w:rsidR="001179F0" w:rsidRPr="00C66550" w:rsidRDefault="001179F0" w:rsidP="0042276E">
      <w:pPr>
        <w:pStyle w:val="NoSpacing"/>
        <w:numPr>
          <w:ilvl w:val="0"/>
          <w:numId w:val="26"/>
        </w:numPr>
        <w:ind w:left="714" w:hanging="357"/>
        <w:rPr>
          <w:rFonts w:asciiTheme="minorHAnsi" w:hAnsiTheme="minorHAnsi"/>
          <w:sz w:val="20"/>
          <w:szCs w:val="20"/>
        </w:rPr>
      </w:pPr>
      <w:r w:rsidRPr="00C66550">
        <w:rPr>
          <w:rFonts w:asciiTheme="minorHAnsi" w:hAnsiTheme="minorHAnsi"/>
          <w:sz w:val="20"/>
          <w:szCs w:val="20"/>
        </w:rPr>
        <w:t xml:space="preserve">SMA – Sydney Metropolitan Area </w:t>
      </w:r>
    </w:p>
    <w:p w:rsidR="001179F0" w:rsidRPr="00C66550" w:rsidRDefault="001179F0" w:rsidP="0042276E">
      <w:pPr>
        <w:pStyle w:val="NoSpacing"/>
        <w:numPr>
          <w:ilvl w:val="0"/>
          <w:numId w:val="26"/>
        </w:numPr>
        <w:ind w:left="714" w:hanging="357"/>
        <w:rPr>
          <w:rFonts w:asciiTheme="minorHAnsi" w:hAnsiTheme="minorHAnsi"/>
          <w:sz w:val="20"/>
          <w:szCs w:val="20"/>
        </w:rPr>
      </w:pPr>
      <w:r w:rsidRPr="00C66550">
        <w:rPr>
          <w:rFonts w:asciiTheme="minorHAnsi" w:hAnsiTheme="minorHAnsi"/>
          <w:sz w:val="20"/>
          <w:szCs w:val="20"/>
        </w:rPr>
        <w:t>ERA – Extended Regulated Area (Hunter, Central Coast and Illawarra</w:t>
      </w:r>
    </w:p>
    <w:p w:rsidR="001179F0" w:rsidRPr="00C66550" w:rsidRDefault="001179F0" w:rsidP="0042276E">
      <w:pPr>
        <w:pStyle w:val="NoSpacing"/>
        <w:numPr>
          <w:ilvl w:val="0"/>
          <w:numId w:val="26"/>
        </w:numPr>
        <w:ind w:left="714" w:hanging="357"/>
        <w:rPr>
          <w:rFonts w:asciiTheme="minorHAnsi" w:hAnsiTheme="minorHAnsi"/>
          <w:sz w:val="20"/>
          <w:szCs w:val="20"/>
        </w:rPr>
      </w:pPr>
      <w:r w:rsidRPr="00C66550">
        <w:rPr>
          <w:rFonts w:asciiTheme="minorHAnsi" w:hAnsiTheme="minorHAnsi"/>
          <w:sz w:val="20"/>
          <w:szCs w:val="20"/>
        </w:rPr>
        <w:t>RRA – Regional Regulated Area</w:t>
      </w:r>
    </w:p>
    <w:p w:rsidR="001179F0" w:rsidRPr="00C66550" w:rsidRDefault="001179F0" w:rsidP="0042276E">
      <w:pPr>
        <w:pStyle w:val="NoSpacing"/>
        <w:numPr>
          <w:ilvl w:val="0"/>
          <w:numId w:val="26"/>
        </w:numPr>
        <w:ind w:left="714" w:hanging="357"/>
        <w:rPr>
          <w:rFonts w:asciiTheme="minorHAnsi" w:hAnsiTheme="minorHAnsi"/>
          <w:sz w:val="20"/>
          <w:szCs w:val="20"/>
        </w:rPr>
      </w:pPr>
      <w:r w:rsidRPr="00C66550">
        <w:rPr>
          <w:rFonts w:asciiTheme="minorHAnsi" w:hAnsiTheme="minorHAnsi"/>
          <w:sz w:val="20"/>
          <w:szCs w:val="20"/>
        </w:rPr>
        <w:t>Rest of NSW</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RRA and Rest of NSW data are combined to create NRA data (Non regulated Area) when reporting WARR recycling rates and are reported as Rest of NSW in the WARR progress Report 2012.</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u w:val="single"/>
        </w:rPr>
      </w:pPr>
      <w:r w:rsidRPr="00C66550">
        <w:rPr>
          <w:rFonts w:asciiTheme="minorHAnsi" w:hAnsiTheme="minorHAnsi"/>
          <w:sz w:val="20"/>
          <w:szCs w:val="20"/>
          <w:u w:val="single"/>
        </w:rPr>
        <w:t>Recovery data</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rPr>
          <w:rFonts w:asciiTheme="minorHAnsi" w:hAnsiTheme="minorHAnsi"/>
          <w:sz w:val="20"/>
          <w:szCs w:val="20"/>
        </w:rPr>
      </w:pPr>
      <w:r w:rsidRPr="00C66550">
        <w:rPr>
          <w:rFonts w:asciiTheme="minorHAnsi" w:hAnsiTheme="minorHAnsi"/>
          <w:sz w:val="20"/>
          <w:szCs w:val="20"/>
        </w:rPr>
        <w:t>Key classifications include:</w:t>
      </w:r>
    </w:p>
    <w:p w:rsidR="001179F0" w:rsidRPr="00C66550" w:rsidRDefault="001179F0" w:rsidP="0042276E">
      <w:pPr>
        <w:pStyle w:val="NoSpacing"/>
        <w:numPr>
          <w:ilvl w:val="0"/>
          <w:numId w:val="25"/>
        </w:numPr>
        <w:ind w:left="714" w:hanging="357"/>
        <w:rPr>
          <w:rFonts w:asciiTheme="minorHAnsi" w:hAnsiTheme="minorHAnsi"/>
          <w:sz w:val="20"/>
          <w:szCs w:val="20"/>
        </w:rPr>
      </w:pPr>
      <w:r w:rsidRPr="00C66550">
        <w:rPr>
          <w:rFonts w:asciiTheme="minorHAnsi" w:hAnsiTheme="minorHAnsi"/>
          <w:sz w:val="20"/>
          <w:szCs w:val="20"/>
        </w:rPr>
        <w:t xml:space="preserve">Material </w:t>
      </w:r>
    </w:p>
    <w:p w:rsidR="001179F0" w:rsidRPr="00C66550" w:rsidRDefault="001179F0" w:rsidP="0042276E">
      <w:pPr>
        <w:pStyle w:val="NoSpacing"/>
        <w:numPr>
          <w:ilvl w:val="0"/>
          <w:numId w:val="25"/>
        </w:numPr>
        <w:ind w:left="714" w:hanging="357"/>
        <w:rPr>
          <w:rFonts w:asciiTheme="minorHAnsi" w:hAnsiTheme="minorHAnsi"/>
          <w:sz w:val="20"/>
          <w:szCs w:val="20"/>
        </w:rPr>
      </w:pPr>
      <w:r w:rsidRPr="00C66550">
        <w:rPr>
          <w:rFonts w:asciiTheme="minorHAnsi" w:hAnsiTheme="minorHAnsi"/>
          <w:sz w:val="20"/>
          <w:szCs w:val="20"/>
        </w:rPr>
        <w:t>Region (for some surveys only)</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spacing w:after="120"/>
        <w:rPr>
          <w:rFonts w:asciiTheme="minorHAnsi" w:hAnsiTheme="minorHAnsi"/>
          <w:b/>
          <w:sz w:val="20"/>
          <w:szCs w:val="20"/>
        </w:rPr>
      </w:pPr>
      <w:r w:rsidRPr="00C66550">
        <w:rPr>
          <w:rFonts w:asciiTheme="minorHAnsi" w:hAnsiTheme="minorHAnsi"/>
          <w:b/>
          <w:sz w:val="20"/>
          <w:szCs w:val="20"/>
        </w:rPr>
        <w:t>Timeliness</w:t>
      </w:r>
    </w:p>
    <w:p w:rsidR="001179F0" w:rsidRPr="00C66550" w:rsidRDefault="001179F0" w:rsidP="001179F0">
      <w:pPr>
        <w:rPr>
          <w:rFonts w:asciiTheme="minorHAnsi" w:hAnsiTheme="minorHAnsi" w:cs="Arial"/>
          <w:szCs w:val="20"/>
        </w:rPr>
      </w:pPr>
      <w:r w:rsidRPr="00C66550">
        <w:rPr>
          <w:rFonts w:asciiTheme="minorHAnsi" w:hAnsiTheme="minorHAnsi"/>
          <w:szCs w:val="20"/>
        </w:rPr>
        <w:t xml:space="preserve">As required by the </w:t>
      </w:r>
      <w:r w:rsidRPr="00C66550">
        <w:rPr>
          <w:rFonts w:asciiTheme="minorHAnsi" w:hAnsiTheme="minorHAnsi"/>
          <w:i/>
          <w:szCs w:val="20"/>
        </w:rPr>
        <w:t>Waste Avoidance and Resource Recovery Strategy (WARR)</w:t>
      </w:r>
      <w:r w:rsidRPr="00C66550">
        <w:rPr>
          <w:rFonts w:asciiTheme="minorHAnsi" w:hAnsiTheme="minorHAnsi"/>
          <w:szCs w:val="20"/>
        </w:rPr>
        <w:t>, NSW recycling rates are derived every 2 years.</w:t>
      </w:r>
      <w:r w:rsidR="00E5424C" w:rsidRPr="00C66550">
        <w:rPr>
          <w:rFonts w:asciiTheme="minorHAnsi" w:hAnsiTheme="minorHAnsi"/>
          <w:szCs w:val="20"/>
        </w:rPr>
        <w:t xml:space="preserve"> </w:t>
      </w:r>
      <w:r w:rsidRPr="00C66550">
        <w:rPr>
          <w:rFonts w:asciiTheme="minorHAnsi" w:hAnsiTheme="minorHAnsi"/>
          <w:szCs w:val="20"/>
        </w:rPr>
        <w:t xml:space="preserve"> The last WARR report covered the 2008-09 period and this report provides WARR recycling ratios for the 2010-11 period.</w:t>
      </w:r>
      <w:r w:rsidR="00E5424C" w:rsidRPr="00C66550">
        <w:rPr>
          <w:rFonts w:asciiTheme="minorHAnsi" w:hAnsiTheme="minorHAnsi"/>
          <w:szCs w:val="20"/>
        </w:rPr>
        <w:t xml:space="preserve"> </w:t>
      </w:r>
      <w:r w:rsidRPr="00C66550">
        <w:rPr>
          <w:rFonts w:asciiTheme="minorHAnsi" w:hAnsiTheme="minorHAnsi"/>
          <w:szCs w:val="20"/>
        </w:rPr>
        <w:t>The next report is expected to be released in 2014, providing updated recycling ratios for the 2012-13 period.</w:t>
      </w:r>
    </w:p>
    <w:p w:rsidR="001179F0" w:rsidRPr="00C66550" w:rsidRDefault="001179F0" w:rsidP="001179F0">
      <w:pPr>
        <w:pStyle w:val="NoSpacing"/>
        <w:rPr>
          <w:rFonts w:asciiTheme="minorHAnsi" w:hAnsiTheme="minorHAnsi" w:cs="Arial"/>
          <w:color w:val="636262"/>
          <w:sz w:val="20"/>
          <w:szCs w:val="20"/>
        </w:rPr>
      </w:pPr>
      <w:r w:rsidRPr="00C66550">
        <w:rPr>
          <w:rFonts w:asciiTheme="minorHAnsi" w:hAnsiTheme="minorHAnsi"/>
          <w:sz w:val="20"/>
          <w:szCs w:val="20"/>
        </w:rPr>
        <w:t>Waste disposal data col</w:t>
      </w:r>
      <w:r w:rsidRPr="00C66550">
        <w:rPr>
          <w:rFonts w:asciiTheme="minorHAnsi" w:hAnsiTheme="minorHAnsi" w:cs="Arial"/>
          <w:sz w:val="20"/>
          <w:szCs w:val="20"/>
        </w:rPr>
        <w:t xml:space="preserve">lected in monthly and annual returns is aggregated and trends reported publicly in the EPA Annual Reports, State of the Environment Reports and other relevant waste publications. </w:t>
      </w:r>
    </w:p>
    <w:p w:rsidR="001179F0" w:rsidRPr="00C66550" w:rsidRDefault="001179F0" w:rsidP="001179F0">
      <w:pPr>
        <w:pStyle w:val="NoSpacing"/>
        <w:rPr>
          <w:rFonts w:asciiTheme="minorHAnsi" w:hAnsiTheme="minorHAnsi"/>
          <w:sz w:val="20"/>
          <w:szCs w:val="20"/>
        </w:rPr>
      </w:pPr>
    </w:p>
    <w:p w:rsidR="001179F0" w:rsidRPr="00C66550" w:rsidRDefault="001179F0" w:rsidP="001179F0">
      <w:pPr>
        <w:pStyle w:val="NoSpacing"/>
        <w:spacing w:after="120"/>
        <w:rPr>
          <w:rFonts w:asciiTheme="minorHAnsi" w:hAnsiTheme="minorHAnsi"/>
          <w:b/>
          <w:sz w:val="20"/>
          <w:szCs w:val="20"/>
        </w:rPr>
      </w:pPr>
      <w:r w:rsidRPr="00C66550">
        <w:rPr>
          <w:rFonts w:asciiTheme="minorHAnsi" w:hAnsiTheme="minorHAnsi"/>
          <w:b/>
          <w:sz w:val="20"/>
          <w:szCs w:val="20"/>
        </w:rPr>
        <w:t>Accuracy</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 xml:space="preserve">WARR recycling rates are compiled from a number of data sources including census and sample surveys. </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The EPA use compositional a</w:t>
      </w:r>
      <w:r w:rsidRPr="00C66550">
        <w:rPr>
          <w:rFonts w:asciiTheme="minorHAnsi" w:hAnsiTheme="minorHAnsi" w:cs="Arial"/>
          <w:bCs/>
          <w:sz w:val="20"/>
          <w:szCs w:val="20"/>
        </w:rPr>
        <w:t>udits to apportion waste to material type and as an input into the calculation of WARR recycling rates.</w:t>
      </w:r>
      <w:r w:rsidR="00E5424C" w:rsidRPr="00C66550">
        <w:rPr>
          <w:rFonts w:asciiTheme="minorHAnsi" w:hAnsiTheme="minorHAnsi" w:cs="Arial"/>
          <w:bCs/>
          <w:sz w:val="20"/>
          <w:szCs w:val="20"/>
        </w:rPr>
        <w:t xml:space="preserve"> </w:t>
      </w:r>
      <w:r w:rsidRPr="00C66550">
        <w:rPr>
          <w:rFonts w:asciiTheme="minorHAnsi" w:hAnsiTheme="minorHAnsi" w:cs="Arial"/>
          <w:bCs/>
          <w:sz w:val="20"/>
          <w:szCs w:val="20"/>
        </w:rPr>
        <w:t xml:space="preserve">These audits use sample survey </w:t>
      </w:r>
      <w:r w:rsidR="00875317" w:rsidRPr="00C66550">
        <w:rPr>
          <w:rFonts w:asciiTheme="minorHAnsi" w:hAnsiTheme="minorHAnsi" w:cs="Arial"/>
          <w:bCs/>
          <w:sz w:val="20"/>
          <w:szCs w:val="20"/>
        </w:rPr>
        <w:t>method</w:t>
      </w:r>
      <w:r w:rsidRPr="00C66550">
        <w:rPr>
          <w:rFonts w:asciiTheme="minorHAnsi" w:hAnsiTheme="minorHAnsi" w:cs="Arial"/>
          <w:bCs/>
          <w:sz w:val="20"/>
          <w:szCs w:val="20"/>
        </w:rPr>
        <w:t>.</w:t>
      </w:r>
      <w:r w:rsidR="00E5424C" w:rsidRPr="00C66550">
        <w:rPr>
          <w:rFonts w:asciiTheme="minorHAnsi" w:hAnsiTheme="minorHAnsi" w:cs="Arial"/>
          <w:bCs/>
          <w:sz w:val="20"/>
          <w:szCs w:val="20"/>
        </w:rPr>
        <w:t xml:space="preserve"> </w:t>
      </w:r>
      <w:r w:rsidRPr="00C66550">
        <w:rPr>
          <w:rFonts w:asciiTheme="minorHAnsi" w:hAnsiTheme="minorHAnsi"/>
          <w:sz w:val="20"/>
          <w:szCs w:val="20"/>
        </w:rPr>
        <w:t>Two types of error can occur in estimates that are based on a sample survey: sampling error and non-sampling error.</w:t>
      </w:r>
      <w:r w:rsidR="00E5424C" w:rsidRPr="00C66550">
        <w:rPr>
          <w:rFonts w:asciiTheme="minorHAnsi" w:hAnsiTheme="minorHAnsi"/>
          <w:sz w:val="20"/>
          <w:szCs w:val="20"/>
        </w:rPr>
        <w:t xml:space="preserve"> </w:t>
      </w:r>
      <w:r w:rsidRPr="00C66550">
        <w:rPr>
          <w:rFonts w:asciiTheme="minorHAnsi" w:hAnsiTheme="minorHAnsi"/>
          <w:sz w:val="20"/>
          <w:szCs w:val="20"/>
        </w:rPr>
        <w:t>Sampling error occurs when a sample, rather than the entire population, is surveyed. It reflects the difference between estimates based on a sample and those that would have been obtained had a census been conducted.</w:t>
      </w:r>
      <w:r w:rsidR="00E5424C" w:rsidRPr="00C66550">
        <w:rPr>
          <w:rFonts w:asciiTheme="minorHAnsi" w:hAnsiTheme="minorHAnsi"/>
          <w:sz w:val="20"/>
          <w:szCs w:val="20"/>
        </w:rPr>
        <w:t xml:space="preserve"> </w:t>
      </w:r>
      <w:r w:rsidRPr="00C66550">
        <w:rPr>
          <w:rFonts w:asciiTheme="minorHAnsi" w:hAnsiTheme="minorHAnsi"/>
          <w:sz w:val="20"/>
          <w:szCs w:val="20"/>
        </w:rPr>
        <w:t>Significant research was undertaken</w:t>
      </w:r>
    </w:p>
    <w:p w:rsidR="001179F0" w:rsidRPr="00C66550" w:rsidRDefault="001179F0" w:rsidP="001179F0">
      <w:pPr>
        <w:rPr>
          <w:rFonts w:asciiTheme="minorHAnsi" w:hAnsiTheme="minorHAnsi"/>
          <w:szCs w:val="20"/>
        </w:rPr>
      </w:pPr>
      <w:r w:rsidRPr="00C66550">
        <w:rPr>
          <w:rFonts w:asciiTheme="minorHAnsi" w:hAnsiTheme="minorHAnsi"/>
          <w:szCs w:val="20"/>
        </w:rPr>
        <w:t>to select samples for the EPA compositional audits that were representative.</w:t>
      </w:r>
      <w:r w:rsidR="00E5424C" w:rsidRPr="00C66550">
        <w:rPr>
          <w:rFonts w:asciiTheme="minorHAnsi" w:hAnsiTheme="minorHAnsi"/>
          <w:szCs w:val="20"/>
        </w:rPr>
        <w:t xml:space="preserve"> </w:t>
      </w:r>
      <w:r w:rsidRPr="00C66550">
        <w:rPr>
          <w:rFonts w:asciiTheme="minorHAnsi" w:hAnsiTheme="minorHAnsi"/>
          <w:szCs w:val="20"/>
        </w:rPr>
        <w:t xml:space="preserve"> </w:t>
      </w:r>
    </w:p>
    <w:p w:rsidR="001179F0" w:rsidRPr="00C66550" w:rsidRDefault="001179F0" w:rsidP="001179F0">
      <w:pPr>
        <w:spacing w:before="120"/>
        <w:rPr>
          <w:rFonts w:asciiTheme="minorHAnsi" w:hAnsiTheme="minorHAnsi"/>
          <w:szCs w:val="20"/>
        </w:rPr>
      </w:pPr>
      <w:r w:rsidRPr="00C66550">
        <w:rPr>
          <w:rFonts w:asciiTheme="minorHAnsi" w:hAnsiTheme="minorHAnsi"/>
          <w:szCs w:val="20"/>
        </w:rPr>
        <w:t>Non-sampling error arises from inaccuracies in collecting, recording and processing the data. Every effort was made to minimise reporting error, by the careful design of audit forms and field procedures, efficient data processing procedures and intensive training of audit field staff (or the use of experienced contractors).</w:t>
      </w:r>
    </w:p>
    <w:p w:rsidR="001179F0" w:rsidRPr="00C66550" w:rsidRDefault="001179F0" w:rsidP="001179F0">
      <w:pPr>
        <w:spacing w:before="120"/>
        <w:rPr>
          <w:rFonts w:asciiTheme="minorHAnsi" w:hAnsiTheme="minorHAnsi"/>
          <w:szCs w:val="20"/>
        </w:rPr>
      </w:pPr>
      <w:r w:rsidRPr="00C66550">
        <w:rPr>
          <w:rFonts w:asciiTheme="minorHAnsi" w:hAnsiTheme="minorHAnsi"/>
          <w:szCs w:val="20"/>
        </w:rPr>
        <w:t>Disposal data is collected by a census of NSW waste facilities.</w:t>
      </w:r>
      <w:r w:rsidR="00E5424C" w:rsidRPr="00C66550">
        <w:rPr>
          <w:rFonts w:asciiTheme="minorHAnsi" w:hAnsiTheme="minorHAnsi"/>
          <w:szCs w:val="20"/>
        </w:rPr>
        <w:t xml:space="preserve"> </w:t>
      </w:r>
      <w:r w:rsidRPr="00C66550">
        <w:rPr>
          <w:rFonts w:asciiTheme="minorHAnsi" w:hAnsiTheme="minorHAnsi"/>
          <w:szCs w:val="20"/>
        </w:rPr>
        <w:t xml:space="preserve"> All licensed waste facilities in the GSR and RRA report tonnages disposed to landfill via the </w:t>
      </w:r>
      <w:r w:rsidRPr="00C66550">
        <w:rPr>
          <w:rFonts w:asciiTheme="minorHAnsi" w:hAnsiTheme="minorHAnsi"/>
          <w:i/>
          <w:szCs w:val="20"/>
        </w:rPr>
        <w:t>Section 88 Waste Contributions Monthly report (WCMR)</w:t>
      </w:r>
      <w:r w:rsidRPr="00C66550">
        <w:rPr>
          <w:rFonts w:asciiTheme="minorHAnsi" w:hAnsiTheme="minorHAnsi"/>
          <w:szCs w:val="20"/>
        </w:rPr>
        <w:t>.</w:t>
      </w:r>
      <w:r w:rsidR="00E5424C" w:rsidRPr="00C66550">
        <w:rPr>
          <w:rFonts w:asciiTheme="minorHAnsi" w:hAnsiTheme="minorHAnsi"/>
          <w:szCs w:val="20"/>
        </w:rPr>
        <w:t xml:space="preserve"> </w:t>
      </w:r>
      <w:r w:rsidRPr="00C66550">
        <w:rPr>
          <w:rFonts w:asciiTheme="minorHAnsi" w:hAnsiTheme="minorHAnsi"/>
          <w:szCs w:val="20"/>
        </w:rPr>
        <w:t>Tonnages are recorded using weighbridges. The majority of data is submitted on line, externally by the facility into the EPA’s WCMR data base.</w:t>
      </w:r>
      <w:r w:rsidR="00E5424C" w:rsidRPr="00C66550">
        <w:rPr>
          <w:rFonts w:asciiTheme="minorHAnsi" w:hAnsiTheme="minorHAnsi"/>
          <w:szCs w:val="20"/>
        </w:rPr>
        <w:t xml:space="preserve"> </w:t>
      </w:r>
      <w:r w:rsidRPr="00C66550">
        <w:rPr>
          <w:rFonts w:asciiTheme="minorHAnsi" w:hAnsiTheme="minorHAnsi"/>
          <w:szCs w:val="20"/>
        </w:rPr>
        <w:t>Waste facilities outside the GSR and RRA report annually via a form.</w:t>
      </w:r>
      <w:r w:rsidR="00E5424C" w:rsidRPr="00C66550">
        <w:rPr>
          <w:rFonts w:asciiTheme="minorHAnsi" w:hAnsiTheme="minorHAnsi"/>
          <w:szCs w:val="20"/>
        </w:rPr>
        <w:t xml:space="preserve"> </w:t>
      </w:r>
      <w:r w:rsidRPr="00C66550">
        <w:rPr>
          <w:rFonts w:asciiTheme="minorHAnsi" w:hAnsiTheme="minorHAnsi"/>
          <w:szCs w:val="20"/>
        </w:rPr>
        <w:t>The EPA audit data reported by facilities using weighbridge software.</w:t>
      </w:r>
      <w:r w:rsidR="00E5424C" w:rsidRPr="00C66550">
        <w:rPr>
          <w:rFonts w:asciiTheme="minorHAnsi" w:hAnsiTheme="minorHAnsi"/>
          <w:szCs w:val="20"/>
        </w:rPr>
        <w:t xml:space="preserve"> </w:t>
      </w:r>
      <w:r w:rsidRPr="00C66550">
        <w:rPr>
          <w:rFonts w:asciiTheme="minorHAnsi" w:hAnsiTheme="minorHAnsi"/>
          <w:szCs w:val="20"/>
        </w:rPr>
        <w:t>Every effort is made to reduce reporting error by the careful design of collection instruments and efficient data processing techniques.</w:t>
      </w:r>
    </w:p>
    <w:p w:rsidR="001179F0" w:rsidRPr="00C66550" w:rsidRDefault="001179F0" w:rsidP="001179F0">
      <w:pPr>
        <w:spacing w:before="120" w:line="240" w:lineRule="auto"/>
        <w:rPr>
          <w:rFonts w:asciiTheme="minorHAnsi" w:hAnsiTheme="minorHAnsi"/>
          <w:szCs w:val="20"/>
        </w:rPr>
      </w:pPr>
      <w:r w:rsidRPr="00C66550">
        <w:rPr>
          <w:rFonts w:asciiTheme="minorHAnsi" w:hAnsiTheme="minorHAnsi"/>
          <w:szCs w:val="20"/>
        </w:rPr>
        <w:lastRenderedPageBreak/>
        <w:t>The Reprocessor Surveys are a census of a</w:t>
      </w:r>
      <w:r w:rsidRPr="00C66550">
        <w:rPr>
          <w:rFonts w:asciiTheme="minorHAnsi" w:hAnsiTheme="minorHAnsi"/>
          <w:color w:val="000000"/>
          <w:szCs w:val="20"/>
        </w:rPr>
        <w:t xml:space="preserve">ll businesses that have been identified as </w:t>
      </w:r>
      <w:r w:rsidRPr="00C66550">
        <w:rPr>
          <w:rFonts w:asciiTheme="minorHAnsi" w:hAnsiTheme="minorHAnsi"/>
          <w:szCs w:val="20"/>
        </w:rPr>
        <w:t>reprocessing materials in the six target categories.</w:t>
      </w:r>
      <w:r w:rsidR="00E5424C" w:rsidRPr="00C66550">
        <w:rPr>
          <w:rFonts w:asciiTheme="minorHAnsi" w:hAnsiTheme="minorHAnsi"/>
          <w:szCs w:val="20"/>
        </w:rPr>
        <w:t xml:space="preserve"> </w:t>
      </w:r>
      <w:r w:rsidRPr="00C66550">
        <w:rPr>
          <w:rFonts w:asciiTheme="minorHAnsi" w:hAnsiTheme="minorHAnsi"/>
          <w:szCs w:val="20"/>
        </w:rPr>
        <w:t xml:space="preserve">For the surveys conducted by </w:t>
      </w:r>
      <w:r w:rsidRPr="00C66550">
        <w:rPr>
          <w:rFonts w:asciiTheme="minorHAnsi" w:hAnsiTheme="minorHAnsi"/>
          <w:szCs w:val="20"/>
          <w:lang w:eastAsia="en-AU"/>
        </w:rPr>
        <w:t>the WMAA (Metals, Textiles and Rubber/ Construction and Demolition), data was collected using an on-line return.</w:t>
      </w:r>
      <w:r w:rsidR="00E5424C" w:rsidRPr="00C66550">
        <w:rPr>
          <w:rFonts w:asciiTheme="minorHAnsi" w:hAnsiTheme="minorHAnsi"/>
          <w:szCs w:val="20"/>
          <w:lang w:eastAsia="en-AU"/>
        </w:rPr>
        <w:t xml:space="preserve"> </w:t>
      </w:r>
      <w:r w:rsidRPr="00C66550">
        <w:rPr>
          <w:rFonts w:asciiTheme="minorHAnsi" w:hAnsiTheme="minorHAnsi"/>
          <w:szCs w:val="20"/>
          <w:lang w:eastAsia="en-AU"/>
        </w:rPr>
        <w:t>Response rates were 75% or higher for these surveys, and data was adjusted to account for non-response.</w:t>
      </w:r>
    </w:p>
    <w:p w:rsidR="001179F0" w:rsidRPr="00C66550" w:rsidRDefault="001179F0" w:rsidP="001179F0">
      <w:pPr>
        <w:spacing w:before="120"/>
        <w:rPr>
          <w:rFonts w:asciiTheme="minorHAnsi" w:hAnsiTheme="minorHAnsi"/>
          <w:szCs w:val="20"/>
        </w:rPr>
      </w:pPr>
      <w:r w:rsidRPr="00C66550">
        <w:rPr>
          <w:rFonts w:asciiTheme="minorHAnsi" w:hAnsiTheme="minorHAnsi"/>
          <w:szCs w:val="20"/>
        </w:rPr>
        <w:t>The remaining Reprocessor surveys had high response rates.</w:t>
      </w:r>
      <w:r w:rsidR="00E5424C" w:rsidRPr="00C66550">
        <w:rPr>
          <w:rFonts w:asciiTheme="minorHAnsi" w:hAnsiTheme="minorHAnsi"/>
          <w:szCs w:val="20"/>
        </w:rPr>
        <w:t xml:space="preserve"> </w:t>
      </w:r>
      <w:r w:rsidRPr="00C66550">
        <w:rPr>
          <w:rFonts w:asciiTheme="minorHAnsi" w:hAnsiTheme="minorHAnsi"/>
          <w:szCs w:val="20"/>
        </w:rPr>
        <w:t>Data was not adjusted for non-response.</w:t>
      </w:r>
      <w:r w:rsidR="00E5424C" w:rsidRPr="00C66550">
        <w:rPr>
          <w:rFonts w:asciiTheme="minorHAnsi" w:hAnsiTheme="minorHAnsi"/>
          <w:szCs w:val="20"/>
        </w:rPr>
        <w:t xml:space="preserve"> </w:t>
      </w:r>
      <w:r w:rsidRPr="00C66550">
        <w:rPr>
          <w:rFonts w:asciiTheme="minorHAnsi" w:hAnsiTheme="minorHAnsi"/>
          <w:szCs w:val="20"/>
        </w:rPr>
        <w:t xml:space="preserve">These contractors design the </w:t>
      </w:r>
      <w:r w:rsidR="00875317" w:rsidRPr="00C66550">
        <w:rPr>
          <w:rFonts w:asciiTheme="minorHAnsi" w:hAnsiTheme="minorHAnsi"/>
          <w:szCs w:val="20"/>
        </w:rPr>
        <w:t>method</w:t>
      </w:r>
      <w:r w:rsidRPr="00C66550">
        <w:rPr>
          <w:rFonts w:asciiTheme="minorHAnsi" w:hAnsiTheme="minorHAnsi"/>
          <w:szCs w:val="20"/>
        </w:rPr>
        <w:t xml:space="preserve"> of their collections.</w:t>
      </w:r>
    </w:p>
    <w:p w:rsidR="001179F0" w:rsidRPr="00C66550" w:rsidRDefault="001179F0" w:rsidP="001179F0">
      <w:pPr>
        <w:pStyle w:val="NoSpacing"/>
        <w:spacing w:after="120"/>
        <w:rPr>
          <w:rFonts w:asciiTheme="minorHAnsi" w:hAnsiTheme="minorHAnsi"/>
          <w:sz w:val="20"/>
          <w:szCs w:val="20"/>
          <w:u w:val="single"/>
        </w:rPr>
      </w:pPr>
    </w:p>
    <w:p w:rsidR="001179F0" w:rsidRPr="00C66550" w:rsidRDefault="001179F0" w:rsidP="001179F0">
      <w:pPr>
        <w:pStyle w:val="NoSpacing"/>
        <w:spacing w:after="120"/>
        <w:rPr>
          <w:rFonts w:asciiTheme="minorHAnsi" w:hAnsiTheme="minorHAnsi"/>
          <w:sz w:val="20"/>
          <w:szCs w:val="20"/>
          <w:u w:val="single"/>
        </w:rPr>
      </w:pPr>
      <w:r w:rsidRPr="00C66550">
        <w:rPr>
          <w:rFonts w:asciiTheme="minorHAnsi" w:hAnsiTheme="minorHAnsi"/>
          <w:sz w:val="20"/>
          <w:szCs w:val="20"/>
          <w:u w:val="single"/>
        </w:rPr>
        <w:t>Other factors affecting data accuracy</w:t>
      </w:r>
    </w:p>
    <w:p w:rsidR="001179F0" w:rsidRPr="00C66550" w:rsidRDefault="001179F0" w:rsidP="001179F0">
      <w:pPr>
        <w:pStyle w:val="NoSpacing"/>
        <w:spacing w:before="120"/>
        <w:rPr>
          <w:rFonts w:asciiTheme="minorHAnsi" w:hAnsiTheme="minorHAnsi"/>
          <w:sz w:val="20"/>
          <w:szCs w:val="20"/>
        </w:rPr>
      </w:pPr>
      <w:r w:rsidRPr="00C66550">
        <w:rPr>
          <w:rFonts w:asciiTheme="minorHAnsi" w:hAnsiTheme="minorHAnsi"/>
          <w:sz w:val="20"/>
          <w:szCs w:val="20"/>
        </w:rPr>
        <w:t>When combining a range of data sources to calculate WARR rates, a number of assumptions and extrapolations are required, for example when allocating Reprocessing survey tonnages to a source waste stream (this source stream information is not reported by most reprocessors).</w:t>
      </w:r>
      <w:r w:rsidR="00E5424C" w:rsidRPr="00C66550">
        <w:rPr>
          <w:rFonts w:asciiTheme="minorHAnsi" w:hAnsiTheme="minorHAnsi"/>
          <w:sz w:val="20"/>
          <w:szCs w:val="20"/>
        </w:rPr>
        <w:t xml:space="preserve"> </w:t>
      </w:r>
    </w:p>
    <w:p w:rsidR="001179F0" w:rsidRPr="00C66550" w:rsidRDefault="001179F0" w:rsidP="001179F0">
      <w:pPr>
        <w:spacing w:before="120"/>
        <w:rPr>
          <w:rFonts w:asciiTheme="minorHAnsi" w:hAnsiTheme="minorHAnsi"/>
          <w:szCs w:val="20"/>
        </w:rPr>
      </w:pPr>
      <w:r w:rsidRPr="00C66550">
        <w:rPr>
          <w:rFonts w:asciiTheme="minorHAnsi" w:hAnsiTheme="minorHAnsi"/>
          <w:szCs w:val="20"/>
        </w:rPr>
        <w:t>In theory, WARR rates should capture recycling of every possible material.</w:t>
      </w:r>
      <w:r w:rsidR="00E5424C" w:rsidRPr="00C66550">
        <w:rPr>
          <w:rFonts w:asciiTheme="minorHAnsi" w:hAnsiTheme="minorHAnsi"/>
          <w:szCs w:val="20"/>
        </w:rPr>
        <w:t xml:space="preserve"> </w:t>
      </w:r>
      <w:r w:rsidRPr="00C66550">
        <w:rPr>
          <w:rFonts w:asciiTheme="minorHAnsi" w:hAnsiTheme="minorHAnsi"/>
          <w:szCs w:val="20"/>
        </w:rPr>
        <w:t>As explained, some recycling activity is not captured especially those avoided by on-site composting, reprocessing or reuse, so recycling rates are under reported.</w:t>
      </w:r>
    </w:p>
    <w:p w:rsidR="001179F0" w:rsidRPr="00C66550" w:rsidRDefault="001179F0" w:rsidP="001179F0">
      <w:pPr>
        <w:rPr>
          <w:rFonts w:asciiTheme="minorHAnsi" w:hAnsiTheme="minorHAnsi"/>
          <w:szCs w:val="20"/>
        </w:rPr>
      </w:pPr>
    </w:p>
    <w:p w:rsidR="001179F0" w:rsidRPr="00C66550" w:rsidRDefault="001179F0" w:rsidP="001179F0">
      <w:pPr>
        <w:pStyle w:val="NoSpacing"/>
        <w:spacing w:after="120"/>
        <w:rPr>
          <w:rFonts w:asciiTheme="minorHAnsi" w:hAnsiTheme="minorHAnsi"/>
          <w:b/>
          <w:sz w:val="20"/>
          <w:szCs w:val="20"/>
        </w:rPr>
      </w:pPr>
      <w:r w:rsidRPr="00C66550">
        <w:rPr>
          <w:rFonts w:asciiTheme="minorHAnsi" w:hAnsiTheme="minorHAnsi"/>
          <w:b/>
          <w:sz w:val="20"/>
          <w:szCs w:val="20"/>
        </w:rPr>
        <w:t>Coherence</w:t>
      </w:r>
    </w:p>
    <w:p w:rsidR="001179F0" w:rsidRPr="00C66550" w:rsidRDefault="001179F0" w:rsidP="001179F0">
      <w:pPr>
        <w:spacing w:before="120" w:line="240" w:lineRule="auto"/>
        <w:rPr>
          <w:rFonts w:asciiTheme="minorHAnsi" w:hAnsiTheme="minorHAnsi"/>
          <w:szCs w:val="20"/>
          <w:lang w:eastAsia="en-AU"/>
        </w:rPr>
      </w:pPr>
      <w:r w:rsidRPr="00C66550">
        <w:rPr>
          <w:rFonts w:asciiTheme="minorHAnsi" w:hAnsiTheme="minorHAnsi"/>
          <w:szCs w:val="20"/>
        </w:rPr>
        <w:t>Since the inception of WARR reporting, THE EPA have actively sought to improve the quality and scope of collected data as more intelligence on the waste and recycling industries becomes available. This has an impact which needs to be considered when analysing the time series.</w:t>
      </w:r>
      <w:r w:rsidR="00E5424C" w:rsidRPr="00C66550">
        <w:rPr>
          <w:rFonts w:asciiTheme="minorHAnsi" w:hAnsiTheme="minorHAnsi"/>
          <w:szCs w:val="20"/>
        </w:rPr>
        <w:t xml:space="preserve"> </w:t>
      </w:r>
      <w:r w:rsidRPr="00C66550">
        <w:rPr>
          <w:rFonts w:asciiTheme="minorHAnsi" w:hAnsiTheme="minorHAnsi"/>
          <w:szCs w:val="20"/>
        </w:rPr>
        <w:t>In the 2010 WARR report (covering the 2008-09 period), the</w:t>
      </w:r>
      <w:r w:rsidRPr="00C66550">
        <w:rPr>
          <w:rFonts w:asciiTheme="minorHAnsi" w:hAnsiTheme="minorHAnsi"/>
          <w:szCs w:val="20"/>
          <w:lang w:eastAsia="en-AU"/>
        </w:rPr>
        <w:t xml:space="preserve"> total amount of materials reported as entering the NSW waste management system increased by 0.9 million tonnes since 2006–07, and by almost 4.5 million tonnes since 2002–03. However, about 30% of the increase from 2002-03 was due to improved measurement and reporting of disposal and recycling tonnages, rather than any actual increase in tonnages.</w:t>
      </w:r>
      <w:r w:rsidR="00E5424C" w:rsidRPr="00C66550">
        <w:rPr>
          <w:rFonts w:asciiTheme="minorHAnsi" w:hAnsiTheme="minorHAnsi"/>
          <w:szCs w:val="20"/>
          <w:lang w:eastAsia="en-AU"/>
        </w:rPr>
        <w:t xml:space="preserve"> </w:t>
      </w:r>
      <w:r w:rsidRPr="00C66550">
        <w:rPr>
          <w:rFonts w:asciiTheme="minorHAnsi" w:hAnsiTheme="minorHAnsi"/>
          <w:szCs w:val="20"/>
        </w:rPr>
        <w:t>For the 2010 report, t</w:t>
      </w:r>
      <w:r w:rsidRPr="00C66550">
        <w:rPr>
          <w:rFonts w:asciiTheme="minorHAnsi" w:hAnsiTheme="minorHAnsi"/>
          <w:szCs w:val="20"/>
          <w:lang w:eastAsia="en-AU"/>
        </w:rPr>
        <w:t>his included improved reporting from regional areas and reporting on additional material streams, such as textiles, rubber and previously unreported organics streams. This expansion in the range of materials now measured accounts for approximately 1–1.3 million tonnes of the increase in waste generation reported between 2006–07 and 2008–09. Most of the actual increases in waste generation were recycled materials.</w:t>
      </w:r>
    </w:p>
    <w:p w:rsidR="001179F0" w:rsidRPr="00C66550" w:rsidRDefault="001179F0" w:rsidP="001179F0">
      <w:pPr>
        <w:spacing w:before="120" w:line="240" w:lineRule="auto"/>
        <w:rPr>
          <w:rFonts w:asciiTheme="minorHAnsi" w:hAnsiTheme="minorHAnsi"/>
          <w:szCs w:val="20"/>
        </w:rPr>
      </w:pPr>
      <w:r w:rsidRPr="00C66550">
        <w:rPr>
          <w:rFonts w:asciiTheme="minorHAnsi" w:hAnsiTheme="minorHAnsi"/>
          <w:szCs w:val="20"/>
        </w:rPr>
        <w:t>Recycling data recorded in the WARR report may differ to that reported in THE EPA fact sheets based on the 2008-09 Reprocessor surveys. WARR report data includes all sources of data that can be identified, not just the materials reported by the commercial reprocessors covered in the survey.</w:t>
      </w:r>
      <w:r w:rsidR="00E5424C" w:rsidRPr="00C66550">
        <w:rPr>
          <w:rFonts w:asciiTheme="minorHAnsi" w:hAnsiTheme="minorHAnsi"/>
          <w:szCs w:val="20"/>
        </w:rPr>
        <w:t xml:space="preserve"> </w:t>
      </w:r>
    </w:p>
    <w:p w:rsidR="001179F0" w:rsidRPr="00C66550" w:rsidRDefault="001179F0" w:rsidP="001179F0">
      <w:pPr>
        <w:spacing w:before="120" w:line="240" w:lineRule="auto"/>
        <w:rPr>
          <w:rFonts w:asciiTheme="minorHAnsi" w:hAnsiTheme="minorHAnsi"/>
          <w:szCs w:val="20"/>
        </w:rPr>
      </w:pPr>
      <w:r w:rsidRPr="00C66550">
        <w:rPr>
          <w:rFonts w:asciiTheme="minorHAnsi" w:hAnsiTheme="minorHAnsi"/>
          <w:szCs w:val="20"/>
        </w:rPr>
        <w:t xml:space="preserve">Disposal data may differ to that reported in the THE EPA’s </w:t>
      </w:r>
      <w:r w:rsidRPr="00C66550">
        <w:rPr>
          <w:rFonts w:asciiTheme="minorHAnsi" w:hAnsiTheme="minorHAnsi"/>
          <w:i/>
          <w:szCs w:val="20"/>
        </w:rPr>
        <w:t xml:space="preserve">Local Government Survey report </w:t>
      </w:r>
      <w:r w:rsidRPr="00C66550">
        <w:rPr>
          <w:rFonts w:asciiTheme="minorHAnsi" w:hAnsiTheme="minorHAnsi"/>
          <w:szCs w:val="20"/>
        </w:rPr>
        <w:t>as data in that survey, although verified to some degree, is self reported.</w:t>
      </w:r>
      <w:r w:rsidR="00E5424C" w:rsidRPr="00C66550">
        <w:rPr>
          <w:rFonts w:asciiTheme="minorHAnsi" w:hAnsiTheme="minorHAnsi"/>
          <w:szCs w:val="20"/>
        </w:rPr>
        <w:t xml:space="preserve"> </w:t>
      </w:r>
      <w:r w:rsidRPr="00C66550">
        <w:rPr>
          <w:rFonts w:asciiTheme="minorHAnsi" w:hAnsiTheme="minorHAnsi"/>
          <w:szCs w:val="20"/>
        </w:rPr>
        <w:t>More accurate data is obtained through facility reporting by such mechanisms as the WCMR.</w:t>
      </w:r>
      <w:r w:rsidR="00E5424C" w:rsidRPr="00C66550">
        <w:rPr>
          <w:rFonts w:asciiTheme="minorHAnsi" w:hAnsiTheme="minorHAnsi"/>
          <w:szCs w:val="20"/>
        </w:rPr>
        <w:t xml:space="preserve"> </w:t>
      </w:r>
      <w:r w:rsidRPr="00C66550">
        <w:rPr>
          <w:rFonts w:asciiTheme="minorHAnsi" w:hAnsiTheme="minorHAnsi"/>
          <w:szCs w:val="20"/>
        </w:rPr>
        <w:t xml:space="preserve">Levied facilities are audited via weighbridge software and can be considered accurate. </w:t>
      </w:r>
    </w:p>
    <w:p w:rsidR="001179F0" w:rsidRPr="00C66550" w:rsidRDefault="001179F0" w:rsidP="001179F0">
      <w:pPr>
        <w:spacing w:line="240" w:lineRule="auto"/>
        <w:rPr>
          <w:rFonts w:asciiTheme="minorHAnsi" w:hAnsiTheme="minorHAnsi"/>
          <w:szCs w:val="20"/>
        </w:rPr>
      </w:pPr>
    </w:p>
    <w:p w:rsidR="001179F0" w:rsidRPr="00C66550" w:rsidRDefault="001179F0" w:rsidP="001179F0">
      <w:pPr>
        <w:pStyle w:val="NoSpacing"/>
        <w:spacing w:after="120"/>
        <w:rPr>
          <w:rFonts w:asciiTheme="minorHAnsi" w:hAnsiTheme="minorHAnsi"/>
          <w:b/>
          <w:sz w:val="20"/>
          <w:szCs w:val="20"/>
        </w:rPr>
      </w:pPr>
      <w:r w:rsidRPr="00C66550">
        <w:rPr>
          <w:rFonts w:asciiTheme="minorHAnsi" w:hAnsiTheme="minorHAnsi"/>
          <w:b/>
          <w:sz w:val="20"/>
          <w:szCs w:val="20"/>
        </w:rPr>
        <w:t>Interpretability</w:t>
      </w:r>
    </w:p>
    <w:p w:rsidR="001179F0" w:rsidRPr="00C66550" w:rsidRDefault="001179F0" w:rsidP="001179F0">
      <w:pPr>
        <w:rPr>
          <w:rFonts w:asciiTheme="minorHAnsi" w:hAnsiTheme="minorHAnsi"/>
          <w:szCs w:val="20"/>
        </w:rPr>
      </w:pPr>
      <w:r w:rsidRPr="00C66550">
        <w:rPr>
          <w:rFonts w:asciiTheme="minorHAnsi" w:hAnsiTheme="minorHAnsi"/>
          <w:szCs w:val="20"/>
        </w:rPr>
        <w:t xml:space="preserve">Further definition of some relevant terms can be found in the </w:t>
      </w:r>
      <w:r w:rsidRPr="00C66550">
        <w:rPr>
          <w:rFonts w:asciiTheme="minorHAnsi" w:hAnsiTheme="minorHAnsi"/>
          <w:i/>
          <w:szCs w:val="20"/>
        </w:rPr>
        <w:t>Waste Contribution Monthly report</w:t>
      </w:r>
      <w:r w:rsidRPr="00C66550">
        <w:rPr>
          <w:rFonts w:asciiTheme="minorHAnsi" w:hAnsiTheme="minorHAnsi"/>
          <w:szCs w:val="20"/>
        </w:rPr>
        <w:t>, Section 8 ‘Definitions’</w:t>
      </w:r>
      <w:r w:rsidR="00E5424C" w:rsidRPr="00C66550">
        <w:rPr>
          <w:rFonts w:asciiTheme="minorHAnsi" w:hAnsiTheme="minorHAnsi"/>
          <w:szCs w:val="20"/>
        </w:rPr>
        <w:t xml:space="preserve"> </w:t>
      </w:r>
      <w:r w:rsidRPr="00C66550">
        <w:rPr>
          <w:rFonts w:asciiTheme="minorHAnsi" w:hAnsiTheme="minorHAnsi"/>
          <w:szCs w:val="20"/>
        </w:rPr>
        <w:t xml:space="preserve">- </w:t>
      </w:r>
    </w:p>
    <w:p w:rsidR="001179F0" w:rsidRPr="00C66550" w:rsidRDefault="0062001A" w:rsidP="001179F0">
      <w:pPr>
        <w:rPr>
          <w:rFonts w:asciiTheme="minorHAnsi" w:hAnsiTheme="minorHAnsi" w:cs="Arial"/>
          <w:szCs w:val="20"/>
        </w:rPr>
      </w:pPr>
      <w:hyperlink r:id="rId241" w:history="1">
        <w:r w:rsidR="001179F0" w:rsidRPr="00C66550">
          <w:rPr>
            <w:rStyle w:val="Hyperlink"/>
            <w:rFonts w:asciiTheme="minorHAnsi" w:hAnsiTheme="minorHAnsi" w:cs="Arial"/>
            <w:szCs w:val="20"/>
          </w:rPr>
          <w:t>http://www.environment.nsw.gov.au/resources/wr/2009wcmr.pdf</w:t>
        </w:r>
      </w:hyperlink>
      <w:r w:rsidR="001179F0" w:rsidRPr="00C66550">
        <w:rPr>
          <w:rFonts w:asciiTheme="minorHAnsi" w:hAnsiTheme="minorHAnsi" w:cs="Arial"/>
          <w:szCs w:val="20"/>
        </w:rPr>
        <w:t>.</w:t>
      </w:r>
    </w:p>
    <w:p w:rsidR="001179F0" w:rsidRPr="00C66550" w:rsidRDefault="001179F0" w:rsidP="001179F0">
      <w:pPr>
        <w:rPr>
          <w:rFonts w:asciiTheme="minorHAnsi" w:hAnsiTheme="minorHAnsi" w:cs="Arial"/>
          <w:szCs w:val="20"/>
        </w:rPr>
      </w:pPr>
      <w:r w:rsidRPr="00C66550">
        <w:rPr>
          <w:rFonts w:asciiTheme="minorHAnsi" w:hAnsiTheme="minorHAnsi" w:cs="Arial"/>
          <w:szCs w:val="20"/>
        </w:rPr>
        <w:t>Section 8 also contains the classification ‘Material Composition Codes’ and the classification of Local Government Areas by region (SMA, ERA, RRA, Rest of NSW).</w:t>
      </w:r>
      <w:r w:rsidR="00E5424C" w:rsidRPr="00C66550">
        <w:rPr>
          <w:rFonts w:asciiTheme="minorHAnsi" w:hAnsiTheme="minorHAnsi" w:cs="Arial"/>
          <w:szCs w:val="20"/>
        </w:rPr>
        <w:t xml:space="preserve"> </w:t>
      </w:r>
    </w:p>
    <w:p w:rsidR="001179F0" w:rsidRPr="00C66550" w:rsidRDefault="001179F0" w:rsidP="001179F0">
      <w:pPr>
        <w:rPr>
          <w:rFonts w:asciiTheme="minorHAnsi" w:hAnsiTheme="minorHAnsi"/>
          <w:szCs w:val="20"/>
        </w:rPr>
      </w:pPr>
      <w:r w:rsidRPr="00C66550">
        <w:rPr>
          <w:rFonts w:asciiTheme="minorHAnsi" w:hAnsiTheme="minorHAnsi" w:cs="Arial"/>
          <w:szCs w:val="20"/>
        </w:rPr>
        <w:t xml:space="preserve">A Glossary for the WARR report is contained in </w:t>
      </w:r>
      <w:r w:rsidRPr="00C66550">
        <w:rPr>
          <w:rFonts w:asciiTheme="minorHAnsi" w:hAnsiTheme="minorHAnsi"/>
          <w:szCs w:val="20"/>
        </w:rPr>
        <w:t xml:space="preserve">the publication </w:t>
      </w:r>
      <w:r w:rsidRPr="00C66550">
        <w:rPr>
          <w:rFonts w:asciiTheme="minorHAnsi" w:hAnsiTheme="minorHAnsi"/>
          <w:i/>
          <w:szCs w:val="20"/>
        </w:rPr>
        <w:t>Waste Avoidance and Resource Recovery Strategy Progress Report</w:t>
      </w:r>
      <w:r w:rsidR="00E5424C" w:rsidRPr="00C66550">
        <w:rPr>
          <w:rFonts w:asciiTheme="minorHAnsi" w:hAnsiTheme="minorHAnsi"/>
          <w:i/>
          <w:szCs w:val="20"/>
        </w:rPr>
        <w:t xml:space="preserve"> </w:t>
      </w:r>
      <w:r w:rsidRPr="00C66550">
        <w:rPr>
          <w:rFonts w:asciiTheme="minorHAnsi" w:hAnsiTheme="minorHAnsi"/>
          <w:i/>
          <w:szCs w:val="20"/>
        </w:rPr>
        <w:t>2010,</w:t>
      </w:r>
      <w:r w:rsidR="00E5424C" w:rsidRPr="00C66550">
        <w:rPr>
          <w:rFonts w:asciiTheme="minorHAnsi" w:hAnsiTheme="minorHAnsi"/>
          <w:i/>
          <w:szCs w:val="20"/>
        </w:rPr>
        <w:t xml:space="preserve"> </w:t>
      </w:r>
      <w:r w:rsidRPr="00C66550">
        <w:rPr>
          <w:rFonts w:asciiTheme="minorHAnsi" w:hAnsiTheme="minorHAnsi"/>
          <w:i/>
          <w:szCs w:val="20"/>
        </w:rPr>
        <w:t>Volume 2</w:t>
      </w:r>
      <w:r w:rsidRPr="00C66550">
        <w:rPr>
          <w:rFonts w:asciiTheme="minorHAnsi" w:hAnsiTheme="minorHAnsi"/>
          <w:szCs w:val="20"/>
        </w:rPr>
        <w:t xml:space="preserve"> – </w:t>
      </w:r>
    </w:p>
    <w:p w:rsidR="001179F0" w:rsidRPr="00C66550" w:rsidRDefault="0062001A" w:rsidP="001179F0">
      <w:pPr>
        <w:rPr>
          <w:rFonts w:asciiTheme="minorHAnsi" w:hAnsiTheme="minorHAnsi" w:cs="Arial"/>
          <w:szCs w:val="20"/>
        </w:rPr>
      </w:pPr>
      <w:hyperlink r:id="rId242" w:history="1">
        <w:r w:rsidR="001179F0" w:rsidRPr="00C66550">
          <w:rPr>
            <w:rStyle w:val="Hyperlink"/>
            <w:rFonts w:asciiTheme="minorHAnsi" w:hAnsiTheme="minorHAnsi" w:cs="Arial"/>
            <w:szCs w:val="20"/>
          </w:rPr>
          <w:t>http://www.environment.nsw.gov.au/resources/warr/110061WARRSPRvolume2.pdf</w:t>
        </w:r>
      </w:hyperlink>
    </w:p>
    <w:p w:rsidR="001179F0" w:rsidRPr="00C66550" w:rsidRDefault="001179F0" w:rsidP="001179F0">
      <w:pPr>
        <w:spacing w:line="240" w:lineRule="auto"/>
        <w:rPr>
          <w:rFonts w:asciiTheme="minorHAnsi" w:hAnsiTheme="minorHAnsi"/>
          <w:szCs w:val="20"/>
        </w:rPr>
      </w:pPr>
      <w:r w:rsidRPr="00C66550">
        <w:rPr>
          <w:rFonts w:asciiTheme="minorHAnsi" w:hAnsiTheme="minorHAnsi"/>
          <w:szCs w:val="20"/>
        </w:rPr>
        <w:t>Related published datasets:</w:t>
      </w:r>
    </w:p>
    <w:p w:rsidR="001179F0" w:rsidRPr="00C66550" w:rsidRDefault="001179F0" w:rsidP="001179F0">
      <w:pPr>
        <w:spacing w:line="240" w:lineRule="auto"/>
        <w:rPr>
          <w:rFonts w:asciiTheme="minorHAnsi" w:hAnsiTheme="minorHAnsi"/>
          <w:szCs w:val="20"/>
        </w:rPr>
      </w:pPr>
    </w:p>
    <w:p w:rsidR="001179F0" w:rsidRPr="00C66550" w:rsidRDefault="001179F0" w:rsidP="001179F0">
      <w:pPr>
        <w:pStyle w:val="ListParagraph"/>
        <w:numPr>
          <w:ilvl w:val="0"/>
          <w:numId w:val="31"/>
        </w:numPr>
        <w:spacing w:after="200" w:line="276" w:lineRule="auto"/>
        <w:rPr>
          <w:rFonts w:asciiTheme="minorHAnsi" w:hAnsiTheme="minorHAnsi"/>
          <w:szCs w:val="20"/>
        </w:rPr>
      </w:pPr>
      <w:r w:rsidRPr="00C66550">
        <w:rPr>
          <w:rFonts w:asciiTheme="minorHAnsi" w:hAnsiTheme="minorHAnsi"/>
          <w:i/>
          <w:szCs w:val="20"/>
        </w:rPr>
        <w:t>2009 National Plastics Recycling Survey</w:t>
      </w:r>
      <w:r w:rsidRPr="00C66550">
        <w:rPr>
          <w:rFonts w:asciiTheme="minorHAnsi" w:hAnsiTheme="minorHAnsi"/>
          <w:szCs w:val="20"/>
        </w:rPr>
        <w:t xml:space="preserve"> (link included on homepage) </w:t>
      </w:r>
      <w:hyperlink r:id="rId243" w:history="1">
        <w:r w:rsidRPr="00C66550">
          <w:rPr>
            <w:rStyle w:val="Hyperlink"/>
            <w:rFonts w:asciiTheme="minorHAnsi" w:hAnsiTheme="minorHAnsi"/>
            <w:szCs w:val="20"/>
          </w:rPr>
          <w:t>http://www.pacia.org.au/Content/media-21.12.2009-1.aspx</w:t>
        </w:r>
      </w:hyperlink>
    </w:p>
    <w:p w:rsidR="001179F0" w:rsidRPr="00C66550" w:rsidRDefault="001179F0" w:rsidP="001179F0">
      <w:pPr>
        <w:pStyle w:val="ListParagraph"/>
        <w:numPr>
          <w:ilvl w:val="0"/>
          <w:numId w:val="31"/>
        </w:numPr>
        <w:spacing w:after="200" w:line="276" w:lineRule="auto"/>
        <w:rPr>
          <w:rFonts w:asciiTheme="minorHAnsi" w:hAnsiTheme="minorHAnsi"/>
          <w:szCs w:val="20"/>
        </w:rPr>
      </w:pPr>
      <w:r w:rsidRPr="00C66550">
        <w:rPr>
          <w:rFonts w:asciiTheme="minorHAnsi" w:hAnsiTheme="minorHAnsi"/>
          <w:szCs w:val="20"/>
        </w:rPr>
        <w:t xml:space="preserve">DECCW </w:t>
      </w:r>
      <w:r w:rsidRPr="00C66550">
        <w:rPr>
          <w:rFonts w:asciiTheme="minorHAnsi" w:hAnsiTheme="minorHAnsi"/>
          <w:i/>
          <w:szCs w:val="20"/>
        </w:rPr>
        <w:t>Glass reprocessing/reuse 2008-09</w:t>
      </w:r>
      <w:r w:rsidRPr="00C66550">
        <w:rPr>
          <w:rFonts w:asciiTheme="minorHAnsi" w:hAnsiTheme="minorHAnsi"/>
          <w:szCs w:val="20"/>
        </w:rPr>
        <w:t xml:space="preserve"> factsheet </w:t>
      </w:r>
      <w:hyperlink r:id="rId244" w:history="1">
        <w:r w:rsidRPr="00C66550">
          <w:rPr>
            <w:rStyle w:val="Hyperlink"/>
            <w:rFonts w:asciiTheme="minorHAnsi" w:hAnsiTheme="minorHAnsi"/>
            <w:szCs w:val="20"/>
          </w:rPr>
          <w:t>http://www.environment.nsw.gov.au/resources/sustainbus/10212GlassReprocessing08_09.pdf</w:t>
        </w:r>
      </w:hyperlink>
    </w:p>
    <w:p w:rsidR="001179F0" w:rsidRPr="00C66550" w:rsidRDefault="001179F0" w:rsidP="001179F0">
      <w:pPr>
        <w:pStyle w:val="ListParagraph"/>
        <w:numPr>
          <w:ilvl w:val="0"/>
          <w:numId w:val="31"/>
        </w:numPr>
        <w:spacing w:after="200" w:line="276" w:lineRule="auto"/>
        <w:rPr>
          <w:rFonts w:asciiTheme="minorHAnsi" w:hAnsiTheme="minorHAnsi"/>
          <w:szCs w:val="20"/>
        </w:rPr>
      </w:pPr>
      <w:r w:rsidRPr="00C66550">
        <w:rPr>
          <w:rFonts w:asciiTheme="minorHAnsi" w:hAnsiTheme="minorHAnsi"/>
          <w:szCs w:val="20"/>
        </w:rPr>
        <w:lastRenderedPageBreak/>
        <w:t xml:space="preserve">DECCW </w:t>
      </w:r>
      <w:r w:rsidRPr="00C66550">
        <w:rPr>
          <w:rFonts w:asciiTheme="minorHAnsi" w:hAnsiTheme="minorHAnsi"/>
          <w:i/>
          <w:szCs w:val="20"/>
        </w:rPr>
        <w:t>Paper reprocessing 2008-09</w:t>
      </w:r>
      <w:r w:rsidRPr="00C66550">
        <w:rPr>
          <w:rFonts w:asciiTheme="minorHAnsi" w:hAnsiTheme="minorHAnsi"/>
          <w:szCs w:val="20"/>
        </w:rPr>
        <w:t xml:space="preserve"> factsheet </w:t>
      </w:r>
      <w:hyperlink r:id="rId245" w:history="1">
        <w:r w:rsidRPr="00C66550">
          <w:rPr>
            <w:rStyle w:val="Hyperlink"/>
            <w:rFonts w:asciiTheme="minorHAnsi" w:hAnsiTheme="minorHAnsi"/>
            <w:szCs w:val="20"/>
          </w:rPr>
          <w:t>http://www.environment.nsw.gov.au/resources/sustainbus/09779PaperRecovery08_09.pdf</w:t>
        </w:r>
      </w:hyperlink>
    </w:p>
    <w:p w:rsidR="001179F0" w:rsidRPr="00C66550" w:rsidRDefault="001179F0" w:rsidP="0042276E">
      <w:pPr>
        <w:pStyle w:val="ListParagraph"/>
        <w:numPr>
          <w:ilvl w:val="0"/>
          <w:numId w:val="31"/>
        </w:numPr>
        <w:spacing w:line="276" w:lineRule="auto"/>
        <w:ind w:left="1077"/>
        <w:rPr>
          <w:rFonts w:asciiTheme="minorHAnsi" w:hAnsiTheme="minorHAnsi"/>
          <w:szCs w:val="20"/>
        </w:rPr>
      </w:pPr>
      <w:r w:rsidRPr="00C66550">
        <w:rPr>
          <w:rFonts w:asciiTheme="minorHAnsi" w:hAnsiTheme="minorHAnsi"/>
          <w:szCs w:val="20"/>
        </w:rPr>
        <w:t xml:space="preserve">DECCW </w:t>
      </w:r>
      <w:r w:rsidRPr="00C66550">
        <w:rPr>
          <w:rFonts w:asciiTheme="minorHAnsi" w:hAnsiTheme="minorHAnsi"/>
          <w:i/>
          <w:szCs w:val="20"/>
        </w:rPr>
        <w:t>Organics reprocessing 2008-09</w:t>
      </w:r>
      <w:r w:rsidRPr="00C66550">
        <w:rPr>
          <w:rFonts w:asciiTheme="minorHAnsi" w:hAnsiTheme="minorHAnsi"/>
          <w:szCs w:val="20"/>
        </w:rPr>
        <w:t xml:space="preserve"> factsheet </w:t>
      </w:r>
      <w:hyperlink r:id="rId246" w:history="1">
        <w:r w:rsidRPr="00C66550">
          <w:rPr>
            <w:rStyle w:val="Hyperlink"/>
            <w:rFonts w:asciiTheme="minorHAnsi" w:hAnsiTheme="minorHAnsi"/>
            <w:szCs w:val="20"/>
          </w:rPr>
          <w:t>http://www.environment.nsw.gov.au/resources/sustainbus/10534OrganicsReprocessing.pdf</w:t>
        </w:r>
      </w:hyperlink>
    </w:p>
    <w:p w:rsidR="001179F0" w:rsidRPr="00C66550" w:rsidRDefault="001179F0" w:rsidP="001179F0">
      <w:pPr>
        <w:pStyle w:val="FootnoteText"/>
        <w:numPr>
          <w:ilvl w:val="0"/>
          <w:numId w:val="31"/>
        </w:numPr>
        <w:spacing w:after="0" w:line="240" w:lineRule="auto"/>
        <w:rPr>
          <w:rFonts w:asciiTheme="minorHAnsi" w:hAnsiTheme="minorHAnsi"/>
          <w:sz w:val="20"/>
          <w:szCs w:val="20"/>
        </w:rPr>
      </w:pPr>
      <w:r w:rsidRPr="00C66550">
        <w:rPr>
          <w:rFonts w:asciiTheme="minorHAnsi" w:hAnsiTheme="minorHAnsi"/>
          <w:sz w:val="20"/>
          <w:szCs w:val="20"/>
        </w:rPr>
        <w:t xml:space="preserve">DECCW (NSW) </w:t>
      </w:r>
      <w:r w:rsidRPr="00C66550">
        <w:rPr>
          <w:rFonts w:asciiTheme="minorHAnsi" w:hAnsiTheme="minorHAnsi"/>
          <w:i/>
          <w:sz w:val="20"/>
          <w:szCs w:val="20"/>
        </w:rPr>
        <w:t>2008 C&amp;I Disposal Based Survey June/July/August 2008</w:t>
      </w:r>
      <w:r w:rsidR="00E5424C" w:rsidRPr="00C66550">
        <w:rPr>
          <w:rFonts w:asciiTheme="minorHAnsi" w:hAnsiTheme="minorHAnsi"/>
          <w:sz w:val="20"/>
          <w:szCs w:val="20"/>
        </w:rPr>
        <w:t xml:space="preserve"> </w:t>
      </w:r>
      <w:r w:rsidRPr="00C66550">
        <w:rPr>
          <w:rFonts w:asciiTheme="minorHAnsi" w:hAnsiTheme="minorHAnsi"/>
          <w:sz w:val="20"/>
          <w:szCs w:val="20"/>
        </w:rPr>
        <w:t xml:space="preserve">(includes information on audit methodology and sample collection instruments) </w:t>
      </w:r>
      <w:hyperlink r:id="rId247" w:history="1">
        <w:r w:rsidRPr="00C66550">
          <w:rPr>
            <w:rStyle w:val="Hyperlink"/>
            <w:rFonts w:asciiTheme="minorHAnsi" w:hAnsiTheme="minorHAnsi"/>
            <w:sz w:val="20"/>
            <w:szCs w:val="20"/>
          </w:rPr>
          <w:t>http://www.environment.nsw.gov.au/resources/warr/105WasteSurveypt1.pdf</w:t>
        </w:r>
      </w:hyperlink>
      <w:r w:rsidRPr="00C66550">
        <w:rPr>
          <w:rFonts w:asciiTheme="minorHAnsi" w:hAnsiTheme="minorHAnsi"/>
          <w:sz w:val="20"/>
          <w:szCs w:val="20"/>
        </w:rPr>
        <w:t xml:space="preserve"> </w:t>
      </w:r>
      <w:hyperlink r:id="rId248" w:history="1">
        <w:r w:rsidRPr="00C66550">
          <w:rPr>
            <w:rStyle w:val="Hyperlink"/>
            <w:rFonts w:asciiTheme="minorHAnsi" w:hAnsiTheme="minorHAnsi"/>
            <w:sz w:val="20"/>
            <w:szCs w:val="20"/>
          </w:rPr>
          <w:t>http://www.environment.nsw.gov.au/resources/warr/105WasteSurveyappend.pdf</w:t>
        </w:r>
      </w:hyperlink>
    </w:p>
    <w:p w:rsidR="001179F0" w:rsidRPr="00C66550" w:rsidRDefault="001179F0" w:rsidP="001179F0">
      <w:pPr>
        <w:pStyle w:val="FootnoteText"/>
        <w:numPr>
          <w:ilvl w:val="0"/>
          <w:numId w:val="31"/>
        </w:numPr>
        <w:spacing w:after="0" w:line="240" w:lineRule="auto"/>
        <w:rPr>
          <w:rFonts w:asciiTheme="minorHAnsi" w:hAnsiTheme="minorHAnsi"/>
          <w:sz w:val="20"/>
          <w:szCs w:val="20"/>
        </w:rPr>
      </w:pPr>
      <w:r w:rsidRPr="00C66550">
        <w:rPr>
          <w:rFonts w:asciiTheme="minorHAnsi" w:hAnsiTheme="minorHAnsi"/>
          <w:sz w:val="20"/>
          <w:szCs w:val="20"/>
        </w:rPr>
        <w:t xml:space="preserve">DECC (NSW) </w:t>
      </w:r>
      <w:r w:rsidRPr="00C66550">
        <w:rPr>
          <w:rFonts w:asciiTheme="minorHAnsi" w:hAnsiTheme="minorHAnsi"/>
          <w:i/>
          <w:sz w:val="20"/>
          <w:szCs w:val="20"/>
        </w:rPr>
        <w:t>2007 Report into the Construction and Demolition Waste Stream Audit 2000-05 Sydney Metropolitan Area.</w:t>
      </w:r>
      <w:r w:rsidRPr="00C66550">
        <w:rPr>
          <w:rFonts w:asciiTheme="minorHAnsi" w:hAnsiTheme="minorHAnsi"/>
          <w:sz w:val="20"/>
          <w:szCs w:val="20"/>
        </w:rPr>
        <w:t xml:space="preserve"> </w:t>
      </w:r>
      <w:r w:rsidRPr="00C66550">
        <w:rPr>
          <w:rFonts w:asciiTheme="minorHAnsi" w:hAnsiTheme="minorHAnsi"/>
          <w:i/>
          <w:sz w:val="20"/>
          <w:szCs w:val="20"/>
        </w:rPr>
        <w:t>2008</w:t>
      </w:r>
      <w:r w:rsidR="00E5424C" w:rsidRPr="00C66550">
        <w:rPr>
          <w:rFonts w:asciiTheme="minorHAnsi" w:hAnsiTheme="minorHAnsi"/>
          <w:sz w:val="20"/>
          <w:szCs w:val="20"/>
        </w:rPr>
        <w:t xml:space="preserve"> </w:t>
      </w:r>
      <w:r w:rsidRPr="00C66550">
        <w:rPr>
          <w:rFonts w:asciiTheme="minorHAnsi" w:hAnsiTheme="minorHAnsi"/>
          <w:sz w:val="20"/>
          <w:szCs w:val="20"/>
        </w:rPr>
        <w:t>(includes information on audit methodology)</w:t>
      </w:r>
      <w:r w:rsidR="00E5424C" w:rsidRPr="00C66550">
        <w:rPr>
          <w:rFonts w:asciiTheme="minorHAnsi" w:hAnsiTheme="minorHAnsi"/>
          <w:sz w:val="20"/>
          <w:szCs w:val="20"/>
        </w:rPr>
        <w:t xml:space="preserve">      </w:t>
      </w:r>
      <w:hyperlink r:id="rId249" w:history="1">
        <w:r w:rsidRPr="00C66550">
          <w:rPr>
            <w:rStyle w:val="Hyperlink"/>
            <w:rFonts w:asciiTheme="minorHAnsi" w:hAnsiTheme="minorHAnsi"/>
            <w:sz w:val="20"/>
            <w:szCs w:val="20"/>
          </w:rPr>
          <w:t>http://www.environment.nsw.gov.au/warr/cndwastestream.htm</w:t>
        </w:r>
      </w:hyperlink>
    </w:p>
    <w:p w:rsidR="001179F0" w:rsidRPr="00C66550" w:rsidRDefault="001179F0" w:rsidP="001179F0">
      <w:pPr>
        <w:pStyle w:val="NoSpacing"/>
        <w:numPr>
          <w:ilvl w:val="0"/>
          <w:numId w:val="31"/>
        </w:numPr>
        <w:rPr>
          <w:rFonts w:asciiTheme="minorHAnsi" w:hAnsiTheme="minorHAnsi"/>
          <w:sz w:val="20"/>
          <w:szCs w:val="20"/>
        </w:rPr>
      </w:pPr>
      <w:r w:rsidRPr="00C66550">
        <w:rPr>
          <w:rFonts w:asciiTheme="minorHAnsi" w:hAnsiTheme="minorHAnsi"/>
          <w:sz w:val="20"/>
          <w:szCs w:val="20"/>
        </w:rPr>
        <w:t xml:space="preserve">DECC </w:t>
      </w:r>
      <w:r w:rsidRPr="00C66550">
        <w:rPr>
          <w:rFonts w:asciiTheme="minorHAnsi" w:hAnsiTheme="minorHAnsi"/>
          <w:i/>
          <w:sz w:val="20"/>
          <w:szCs w:val="20"/>
        </w:rPr>
        <w:t>Sustainable Commercial and Industrial Waste Stream Garbage Bag Survey: Final Report Dec 2008</w:t>
      </w:r>
    </w:p>
    <w:p w:rsidR="001179F0" w:rsidRPr="00C66550" w:rsidRDefault="001179F0" w:rsidP="001179F0">
      <w:pPr>
        <w:pStyle w:val="NoSpacing"/>
        <w:numPr>
          <w:ilvl w:val="0"/>
          <w:numId w:val="31"/>
        </w:numPr>
        <w:rPr>
          <w:rFonts w:asciiTheme="minorHAnsi" w:hAnsiTheme="minorHAnsi"/>
          <w:sz w:val="20"/>
          <w:szCs w:val="20"/>
        </w:rPr>
      </w:pPr>
      <w:r w:rsidRPr="00C66550">
        <w:rPr>
          <w:rFonts w:asciiTheme="minorHAnsi" w:hAnsiTheme="minorHAnsi"/>
          <w:sz w:val="20"/>
          <w:szCs w:val="20"/>
        </w:rPr>
        <w:t xml:space="preserve">THE EPA 2011 </w:t>
      </w:r>
      <w:r w:rsidRPr="00C66550">
        <w:rPr>
          <w:rFonts w:asciiTheme="minorHAnsi" w:hAnsiTheme="minorHAnsi"/>
          <w:i/>
          <w:sz w:val="20"/>
          <w:szCs w:val="20"/>
        </w:rPr>
        <w:t>– Domestic Kerbside Waste and Recycling in NSW 2007-08</w:t>
      </w:r>
      <w:r w:rsidRPr="00C66550">
        <w:rPr>
          <w:rFonts w:asciiTheme="minorHAnsi" w:hAnsiTheme="minorHAnsi"/>
          <w:sz w:val="20"/>
          <w:szCs w:val="20"/>
        </w:rPr>
        <w:t xml:space="preserve">. </w:t>
      </w:r>
      <w:hyperlink r:id="rId250" w:history="1">
        <w:r w:rsidRPr="00C66550">
          <w:rPr>
            <w:rStyle w:val="Hyperlink"/>
            <w:rFonts w:asciiTheme="minorHAnsi" w:hAnsiTheme="minorHAnsi"/>
            <w:sz w:val="20"/>
            <w:szCs w:val="20"/>
          </w:rPr>
          <w:t>http://www.environment.nsw.gov.au/warr/datareport.htm</w:t>
        </w:r>
      </w:hyperlink>
      <w:r w:rsidRPr="00C66550">
        <w:rPr>
          <w:rFonts w:asciiTheme="minorHAnsi" w:hAnsiTheme="minorHAnsi"/>
          <w:sz w:val="20"/>
          <w:szCs w:val="20"/>
        </w:rPr>
        <w:t xml:space="preserve"> </w:t>
      </w:r>
    </w:p>
    <w:p w:rsidR="001179F0" w:rsidRPr="00C66550" w:rsidRDefault="001179F0" w:rsidP="001179F0">
      <w:pPr>
        <w:pStyle w:val="ListParagraph"/>
        <w:numPr>
          <w:ilvl w:val="0"/>
          <w:numId w:val="31"/>
        </w:numPr>
        <w:spacing w:line="240" w:lineRule="auto"/>
        <w:rPr>
          <w:rFonts w:asciiTheme="minorHAnsi" w:hAnsiTheme="minorHAnsi"/>
          <w:szCs w:val="20"/>
        </w:rPr>
      </w:pPr>
      <w:r w:rsidRPr="00C66550">
        <w:rPr>
          <w:rFonts w:asciiTheme="minorHAnsi" w:hAnsiTheme="minorHAnsi"/>
          <w:i/>
          <w:szCs w:val="20"/>
        </w:rPr>
        <w:t>NSW Local Government Waste and Resources Recovery report 2008-09</w:t>
      </w:r>
      <w:r w:rsidRPr="00C66550">
        <w:rPr>
          <w:rFonts w:asciiTheme="minorHAnsi" w:hAnsiTheme="minorHAnsi"/>
          <w:szCs w:val="20"/>
        </w:rPr>
        <w:t>.</w:t>
      </w:r>
    </w:p>
    <w:p w:rsidR="001179F0" w:rsidRPr="00C66550" w:rsidRDefault="0062001A" w:rsidP="001179F0">
      <w:pPr>
        <w:spacing w:line="240" w:lineRule="auto"/>
        <w:ind w:left="1080"/>
        <w:rPr>
          <w:rFonts w:asciiTheme="minorHAnsi" w:hAnsiTheme="minorHAnsi"/>
          <w:szCs w:val="20"/>
        </w:rPr>
      </w:pPr>
      <w:hyperlink r:id="rId251" w:history="1">
        <w:r w:rsidR="001179F0" w:rsidRPr="00C66550">
          <w:rPr>
            <w:rStyle w:val="Hyperlink"/>
            <w:rFonts w:asciiTheme="minorHAnsi" w:hAnsiTheme="minorHAnsi"/>
            <w:szCs w:val="20"/>
          </w:rPr>
          <w:t>http://www.environment.nsw.gov.au/warr/datareport.htm</w:t>
        </w:r>
      </w:hyperlink>
    </w:p>
    <w:p w:rsidR="001179F0" w:rsidRPr="00C66550" w:rsidRDefault="001179F0" w:rsidP="001179F0">
      <w:pPr>
        <w:spacing w:line="240" w:lineRule="auto"/>
        <w:rPr>
          <w:rFonts w:asciiTheme="minorHAnsi" w:hAnsiTheme="minorHAnsi"/>
          <w:szCs w:val="20"/>
        </w:rPr>
      </w:pPr>
    </w:p>
    <w:p w:rsidR="00035B94" w:rsidRPr="00C66550" w:rsidRDefault="00035B94" w:rsidP="00121BCA">
      <w:pPr>
        <w:pStyle w:val="BodyText"/>
      </w:pPr>
    </w:p>
    <w:sectPr w:rsidR="00035B94" w:rsidRPr="00C66550" w:rsidSect="00BD13E3">
      <w:footerReference w:type="default" r:id="rId252"/>
      <w:pgSz w:w="11907" w:h="16840" w:code="9"/>
      <w:pgMar w:top="1701" w:right="1077" w:bottom="1559" w:left="147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AB2" w:rsidRDefault="004A7AB2" w:rsidP="00E82ECD">
      <w:r>
        <w:separator/>
      </w:r>
    </w:p>
  </w:endnote>
  <w:endnote w:type="continuationSeparator" w:id="0">
    <w:p w:rsidR="004A7AB2" w:rsidRDefault="004A7AB2" w:rsidP="00E82E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2573E5">
    <w:pPr>
      <w:pStyle w:val="Footer"/>
      <w:tabs>
        <w:tab w:val="clear" w:pos="9356"/>
        <w:tab w:val="right" w:pos="9072"/>
      </w:tabs>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EE4519" w:rsidRDefault="00D30041" w:rsidP="002573E5">
    <w:pPr>
      <w:pStyle w:val="Footer"/>
      <w:tabs>
        <w:tab w:val="clear" w:pos="9356"/>
        <w:tab w:val="right" w:pos="9072"/>
      </w:tabs>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10</w:t>
    </w:r>
    <w:r w:rsidR="0062001A" w:rsidRPr="00EE4519">
      <w:rPr>
        <w:rStyle w:val="PageNumber"/>
        <w:rFonts w:cs="Arial"/>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4B24C1">
    <w:pPr>
      <w:pStyle w:val="Footer"/>
      <w:tabs>
        <w:tab w:val="clear" w:pos="9356"/>
        <w:tab w:val="right" w:pos="14459"/>
      </w:tabs>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EE4519" w:rsidRDefault="00D30041" w:rsidP="004661C1">
    <w:pPr>
      <w:pStyle w:val="Footer"/>
      <w:jc w:val="center"/>
    </w:pP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12</w:t>
    </w:r>
    <w:r w:rsidR="0062001A" w:rsidRPr="00EE4519">
      <w:rPr>
        <w:rStyle w:val="PageNumber"/>
        <w:rFonts w:cs="Arial"/>
        <w:szCs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AE2D3D">
    <w:pPr>
      <w:pStyle w:val="Footer"/>
      <w:tabs>
        <w:tab w:val="clear" w:pos="9356"/>
        <w:tab w:val="right" w:pos="9072"/>
      </w:tabs>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EE4519" w:rsidRDefault="00D30041" w:rsidP="00D149AC">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18</w:t>
    </w:r>
    <w:r w:rsidR="0062001A" w:rsidRPr="00EE4519">
      <w:rPr>
        <w:rStyle w:val="PageNumber"/>
        <w:rFonts w:cs="Arial"/>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D149AC">
    <w:pPr>
      <w:pStyle w:val="Footer"/>
    </w:pPr>
    <w:fldSimple w:instr=" DOCPROPERTY  xTitle  \* MERGEFORMAT ">
      <w:r w:rsidR="00D30041">
        <w:t>Waste generation and resource recovery in Australia</w:t>
      </w:r>
    </w:fldSimple>
    <w:r w:rsidR="00D30041">
      <w:tab/>
    </w:r>
    <w:r w:rsidR="00D30041">
      <w:tab/>
    </w:r>
    <w:r w:rsidR="00D30041">
      <w:tab/>
    </w:r>
    <w:r w:rsidR="00D30041">
      <w:tab/>
    </w:r>
    <w:r w:rsidR="00D30041">
      <w:tab/>
    </w:r>
    <w:r w:rsidR="00D30041">
      <w:tab/>
    </w:r>
    <w:r w:rsidR="00D30041">
      <w:tab/>
    </w:r>
    <w:fldSimple w:instr=" DOCPROPERTY  xProjectNumber  \* MERGEFORMAT ">
      <w:r w:rsidR="00D30041">
        <w:t>P321</w:t>
      </w:r>
    </w:fldSimple>
    <w:r w:rsidR="00D30041">
      <w:t xml:space="preserve"> Final report</w:t>
    </w:r>
  </w:p>
  <w:p w:rsidR="00D30041" w:rsidRPr="00EE4519" w:rsidRDefault="00D30041" w:rsidP="001B5371">
    <w:pPr>
      <w:pStyle w:val="Footer"/>
      <w:tabs>
        <w:tab w:val="clear" w:pos="4678"/>
        <w:tab w:val="clear" w:pos="9356"/>
        <w:tab w:val="center" w:pos="7088"/>
        <w:tab w:val="right" w:pos="14175"/>
      </w:tabs>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19</w:t>
    </w:r>
    <w:r w:rsidR="0062001A" w:rsidRPr="00EE4519">
      <w:rPr>
        <w:rStyle w:val="PageNumber"/>
        <w:rFonts w:cs="Arial"/>
        <w:szCs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F810CB">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121BCA">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 </w:t>
    </w:r>
    <w:r>
      <w:fldChar w:fldCharType="begin"/>
    </w:r>
    <w:r w:rsidR="00D30041">
      <w:instrText xml:space="preserve"> DOCPROPERTY  xVersion  \* MERGEFORMAT </w:instrText>
    </w:r>
    <w:r>
      <w:fldChar w:fldCharType="end"/>
    </w:r>
  </w:p>
  <w:p w:rsidR="00D30041" w:rsidRPr="009A582D" w:rsidRDefault="00D30041" w:rsidP="00121BCA">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54</w:t>
    </w:r>
    <w:r w:rsidR="0062001A" w:rsidRPr="00EE4519">
      <w:rPr>
        <w:rStyle w:val="PageNumber"/>
        <w:rFonts w:cs="Arial"/>
        <w:szCs w:val="18"/>
      </w:rPr>
      <w:fldChar w:fldCharType="end"/>
    </w:r>
  </w:p>
  <w:p w:rsidR="00D30041" w:rsidRDefault="00D30041"/>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F810CB">
    <w:pPr>
      <w:pStyle w:val="Footer"/>
    </w:pPr>
    <w:fldSimple w:instr=" DOCPROPERTY  xTitle  \* MERGEFORMAT ">
      <w:r w:rsidR="00D30041">
        <w:t>Waste generation and resource recovery in Australia</w:t>
      </w:r>
    </w:fldSimple>
    <w:r w:rsidR="00D30041">
      <w:tab/>
    </w:r>
    <w:r w:rsidR="00D30041">
      <w:tab/>
    </w:r>
    <w:r w:rsidR="00D30041" w:rsidRPr="00E45412">
      <w:t>Project</w:t>
    </w:r>
    <w:r w:rsidR="00D30041">
      <w:t xml:space="preserve"> number </w:t>
    </w:r>
    <w:fldSimple w:instr=" DOCPROPERTY  xProjectNumber  \* MERGEFORMAT ">
      <w:r w:rsidR="00D30041">
        <w:t>P321</w:t>
      </w:r>
    </w:fldSimple>
    <w:r w:rsidR="00D30041">
      <w:t xml:space="preserve"> </w:t>
    </w:r>
    <w:fldSimple w:instr=" DOCPROPERTY  xDraft  \* MERGEFORMAT ">
      <w:r w:rsidR="00D30041">
        <w:t>Final</w:t>
      </w:r>
    </w:fldSimple>
    <w:r w:rsidR="00D30041">
      <w:t xml:space="preserve"> report Version </w:t>
    </w:r>
    <w:r>
      <w:fldChar w:fldCharType="begin"/>
    </w:r>
    <w:r w:rsidR="00D30041">
      <w:instrText xml:space="preserve"> DOCPROPERTY  xVersion  \* MERGEFORMAT </w:instrText>
    </w:r>
    <w:r>
      <w:fldChar w:fldCharType="end"/>
    </w:r>
  </w:p>
  <w:p w:rsidR="00D30041" w:rsidRPr="005459E4" w:rsidRDefault="00D30041" w:rsidP="00F810CB">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Pr>
        <w:rStyle w:val="PageNumber"/>
        <w:rFonts w:cs="Arial"/>
        <w:noProof/>
        <w:szCs w:val="18"/>
      </w:rPr>
      <w:t>63</w:t>
    </w:r>
    <w:r w:rsidR="0062001A" w:rsidRPr="00EE4519">
      <w:rPr>
        <w:rStyle w:val="PageNumber"/>
        <w:rFonts w:cs="Arial"/>
        <w:szCs w:val="18"/>
      </w:rPr>
      <w:fldChar w:fldCharType="end"/>
    </w:r>
  </w:p>
  <w:p w:rsidR="00D30041" w:rsidRDefault="00D30041"/>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9B1421">
    <w:pPr>
      <w:pStyle w:val="Footer"/>
      <w:tabs>
        <w:tab w:val="clear" w:pos="9356"/>
        <w:tab w:val="right" w:pos="14317"/>
      </w:tabs>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 </w:t>
    </w:r>
    <w:r>
      <w:fldChar w:fldCharType="begin"/>
    </w:r>
    <w:r w:rsidR="00D30041">
      <w:instrText xml:space="preserve"> DOCPROPERTY  xVersion  \* MERGEFORMAT </w:instrText>
    </w:r>
    <w:r>
      <w:fldChar w:fldCharType="end"/>
    </w:r>
  </w:p>
  <w:p w:rsidR="00D30041" w:rsidRPr="009A582D" w:rsidRDefault="00D30041" w:rsidP="009B1421">
    <w:pPr>
      <w:pStyle w:val="Footer"/>
      <w:tabs>
        <w:tab w:val="clear" w:pos="4678"/>
        <w:tab w:val="clear" w:pos="9356"/>
        <w:tab w:val="center" w:pos="7088"/>
      </w:tabs>
      <w:jc w:val="center"/>
    </w:pP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63</w:t>
    </w:r>
    <w:r w:rsidR="0062001A" w:rsidRPr="00EE4519">
      <w:rPr>
        <w:rStyle w:val="PageNumber"/>
        <w:rFonts w:cs="Arial"/>
        <w:szCs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9B1421">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9A582D" w:rsidRDefault="00D30041" w:rsidP="009B1421">
    <w:pPr>
      <w:pStyle w:val="Footer"/>
      <w:pBdr>
        <w:top w:val="none" w:sz="0" w:space="0" w:color="auto"/>
      </w:pBdr>
      <w:tabs>
        <w:tab w:val="left" w:pos="6804"/>
      </w:tabs>
    </w:pPr>
    <w:r>
      <w:tab/>
    </w:r>
    <w:r w:rsidRPr="00EE4519">
      <w:t xml:space="preserve">Page </w:t>
    </w:r>
    <w:r w:rsidR="0062001A" w:rsidRPr="00EE4519">
      <w:rPr>
        <w:rStyle w:val="PageNumber"/>
        <w:rFonts w:cs="Calibri"/>
        <w:szCs w:val="18"/>
      </w:rPr>
      <w:fldChar w:fldCharType="begin"/>
    </w:r>
    <w:r w:rsidRPr="00EE4519">
      <w:rPr>
        <w:rStyle w:val="PageNumber"/>
        <w:rFonts w:cs="Calibri"/>
        <w:szCs w:val="18"/>
      </w:rPr>
      <w:instrText xml:space="preserve"> PAGE </w:instrText>
    </w:r>
    <w:r w:rsidR="0062001A" w:rsidRPr="00EE4519">
      <w:rPr>
        <w:rStyle w:val="PageNumber"/>
        <w:rFonts w:cs="Calibri"/>
        <w:szCs w:val="18"/>
      </w:rPr>
      <w:fldChar w:fldCharType="separate"/>
    </w:r>
    <w:r w:rsidR="00736812">
      <w:rPr>
        <w:rStyle w:val="PageNumber"/>
        <w:rFonts w:cs="Calibri"/>
        <w:noProof/>
        <w:szCs w:val="18"/>
      </w:rPr>
      <w:t>66</w:t>
    </w:r>
    <w:r w:rsidR="0062001A" w:rsidRPr="00EE4519">
      <w:rPr>
        <w:rStyle w:val="PageNumber"/>
        <w:rFonts w:cs="Calibri"/>
        <w:szCs w:val="1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FC6EEF">
    <w:pPr>
      <w:pStyle w:val="Footer"/>
    </w:pPr>
    <w:fldSimple w:instr=" DOCPROPERTY  xTitle  \* MERGEFORMAT ">
      <w:r w:rsidR="00D30041">
        <w:t>Waste generation and resource recovery in Australia</w:t>
      </w:r>
    </w:fldSimple>
    <w:r w:rsidR="00D30041">
      <w:tab/>
    </w:r>
    <w:r w:rsidR="00D30041">
      <w:tab/>
    </w:r>
    <w:r w:rsidR="00D30041" w:rsidRPr="00E45412">
      <w:t>Project</w:t>
    </w:r>
    <w:r w:rsidR="00D30041">
      <w:t xml:space="preserve"> number </w:t>
    </w:r>
    <w:fldSimple w:instr=" DOCPROPERTY  xProjectNumber  \* MERGEFORMAT ">
      <w:r w:rsidR="00D30041">
        <w:t>P321</w:t>
      </w:r>
    </w:fldSimple>
    <w:r w:rsidR="00D30041">
      <w:t xml:space="preserve"> </w:t>
    </w:r>
    <w:fldSimple w:instr=" DOCPROPERTY  xDraft  \* MERGEFORMAT ">
      <w:r w:rsidR="00D30041">
        <w:t>Final</w:t>
      </w:r>
    </w:fldSimple>
    <w:r w:rsidR="00D30041">
      <w:t xml:space="preserve"> report Version </w:t>
    </w:r>
    <w:r>
      <w:fldChar w:fldCharType="begin"/>
    </w:r>
    <w:r w:rsidR="00D30041">
      <w:instrText xml:space="preserve"> DOCPROPERTY  xVersion  \* MERGEFORMAT </w:instrText>
    </w:r>
    <w:r>
      <w:fldChar w:fldCharType="end"/>
    </w:r>
  </w:p>
  <w:p w:rsidR="00D30041" w:rsidRPr="005459E4" w:rsidRDefault="00D30041" w:rsidP="00FC6EEF">
    <w:pPr>
      <w:pStyle w:val="Footer"/>
    </w:pPr>
    <w:r>
      <w:tab/>
    </w:r>
    <w:r w:rsidRPr="00EE4519">
      <w:t xml:space="preserve">Page </w:t>
    </w:r>
    <w:r w:rsidR="0062001A" w:rsidRPr="00EE4519">
      <w:rPr>
        <w:rStyle w:val="PageNumber"/>
        <w:rFonts w:cs="Calibri"/>
        <w:szCs w:val="18"/>
      </w:rPr>
      <w:fldChar w:fldCharType="begin"/>
    </w:r>
    <w:r w:rsidRPr="00EE4519">
      <w:rPr>
        <w:rStyle w:val="PageNumber"/>
        <w:rFonts w:cs="Calibri"/>
        <w:szCs w:val="18"/>
      </w:rPr>
      <w:instrText xml:space="preserve"> PAGE </w:instrText>
    </w:r>
    <w:r w:rsidR="0062001A" w:rsidRPr="00EE4519">
      <w:rPr>
        <w:rStyle w:val="PageNumber"/>
        <w:rFonts w:cs="Calibri"/>
        <w:szCs w:val="18"/>
      </w:rPr>
      <w:fldChar w:fldCharType="separate"/>
    </w:r>
    <w:r>
      <w:rPr>
        <w:rStyle w:val="PageNumber"/>
        <w:rFonts w:cs="Calibri"/>
        <w:noProof/>
        <w:szCs w:val="18"/>
      </w:rPr>
      <w:t>101</w:t>
    </w:r>
    <w:r w:rsidR="0062001A" w:rsidRPr="00EE4519">
      <w:rPr>
        <w:rStyle w:val="PageNumber"/>
        <w:rFonts w:cs="Calibri"/>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4B1E3C">
    <w:pPr>
      <w:pStyle w:val="Footer"/>
      <w:pBdr>
        <w:top w:val="none" w:sz="0" w:space="0" w:color="auto"/>
      </w:pBd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121BCA">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 </w:t>
    </w:r>
    <w:r>
      <w:fldChar w:fldCharType="begin"/>
    </w:r>
    <w:r w:rsidR="00D30041">
      <w:instrText xml:space="preserve"> DOCPROPERTY  xVersion  \* MERGEFORMAT </w:instrText>
    </w:r>
    <w:r>
      <w:fldChar w:fldCharType="end"/>
    </w:r>
  </w:p>
  <w:p w:rsidR="00D30041" w:rsidRPr="009A582D" w:rsidRDefault="00D30041" w:rsidP="00121BCA">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77</w:t>
    </w:r>
    <w:r w:rsidR="0062001A" w:rsidRPr="00EE4519">
      <w:rPr>
        <w:rStyle w:val="PageNumber"/>
        <w:rFonts w:cs="Arial"/>
        <w:szCs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943F47">
    <w:pPr>
      <w:pStyle w:val="Footer"/>
      <w:pBdr>
        <w:top w:val="single" w:sz="4" w:space="0" w:color="808080" w:themeColor="background1" w:themeShade="80"/>
      </w:pBdr>
      <w:tabs>
        <w:tab w:val="clear" w:pos="9356"/>
        <w:tab w:val="right" w:pos="13892"/>
      </w:tabs>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 </w:t>
    </w:r>
    <w:r>
      <w:fldChar w:fldCharType="begin"/>
    </w:r>
    <w:r w:rsidR="00D30041">
      <w:instrText xml:space="preserve"> DOCPROPERTY  xVersion  \* MERGEFORMAT </w:instrText>
    </w:r>
    <w:r>
      <w:fldChar w:fldCharType="end"/>
    </w:r>
  </w:p>
  <w:p w:rsidR="00D30041" w:rsidRPr="009A582D" w:rsidRDefault="00D30041" w:rsidP="00943F47">
    <w:pPr>
      <w:pStyle w:val="Footer"/>
      <w:pBdr>
        <w:top w:val="single" w:sz="4" w:space="0" w:color="808080" w:themeColor="background1" w:themeShade="80"/>
      </w:pBdr>
      <w:tabs>
        <w:tab w:val="clear" w:pos="4678"/>
        <w:tab w:val="center" w:pos="6946"/>
      </w:tabs>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78</w:t>
    </w:r>
    <w:r w:rsidR="0062001A" w:rsidRPr="00EE4519">
      <w:rPr>
        <w:rStyle w:val="PageNumber"/>
        <w:rFonts w:cs="Arial"/>
        <w:szCs w:val="18"/>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121BCA">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 </w:t>
    </w:r>
    <w:r>
      <w:fldChar w:fldCharType="begin"/>
    </w:r>
    <w:r w:rsidR="00D30041">
      <w:instrText xml:space="preserve"> DOCPROPERTY  xVersion  \* MERGEFORMAT </w:instrText>
    </w:r>
    <w:r>
      <w:fldChar w:fldCharType="end"/>
    </w:r>
  </w:p>
  <w:p w:rsidR="00D30041" w:rsidRPr="009A582D" w:rsidRDefault="00D30041" w:rsidP="00121BCA">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80</w:t>
    </w:r>
    <w:r w:rsidR="0062001A" w:rsidRPr="00EE4519">
      <w:rPr>
        <w:rStyle w:val="PageNumber"/>
        <w:rFonts w:cs="Arial"/>
        <w:szCs w:val="18"/>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121BCA">
    <w:pPr>
      <w:pStyle w:val="Footer"/>
    </w:pPr>
    <w:fldSimple w:instr=" DOCPROPERTY  xTitle  \* MERGEFORMAT ">
      <w:r w:rsidR="00D30041">
        <w:t>Waste generation and resource recovery in Australia</w:t>
      </w:r>
    </w:fldSimple>
    <w:r w:rsidR="00D30041">
      <w:tab/>
    </w:r>
    <w:r w:rsidR="00D30041">
      <w:tab/>
    </w:r>
    <w:r w:rsidR="00D30041">
      <w:tab/>
    </w:r>
    <w:r w:rsidR="00D30041">
      <w:tab/>
    </w:r>
    <w:r w:rsidR="00D30041">
      <w:tab/>
    </w:r>
    <w:r w:rsidR="00D30041">
      <w:tab/>
    </w:r>
    <w:r w:rsidR="00D30041">
      <w:tab/>
    </w:r>
    <w:r w:rsidR="00D30041">
      <w:tab/>
    </w:r>
    <w:fldSimple w:instr=" DOCPROPERTY  xProjectNumber  \* MERGEFORMAT ">
      <w:r w:rsidR="00D30041">
        <w:t>P321</w:t>
      </w:r>
    </w:fldSimple>
    <w:r w:rsidR="00D30041">
      <w:t xml:space="preserve"> Final report </w:t>
    </w:r>
    <w:r>
      <w:fldChar w:fldCharType="begin"/>
    </w:r>
    <w:r w:rsidR="00D30041">
      <w:instrText xml:space="preserve"> DOCPROPERTY  xVersion  \* MERGEFORMAT </w:instrText>
    </w:r>
    <w:r>
      <w:fldChar w:fldCharType="end"/>
    </w:r>
  </w:p>
  <w:p w:rsidR="00D30041" w:rsidRPr="009A582D" w:rsidRDefault="00D30041" w:rsidP="00816B54">
    <w:pPr>
      <w:pStyle w:val="Footer"/>
      <w:jc w:val="center"/>
    </w:pP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89</w:t>
    </w:r>
    <w:r w:rsidR="0062001A" w:rsidRPr="00EE4519">
      <w:rPr>
        <w:rStyle w:val="PageNumber"/>
        <w:rFonts w:cs="Arial"/>
        <w:szCs w:val="18"/>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121BCA">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 </w:t>
    </w:r>
    <w:r>
      <w:fldChar w:fldCharType="begin"/>
    </w:r>
    <w:r w:rsidR="00D30041">
      <w:instrText xml:space="preserve"> DOCPROPERTY  xVersion  \* MERGEFORMAT </w:instrText>
    </w:r>
    <w:r>
      <w:fldChar w:fldCharType="end"/>
    </w:r>
  </w:p>
  <w:p w:rsidR="00D30041" w:rsidRPr="009A582D" w:rsidRDefault="00D30041" w:rsidP="00121BCA">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101</w:t>
    </w:r>
    <w:r w:rsidR="0062001A" w:rsidRPr="00EE4519">
      <w:rPr>
        <w:rStyle w:val="PageNumber"/>
        <w:rFonts w:cs="Arial"/>
        <w:szCs w:val="18"/>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FC6EEF">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5046D3">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9A582D" w:rsidRDefault="00D30041" w:rsidP="005046D3">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111</w:t>
    </w:r>
    <w:r w:rsidR="0062001A" w:rsidRPr="00EE4519">
      <w:rPr>
        <w:rStyle w:val="PageNumber"/>
        <w:rFonts w:cs="Arial"/>
        <w:szCs w:val="18"/>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FC6EEF">
    <w:pPr>
      <w:pStyle w:val="Footer"/>
    </w:pPr>
    <w:fldSimple w:instr=" DOCPROPERTY  xTitle  \* MERGEFORMAT ">
      <w:r w:rsidR="00D30041">
        <w:t>Waste generation and resource recovery in Australia</w:t>
      </w:r>
    </w:fldSimple>
    <w:r w:rsidR="00D30041">
      <w:tab/>
    </w:r>
    <w:r w:rsidR="00D30041">
      <w:tab/>
    </w:r>
    <w:r w:rsidR="00D30041" w:rsidRPr="00E45412">
      <w:t>Project</w:t>
    </w:r>
    <w:r w:rsidR="00D30041">
      <w:t xml:space="preserve"> number </w:t>
    </w:r>
    <w:fldSimple w:instr=" DOCPROPERTY  xProjectNumber  \* MERGEFORMAT ">
      <w:r w:rsidR="00D30041">
        <w:t>P321</w:t>
      </w:r>
    </w:fldSimple>
    <w:r w:rsidR="00D30041">
      <w:t xml:space="preserve"> </w:t>
    </w:r>
    <w:fldSimple w:instr=" DOCPROPERTY  xDraft  \* MERGEFORMAT ">
      <w:r w:rsidR="00D30041">
        <w:t>Final</w:t>
      </w:r>
    </w:fldSimple>
    <w:r w:rsidR="00D30041">
      <w:t xml:space="preserve"> report Version </w:t>
    </w:r>
    <w:r>
      <w:fldChar w:fldCharType="begin"/>
    </w:r>
    <w:r w:rsidR="00D30041">
      <w:instrText xml:space="preserve"> DOCPROPERTY  xVersion  \* MERGEFORMAT </w:instrText>
    </w:r>
    <w:r>
      <w:fldChar w:fldCharType="end"/>
    </w:r>
  </w:p>
  <w:p w:rsidR="00D30041" w:rsidRPr="005459E4" w:rsidRDefault="00D30041" w:rsidP="00FC6EEF">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Pr>
        <w:rStyle w:val="PageNumber"/>
        <w:rFonts w:cs="Arial"/>
        <w:noProof/>
        <w:szCs w:val="18"/>
      </w:rPr>
      <w:t>111</w:t>
    </w:r>
    <w:r w:rsidR="0062001A" w:rsidRPr="00EE4519">
      <w:rPr>
        <w:rStyle w:val="PageNumber"/>
        <w:rFonts w:cs="Arial"/>
        <w:szCs w:val="18"/>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FC6EEF">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BD13E3">
    <w:pPr>
      <w:pStyle w:val="FooterLandscape"/>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9A582D" w:rsidRDefault="00D30041" w:rsidP="00BD13E3">
    <w:pPr>
      <w:pStyle w:val="FooterLandscape"/>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113</w:t>
    </w:r>
    <w:r w:rsidR="0062001A" w:rsidRPr="00EE4519">
      <w:rPr>
        <w:rStyle w:val="PageNumber"/>
        <w:rFonts w:cs="Arial"/>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FC6EEF">
    <w:pPr>
      <w:pStyle w:val="Footer"/>
    </w:pPr>
    <w:fldSimple w:instr=" DOCPROPERTY  xTitle  \* MERGEFORMAT ">
      <w:r w:rsidR="00D30041">
        <w:t>Waste generation and resource recovery in Australia</w:t>
      </w:r>
    </w:fldSimple>
    <w:r w:rsidR="00D30041">
      <w:tab/>
    </w:r>
    <w:r w:rsidR="00D30041">
      <w:tab/>
    </w:r>
    <w:r w:rsidR="00D30041" w:rsidRPr="00E45412">
      <w:t>Project</w:t>
    </w:r>
    <w:r w:rsidR="00D30041">
      <w:t xml:space="preserve"> number </w:t>
    </w:r>
    <w:fldSimple w:instr=" DOCPROPERTY  xProjectNumber  \* MERGEFORMAT ">
      <w:r w:rsidR="00D30041">
        <w:t>P321</w:t>
      </w:r>
    </w:fldSimple>
    <w:r w:rsidR="00D30041">
      <w:t xml:space="preserve"> </w:t>
    </w:r>
    <w:fldSimple w:instr=" DOCPROPERTY  xDraft  \* MERGEFORMAT ">
      <w:r w:rsidR="00D30041">
        <w:t>Final</w:t>
      </w:r>
    </w:fldSimple>
    <w:r w:rsidR="00D30041">
      <w:t xml:space="preserve"> report Version </w:t>
    </w:r>
    <w:r>
      <w:fldChar w:fldCharType="begin"/>
    </w:r>
    <w:r w:rsidR="00D30041">
      <w:instrText xml:space="preserve"> DOCPROPERTY  xVersion  \* MERGEFORMAT </w:instrText>
    </w:r>
    <w:r>
      <w:fldChar w:fldCharType="end"/>
    </w:r>
  </w:p>
  <w:p w:rsidR="00D30041" w:rsidRPr="005459E4" w:rsidRDefault="00D30041" w:rsidP="00FC6EEF">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Pr>
        <w:rStyle w:val="PageNumber"/>
        <w:rFonts w:cs="Arial"/>
        <w:noProof/>
        <w:szCs w:val="18"/>
      </w:rPr>
      <w:t>113</w:t>
    </w:r>
    <w:r w:rsidR="0062001A" w:rsidRPr="00EE4519">
      <w:rPr>
        <w:rStyle w:val="PageNumber"/>
        <w:rFonts w:cs="Arial"/>
        <w:szCs w:val="18"/>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F810CB">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6D535E">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9A582D" w:rsidRDefault="00D30041" w:rsidP="00F810CB">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121</w:t>
    </w:r>
    <w:r w:rsidR="0062001A" w:rsidRPr="00EE4519">
      <w:rPr>
        <w:rStyle w:val="PageNumber"/>
        <w:rFonts w:cs="Arial"/>
        <w:szCs w:val="18"/>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F810CB">
    <w:pPr>
      <w:pStyle w:val="Footer"/>
    </w:pPr>
    <w:fldSimple w:instr=" DOCPROPERTY  xTitle  \* MERGEFORMAT ">
      <w:r w:rsidR="00D30041">
        <w:t>Waste generation and resource recovery in Australia</w:t>
      </w:r>
    </w:fldSimple>
    <w:r w:rsidR="00D30041">
      <w:tab/>
    </w:r>
    <w:r w:rsidR="00D30041">
      <w:tab/>
    </w:r>
    <w:r w:rsidR="00D30041" w:rsidRPr="00E45412">
      <w:t>Project</w:t>
    </w:r>
    <w:r w:rsidR="00D30041">
      <w:t xml:space="preserve"> number </w:t>
    </w:r>
    <w:fldSimple w:instr=" DOCPROPERTY  xProjectNumber  \* MERGEFORMAT ">
      <w:r w:rsidR="00D30041">
        <w:t>P321</w:t>
      </w:r>
    </w:fldSimple>
    <w:r w:rsidR="00D30041">
      <w:t xml:space="preserve"> </w:t>
    </w:r>
    <w:fldSimple w:instr=" DOCPROPERTY  xDraft  \* MERGEFORMAT ">
      <w:r w:rsidR="00D30041">
        <w:t>Final</w:t>
      </w:r>
    </w:fldSimple>
    <w:r w:rsidR="00D30041">
      <w:t xml:space="preserve"> report Version </w:t>
    </w:r>
    <w:r>
      <w:fldChar w:fldCharType="begin"/>
    </w:r>
    <w:r w:rsidR="00D30041">
      <w:instrText xml:space="preserve"> DOCPROPERTY  xVersion  \* MERGEFORMAT </w:instrText>
    </w:r>
    <w:r>
      <w:fldChar w:fldCharType="end"/>
    </w:r>
  </w:p>
  <w:p w:rsidR="00D30041" w:rsidRPr="005459E4" w:rsidRDefault="00D30041" w:rsidP="00F810CB">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Pr>
        <w:rStyle w:val="PageNumber"/>
        <w:rFonts w:cs="Arial"/>
        <w:noProof/>
        <w:szCs w:val="18"/>
      </w:rPr>
      <w:t>128</w:t>
    </w:r>
    <w:r w:rsidR="0062001A" w:rsidRPr="00EE4519">
      <w:rPr>
        <w:rStyle w:val="PageNumber"/>
        <w:rFonts w:cs="Arial"/>
        <w:szCs w:val="18"/>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5046D3">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9A582D" w:rsidRDefault="00D30041" w:rsidP="005046D3">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128</w:t>
    </w:r>
    <w:r w:rsidR="0062001A" w:rsidRPr="00EE4519">
      <w:rPr>
        <w:rStyle w:val="PageNumber"/>
        <w:rFonts w:cs="Arial"/>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F34D00" w:rsidRDefault="00D30041" w:rsidP="004B1E3C">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FC6EEF">
    <w:pPr>
      <w:pStyle w:val="Footernolin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F810CB">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EE4519" w:rsidRDefault="00D30041" w:rsidP="00F810CB">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vi</w:t>
    </w:r>
    <w:r w:rsidR="0062001A" w:rsidRPr="00EE4519">
      <w:rPr>
        <w:rStyle w:val="PageNumber"/>
        <w:rFonts w:cs="Arial"/>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F810CB">
    <w:pPr>
      <w:pStyle w:val="Footer"/>
    </w:pPr>
    <w:fldSimple w:instr=" DOCPROPERTY  xTitle  \* MERGEFORMAT ">
      <w:r w:rsidR="00D30041">
        <w:t>Waste generation and resource recovery in Australia</w:t>
      </w:r>
    </w:fldSimple>
    <w:r w:rsidR="00D30041">
      <w:tab/>
    </w:r>
    <w:r w:rsidR="00D30041">
      <w:tab/>
    </w:r>
    <w:r w:rsidR="00D30041" w:rsidRPr="00E45412">
      <w:t>Project</w:t>
    </w:r>
    <w:r w:rsidR="00D30041">
      <w:t xml:space="preserve"> number </w:t>
    </w:r>
    <w:fldSimple w:instr=" DOCPROPERTY  xProjectNumber  \* MERGEFORMAT ">
      <w:r w:rsidR="00D30041">
        <w:t>P321</w:t>
      </w:r>
    </w:fldSimple>
    <w:r w:rsidR="00D30041">
      <w:t xml:space="preserve"> </w:t>
    </w:r>
    <w:fldSimple w:instr=" DOCPROPERTY  xDraft  \* MERGEFORMAT ">
      <w:r w:rsidR="00D30041">
        <w:t>Final</w:t>
      </w:r>
    </w:fldSimple>
    <w:r w:rsidR="00D30041">
      <w:t xml:space="preserve"> report Version </w:t>
    </w:r>
    <w:r>
      <w:fldChar w:fldCharType="begin"/>
    </w:r>
    <w:r w:rsidR="00D30041">
      <w:instrText xml:space="preserve"> DOCPROPERTY  xVersion  \* MERGEFORMAT </w:instrText>
    </w:r>
    <w:r>
      <w:fldChar w:fldCharType="end"/>
    </w:r>
  </w:p>
  <w:p w:rsidR="00D30041" w:rsidRPr="005459E4" w:rsidRDefault="00D30041" w:rsidP="00F810CB">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Pr>
        <w:rStyle w:val="PageNumber"/>
        <w:rFonts w:cs="Arial"/>
        <w:noProof/>
        <w:szCs w:val="18"/>
      </w:rPr>
      <w:t>vi</w:t>
    </w:r>
    <w:r w:rsidR="0062001A" w:rsidRPr="00EE4519">
      <w:rPr>
        <w:rStyle w:val="PageNumber"/>
        <w:rFonts w:cs="Arial"/>
        <w:szCs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D149AC">
    <w:pPr>
      <w:pStyle w:val="Footer"/>
    </w:pPr>
    <w:fldSimple w:instr=" DOCPROPERTY  xTitle  \* MERGEFORMAT ">
      <w:r w:rsidR="00D30041">
        <w:t>Waste generation and resource recovery in Australia</w:t>
      </w:r>
    </w:fldSimple>
    <w:r w:rsidR="00D30041">
      <w:tab/>
    </w:r>
    <w:r w:rsidR="00D30041">
      <w:tab/>
    </w:r>
    <w:fldSimple w:instr=" DOCPROPERTY  xProjectNumber  \* MERGEFORMAT ">
      <w:r w:rsidR="00D30041">
        <w:t>P321</w:t>
      </w:r>
    </w:fldSimple>
    <w:r w:rsidR="00D30041">
      <w:t xml:space="preserve"> Final report</w:t>
    </w:r>
  </w:p>
  <w:p w:rsidR="00D30041" w:rsidRPr="00EE4519" w:rsidRDefault="00D30041" w:rsidP="00D149AC">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sidR="00736812">
      <w:rPr>
        <w:rStyle w:val="PageNumber"/>
        <w:rFonts w:cs="Arial"/>
        <w:noProof/>
        <w:szCs w:val="18"/>
      </w:rPr>
      <w:t>xiii</w:t>
    </w:r>
    <w:r w:rsidR="0062001A" w:rsidRPr="00EE4519">
      <w:rPr>
        <w:rStyle w:val="PageNumber"/>
        <w:rFonts w:cs="Arial"/>
        <w:szCs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62001A" w:rsidP="00FC6EEF">
    <w:pPr>
      <w:pStyle w:val="Footer"/>
    </w:pPr>
    <w:fldSimple w:instr=" DOCPROPERTY  xTitle  \* MERGEFORMAT ">
      <w:r w:rsidR="00D30041">
        <w:t>Waste generation and resource recovery in Australia</w:t>
      </w:r>
    </w:fldSimple>
    <w:r w:rsidR="00D30041">
      <w:tab/>
    </w:r>
    <w:r w:rsidR="00D30041">
      <w:tab/>
    </w:r>
    <w:r w:rsidR="00D30041" w:rsidRPr="00E45412">
      <w:t>Project</w:t>
    </w:r>
    <w:r w:rsidR="00D30041">
      <w:t xml:space="preserve"> number </w:t>
    </w:r>
    <w:fldSimple w:instr=" DOCPROPERTY  xProjectNumber  \* MERGEFORMAT ">
      <w:r w:rsidR="00D30041">
        <w:t>P321</w:t>
      </w:r>
    </w:fldSimple>
    <w:r w:rsidR="00D30041">
      <w:t xml:space="preserve"> </w:t>
    </w:r>
    <w:fldSimple w:instr=" DOCPROPERTY  xDraft  \* MERGEFORMAT ">
      <w:r w:rsidR="00D30041">
        <w:t>Final</w:t>
      </w:r>
    </w:fldSimple>
    <w:r w:rsidR="00D30041">
      <w:t xml:space="preserve"> report Version </w:t>
    </w:r>
    <w:r>
      <w:fldChar w:fldCharType="begin"/>
    </w:r>
    <w:r w:rsidR="00D30041">
      <w:instrText xml:space="preserve"> DOCPROPERTY  xVersion  \* MERGEFORMAT </w:instrText>
    </w:r>
    <w:r>
      <w:fldChar w:fldCharType="end"/>
    </w:r>
  </w:p>
  <w:p w:rsidR="00D30041" w:rsidRPr="005459E4" w:rsidRDefault="00D30041" w:rsidP="00FC6EEF">
    <w:pPr>
      <w:pStyle w:val="Footer"/>
    </w:pPr>
    <w:r>
      <w:tab/>
    </w:r>
    <w:r w:rsidRPr="00EE4519">
      <w:t xml:space="preserve">Page </w:t>
    </w:r>
    <w:r w:rsidR="0062001A" w:rsidRPr="00EE4519">
      <w:rPr>
        <w:rStyle w:val="PageNumber"/>
        <w:rFonts w:cs="Arial"/>
        <w:szCs w:val="18"/>
      </w:rPr>
      <w:fldChar w:fldCharType="begin"/>
    </w:r>
    <w:r w:rsidRPr="00EE4519">
      <w:rPr>
        <w:rStyle w:val="PageNumber"/>
        <w:rFonts w:cs="Arial"/>
        <w:szCs w:val="18"/>
      </w:rPr>
      <w:instrText xml:space="preserve"> PAGE </w:instrText>
    </w:r>
    <w:r w:rsidR="0062001A" w:rsidRPr="00EE4519">
      <w:rPr>
        <w:rStyle w:val="PageNumber"/>
        <w:rFonts w:cs="Arial"/>
        <w:szCs w:val="18"/>
      </w:rPr>
      <w:fldChar w:fldCharType="separate"/>
    </w:r>
    <w:r>
      <w:rPr>
        <w:rStyle w:val="PageNumber"/>
        <w:rFonts w:cs="Arial"/>
        <w:noProof/>
        <w:szCs w:val="18"/>
      </w:rPr>
      <w:t>xix</w:t>
    </w:r>
    <w:r w:rsidR="0062001A" w:rsidRPr="00EE4519">
      <w:rPr>
        <w:rStyle w:val="PageNumber"/>
        <w:rFonts w:cs="Arial"/>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AB2" w:rsidRDefault="004A7AB2" w:rsidP="00E82ECD">
      <w:r>
        <w:separator/>
      </w:r>
    </w:p>
  </w:footnote>
  <w:footnote w:type="continuationSeparator" w:id="0">
    <w:p w:rsidR="004A7AB2" w:rsidRDefault="004A7AB2" w:rsidP="00E82ECD">
      <w:r>
        <w:continuationSeparator/>
      </w:r>
    </w:p>
  </w:footnote>
  <w:footnote w:id="1">
    <w:p w:rsidR="00D30041" w:rsidRDefault="00D30041">
      <w:pPr>
        <w:pStyle w:val="FootnoteText"/>
      </w:pPr>
      <w:r>
        <w:rPr>
          <w:rStyle w:val="FootnoteReference"/>
        </w:rPr>
        <w:footnoteRef/>
      </w:r>
      <w:r>
        <w:t xml:space="preserve"> In this section of the report, organic waste is taken to include paper and cardboard and also primary production wastes </w:t>
      </w:r>
      <w:r w:rsidRPr="00C66550">
        <w:t>for which data is readily available and publically reported</w:t>
      </w:r>
      <w:r>
        <w:t>.</w:t>
      </w:r>
    </w:p>
  </w:footnote>
  <w:footnote w:id="2">
    <w:p w:rsidR="00D30041" w:rsidRDefault="00D30041">
      <w:pPr>
        <w:pStyle w:val="FootnoteText"/>
      </w:pPr>
      <w:r>
        <w:rPr>
          <w:rStyle w:val="FootnoteReference"/>
        </w:rPr>
        <w:footnoteRef/>
      </w:r>
      <w:r>
        <w:t xml:space="preserve"> The data set is too small for a robust statistical assessment of the influence on waste generation of these two factors (i.e. per capita income; and the proportion of the population living in metropolitan areas). Regression analysis was nevertheless applied with the independent variables set to equal each factor separately and then both together. The proportion of the variability in the waste generation figures explained was slightly higher when both were included.</w:t>
      </w:r>
    </w:p>
  </w:footnote>
  <w:footnote w:id="3">
    <w:p w:rsidR="00D30041" w:rsidRDefault="00D30041">
      <w:pPr>
        <w:pStyle w:val="FootnoteText"/>
      </w:pPr>
      <w:r>
        <w:rPr>
          <w:rStyle w:val="FootnoteReference"/>
        </w:rPr>
        <w:footnoteRef/>
      </w:r>
      <w:r>
        <w:t xml:space="preserve"> ACT tonnages are excluded because that jurisdictions does not collect data on the sources of recycled materials by stream.</w:t>
      </w:r>
    </w:p>
  </w:footnote>
  <w:footnote w:id="4">
    <w:p w:rsidR="00D30041" w:rsidRDefault="00D30041">
      <w:pPr>
        <w:pStyle w:val="FootnoteText"/>
      </w:pPr>
      <w:r>
        <w:rPr>
          <w:rStyle w:val="FootnoteReference"/>
        </w:rPr>
        <w:footnoteRef/>
      </w:r>
      <w:r>
        <w:t xml:space="preserve"> Section 15 presents data on organic wastes that includes paper, cardboard and primary production wastes </w:t>
      </w:r>
      <w:r w:rsidRPr="00C66550">
        <w:t>for which data is readily available and publically reported</w:t>
      </w:r>
      <w:r>
        <w:t xml:space="preserve">, </w:t>
      </w:r>
    </w:p>
  </w:footnote>
  <w:footnote w:id="5">
    <w:p w:rsidR="00D30041" w:rsidRPr="004F6EB5" w:rsidRDefault="00D30041">
      <w:pPr>
        <w:pStyle w:val="FootnoteText"/>
      </w:pPr>
      <w:r>
        <w:rPr>
          <w:rStyle w:val="FootnoteReference"/>
        </w:rPr>
        <w:footnoteRef/>
      </w:r>
      <w:r>
        <w:t xml:space="preserve"> Hazardous wastes were the subject of a separate study commissioned by DSEWPaC in 2012—the </w:t>
      </w:r>
      <w:r w:rsidRPr="00892726">
        <w:rPr>
          <w:i/>
        </w:rPr>
        <w:t>Hazardous Waste Data Assessment 2012</w:t>
      </w:r>
      <w:r>
        <w:rPr>
          <w:i/>
        </w:rPr>
        <w:t>.</w:t>
      </w:r>
      <w:r>
        <w:t>The figures stated in that report do not reconcile with those stated here because that report includes liquid wastes and has obtained a more thorough overview of wastes that are treated or otherwise managed without entering the waste data stream.</w:t>
      </w:r>
    </w:p>
  </w:footnote>
  <w:footnote w:id="6">
    <w:p w:rsidR="00D30041" w:rsidRDefault="00D30041">
      <w:pPr>
        <w:pStyle w:val="FootnoteText"/>
      </w:pPr>
      <w:r>
        <w:rPr>
          <w:rStyle w:val="FootnoteReference"/>
        </w:rPr>
        <w:footnoteRef/>
      </w:r>
      <w:r>
        <w:t xml:space="preserve"> NT is not included as insufficient data was available prior to the 2010/11 period (see section </w:t>
      </w:r>
      <w:r w:rsidR="0062001A">
        <w:fldChar w:fldCharType="begin"/>
      </w:r>
      <w:r>
        <w:instrText xml:space="preserve"> REF _Ref354674092 \r \h </w:instrText>
      </w:r>
      <w:r w:rsidR="0062001A">
        <w:fldChar w:fldCharType="separate"/>
      </w:r>
      <w:r>
        <w:t>8</w:t>
      </w:r>
      <w:r w:rsidR="0062001A">
        <w:fldChar w:fldCharType="end"/>
      </w:r>
      <w:r>
        <w:t xml:space="preserve"> for further discussion)</w:t>
      </w:r>
    </w:p>
  </w:footnote>
  <w:footnote w:id="7">
    <w:p w:rsidR="00D30041" w:rsidRPr="00FB09FC" w:rsidRDefault="00D30041">
      <w:pPr>
        <w:pStyle w:val="FootnoteText"/>
        <w:rPr>
          <w:rStyle w:val="FollowedHyperlink"/>
        </w:rPr>
      </w:pPr>
      <w:r>
        <w:rPr>
          <w:rStyle w:val="FootnoteReference"/>
        </w:rPr>
        <w:footnoteRef/>
      </w:r>
      <w:r>
        <w:t xml:space="preserve"> </w:t>
      </w:r>
      <w:r>
        <w:rPr>
          <w:rFonts w:asciiTheme="minorHAnsi" w:hAnsiTheme="minorHAnsi"/>
          <w:color w:val="000000"/>
          <w:lang w:eastAsia="en-GB"/>
        </w:rPr>
        <w:t xml:space="preserve">Available at: </w:t>
      </w:r>
      <w:hyperlink r:id="rId1" w:history="1">
        <w:r w:rsidRPr="00B75928">
          <w:rPr>
            <w:rStyle w:val="Hyperlink"/>
            <w:rFonts w:asciiTheme="minorHAnsi" w:hAnsiTheme="minorHAnsi"/>
            <w:lang w:val="en-US"/>
          </w:rPr>
          <w:t>http://stats.oecd.org/index.aspx?r=571968</w:t>
        </w:r>
      </w:hyperlink>
      <w:r>
        <w:rPr>
          <w:rFonts w:asciiTheme="minorHAnsi" w:hAnsiTheme="minorHAnsi"/>
          <w:lang w:val="en-US"/>
        </w:rPr>
        <w:t xml:space="preserve"> (April 2013)</w:t>
      </w:r>
    </w:p>
  </w:footnote>
  <w:footnote w:id="8">
    <w:p w:rsidR="00D30041" w:rsidRDefault="00D30041">
      <w:pPr>
        <w:pStyle w:val="FootnoteText"/>
      </w:pPr>
      <w:r>
        <w:rPr>
          <w:rStyle w:val="FootnoteReference"/>
        </w:rPr>
        <w:footnoteRef/>
      </w:r>
      <w:r>
        <w:t xml:space="preserve"> The ACT Government owns the only landfill in the jurisdiction and so, unlike other jurisdictions, does not need to apply a levy that is separate from the gate fee.</w:t>
      </w:r>
    </w:p>
  </w:footnote>
  <w:footnote w:id="9">
    <w:p w:rsidR="00D30041" w:rsidRDefault="00D30041">
      <w:pPr>
        <w:pStyle w:val="FootnoteText"/>
      </w:pPr>
      <w:r>
        <w:rPr>
          <w:rStyle w:val="FootnoteReference"/>
        </w:rPr>
        <w:footnoteRef/>
      </w:r>
      <w:r>
        <w:t xml:space="preserve"> To enable the Australian trends to be calculated (in </w:t>
      </w:r>
      <w:r w:rsidR="0062001A">
        <w:fldChar w:fldCharType="begin"/>
      </w:r>
      <w:r>
        <w:instrText xml:space="preserve"> REF _Ref348963389 \h </w:instrText>
      </w:r>
      <w:r w:rsidR="0062001A">
        <w:fldChar w:fldCharType="separate"/>
      </w:r>
      <w:r w:rsidRPr="00C66550">
        <w:t xml:space="preserve">Figure </w:t>
      </w:r>
      <w:r>
        <w:rPr>
          <w:noProof/>
        </w:rPr>
        <w:t>11</w:t>
      </w:r>
      <w:r w:rsidR="0062001A">
        <w:fldChar w:fldCharType="end"/>
      </w:r>
      <w:r>
        <w:t>), waste generation and management tonnages in 20</w:t>
      </w:r>
      <w:r w:rsidRPr="00147951">
        <w:t xml:space="preserve">06/07 </w:t>
      </w:r>
      <w:r>
        <w:t>to</w:t>
      </w:r>
      <w:r w:rsidRPr="00147951">
        <w:t xml:space="preserve"> </w:t>
      </w:r>
      <w:r>
        <w:t>20</w:t>
      </w:r>
      <w:r w:rsidRPr="00147951">
        <w:t>09/10</w:t>
      </w:r>
      <w:r>
        <w:t xml:space="preserve"> were estimated by back-casting 2010/11 data based on </w:t>
      </w:r>
      <w:r w:rsidRPr="00147951">
        <w:t>population.</w:t>
      </w:r>
    </w:p>
  </w:footnote>
  <w:footnote w:id="10">
    <w:p w:rsidR="00D30041" w:rsidRDefault="00D30041">
      <w:pPr>
        <w:pStyle w:val="FootnoteText"/>
      </w:pPr>
      <w:r>
        <w:rPr>
          <w:rStyle w:val="FootnoteReference"/>
        </w:rPr>
        <w:footnoteRef/>
      </w:r>
      <w:r>
        <w:t xml:space="preserve"> </w:t>
      </w:r>
      <w:r w:rsidRPr="002D17EC">
        <w:rPr>
          <w:i/>
          <w:color w:val="080808"/>
        </w:rPr>
        <w:t xml:space="preserve">Waste and Recycling in Australia </w:t>
      </w:r>
      <w:r w:rsidRPr="002D17EC">
        <w:rPr>
          <w:i/>
        </w:rPr>
        <w:t>2009</w:t>
      </w:r>
      <w:r>
        <w:t xml:space="preserve"> reported 2006/07 data for Qld but it was not possible to harmonise the data set with the more recent data.</w:t>
      </w:r>
    </w:p>
  </w:footnote>
  <w:footnote w:id="11">
    <w:p w:rsidR="00D30041" w:rsidRDefault="00D30041">
      <w:pPr>
        <w:pStyle w:val="FootnoteText"/>
      </w:pPr>
      <w:r>
        <w:rPr>
          <w:rStyle w:val="FootnoteReference"/>
        </w:rPr>
        <w:footnoteRef/>
      </w:r>
      <w:r>
        <w:t xml:space="preserve"> This is a good example of the need to consider waste management data in context, and to understand </w:t>
      </w:r>
      <w:r w:rsidRPr="00571F09">
        <w:t xml:space="preserve">why </w:t>
      </w:r>
      <w:r>
        <w:t>the data has changed before conclusive statements can be made regarding any improvements or reductions in resource recovery rates.</w:t>
      </w:r>
    </w:p>
  </w:footnote>
  <w:footnote w:id="12">
    <w:p w:rsidR="00D30041" w:rsidRPr="00A03FD5" w:rsidRDefault="00D30041" w:rsidP="00A03FD5">
      <w:pPr>
        <w:pStyle w:val="BodyText"/>
        <w:rPr>
          <w:sz w:val="18"/>
          <w:szCs w:val="18"/>
        </w:rPr>
      </w:pPr>
      <w:r>
        <w:rPr>
          <w:rStyle w:val="FootnoteReference"/>
        </w:rPr>
        <w:footnoteRef/>
      </w:r>
      <w:r>
        <w:t xml:space="preserve"> </w:t>
      </w:r>
      <w:r w:rsidRPr="00A03FD5">
        <w:rPr>
          <w:sz w:val="18"/>
          <w:szCs w:val="18"/>
        </w:rPr>
        <w:t>The Waste Authority (2012)</w:t>
      </w:r>
      <w:r>
        <w:rPr>
          <w:sz w:val="18"/>
          <w:szCs w:val="18"/>
        </w:rPr>
        <w:t xml:space="preserve"> </w:t>
      </w:r>
      <w:r w:rsidRPr="00A03FD5">
        <w:rPr>
          <w:sz w:val="18"/>
          <w:szCs w:val="18"/>
        </w:rPr>
        <w:t xml:space="preserve">explains that the waste generation rate per capita for the </w:t>
      </w:r>
      <w:r>
        <w:rPr>
          <w:sz w:val="18"/>
          <w:szCs w:val="18"/>
        </w:rPr>
        <w:t>whole</w:t>
      </w:r>
      <w:r w:rsidRPr="00A03FD5">
        <w:rPr>
          <w:sz w:val="18"/>
          <w:szCs w:val="18"/>
        </w:rPr>
        <w:t xml:space="preserve"> state is</w:t>
      </w:r>
      <w:r>
        <w:rPr>
          <w:sz w:val="18"/>
          <w:szCs w:val="18"/>
        </w:rPr>
        <w:t xml:space="preserve"> assumed to be</w:t>
      </w:r>
      <w:r w:rsidRPr="00A03FD5">
        <w:rPr>
          <w:sz w:val="18"/>
          <w:szCs w:val="18"/>
        </w:rPr>
        <w:t xml:space="preserve"> similar to that of metropolitan WA.</w:t>
      </w:r>
      <w:r>
        <w:rPr>
          <w:sz w:val="18"/>
          <w:szCs w:val="18"/>
        </w:rPr>
        <w:t xml:space="preserve"> Landfill tonnages outside Perth are estimated by subtracting known tonnages of recycling from the assumed tonnes generated.</w:t>
      </w:r>
      <w:r w:rsidRPr="00A03FD5">
        <w:rPr>
          <w:sz w:val="18"/>
          <w:szCs w:val="18"/>
        </w:rPr>
        <w:t xml:space="preserve"> </w:t>
      </w:r>
    </w:p>
    <w:p w:rsidR="00D30041" w:rsidRPr="00A03FD5" w:rsidRDefault="00D30041">
      <w:pPr>
        <w:pStyle w:val="FootnoteText"/>
      </w:pPr>
    </w:p>
  </w:footnote>
  <w:footnote w:id="13">
    <w:p w:rsidR="00D30041" w:rsidRPr="006F3738" w:rsidRDefault="00D30041" w:rsidP="006F3738">
      <w:pPr>
        <w:pStyle w:val="BodyText"/>
        <w:rPr>
          <w:sz w:val="18"/>
          <w:szCs w:val="18"/>
        </w:rPr>
      </w:pPr>
      <w:r w:rsidRPr="006F3738">
        <w:rPr>
          <w:rStyle w:val="FootnoteReference"/>
          <w:sz w:val="18"/>
          <w:szCs w:val="18"/>
        </w:rPr>
        <w:footnoteRef/>
      </w:r>
      <w:r w:rsidRPr="006F3738">
        <w:rPr>
          <w:sz w:val="18"/>
          <w:szCs w:val="18"/>
        </w:rPr>
        <w:t xml:space="preserve"> </w:t>
      </w:r>
      <w:r>
        <w:rPr>
          <w:sz w:val="18"/>
          <w:szCs w:val="18"/>
        </w:rPr>
        <w:t>P</w:t>
      </w:r>
      <w:r w:rsidRPr="006F3738">
        <w:rPr>
          <w:sz w:val="18"/>
          <w:szCs w:val="18"/>
        </w:rPr>
        <w:t xml:space="preserve">revious </w:t>
      </w:r>
      <w:r w:rsidRPr="002D17EC">
        <w:rPr>
          <w:i/>
          <w:sz w:val="18"/>
          <w:szCs w:val="18"/>
        </w:rPr>
        <w:t>Waste and Recycling in Australia</w:t>
      </w:r>
      <w:r w:rsidRPr="004B1E3C">
        <w:rPr>
          <w:i/>
        </w:rPr>
        <w:t xml:space="preserve"> </w:t>
      </w:r>
      <w:r w:rsidRPr="006F3738">
        <w:rPr>
          <w:sz w:val="18"/>
          <w:szCs w:val="18"/>
        </w:rPr>
        <w:t xml:space="preserve">reports </w:t>
      </w:r>
      <w:r>
        <w:rPr>
          <w:sz w:val="18"/>
          <w:szCs w:val="18"/>
        </w:rPr>
        <w:t>documented</w:t>
      </w:r>
      <w:r w:rsidRPr="006F3738">
        <w:rPr>
          <w:sz w:val="18"/>
          <w:szCs w:val="18"/>
        </w:rPr>
        <w:t xml:space="preserve"> jurisdiction</w:t>
      </w:r>
      <w:r>
        <w:rPr>
          <w:sz w:val="18"/>
          <w:szCs w:val="18"/>
        </w:rPr>
        <w:t>al policy and strategy</w:t>
      </w:r>
      <w:r w:rsidRPr="006F3738">
        <w:rPr>
          <w:sz w:val="18"/>
          <w:szCs w:val="18"/>
        </w:rPr>
        <w:t xml:space="preserve"> frameworks at the time of writing the report</w:t>
      </w:r>
      <w:r>
        <w:rPr>
          <w:sz w:val="18"/>
          <w:szCs w:val="18"/>
        </w:rPr>
        <w:t>, rather than at the time of the reported data. This created a mismatch where these frameworks had changed in the interim, and reduced the capacity to relate the waste data to the policy and strategy framework</w:t>
      </w:r>
      <w:r w:rsidRPr="006F3738">
        <w:rPr>
          <w:sz w:val="18"/>
          <w:szCs w:val="18"/>
        </w:rPr>
        <w:t>.</w:t>
      </w:r>
    </w:p>
  </w:footnote>
  <w:footnote w:id="14">
    <w:p w:rsidR="00D30041" w:rsidRPr="00A047F8" w:rsidRDefault="00D30041" w:rsidP="00A122EA">
      <w:pPr>
        <w:pStyle w:val="FigureTableinfo"/>
        <w:keepNext/>
        <w:spacing w:before="0"/>
      </w:pPr>
      <w:r>
        <w:rPr>
          <w:rStyle w:val="FootnoteReference"/>
        </w:rPr>
        <w:footnoteRef/>
      </w:r>
      <w:r>
        <w:t xml:space="preserve"> </w:t>
      </w:r>
      <w:r w:rsidRPr="00A047F8">
        <w:rPr>
          <w:sz w:val="18"/>
          <w:szCs w:val="18"/>
        </w:rPr>
        <w:t xml:space="preserve">Sources: </w:t>
      </w:r>
      <w:r w:rsidRPr="0013282A">
        <w:rPr>
          <w:sz w:val="18"/>
        </w:rPr>
        <w:t xml:space="preserve">http://www.environment.act.gov.au/waste, </w:t>
      </w:r>
      <w:hyperlink r:id="rId2" w:history="1">
        <w:r w:rsidRPr="00F35B22">
          <w:rPr>
            <w:rStyle w:val="Hyperlink"/>
            <w:sz w:val="18"/>
          </w:rPr>
          <w:t>http://www.tams.act.gov.au/recycling-waste</w:t>
        </w:r>
      </w:hyperlink>
      <w:r>
        <w:rPr>
          <w:sz w:val="18"/>
        </w:rPr>
        <w:t xml:space="preserve"> </w:t>
      </w:r>
      <w:r w:rsidRPr="00A047F8">
        <w:rPr>
          <w:sz w:val="18"/>
        </w:rPr>
        <w:t xml:space="preserve">(Jan 2013), ACT Government </w:t>
      </w:r>
      <w:r>
        <w:rPr>
          <w:sz w:val="18"/>
        </w:rPr>
        <w:t>(</w:t>
      </w:r>
      <w:r w:rsidRPr="00A047F8">
        <w:rPr>
          <w:sz w:val="18"/>
        </w:rPr>
        <w:t>2011</w:t>
      </w:r>
      <w:r>
        <w:rPr>
          <w:sz w:val="18"/>
        </w:rPr>
        <w:t xml:space="preserve">), </w:t>
      </w:r>
      <w:r w:rsidRPr="009D4D68">
        <w:rPr>
          <w:sz w:val="18"/>
        </w:rPr>
        <w:t>ACT Government (2012c)</w:t>
      </w:r>
    </w:p>
  </w:footnote>
  <w:footnote w:id="15">
    <w:p w:rsidR="00D30041" w:rsidRPr="00CE6971" w:rsidRDefault="00D30041" w:rsidP="00CE6971">
      <w:pPr>
        <w:pStyle w:val="FootnoteText"/>
        <w:spacing w:after="0"/>
        <w:rPr>
          <w:i/>
          <w:color w:val="0000FF"/>
          <w:szCs w:val="20"/>
        </w:rPr>
      </w:pPr>
      <w:r>
        <w:rPr>
          <w:rStyle w:val="FootnoteReference"/>
        </w:rPr>
        <w:footnoteRef/>
      </w:r>
      <w:r>
        <w:t xml:space="preserve"> </w:t>
      </w:r>
      <w:r w:rsidRPr="00CE6971">
        <w:rPr>
          <w:i/>
          <w:color w:val="0000FF"/>
          <w:szCs w:val="20"/>
        </w:rPr>
        <w:t>Note: ACT Government landfill fees represent effectively the ‘gate fee’. For other jurisdictions the landfill levy forms only part of the gate fee and any additional landfill operator charges are additional to the landfill levies listed.</w:t>
      </w:r>
    </w:p>
  </w:footnote>
  <w:footnote w:id="16">
    <w:p w:rsidR="00D30041" w:rsidRPr="00C57A28" w:rsidRDefault="00D30041" w:rsidP="00CE6971">
      <w:pPr>
        <w:pStyle w:val="FigureTableinfo"/>
        <w:keepNext/>
        <w:spacing w:before="0"/>
        <w:rPr>
          <w:sz w:val="18"/>
        </w:rPr>
      </w:pPr>
      <w:r>
        <w:rPr>
          <w:rStyle w:val="FootnoteReference"/>
        </w:rPr>
        <w:footnoteRef/>
      </w:r>
      <w:r>
        <w:t xml:space="preserve"> </w:t>
      </w:r>
      <w:r>
        <w:rPr>
          <w:sz w:val="18"/>
        </w:rPr>
        <w:t xml:space="preserve">Sources: </w:t>
      </w:r>
      <w:hyperlink r:id="rId3" w:history="1">
        <w:r w:rsidRPr="003401EC">
          <w:rPr>
            <w:rStyle w:val="Hyperlink"/>
            <w:sz w:val="18"/>
          </w:rPr>
          <w:t>http://www.environment.nsw.gov.au/waste/index.htm(Jan</w:t>
        </w:r>
      </w:hyperlink>
      <w:r>
        <w:rPr>
          <w:sz w:val="18"/>
        </w:rPr>
        <w:t xml:space="preserve"> 2013), DECC </w:t>
      </w:r>
      <w:r w:rsidRPr="00A122EA">
        <w:rPr>
          <w:sz w:val="18"/>
        </w:rPr>
        <w:t>NSW</w:t>
      </w:r>
      <w:r>
        <w:rPr>
          <w:sz w:val="18"/>
        </w:rPr>
        <w:t xml:space="preserve"> (2</w:t>
      </w:r>
      <w:r w:rsidRPr="00A122EA">
        <w:rPr>
          <w:sz w:val="18"/>
        </w:rPr>
        <w:t>007</w:t>
      </w:r>
      <w:r>
        <w:rPr>
          <w:sz w:val="18"/>
        </w:rPr>
        <w:t xml:space="preserve">). </w:t>
      </w:r>
    </w:p>
  </w:footnote>
  <w:footnote w:id="17">
    <w:p w:rsidR="00D30041" w:rsidRPr="000118E2" w:rsidRDefault="00D30041" w:rsidP="000118E2">
      <w:pPr>
        <w:pStyle w:val="FigureTableinfo"/>
        <w:keepNext/>
        <w:spacing w:before="0"/>
        <w:rPr>
          <w:sz w:val="18"/>
        </w:rPr>
      </w:pPr>
      <w:r w:rsidRPr="000118E2">
        <w:rPr>
          <w:sz w:val="18"/>
          <w:vertAlign w:val="superscript"/>
        </w:rPr>
        <w:footnoteRef/>
      </w:r>
      <w:r w:rsidRPr="000118E2">
        <w:rPr>
          <w:sz w:val="18"/>
        </w:rPr>
        <w:t xml:space="preserve"> </w:t>
      </w:r>
      <w:r w:rsidRPr="00F66D47">
        <w:rPr>
          <w:sz w:val="18"/>
        </w:rPr>
        <w:t>SMA – Sydney metropolitan area; 2 ERA – extended regional area; 3 RRA – regional regulated area</w:t>
      </w:r>
    </w:p>
  </w:footnote>
  <w:footnote w:id="18">
    <w:p w:rsidR="00D30041" w:rsidRPr="00A122EA" w:rsidRDefault="00D30041" w:rsidP="00A047F8">
      <w:pPr>
        <w:pStyle w:val="FigureTableinfo"/>
        <w:keepNext/>
        <w:rPr>
          <w:sz w:val="18"/>
        </w:rPr>
      </w:pPr>
      <w:r>
        <w:rPr>
          <w:rStyle w:val="FootnoteReference"/>
        </w:rPr>
        <w:footnoteRef/>
      </w:r>
      <w:r>
        <w:t xml:space="preserve"> </w:t>
      </w:r>
      <w:r>
        <w:rPr>
          <w:sz w:val="18"/>
        </w:rPr>
        <w:t xml:space="preserve">Sources: </w:t>
      </w:r>
      <w:hyperlink r:id="rId4" w:history="1">
        <w:r w:rsidRPr="003401EC">
          <w:rPr>
            <w:rStyle w:val="Hyperlink"/>
            <w:sz w:val="18"/>
          </w:rPr>
          <w:t>www.territory2030.nt.gov.au</w:t>
        </w:r>
      </w:hyperlink>
      <w:r>
        <w:rPr>
          <w:sz w:val="18"/>
        </w:rPr>
        <w:t xml:space="preserve"> , </w:t>
      </w:r>
      <w:hyperlink r:id="rId5" w:history="1">
        <w:r w:rsidRPr="003401EC">
          <w:rPr>
            <w:rStyle w:val="Hyperlink"/>
            <w:sz w:val="18"/>
          </w:rPr>
          <w:t>www.epa.nt.gov.au</w:t>
        </w:r>
      </w:hyperlink>
      <w:r>
        <w:rPr>
          <w:sz w:val="18"/>
        </w:rPr>
        <w:t xml:space="preserve">, (Jan2013), </w:t>
      </w:r>
      <w:r w:rsidRPr="00A122EA">
        <w:rPr>
          <w:sz w:val="18"/>
        </w:rPr>
        <w:t xml:space="preserve">The Department of the Chief Minister (2009) </w:t>
      </w:r>
    </w:p>
  </w:footnote>
  <w:footnote w:id="19">
    <w:p w:rsidR="00D30041" w:rsidRPr="004A0AAA" w:rsidRDefault="00D30041" w:rsidP="004A0AAA">
      <w:pPr>
        <w:pStyle w:val="FigureTableinfo"/>
        <w:keepNext/>
        <w:rPr>
          <w:sz w:val="18"/>
        </w:rPr>
      </w:pPr>
      <w:r>
        <w:rPr>
          <w:rStyle w:val="FootnoteReference"/>
        </w:rPr>
        <w:footnoteRef/>
      </w:r>
      <w:r>
        <w:t xml:space="preserve"> </w:t>
      </w:r>
      <w:r>
        <w:rPr>
          <w:sz w:val="18"/>
        </w:rPr>
        <w:t xml:space="preserve">Sources: DERM (2010), </w:t>
      </w:r>
      <w:hyperlink r:id="rId6" w:history="1">
        <w:r w:rsidRPr="003401EC">
          <w:rPr>
            <w:rStyle w:val="Hyperlink"/>
            <w:sz w:val="18"/>
          </w:rPr>
          <w:t>www.derm.qld.gov.au</w:t>
        </w:r>
      </w:hyperlink>
      <w:r>
        <w:rPr>
          <w:sz w:val="18"/>
        </w:rPr>
        <w:t xml:space="preserve"> (Jan 2013).</w:t>
      </w:r>
    </w:p>
  </w:footnote>
  <w:footnote w:id="20">
    <w:p w:rsidR="00D30041" w:rsidRPr="00B86A40" w:rsidRDefault="00D30041" w:rsidP="00B86A40">
      <w:pPr>
        <w:pStyle w:val="FootnoteText"/>
      </w:pPr>
      <w:r>
        <w:rPr>
          <w:rStyle w:val="FootnoteReference"/>
        </w:rPr>
        <w:footnoteRef/>
      </w:r>
      <w:r>
        <w:t xml:space="preserve"> The status of the </w:t>
      </w:r>
      <w:r w:rsidRPr="00B86A40">
        <w:t xml:space="preserve">Department of Environment and Resource Management (2010) </w:t>
      </w:r>
      <w:r w:rsidRPr="00B86A40">
        <w:rPr>
          <w:i/>
        </w:rPr>
        <w:t>Queensland’s Waste Reduction and Recycling Strategy 2010–2020</w:t>
      </w:r>
      <w:r>
        <w:rPr>
          <w:i/>
        </w:rPr>
        <w:t xml:space="preserve"> </w:t>
      </w:r>
      <w:r>
        <w:t>is unclear following the removal of the landfill levy in July of 2012 (which was to fund the strategy implementation).</w:t>
      </w:r>
    </w:p>
  </w:footnote>
  <w:footnote w:id="21">
    <w:p w:rsidR="00D30041" w:rsidRDefault="00D30041" w:rsidP="008A4E0C">
      <w:pPr>
        <w:pStyle w:val="FigureTableinfo"/>
        <w:keepNext/>
      </w:pPr>
      <w:r>
        <w:rPr>
          <w:rStyle w:val="FootnoteReference"/>
        </w:rPr>
        <w:footnoteRef/>
      </w:r>
      <w:r>
        <w:rPr>
          <w:sz w:val="18"/>
        </w:rPr>
        <w:t xml:space="preserve">Sources: </w:t>
      </w:r>
      <w:hyperlink r:id="rId7" w:history="1">
        <w:r w:rsidRPr="003401EC">
          <w:rPr>
            <w:rStyle w:val="Hyperlink"/>
            <w:sz w:val="18"/>
          </w:rPr>
          <w:t>www.zerowaste.sa.gov.au</w:t>
        </w:r>
      </w:hyperlink>
      <w:r>
        <w:rPr>
          <w:sz w:val="18"/>
        </w:rPr>
        <w:t>,</w:t>
      </w:r>
      <w:r w:rsidRPr="008A4E0C">
        <w:rPr>
          <w:sz w:val="18"/>
        </w:rPr>
        <w:t xml:space="preserve"> </w:t>
      </w:r>
      <w:hyperlink r:id="rId8" w:history="1">
        <w:r w:rsidRPr="003401EC">
          <w:rPr>
            <w:rStyle w:val="Hyperlink"/>
            <w:sz w:val="18"/>
          </w:rPr>
          <w:t>www.epa.sa.gov.au</w:t>
        </w:r>
      </w:hyperlink>
      <w:r>
        <w:rPr>
          <w:sz w:val="18"/>
        </w:rPr>
        <w:t>, Zero Waste SA (2010), S</w:t>
      </w:r>
      <w:r w:rsidRPr="008A4E0C">
        <w:rPr>
          <w:sz w:val="18"/>
        </w:rPr>
        <w:t>outh Australia Environment Protection (Waste to Resources) Policy 2010,</w:t>
      </w:r>
      <w:r>
        <w:rPr>
          <w:sz w:val="18"/>
        </w:rPr>
        <w:t xml:space="preserve"> </w:t>
      </w:r>
      <w:r w:rsidRPr="008A4E0C">
        <w:rPr>
          <w:sz w:val="18"/>
        </w:rPr>
        <w:t>EPA</w:t>
      </w:r>
      <w:r>
        <w:rPr>
          <w:sz w:val="18"/>
        </w:rPr>
        <w:t xml:space="preserve"> South Australia (2010)</w:t>
      </w:r>
      <w:r w:rsidRPr="008A4E0C">
        <w:rPr>
          <w:sz w:val="18"/>
        </w:rPr>
        <w:t xml:space="preserve">. </w:t>
      </w:r>
    </w:p>
  </w:footnote>
  <w:footnote w:id="22">
    <w:p w:rsidR="00D30041" w:rsidRDefault="00D30041" w:rsidP="003B7D1A">
      <w:pPr>
        <w:pStyle w:val="FigureTableinfo"/>
        <w:keepNext/>
      </w:pPr>
      <w:r w:rsidRPr="003B7D1A">
        <w:rPr>
          <w:rStyle w:val="FootnoteReference"/>
          <w:sz w:val="18"/>
        </w:rPr>
        <w:footnoteRef/>
      </w:r>
      <w:r w:rsidRPr="003B7D1A">
        <w:rPr>
          <w:sz w:val="18"/>
        </w:rPr>
        <w:t>Sources:</w:t>
      </w:r>
      <w:r w:rsidRPr="003B7D1A">
        <w:t xml:space="preserve"> </w:t>
      </w:r>
      <w:hyperlink r:id="rId9" w:history="1">
        <w:r w:rsidRPr="003401EC">
          <w:rPr>
            <w:rStyle w:val="Hyperlink"/>
            <w:sz w:val="18"/>
          </w:rPr>
          <w:t>www.environment.tas.gov.au</w:t>
        </w:r>
      </w:hyperlink>
      <w:r>
        <w:rPr>
          <w:sz w:val="18"/>
        </w:rPr>
        <w:t xml:space="preserve">, </w:t>
      </w:r>
      <w:hyperlink r:id="rId10" w:history="1">
        <w:r w:rsidRPr="003401EC">
          <w:rPr>
            <w:rStyle w:val="Hyperlink"/>
            <w:sz w:val="18"/>
          </w:rPr>
          <w:t>www.taswaste.com.au</w:t>
        </w:r>
      </w:hyperlink>
      <w:r>
        <w:rPr>
          <w:sz w:val="18"/>
        </w:rPr>
        <w:t xml:space="preserve"> (January 2013), </w:t>
      </w:r>
      <w:r w:rsidRPr="003B7D1A">
        <w:rPr>
          <w:sz w:val="18"/>
        </w:rPr>
        <w:t>Tasmania Department of Environment, Park</w:t>
      </w:r>
      <w:r>
        <w:rPr>
          <w:sz w:val="18"/>
        </w:rPr>
        <w:t>s, Heritage and the Arts (2009)</w:t>
      </w:r>
      <w:r w:rsidRPr="003B7D1A">
        <w:rPr>
          <w:sz w:val="18"/>
        </w:rPr>
        <w:t xml:space="preserve"> </w:t>
      </w:r>
    </w:p>
  </w:footnote>
  <w:footnote w:id="23">
    <w:p w:rsidR="00D30041" w:rsidRPr="003B7D1A" w:rsidRDefault="00D30041" w:rsidP="00B33F8E">
      <w:pPr>
        <w:pStyle w:val="FigureTableinfo"/>
        <w:keepNext/>
        <w:rPr>
          <w:sz w:val="18"/>
        </w:rPr>
      </w:pPr>
      <w:r w:rsidRPr="00B33F8E">
        <w:rPr>
          <w:rStyle w:val="FootnoteReference"/>
          <w:sz w:val="18"/>
          <w:szCs w:val="18"/>
        </w:rPr>
        <w:footnoteRef/>
      </w:r>
      <w:r w:rsidRPr="00B33F8E">
        <w:rPr>
          <w:sz w:val="18"/>
          <w:szCs w:val="18"/>
        </w:rPr>
        <w:t xml:space="preserve"> Sources: </w:t>
      </w:r>
      <w:hyperlink r:id="rId11" w:history="1">
        <w:r w:rsidRPr="003401EC">
          <w:rPr>
            <w:rStyle w:val="Hyperlink"/>
            <w:sz w:val="18"/>
            <w:szCs w:val="18"/>
          </w:rPr>
          <w:t>www.sustainability.vic.gov.au</w:t>
        </w:r>
      </w:hyperlink>
      <w:r>
        <w:rPr>
          <w:sz w:val="18"/>
          <w:szCs w:val="18"/>
        </w:rPr>
        <w:t xml:space="preserve">, </w:t>
      </w:r>
      <w:hyperlink r:id="rId12" w:history="1">
        <w:r w:rsidRPr="003401EC">
          <w:rPr>
            <w:rStyle w:val="Hyperlink"/>
            <w:sz w:val="18"/>
            <w:szCs w:val="18"/>
          </w:rPr>
          <w:t>www.epa.vic.gov.au</w:t>
        </w:r>
      </w:hyperlink>
      <w:r>
        <w:rPr>
          <w:sz w:val="18"/>
          <w:szCs w:val="18"/>
        </w:rPr>
        <w:t xml:space="preserve"> (January 2013),</w:t>
      </w:r>
      <w:r w:rsidRPr="00B33F8E">
        <w:rPr>
          <w:sz w:val="18"/>
          <w:szCs w:val="18"/>
        </w:rPr>
        <w:tab/>
      </w:r>
      <w:r>
        <w:rPr>
          <w:sz w:val="18"/>
          <w:szCs w:val="18"/>
        </w:rPr>
        <w:t xml:space="preserve"> Government of Victoria (2005),</w:t>
      </w:r>
    </w:p>
  </w:footnote>
  <w:footnote w:id="24">
    <w:p w:rsidR="00D30041" w:rsidRPr="007C13C6" w:rsidRDefault="00D30041" w:rsidP="007C13C6">
      <w:pPr>
        <w:pStyle w:val="FigureTableinfo"/>
        <w:keepNext/>
        <w:rPr>
          <w:sz w:val="18"/>
        </w:rPr>
      </w:pPr>
      <w:r w:rsidRPr="007C13C6">
        <w:rPr>
          <w:rStyle w:val="FootnoteReference"/>
          <w:sz w:val="18"/>
        </w:rPr>
        <w:footnoteRef/>
      </w:r>
      <w:r w:rsidRPr="007C13C6">
        <w:rPr>
          <w:sz w:val="18"/>
        </w:rPr>
        <w:t xml:space="preserve"> </w:t>
      </w:r>
      <w:r>
        <w:rPr>
          <w:sz w:val="18"/>
        </w:rPr>
        <w:t xml:space="preserve">Sources: </w:t>
      </w:r>
      <w:hyperlink r:id="rId13" w:history="1">
        <w:r w:rsidRPr="003401EC">
          <w:rPr>
            <w:rStyle w:val="Hyperlink"/>
            <w:sz w:val="18"/>
          </w:rPr>
          <w:t>www.dec.wa.gov.au</w:t>
        </w:r>
      </w:hyperlink>
      <w:r>
        <w:rPr>
          <w:sz w:val="18"/>
        </w:rPr>
        <w:t>, z</w:t>
      </w:r>
      <w:r w:rsidRPr="007C13C6">
        <w:rPr>
          <w:sz w:val="18"/>
        </w:rPr>
        <w:t>erowastewa.com.au</w:t>
      </w:r>
      <w:r>
        <w:rPr>
          <w:sz w:val="18"/>
        </w:rPr>
        <w:t xml:space="preserve"> (Jan2013), </w:t>
      </w:r>
      <w:r w:rsidRPr="007C13C6">
        <w:rPr>
          <w:sz w:val="18"/>
        </w:rPr>
        <w:t>Western Australian Waste Authority (2010) Draft II Waste Strategy for Western Australia</w:t>
      </w:r>
      <w:r>
        <w:rPr>
          <w:sz w:val="18"/>
        </w:rPr>
        <w:t xml:space="preserve">, </w:t>
      </w:r>
      <w:r w:rsidRPr="007C13C6">
        <w:rPr>
          <w:sz w:val="18"/>
        </w:rPr>
        <w:t>March 2010.</w:t>
      </w:r>
    </w:p>
  </w:footnote>
  <w:footnote w:id="25">
    <w:p w:rsidR="00D30041" w:rsidRDefault="00D30041">
      <w:pPr>
        <w:pStyle w:val="FootnoteText"/>
      </w:pPr>
      <w:r>
        <w:rPr>
          <w:rStyle w:val="FootnoteReference"/>
        </w:rPr>
        <w:footnoteRef/>
      </w:r>
      <w:r>
        <w:t xml:space="preserve"> Victorian barriers were compiled based on the authors’ local knowledge.</w:t>
      </w:r>
    </w:p>
  </w:footnote>
  <w:footnote w:id="26">
    <w:p w:rsidR="00D30041" w:rsidRDefault="00D30041" w:rsidP="007D175C">
      <w:pPr>
        <w:pStyle w:val="FootnoteText"/>
      </w:pPr>
      <w:r>
        <w:rPr>
          <w:rStyle w:val="FootnoteReference"/>
        </w:rPr>
        <w:footnoteRef/>
      </w:r>
      <w:r>
        <w:t xml:space="preserve"> The WMAA database contains information from a 2007 landfill survey of 462 landfills. More recent information is unavailable. It is understood that at least 200 mostly small landfills did not provide data for that survey.</w:t>
      </w:r>
    </w:p>
  </w:footnote>
  <w:footnote w:id="27">
    <w:p w:rsidR="00D30041" w:rsidRDefault="00D30041" w:rsidP="007D175C">
      <w:pPr>
        <w:pStyle w:val="FootnoteText"/>
      </w:pPr>
      <w:r>
        <w:rPr>
          <w:rStyle w:val="FootnoteReference"/>
        </w:rPr>
        <w:footnoteRef/>
      </w:r>
      <w:r>
        <w:t xml:space="preserve"> </w:t>
      </w:r>
      <w:r w:rsidRPr="00B37D4D">
        <w:rPr>
          <w:spacing w:val="3"/>
        </w:rPr>
        <w:t xml:space="preserve">By </w:t>
      </w:r>
      <w:r>
        <w:rPr>
          <w:spacing w:val="3"/>
        </w:rPr>
        <w:t>c</w:t>
      </w:r>
      <w:r w:rsidRPr="00B37D4D">
        <w:rPr>
          <w:spacing w:val="3"/>
        </w:rPr>
        <w:t>onvention, ca</w:t>
      </w:r>
      <w:r>
        <w:rPr>
          <w:spacing w:val="3"/>
        </w:rPr>
        <w:t>r</w:t>
      </w:r>
      <w:r w:rsidRPr="00B37D4D">
        <w:rPr>
          <w:spacing w:val="3"/>
        </w:rPr>
        <w:t>bon</w:t>
      </w:r>
      <w:r>
        <w:rPr>
          <w:spacing w:val="3"/>
        </w:rPr>
        <w:t xml:space="preserve"> </w:t>
      </w:r>
      <w:r w:rsidRPr="00B37D4D">
        <w:rPr>
          <w:spacing w:val="3"/>
        </w:rPr>
        <w:t>dio</w:t>
      </w:r>
      <w:r>
        <w:rPr>
          <w:spacing w:val="3"/>
        </w:rPr>
        <w:t>x</w:t>
      </w:r>
      <w:r w:rsidRPr="00B37D4D">
        <w:rPr>
          <w:spacing w:val="3"/>
        </w:rPr>
        <w:t>ide</w:t>
      </w:r>
      <w:r>
        <w:rPr>
          <w:spacing w:val="3"/>
        </w:rPr>
        <w:t xml:space="preserve"> </w:t>
      </w:r>
      <w:r w:rsidRPr="00B37D4D">
        <w:rPr>
          <w:spacing w:val="3"/>
        </w:rPr>
        <w:t xml:space="preserve">from organic </w:t>
      </w:r>
      <w:r>
        <w:rPr>
          <w:spacing w:val="3"/>
        </w:rPr>
        <w:t xml:space="preserve">waste </w:t>
      </w:r>
      <w:r w:rsidRPr="00B37D4D">
        <w:rPr>
          <w:spacing w:val="3"/>
        </w:rPr>
        <w:t>is not</w:t>
      </w:r>
      <w:r>
        <w:rPr>
          <w:spacing w:val="3"/>
        </w:rPr>
        <w:t xml:space="preserve"> </w:t>
      </w:r>
      <w:r w:rsidRPr="00B37D4D">
        <w:rPr>
          <w:spacing w:val="3"/>
        </w:rPr>
        <w:t xml:space="preserve">counted as </w:t>
      </w:r>
      <w:r>
        <w:rPr>
          <w:spacing w:val="3"/>
        </w:rPr>
        <w:t>having a greenhouse impact</w:t>
      </w:r>
      <w:r w:rsidRPr="00B37D4D">
        <w:rPr>
          <w:spacing w:val="3"/>
        </w:rPr>
        <w:t xml:space="preserve"> since</w:t>
      </w:r>
      <w:r>
        <w:rPr>
          <w:spacing w:val="3"/>
        </w:rPr>
        <w:t xml:space="preserve"> </w:t>
      </w:r>
      <w:r w:rsidRPr="00B37D4D">
        <w:rPr>
          <w:spacing w:val="3"/>
        </w:rPr>
        <w:t xml:space="preserve">it is derived from </w:t>
      </w:r>
      <w:r>
        <w:rPr>
          <w:spacing w:val="3"/>
        </w:rPr>
        <w:t>the natural short-term carbon cycle.</w:t>
      </w:r>
    </w:p>
  </w:footnote>
  <w:footnote w:id="28">
    <w:p w:rsidR="00D30041" w:rsidRDefault="00D30041" w:rsidP="007D175C">
      <w:pPr>
        <w:pStyle w:val="FootnoteText"/>
      </w:pPr>
      <w:r>
        <w:rPr>
          <w:rStyle w:val="FootnoteReference"/>
        </w:rPr>
        <w:footnoteRef/>
      </w:r>
      <w:r>
        <w:t xml:space="preserve"> Taking into account the NGERS assumption that 10% of methane is oxidised prior to emission as it passes through the aerobic upper layers of the landfill.</w:t>
      </w:r>
    </w:p>
  </w:footnote>
  <w:footnote w:id="29">
    <w:p w:rsidR="00D30041" w:rsidRPr="00A67111" w:rsidRDefault="00D30041" w:rsidP="007D175C">
      <w:pPr>
        <w:pStyle w:val="BodyText"/>
        <w:rPr>
          <w:rFonts w:cs="Arial"/>
          <w:color w:val="181818" w:themeColor="text1" w:themeTint="F2"/>
          <w:sz w:val="18"/>
          <w:szCs w:val="18"/>
        </w:rPr>
      </w:pPr>
      <w:r>
        <w:rPr>
          <w:rStyle w:val="FootnoteReference"/>
        </w:rPr>
        <w:footnoteRef/>
      </w:r>
      <w:r>
        <w:t xml:space="preserve"> </w:t>
      </w:r>
      <w:r w:rsidRPr="00A67111">
        <w:rPr>
          <w:rFonts w:cs="Arial"/>
          <w:color w:val="181818" w:themeColor="text1" w:themeTint="F2"/>
          <w:sz w:val="18"/>
          <w:szCs w:val="18"/>
        </w:rPr>
        <w:t>Methane and other gases are compared with CO</w:t>
      </w:r>
      <w:r w:rsidRPr="00A67111">
        <w:rPr>
          <w:rFonts w:cs="Arial"/>
          <w:color w:val="181818" w:themeColor="text1" w:themeTint="F2"/>
          <w:sz w:val="18"/>
          <w:szCs w:val="18"/>
          <w:vertAlign w:val="subscript"/>
        </w:rPr>
        <w:t>2</w:t>
      </w:r>
      <w:r w:rsidRPr="00A67111">
        <w:rPr>
          <w:rFonts w:cs="Arial"/>
          <w:color w:val="181818" w:themeColor="text1" w:themeTint="F2"/>
          <w:sz w:val="18"/>
          <w:szCs w:val="18"/>
        </w:rPr>
        <w:t xml:space="preserve"> by means of their relative global warming potential (GWP)</w:t>
      </w:r>
      <w:r>
        <w:rPr>
          <w:rFonts w:cs="Arial"/>
          <w:color w:val="181818" w:themeColor="text1" w:themeTint="F2"/>
          <w:sz w:val="18"/>
          <w:szCs w:val="18"/>
        </w:rPr>
        <w:t>, but this is problematic</w:t>
      </w:r>
      <w:r w:rsidRPr="00A67111">
        <w:rPr>
          <w:rFonts w:cs="Arial"/>
          <w:color w:val="181818" w:themeColor="text1" w:themeTint="F2"/>
          <w:sz w:val="18"/>
          <w:szCs w:val="18"/>
        </w:rPr>
        <w:t>. A molecule of methane is typically resident in the atmosphere for a few decades whereas CO</w:t>
      </w:r>
      <w:r w:rsidRPr="00A67111">
        <w:rPr>
          <w:rFonts w:cs="Arial"/>
          <w:color w:val="181818" w:themeColor="text1" w:themeTint="F2"/>
          <w:sz w:val="18"/>
          <w:szCs w:val="18"/>
          <w:vertAlign w:val="subscript"/>
        </w:rPr>
        <w:t>2</w:t>
      </w:r>
      <w:r w:rsidRPr="00A67111">
        <w:rPr>
          <w:rFonts w:cs="Arial"/>
          <w:color w:val="181818" w:themeColor="text1" w:themeTint="F2"/>
          <w:sz w:val="18"/>
          <w:szCs w:val="18"/>
        </w:rPr>
        <w:t xml:space="preserve"> can remain in the atmosphere for centuries. </w:t>
      </w:r>
      <w:r>
        <w:rPr>
          <w:rFonts w:cs="Arial"/>
          <w:color w:val="181818" w:themeColor="text1" w:themeTint="F2"/>
          <w:sz w:val="18"/>
          <w:szCs w:val="18"/>
        </w:rPr>
        <w:t xml:space="preserve">Comparisons of </w:t>
      </w:r>
      <w:r w:rsidRPr="00A67111">
        <w:rPr>
          <w:rFonts w:cs="Arial"/>
          <w:color w:val="181818" w:themeColor="text1" w:themeTint="F2"/>
          <w:sz w:val="18"/>
          <w:szCs w:val="18"/>
        </w:rPr>
        <w:t>warming impacts</w:t>
      </w:r>
      <w:r>
        <w:rPr>
          <w:rFonts w:cs="Arial"/>
          <w:color w:val="181818" w:themeColor="text1" w:themeTint="F2"/>
          <w:sz w:val="18"/>
          <w:szCs w:val="18"/>
        </w:rPr>
        <w:t xml:space="preserve"> </w:t>
      </w:r>
      <w:r w:rsidRPr="00A67111">
        <w:rPr>
          <w:rFonts w:cs="Arial"/>
          <w:color w:val="181818" w:themeColor="text1" w:themeTint="F2"/>
          <w:sz w:val="18"/>
          <w:szCs w:val="18"/>
        </w:rPr>
        <w:t>over the whole lifespan of the gases place the same importance on warming</w:t>
      </w:r>
      <w:r>
        <w:rPr>
          <w:rFonts w:cs="Arial"/>
          <w:color w:val="181818" w:themeColor="text1" w:themeTint="F2"/>
          <w:sz w:val="18"/>
          <w:szCs w:val="18"/>
        </w:rPr>
        <w:t xml:space="preserve"> occurring</w:t>
      </w:r>
      <w:r w:rsidRPr="00A67111">
        <w:rPr>
          <w:rFonts w:cs="Arial"/>
          <w:color w:val="181818" w:themeColor="text1" w:themeTint="F2"/>
          <w:sz w:val="18"/>
          <w:szCs w:val="18"/>
        </w:rPr>
        <w:t xml:space="preserve"> centuries</w:t>
      </w:r>
      <w:r>
        <w:rPr>
          <w:rFonts w:cs="Arial"/>
          <w:color w:val="181818" w:themeColor="text1" w:themeTint="F2"/>
          <w:sz w:val="18"/>
          <w:szCs w:val="18"/>
        </w:rPr>
        <w:t xml:space="preserve"> from now</w:t>
      </w:r>
      <w:r w:rsidRPr="00A67111">
        <w:rPr>
          <w:rFonts w:cs="Arial"/>
          <w:color w:val="181818" w:themeColor="text1" w:themeTint="F2"/>
          <w:sz w:val="18"/>
          <w:szCs w:val="18"/>
        </w:rPr>
        <w:t xml:space="preserve"> as warming in the immediate decades. </w:t>
      </w:r>
      <w:r>
        <w:rPr>
          <w:rFonts w:cs="Arial"/>
          <w:color w:val="181818" w:themeColor="text1" w:themeTint="F2"/>
          <w:sz w:val="18"/>
          <w:szCs w:val="18"/>
        </w:rPr>
        <w:t>But</w:t>
      </w:r>
      <w:r w:rsidRPr="00A67111">
        <w:rPr>
          <w:rFonts w:cs="Arial"/>
          <w:color w:val="181818" w:themeColor="text1" w:themeTint="F2"/>
          <w:sz w:val="18"/>
          <w:szCs w:val="18"/>
        </w:rPr>
        <w:t xml:space="preserve"> </w:t>
      </w:r>
      <w:r>
        <w:rPr>
          <w:rFonts w:cs="Arial"/>
          <w:color w:val="181818" w:themeColor="text1" w:themeTint="F2"/>
          <w:sz w:val="18"/>
          <w:szCs w:val="18"/>
        </w:rPr>
        <w:t xml:space="preserve">comparisons of </w:t>
      </w:r>
      <w:r w:rsidRPr="00A67111">
        <w:rPr>
          <w:rFonts w:cs="Arial"/>
          <w:color w:val="181818" w:themeColor="text1" w:themeTint="F2"/>
          <w:sz w:val="18"/>
          <w:szCs w:val="18"/>
        </w:rPr>
        <w:t>warming over the residency period of the shorter-lived gas ignor</w:t>
      </w:r>
      <w:r>
        <w:rPr>
          <w:rFonts w:cs="Arial"/>
          <w:color w:val="181818" w:themeColor="text1" w:themeTint="F2"/>
          <w:sz w:val="18"/>
          <w:szCs w:val="18"/>
        </w:rPr>
        <w:t>e</w:t>
      </w:r>
      <w:r w:rsidRPr="00A67111">
        <w:rPr>
          <w:rFonts w:cs="Arial"/>
          <w:color w:val="181818" w:themeColor="text1" w:themeTint="F2"/>
          <w:sz w:val="18"/>
          <w:szCs w:val="18"/>
        </w:rPr>
        <w:t xml:space="preserve"> warming </w:t>
      </w:r>
      <w:r>
        <w:rPr>
          <w:rFonts w:cs="Arial"/>
          <w:color w:val="181818" w:themeColor="text1" w:themeTint="F2"/>
          <w:sz w:val="18"/>
          <w:szCs w:val="18"/>
        </w:rPr>
        <w:t xml:space="preserve">that </w:t>
      </w:r>
      <w:r w:rsidRPr="00A67111">
        <w:rPr>
          <w:rFonts w:cs="Arial"/>
          <w:color w:val="181818" w:themeColor="text1" w:themeTint="F2"/>
          <w:sz w:val="18"/>
          <w:szCs w:val="18"/>
        </w:rPr>
        <w:t>occur</w:t>
      </w:r>
      <w:r>
        <w:rPr>
          <w:rFonts w:cs="Arial"/>
          <w:color w:val="181818" w:themeColor="text1" w:themeTint="F2"/>
          <w:sz w:val="18"/>
          <w:szCs w:val="18"/>
        </w:rPr>
        <w:t>s</w:t>
      </w:r>
      <w:r w:rsidRPr="00A67111">
        <w:rPr>
          <w:rFonts w:cs="Arial"/>
          <w:color w:val="181818" w:themeColor="text1" w:themeTint="F2"/>
          <w:sz w:val="18"/>
          <w:szCs w:val="18"/>
        </w:rPr>
        <w:t xml:space="preserve"> after that time. The standard compromise is to compare gases over a 100-year time frame, as in this </w:t>
      </w:r>
      <w:r>
        <w:rPr>
          <w:rFonts w:cs="Arial"/>
          <w:color w:val="181818" w:themeColor="text1" w:themeTint="F2"/>
          <w:sz w:val="18"/>
          <w:szCs w:val="18"/>
        </w:rPr>
        <w:t>report, in which case</w:t>
      </w:r>
      <w:r w:rsidRPr="00A67111">
        <w:rPr>
          <w:rFonts w:cs="Arial"/>
          <w:color w:val="181818" w:themeColor="text1" w:themeTint="F2"/>
          <w:sz w:val="18"/>
          <w:szCs w:val="18"/>
        </w:rPr>
        <w:t xml:space="preserve"> methane has a </w:t>
      </w:r>
      <w:r>
        <w:rPr>
          <w:rFonts w:cs="Arial"/>
          <w:color w:val="181818" w:themeColor="text1" w:themeTint="F2"/>
          <w:sz w:val="18"/>
          <w:szCs w:val="18"/>
        </w:rPr>
        <w:t xml:space="preserve">GWP </w:t>
      </w:r>
      <w:r w:rsidRPr="00A67111">
        <w:rPr>
          <w:rFonts w:cs="Arial"/>
          <w:color w:val="181818" w:themeColor="text1" w:themeTint="F2"/>
          <w:sz w:val="18"/>
          <w:szCs w:val="18"/>
        </w:rPr>
        <w:t>of 21. If the warming effects are compared over a 20 year period, methane has</w:t>
      </w:r>
      <w:r>
        <w:rPr>
          <w:rFonts w:cs="Arial"/>
          <w:color w:val="181818" w:themeColor="text1" w:themeTint="F2"/>
          <w:sz w:val="18"/>
          <w:szCs w:val="18"/>
        </w:rPr>
        <w:t xml:space="preserve"> a GWP of</w:t>
      </w:r>
      <w:r w:rsidRPr="00A67111">
        <w:rPr>
          <w:rFonts w:cs="Arial"/>
          <w:color w:val="181818" w:themeColor="text1" w:themeTint="F2"/>
          <w:sz w:val="18"/>
          <w:szCs w:val="18"/>
        </w:rPr>
        <w:t xml:space="preserve"> 72 and the impacts of landfills are much more significant (Forster et al. 2007). Some leading climate change scientists have argued that methane management should be considered a separate management issue that is more urgent than standard GWP factor suggests.</w:t>
      </w:r>
    </w:p>
    <w:p w:rsidR="00D30041" w:rsidRDefault="00D30041" w:rsidP="007D175C">
      <w:pPr>
        <w:pStyle w:val="FootnoteText"/>
      </w:pPr>
    </w:p>
  </w:footnote>
  <w:footnote w:id="30">
    <w:p w:rsidR="00D30041" w:rsidRPr="00805B2C" w:rsidRDefault="00D30041">
      <w:pPr>
        <w:pStyle w:val="FootnoteText"/>
      </w:pPr>
      <w:r w:rsidRPr="00805B2C">
        <w:rPr>
          <w:rStyle w:val="FootnoteReference"/>
        </w:rPr>
        <w:footnoteRef/>
      </w:r>
      <w:r w:rsidRPr="00805B2C">
        <w:t xml:space="preserve"> </w:t>
      </w:r>
      <w:r w:rsidRPr="00805B2C">
        <w:rPr>
          <w:i/>
          <w:color w:val="080808"/>
          <w:spacing w:val="3"/>
        </w:rPr>
        <w:t xml:space="preserve">E-waste making Aus landfill leachate toxic (January 2013) </w:t>
      </w:r>
      <w:hyperlink r:id="rId14" w:anchor=".USLQN6VBPy4" w:history="1">
        <w:r w:rsidRPr="00805B2C">
          <w:rPr>
            <w:rStyle w:val="Hyperlink"/>
            <w:i/>
          </w:rPr>
          <w:t>http://www.ben-global.com/storyview.asp?storyID=9586462&amp;section=Recycling&amp;sectionsource=s1450132#.USLQN6VBPy4</w:t>
        </w:r>
      </w:hyperlink>
    </w:p>
  </w:footnote>
  <w:footnote w:id="31">
    <w:p w:rsidR="00D30041" w:rsidRPr="00AC2001" w:rsidRDefault="00D30041">
      <w:pPr>
        <w:pStyle w:val="FootnoteText"/>
      </w:pPr>
      <w:r w:rsidRPr="00AC2001">
        <w:rPr>
          <w:rStyle w:val="FootnoteReference"/>
        </w:rPr>
        <w:footnoteRef/>
      </w:r>
      <w:r w:rsidRPr="00AC2001">
        <w:t xml:space="preserve"> </w:t>
      </w:r>
      <w:r w:rsidRPr="00AC2001">
        <w:rPr>
          <w:color w:val="080808"/>
        </w:rPr>
        <w:t xml:space="preserve">The discussion and definitions </w:t>
      </w:r>
      <w:r>
        <w:rPr>
          <w:color w:val="080808"/>
        </w:rPr>
        <w:t xml:space="preserve">in this section </w:t>
      </w:r>
      <w:r w:rsidRPr="00AC2001">
        <w:rPr>
          <w:color w:val="080808"/>
        </w:rPr>
        <w:t xml:space="preserve">are broadly based on </w:t>
      </w:r>
      <w:r>
        <w:rPr>
          <w:color w:val="080808"/>
        </w:rPr>
        <w:t>an</w:t>
      </w:r>
      <w:r w:rsidRPr="00AC2001">
        <w:rPr>
          <w:color w:val="080808"/>
        </w:rPr>
        <w:t xml:space="preserve"> unpublished report </w:t>
      </w:r>
      <w:r>
        <w:rPr>
          <w:color w:val="080808"/>
        </w:rPr>
        <w:t>prepared by</w:t>
      </w:r>
      <w:r w:rsidRPr="00AC2001">
        <w:rPr>
          <w:color w:val="080808"/>
        </w:rPr>
        <w:t xml:space="preserve"> Randell Environmental Consulting for Sustainability Victoria in 2012</w:t>
      </w:r>
      <w:r>
        <w:rPr>
          <w:color w:val="080808"/>
        </w:rPr>
        <w:t>.</w:t>
      </w:r>
    </w:p>
  </w:footnote>
  <w:footnote w:id="32">
    <w:p w:rsidR="00D30041" w:rsidRDefault="00D30041" w:rsidP="00B165FA">
      <w:pPr>
        <w:pStyle w:val="FootnoteText"/>
      </w:pPr>
      <w:r>
        <w:rPr>
          <w:rStyle w:val="FootnoteReference"/>
        </w:rPr>
        <w:footnoteRef/>
      </w:r>
      <w:r>
        <w:t xml:space="preserve"> Waste reuse is excluded.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pPr>
      <w:pStyle w:val="Header"/>
    </w:pPr>
    <w:r w:rsidRPr="00D95F6B">
      <w:rPr>
        <w:noProof/>
        <w:lang w:eastAsia="en-AU"/>
      </w:rPr>
      <w:drawing>
        <wp:inline distT="0" distB="0" distL="0" distR="0">
          <wp:extent cx="2447925" cy="430112"/>
          <wp:effectExtent l="19050" t="0" r="0" b="0"/>
          <wp:docPr id="121"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1C5FD3" w:rsidRDefault="00D30041" w:rsidP="00F810CB">
    <w:pPr>
      <w:pStyle w:val="Header"/>
    </w:pPr>
    <w:r>
      <w:rPr>
        <w:noProof/>
        <w:lang w:eastAsia="en-AU"/>
      </w:rPr>
      <w:drawing>
        <wp:anchor distT="0" distB="0" distL="114300" distR="114300" simplePos="0" relativeHeight="251655680" behindDoc="1" locked="0" layoutInCell="1" allowOverlap="1">
          <wp:simplePos x="0" y="0"/>
          <wp:positionH relativeFrom="margin">
            <wp:posOffset>4417695</wp:posOffset>
          </wp:positionH>
          <wp:positionV relativeFrom="page">
            <wp:posOffset>589280</wp:posOffset>
          </wp:positionV>
          <wp:extent cx="1675181" cy="290779"/>
          <wp:effectExtent l="19050" t="0" r="1219" b="0"/>
          <wp:wrapNone/>
          <wp:docPr id="85"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r w:rsidRPr="00121BCA">
      <w:rPr>
        <w:noProof/>
        <w:lang w:eastAsia="en-AU"/>
      </w:rPr>
      <w:drawing>
        <wp:anchor distT="0" distB="0" distL="114300" distR="114300" simplePos="0" relativeHeight="251654656" behindDoc="1" locked="0" layoutInCell="1" allowOverlap="1">
          <wp:simplePos x="0" y="0"/>
          <wp:positionH relativeFrom="margin">
            <wp:posOffset>7569404</wp:posOffset>
          </wp:positionH>
          <wp:positionV relativeFrom="page">
            <wp:posOffset>259691</wp:posOffset>
          </wp:positionV>
          <wp:extent cx="1675765" cy="285750"/>
          <wp:effectExtent l="0" t="0" r="0" b="0"/>
          <wp:wrapNone/>
          <wp:docPr id="86"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765" cy="285750"/>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7F6A5B" w:rsidRDefault="00D30041" w:rsidP="00F810CB">
    <w:pPr>
      <w:pStyle w:val="Header"/>
    </w:pPr>
    <w:r>
      <w:rPr>
        <w:noProof/>
        <w:lang w:eastAsia="en-AU"/>
      </w:rPr>
      <w:drawing>
        <wp:inline distT="0" distB="0" distL="0" distR="0">
          <wp:extent cx="2286000" cy="393700"/>
          <wp:effectExtent l="19050" t="0" r="0" b="0"/>
          <wp:docPr id="87"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D30041" w:rsidRPr="005459E4" w:rsidRDefault="00D30041" w:rsidP="00F810C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1C5FD3" w:rsidRDefault="00D30041" w:rsidP="00F810CB">
    <w:pPr>
      <w:pStyle w:val="Header"/>
    </w:pPr>
    <w:r>
      <w:rPr>
        <w:noProof/>
        <w:lang w:eastAsia="en-AU"/>
      </w:rPr>
      <w:drawing>
        <wp:anchor distT="0" distB="0" distL="114300" distR="114300" simplePos="0" relativeHeight="251656704" behindDoc="1" locked="0" layoutInCell="1" allowOverlap="1">
          <wp:simplePos x="0" y="0"/>
          <wp:positionH relativeFrom="margin">
            <wp:posOffset>7428909</wp:posOffset>
          </wp:positionH>
          <wp:positionV relativeFrom="page">
            <wp:posOffset>210908</wp:posOffset>
          </wp:positionV>
          <wp:extent cx="1675181" cy="290779"/>
          <wp:effectExtent l="0" t="0" r="0" b="0"/>
          <wp:wrapNone/>
          <wp:docPr id="89"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C71B0F">
    <w:pPr>
      <w:pStyle w:val="Header"/>
    </w:pPr>
    <w:r>
      <w:rPr>
        <w:noProof/>
        <w:lang w:eastAsia="en-AU"/>
      </w:rPr>
      <w:drawing>
        <wp:anchor distT="0" distB="0" distL="114300" distR="114300" simplePos="0" relativeHeight="251666944" behindDoc="1" locked="0" layoutInCell="1" allowOverlap="1">
          <wp:simplePos x="0" y="0"/>
          <wp:positionH relativeFrom="margin">
            <wp:align>right</wp:align>
          </wp:positionH>
          <wp:positionV relativeFrom="page">
            <wp:posOffset>437515</wp:posOffset>
          </wp:positionV>
          <wp:extent cx="1675130" cy="290830"/>
          <wp:effectExtent l="0" t="0" r="1270" b="0"/>
          <wp:wrapNone/>
          <wp:docPr id="91"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130" cy="290830"/>
                  </a:xfrm>
                  <a:prstGeom prst="rect">
                    <a:avLst/>
                  </a:prstGeom>
                  <a:noFill/>
                </pic:spPr>
              </pic:pic>
            </a:graphicData>
          </a:graphic>
        </wp:anchor>
      </w:drawing>
    </w:r>
  </w:p>
  <w:p w:rsidR="00D30041" w:rsidRPr="00C71B0F" w:rsidRDefault="00D30041" w:rsidP="00C71B0F">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7F6A5B" w:rsidRDefault="00D30041" w:rsidP="005459E4">
    <w:pPr>
      <w:pStyle w:val="Header"/>
    </w:pPr>
    <w:r>
      <w:rPr>
        <w:noProof/>
        <w:lang w:eastAsia="en-AU"/>
      </w:rPr>
      <w:drawing>
        <wp:inline distT="0" distB="0" distL="0" distR="0">
          <wp:extent cx="2261870" cy="408940"/>
          <wp:effectExtent l="0" t="0" r="5080" b="0"/>
          <wp:docPr id="92" name="Picture 1"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environment%20logo%2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1870" cy="408940"/>
                  </a:xfrm>
                  <a:prstGeom prst="rect">
                    <a:avLst/>
                  </a:prstGeom>
                  <a:noFill/>
                  <a:ln>
                    <a:noFill/>
                  </a:ln>
                </pic:spPr>
              </pic:pic>
            </a:graphicData>
          </a:graphic>
        </wp:inline>
      </w:drawing>
    </w:r>
  </w:p>
  <w:p w:rsidR="00D30041" w:rsidRPr="005459E4" w:rsidRDefault="00D30041" w:rsidP="005459E4">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1C5FD3" w:rsidRDefault="00D30041" w:rsidP="00F810CB">
    <w:pPr>
      <w:pStyle w:val="Header"/>
    </w:pPr>
    <w:r>
      <w:rPr>
        <w:noProof/>
        <w:lang w:eastAsia="en-AU"/>
      </w:rPr>
      <w:drawing>
        <wp:anchor distT="0" distB="0" distL="114300" distR="114300" simplePos="0" relativeHeight="251658752" behindDoc="1" locked="0" layoutInCell="1" allowOverlap="1">
          <wp:simplePos x="0" y="0"/>
          <wp:positionH relativeFrom="margin">
            <wp:posOffset>4347122</wp:posOffset>
          </wp:positionH>
          <wp:positionV relativeFrom="page">
            <wp:posOffset>489432</wp:posOffset>
          </wp:positionV>
          <wp:extent cx="1675181" cy="290779"/>
          <wp:effectExtent l="0" t="0" r="0" b="0"/>
          <wp:wrapNone/>
          <wp:docPr id="93"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7728" behindDoc="1" locked="0" layoutInCell="1" allowOverlap="1">
          <wp:simplePos x="0" y="0"/>
          <wp:positionH relativeFrom="margin">
            <wp:posOffset>7428909</wp:posOffset>
          </wp:positionH>
          <wp:positionV relativeFrom="page">
            <wp:posOffset>210908</wp:posOffset>
          </wp:positionV>
          <wp:extent cx="1675181" cy="290779"/>
          <wp:effectExtent l="0" t="0" r="0" b="0"/>
          <wp:wrapNone/>
          <wp:docPr id="94"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1C5FD3" w:rsidRDefault="00D30041" w:rsidP="00F810CB">
    <w:pPr>
      <w:pStyle w:val="Header"/>
    </w:pPr>
    <w:r>
      <w:rPr>
        <w:noProof/>
        <w:lang w:eastAsia="en-AU"/>
      </w:rPr>
      <w:drawing>
        <wp:anchor distT="0" distB="0" distL="114300" distR="114300" simplePos="0" relativeHeight="251661824" behindDoc="1" locked="0" layoutInCell="1" allowOverlap="1">
          <wp:simplePos x="0" y="0"/>
          <wp:positionH relativeFrom="margin">
            <wp:posOffset>7163051</wp:posOffset>
          </wp:positionH>
          <wp:positionV relativeFrom="page">
            <wp:posOffset>274616</wp:posOffset>
          </wp:positionV>
          <wp:extent cx="1675181" cy="290779"/>
          <wp:effectExtent l="0" t="0" r="0" b="0"/>
          <wp:wrapNone/>
          <wp:docPr id="95"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1C5FD3" w:rsidRDefault="00D30041" w:rsidP="00F810CB">
    <w:pPr>
      <w:pStyle w:val="Header"/>
    </w:pPr>
    <w:r>
      <w:rPr>
        <w:noProof/>
        <w:lang w:eastAsia="en-AU"/>
      </w:rPr>
      <w:drawing>
        <wp:anchor distT="0" distB="0" distL="114300" distR="114300" simplePos="0" relativeHeight="251660800" behindDoc="1" locked="0" layoutInCell="1" allowOverlap="1">
          <wp:simplePos x="0" y="0"/>
          <wp:positionH relativeFrom="margin">
            <wp:posOffset>4425950</wp:posOffset>
          </wp:positionH>
          <wp:positionV relativeFrom="page">
            <wp:posOffset>501048</wp:posOffset>
          </wp:positionV>
          <wp:extent cx="1675181" cy="290779"/>
          <wp:effectExtent l="0" t="0" r="0" b="0"/>
          <wp:wrapNone/>
          <wp:docPr id="96"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776" behindDoc="1" locked="0" layoutInCell="1" allowOverlap="1">
          <wp:simplePos x="0" y="0"/>
          <wp:positionH relativeFrom="margin">
            <wp:posOffset>7428909</wp:posOffset>
          </wp:positionH>
          <wp:positionV relativeFrom="page">
            <wp:posOffset>210908</wp:posOffset>
          </wp:positionV>
          <wp:extent cx="1675181" cy="290779"/>
          <wp:effectExtent l="0" t="0" r="0" b="0"/>
          <wp:wrapNone/>
          <wp:docPr id="97"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1C5FD3" w:rsidRDefault="00D30041" w:rsidP="00F810CB">
    <w:pPr>
      <w:pStyle w:val="Header"/>
    </w:pPr>
    <w:r>
      <w:rPr>
        <w:noProof/>
        <w:lang w:eastAsia="en-AU"/>
      </w:rPr>
      <w:drawing>
        <wp:anchor distT="0" distB="0" distL="114300" distR="114300" simplePos="0" relativeHeight="251662848" behindDoc="1" locked="0" layoutInCell="1" allowOverlap="1">
          <wp:simplePos x="0" y="0"/>
          <wp:positionH relativeFrom="margin">
            <wp:posOffset>7428909</wp:posOffset>
          </wp:positionH>
          <wp:positionV relativeFrom="page">
            <wp:posOffset>210908</wp:posOffset>
          </wp:positionV>
          <wp:extent cx="1675181" cy="290779"/>
          <wp:effectExtent l="0" t="0" r="0" b="0"/>
          <wp:wrapNone/>
          <wp:docPr id="103"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D76756">
    <w:pPr>
      <w:pStyle w:val="Header"/>
    </w:pPr>
  </w:p>
  <w:p w:rsidR="00D30041" w:rsidRDefault="00D30041" w:rsidP="00D76756">
    <w:pPr>
      <w:pStyle w:val="Header"/>
    </w:pPr>
  </w:p>
  <w:p w:rsidR="00D30041" w:rsidRDefault="00D30041" w:rsidP="00D76756">
    <w:pPr>
      <w:pStyle w:val="Header"/>
    </w:pPr>
  </w:p>
  <w:p w:rsidR="00D30041" w:rsidRDefault="00D30041" w:rsidP="00D76756">
    <w:pPr>
      <w:pStyle w:val="Header"/>
    </w:pPr>
  </w:p>
  <w:p w:rsidR="00D30041" w:rsidRPr="00D76756" w:rsidRDefault="00D30041" w:rsidP="00856C6F">
    <w:pPr>
      <w:pStyle w:val="Header"/>
      <w:jc w:val="right"/>
    </w:pPr>
    <w:r>
      <w:rPr>
        <w:noProof/>
        <w:lang w:eastAsia="en-AU"/>
      </w:rPr>
      <w:drawing>
        <wp:inline distT="0" distB="0" distL="0" distR="0">
          <wp:extent cx="2200111" cy="4275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4930" cy="428448"/>
                  </a:xfrm>
                  <a:prstGeom prst="rect">
                    <a:avLst/>
                  </a:prstGeom>
                </pic:spPr>
              </pic:pic>
            </a:graphicData>
          </a:graphic>
        </wp:inline>
      </w:drawing>
    </w:r>
    <w:r w:rsidRPr="00F4272F">
      <w:rPr>
        <w:noProof/>
        <w:lang w:eastAsia="en-AU"/>
      </w:rPr>
      <w:drawing>
        <wp:anchor distT="0" distB="0" distL="114300" distR="114300" simplePos="0" relativeHeight="251649536" behindDoc="1" locked="0" layoutInCell="1" allowOverlap="1">
          <wp:simplePos x="0" y="0"/>
          <wp:positionH relativeFrom="margin">
            <wp:align>right</wp:align>
          </wp:positionH>
          <wp:positionV relativeFrom="page">
            <wp:posOffset>461176</wp:posOffset>
          </wp:positionV>
          <wp:extent cx="2373173" cy="411937"/>
          <wp:effectExtent l="19050" t="0" r="8077" b="0"/>
          <wp:wrapNone/>
          <wp:docPr id="123"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2"/>
                  <a:srcRect/>
                  <a:stretch>
                    <a:fillRect/>
                  </a:stretch>
                </pic:blipFill>
                <pic:spPr bwMode="auto">
                  <a:xfrm>
                    <a:off x="0" y="0"/>
                    <a:ext cx="2373173" cy="411937"/>
                  </a:xfrm>
                  <a:prstGeom prst="rect">
                    <a:avLst/>
                  </a:prstGeom>
                  <a:noFill/>
                  <a:ln w="9525">
                    <a:noFill/>
                    <a:miter lim="800000"/>
                    <a:headEnd/>
                    <a:tailEnd/>
                  </a:ln>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1C5FD3" w:rsidRDefault="00D30041" w:rsidP="00F810CB">
    <w:pPr>
      <w:pStyle w:val="Header"/>
    </w:pPr>
    <w:r>
      <w:rPr>
        <w:noProof/>
        <w:lang w:eastAsia="en-AU"/>
      </w:rPr>
      <w:drawing>
        <wp:anchor distT="0" distB="0" distL="114300" distR="114300" simplePos="0" relativeHeight="251664896" behindDoc="1" locked="0" layoutInCell="1" allowOverlap="1">
          <wp:simplePos x="0" y="0"/>
          <wp:positionH relativeFrom="margin">
            <wp:posOffset>4425950</wp:posOffset>
          </wp:positionH>
          <wp:positionV relativeFrom="page">
            <wp:posOffset>501048</wp:posOffset>
          </wp:positionV>
          <wp:extent cx="1675181" cy="290779"/>
          <wp:effectExtent l="0" t="0" r="0" b="0"/>
          <wp:wrapNone/>
          <wp:docPr id="104"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3872" behindDoc="1" locked="0" layoutInCell="1" allowOverlap="1">
          <wp:simplePos x="0" y="0"/>
          <wp:positionH relativeFrom="margin">
            <wp:posOffset>7428909</wp:posOffset>
          </wp:positionH>
          <wp:positionV relativeFrom="page">
            <wp:posOffset>210908</wp:posOffset>
          </wp:positionV>
          <wp:extent cx="1675181" cy="290779"/>
          <wp:effectExtent l="0" t="0" r="0" b="0"/>
          <wp:wrapNone/>
          <wp:docPr id="152"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C71B0F">
    <w:pPr>
      <w:pStyle w:val="Header"/>
    </w:pPr>
    <w:r>
      <w:rPr>
        <w:noProof/>
        <w:lang w:eastAsia="en-AU"/>
      </w:rPr>
      <w:drawing>
        <wp:anchor distT="0" distB="0" distL="114300" distR="114300" simplePos="0" relativeHeight="251653632" behindDoc="1" locked="0" layoutInCell="1" allowOverlap="1">
          <wp:simplePos x="0" y="0"/>
          <wp:positionH relativeFrom="margin">
            <wp:align>right</wp:align>
          </wp:positionH>
          <wp:positionV relativeFrom="page">
            <wp:posOffset>437322</wp:posOffset>
          </wp:positionV>
          <wp:extent cx="1675181" cy="290779"/>
          <wp:effectExtent l="19050" t="0" r="1219" b="0"/>
          <wp:wrapNone/>
          <wp:docPr id="153"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p w:rsidR="00D30041" w:rsidRPr="00C71B0F" w:rsidRDefault="00D30041" w:rsidP="00C71B0F">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7F6A5B" w:rsidRDefault="00D30041" w:rsidP="005459E4">
    <w:pPr>
      <w:pStyle w:val="Header"/>
    </w:pPr>
    <w:r>
      <w:rPr>
        <w:noProof/>
        <w:lang w:eastAsia="en-AU"/>
      </w:rPr>
      <w:drawing>
        <wp:inline distT="0" distB="0" distL="0" distR="0">
          <wp:extent cx="2286000" cy="393700"/>
          <wp:effectExtent l="19050" t="0" r="0" b="0"/>
          <wp:docPr id="157"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D30041" w:rsidRPr="005459E4" w:rsidRDefault="00D30041" w:rsidP="005459E4">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C71B0F">
    <w:pPr>
      <w:pStyle w:val="Header"/>
    </w:pPr>
    <w:r>
      <w:rPr>
        <w:noProof/>
        <w:lang w:eastAsia="en-AU"/>
      </w:rPr>
      <w:drawing>
        <wp:anchor distT="0" distB="0" distL="114300" distR="114300" simplePos="0" relativeHeight="251665920" behindDoc="1" locked="0" layoutInCell="1" allowOverlap="1">
          <wp:simplePos x="0" y="0"/>
          <wp:positionH relativeFrom="margin">
            <wp:align>right</wp:align>
          </wp:positionH>
          <wp:positionV relativeFrom="page">
            <wp:posOffset>437322</wp:posOffset>
          </wp:positionV>
          <wp:extent cx="1675181" cy="290779"/>
          <wp:effectExtent l="19050" t="0" r="1219" b="0"/>
          <wp:wrapNone/>
          <wp:docPr id="15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p w:rsidR="00D30041" w:rsidRPr="00C71B0F" w:rsidRDefault="00D30041" w:rsidP="00C71B0F">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7F6A5B" w:rsidRDefault="00D30041" w:rsidP="005459E4">
    <w:pPr>
      <w:pStyle w:val="Header"/>
    </w:pPr>
    <w:r>
      <w:rPr>
        <w:noProof/>
        <w:lang w:eastAsia="en-AU"/>
      </w:rPr>
      <w:drawing>
        <wp:inline distT="0" distB="0" distL="0" distR="0">
          <wp:extent cx="2286000" cy="393700"/>
          <wp:effectExtent l="19050" t="0" r="0" b="0"/>
          <wp:docPr id="159"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D30041" w:rsidRPr="005459E4" w:rsidRDefault="00D30041" w:rsidP="005459E4">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1C5FD3" w:rsidRDefault="00D30041" w:rsidP="00F810CB">
    <w:pPr>
      <w:pStyle w:val="Header"/>
    </w:pPr>
    <w:r>
      <w:rPr>
        <w:noProof/>
        <w:lang w:eastAsia="en-AU"/>
      </w:rPr>
      <w:drawing>
        <wp:anchor distT="0" distB="0" distL="114300" distR="114300" simplePos="0" relativeHeight="251671040" behindDoc="1" locked="0" layoutInCell="1" allowOverlap="1">
          <wp:simplePos x="0" y="0"/>
          <wp:positionH relativeFrom="margin">
            <wp:posOffset>4570095</wp:posOffset>
          </wp:positionH>
          <wp:positionV relativeFrom="page">
            <wp:posOffset>536737</wp:posOffset>
          </wp:positionV>
          <wp:extent cx="1675181" cy="290779"/>
          <wp:effectExtent l="0" t="0" r="1270" b="0"/>
          <wp:wrapNone/>
          <wp:docPr id="52"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7F6A5B" w:rsidRDefault="00D30041" w:rsidP="00F810CB">
    <w:pPr>
      <w:pStyle w:val="Header"/>
    </w:pPr>
    <w:r>
      <w:rPr>
        <w:noProof/>
        <w:lang w:eastAsia="en-AU"/>
      </w:rPr>
      <w:drawing>
        <wp:inline distT="0" distB="0" distL="0" distR="0">
          <wp:extent cx="2286000" cy="393700"/>
          <wp:effectExtent l="19050" t="0" r="0" b="0"/>
          <wp:docPr id="41"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D30041" w:rsidRPr="005459E4" w:rsidRDefault="00D30041" w:rsidP="00F810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5459E4" w:rsidRDefault="00D30041" w:rsidP="005459E4">
    <w:pPr>
      <w:pStyle w:val="Header"/>
    </w:pPr>
    <w:r w:rsidRPr="00F4272F">
      <w:rPr>
        <w:noProof/>
        <w:lang w:eastAsia="en-AU"/>
      </w:rPr>
      <w:drawing>
        <wp:anchor distT="0" distB="0" distL="114300" distR="114300" simplePos="0" relativeHeight="251650560" behindDoc="1" locked="0" layoutInCell="1" allowOverlap="1">
          <wp:simplePos x="0" y="0"/>
          <wp:positionH relativeFrom="page">
            <wp:posOffset>1135469</wp:posOffset>
          </wp:positionH>
          <wp:positionV relativeFrom="page">
            <wp:posOffset>457200</wp:posOffset>
          </wp:positionV>
          <wp:extent cx="2979331" cy="531627"/>
          <wp:effectExtent l="19050" t="0" r="0" b="0"/>
          <wp:wrapNone/>
          <wp:docPr id="124"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979331" cy="531627"/>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E82ECD">
    <w:pPr>
      <w:pStyle w:val="Header"/>
    </w:pPr>
    <w:r>
      <w:rPr>
        <w:noProof/>
        <w:lang w:eastAsia="en-AU"/>
      </w:rPr>
      <w:drawing>
        <wp:anchor distT="0" distB="0" distL="114300" distR="114300" simplePos="0" relativeHeight="251648512" behindDoc="1" locked="0" layoutInCell="1" allowOverlap="1">
          <wp:simplePos x="0" y="0"/>
          <wp:positionH relativeFrom="margin">
            <wp:align>right</wp:align>
          </wp:positionH>
          <wp:positionV relativeFrom="page">
            <wp:posOffset>437322</wp:posOffset>
          </wp:positionV>
          <wp:extent cx="1675181" cy="290779"/>
          <wp:effectExtent l="19050" t="0" r="1219" b="0"/>
          <wp:wrapNone/>
          <wp:docPr id="125" name="Picture 125"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5459E4">
    <w:pPr>
      <w:pStyle w:val="Header"/>
    </w:pPr>
    <w:r>
      <w:rPr>
        <w:noProof/>
        <w:lang w:eastAsia="en-AU"/>
      </w:rPr>
      <w:drawing>
        <wp:anchor distT="0" distB="0" distL="114300" distR="114300" simplePos="0" relativeHeight="251651584" behindDoc="1" locked="0" layoutInCell="1" allowOverlap="1">
          <wp:simplePos x="0" y="0"/>
          <wp:positionH relativeFrom="page">
            <wp:posOffset>1135469</wp:posOffset>
          </wp:positionH>
          <wp:positionV relativeFrom="page">
            <wp:posOffset>435934</wp:posOffset>
          </wp:positionV>
          <wp:extent cx="2288215" cy="404038"/>
          <wp:effectExtent l="19050" t="0" r="0" b="0"/>
          <wp:wrapNone/>
          <wp:docPr id="126"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288215" cy="404038"/>
                  </a:xfrm>
                  <a:prstGeom prst="rect">
                    <a:avLst/>
                  </a:prstGeom>
                  <a:noFill/>
                  <a:ln w="9525">
                    <a:noFill/>
                    <a:miter lim="800000"/>
                    <a:headEnd/>
                    <a:tailEnd/>
                  </a:ln>
                </pic:spPr>
              </pic:pic>
            </a:graphicData>
          </a:graphic>
        </wp:anchor>
      </w:drawing>
    </w:r>
  </w:p>
  <w:p w:rsidR="00D30041" w:rsidRPr="005459E4" w:rsidRDefault="00D30041" w:rsidP="005459E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7F6A5B" w:rsidRDefault="00D30041" w:rsidP="00F810CB">
    <w:pPr>
      <w:pStyle w:val="Header"/>
    </w:pPr>
    <w:r>
      <w:rPr>
        <w:noProof/>
        <w:lang w:eastAsia="en-AU"/>
      </w:rPr>
      <w:drawing>
        <wp:inline distT="0" distB="0" distL="0" distR="0">
          <wp:extent cx="2286000" cy="393700"/>
          <wp:effectExtent l="19050" t="0" r="0" b="0"/>
          <wp:docPr id="81"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D30041" w:rsidRPr="005459E4" w:rsidRDefault="00D30041" w:rsidP="00F810C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C71B0F">
    <w:pPr>
      <w:pStyle w:val="Header"/>
    </w:pPr>
    <w:r>
      <w:rPr>
        <w:noProof/>
        <w:lang w:eastAsia="en-AU"/>
      </w:rPr>
      <w:drawing>
        <wp:anchor distT="0" distB="0" distL="114300" distR="114300" simplePos="0" relativeHeight="251652608" behindDoc="1" locked="0" layoutInCell="1" allowOverlap="1">
          <wp:simplePos x="0" y="0"/>
          <wp:positionH relativeFrom="margin">
            <wp:align>right</wp:align>
          </wp:positionH>
          <wp:positionV relativeFrom="page">
            <wp:posOffset>437322</wp:posOffset>
          </wp:positionV>
          <wp:extent cx="1675181" cy="290779"/>
          <wp:effectExtent l="19050" t="0" r="1219" b="0"/>
          <wp:wrapNone/>
          <wp:docPr id="82"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p w:rsidR="00D30041" w:rsidRPr="00C71B0F" w:rsidRDefault="00D30041" w:rsidP="00C71B0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Pr="007F6A5B" w:rsidRDefault="00D30041" w:rsidP="005459E4">
    <w:pPr>
      <w:pStyle w:val="Header"/>
    </w:pPr>
    <w:r>
      <w:rPr>
        <w:noProof/>
        <w:lang w:eastAsia="en-AU"/>
      </w:rPr>
      <w:drawing>
        <wp:inline distT="0" distB="0" distL="0" distR="0">
          <wp:extent cx="2286000" cy="393700"/>
          <wp:effectExtent l="19050" t="0" r="0" b="0"/>
          <wp:docPr id="83"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D30041" w:rsidRPr="005459E4" w:rsidRDefault="00D30041" w:rsidP="005459E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41" w:rsidRDefault="00D30041" w:rsidP="00C71B0F">
    <w:pPr>
      <w:pStyle w:val="Header"/>
    </w:pPr>
    <w:r>
      <w:rPr>
        <w:noProof/>
        <w:lang w:eastAsia="en-AU"/>
      </w:rPr>
      <w:drawing>
        <wp:anchor distT="0" distB="0" distL="114300" distR="114300" simplePos="0" relativeHeight="251668992" behindDoc="1" locked="0" layoutInCell="1" allowOverlap="1">
          <wp:simplePos x="0" y="0"/>
          <wp:positionH relativeFrom="margin">
            <wp:align>right</wp:align>
          </wp:positionH>
          <wp:positionV relativeFrom="page">
            <wp:posOffset>437322</wp:posOffset>
          </wp:positionV>
          <wp:extent cx="1675181" cy="290779"/>
          <wp:effectExtent l="19050" t="0" r="1219" b="0"/>
          <wp:wrapNone/>
          <wp:docPr id="84"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81" cy="290779"/>
                  </a:xfrm>
                  <a:prstGeom prst="rect">
                    <a:avLst/>
                  </a:prstGeom>
                  <a:noFill/>
                  <a:ln w="9525">
                    <a:noFill/>
                    <a:miter lim="800000"/>
                    <a:headEnd/>
                    <a:tailEnd/>
                  </a:ln>
                </pic:spPr>
              </pic:pic>
            </a:graphicData>
          </a:graphic>
        </wp:anchor>
      </w:drawing>
    </w:r>
  </w:p>
  <w:p w:rsidR="00D30041" w:rsidRPr="00C71B0F" w:rsidRDefault="00D30041" w:rsidP="00C71B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D22A77A"/>
    <w:lvl w:ilvl="0">
      <w:start w:val="1"/>
      <w:numFmt w:val="bullet"/>
      <w:lvlText w:val=""/>
      <w:lvlJc w:val="left"/>
      <w:pPr>
        <w:ind w:left="720" w:hanging="360"/>
      </w:pPr>
      <w:rPr>
        <w:rFonts w:ascii="Symbol" w:hAnsi="Symbol" w:hint="default"/>
        <w:b w:val="0"/>
        <w:i w:val="0"/>
        <w:sz w:val="20"/>
      </w:rPr>
    </w:lvl>
  </w:abstractNum>
  <w:abstractNum w:abstractNumId="1">
    <w:nsid w:val="03FC123C"/>
    <w:multiLevelType w:val="hybridMultilevel"/>
    <w:tmpl w:val="9036E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113DC1"/>
    <w:multiLevelType w:val="multilevel"/>
    <w:tmpl w:val="0C09001D"/>
    <w:name w:val="Heading 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5C92015"/>
    <w:multiLevelType w:val="hybridMultilevel"/>
    <w:tmpl w:val="EFA40B5E"/>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A52E24"/>
    <w:multiLevelType w:val="hybridMultilevel"/>
    <w:tmpl w:val="8CBEC9B0"/>
    <w:lvl w:ilvl="0" w:tplc="0C09000B">
      <w:start w:val="1"/>
      <w:numFmt w:val="bullet"/>
      <w:lvlText w:val=""/>
      <w:lvlJc w:val="left"/>
      <w:pPr>
        <w:tabs>
          <w:tab w:val="num" w:pos="1080"/>
        </w:tabs>
        <w:ind w:left="1080" w:hanging="360"/>
      </w:pPr>
      <w:rPr>
        <w:rFonts w:ascii="Wingdings" w:hAnsi="Wingding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5">
    <w:nsid w:val="101C37C8"/>
    <w:multiLevelType w:val="hybridMultilevel"/>
    <w:tmpl w:val="5ECC4C2C"/>
    <w:lvl w:ilvl="0" w:tplc="C53C3012">
      <w:start w:val="1"/>
      <w:numFmt w:val="lowerRoman"/>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6">
    <w:nsid w:val="12003E20"/>
    <w:multiLevelType w:val="hybridMultilevel"/>
    <w:tmpl w:val="3C62DF6E"/>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F440FB"/>
    <w:multiLevelType w:val="hybridMultilevel"/>
    <w:tmpl w:val="614AC7FA"/>
    <w:lvl w:ilvl="0" w:tplc="C53C3012">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4994D26"/>
    <w:multiLevelType w:val="hybridMultilevel"/>
    <w:tmpl w:val="D1B0CA22"/>
    <w:lvl w:ilvl="0" w:tplc="C53C3012">
      <w:start w:val="1"/>
      <w:numFmt w:val="lowerRoman"/>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
    <w:nsid w:val="26763343"/>
    <w:multiLevelType w:val="multilevel"/>
    <w:tmpl w:val="D384F3F2"/>
    <w:lvl w:ilvl="0">
      <w:start w:val="1"/>
      <w:numFmt w:val="decimal"/>
      <w:pStyle w:val="ListNumber"/>
      <w:lvlText w:val="%1."/>
      <w:lvlJc w:val="left"/>
      <w:pPr>
        <w:ind w:left="340" w:hanging="340"/>
      </w:pPr>
      <w:rPr>
        <w:rFonts w:hint="default"/>
        <w:color w:val="auto"/>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DE2696E"/>
    <w:multiLevelType w:val="hybridMultilevel"/>
    <w:tmpl w:val="C3007DE0"/>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EE65A18"/>
    <w:multiLevelType w:val="hybridMultilevel"/>
    <w:tmpl w:val="41FE168E"/>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4822A99"/>
    <w:multiLevelType w:val="multilevel"/>
    <w:tmpl w:val="E85E1576"/>
    <w:lvl w:ilvl="0">
      <w:start w:val="1"/>
      <w:numFmt w:val="decimal"/>
      <w:pStyle w:val="Heading1"/>
      <w:lvlText w:val="%1."/>
      <w:lvlJc w:val="left"/>
      <w:pPr>
        <w:ind w:left="1276"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1">
      <w:start w:val="1"/>
      <w:numFmt w:val="decimal"/>
      <w:pStyle w:val="Heading2"/>
      <w:lvlText w:val="%1.%2"/>
      <w:lvlJc w:val="left"/>
      <w:pPr>
        <w:ind w:left="851"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2">
      <w:start w:val="1"/>
      <w:numFmt w:val="decimal"/>
      <w:pStyle w:val="Heading3"/>
      <w:lvlText w:val="%1.%2.%3"/>
      <w:lvlJc w:val="left"/>
      <w:pPr>
        <w:ind w:left="360" w:hanging="360"/>
      </w:pPr>
      <w:rPr>
        <w:rFonts w:hint="default"/>
        <w:b w:val="0"/>
        <w:bCs w:val="0"/>
        <w:i w:val="0"/>
        <w:iCs w:val="0"/>
        <w:caps w:val="0"/>
        <w:smallCaps w:val="0"/>
        <w:strike w:val="0"/>
        <w:dstrike w:val="0"/>
        <w:vanish w:val="0"/>
        <w:color w:val="0000FF" w:themeColor="text2"/>
        <w:spacing w:val="0"/>
        <w:kern w:val="0"/>
        <w:position w:val="0"/>
        <w:sz w:val="24"/>
        <w:u w:val="none"/>
        <w:effect w:val="none"/>
        <w:vertAlign w:val="baseline"/>
        <w:em w:val="none"/>
      </w:rPr>
    </w:lvl>
    <w:lvl w:ilvl="3">
      <w:start w:val="1"/>
      <w:numFmt w:val="none"/>
      <w:pStyle w:val="Heading4"/>
      <w:lvlText w:val=""/>
      <w:lvlJc w:val="left"/>
      <w:pPr>
        <w:ind w:left="1440" w:hanging="360"/>
      </w:pPr>
      <w:rPr>
        <w:rFonts w:hint="default"/>
      </w:rPr>
    </w:lvl>
    <w:lvl w:ilvl="4">
      <w:start w:val="1"/>
      <w:numFmt w:val="none"/>
      <w:pStyle w:val="Heading5"/>
      <w:lvlText w:val=""/>
      <w:lvlJc w:val="left"/>
      <w:pPr>
        <w:ind w:left="1800" w:hanging="360"/>
      </w:pPr>
      <w:rPr>
        <w:rFonts w:ascii="Arial Rounded MT Bold" w:hAnsi="Arial Rounded MT Bold" w:hint="default"/>
        <w:b w:val="0"/>
        <w:i/>
        <w:color w:val="0000FF" w:themeColor="text2"/>
        <w:sz w:val="1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7E621F3"/>
    <w:multiLevelType w:val="hybridMultilevel"/>
    <w:tmpl w:val="3E0A890C"/>
    <w:lvl w:ilvl="0" w:tplc="3ACAA5F0">
      <w:start w:val="1"/>
      <w:numFmt w:val="decimal"/>
      <w:lvlText w:val="%1"/>
      <w:lvlJc w:val="left"/>
      <w:pPr>
        <w:ind w:left="786" w:hanging="360"/>
      </w:pPr>
      <w:rPr>
        <w:rFonts w:cs="Times New Roman" w:hint="default"/>
        <w:vertAlign w:val="superscrip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5">
    <w:nsid w:val="3AB73595"/>
    <w:multiLevelType w:val="hybridMultilevel"/>
    <w:tmpl w:val="0100B948"/>
    <w:lvl w:ilvl="0" w:tplc="52527D38">
      <w:start w:val="1"/>
      <w:numFmt w:val="decimal"/>
      <w:lvlText w:val="%1"/>
      <w:lvlJc w:val="left"/>
      <w:pPr>
        <w:ind w:left="360" w:hanging="360"/>
      </w:pPr>
      <w:rPr>
        <w:rFonts w:hint="default"/>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E67453E"/>
    <w:multiLevelType w:val="hybridMultilevel"/>
    <w:tmpl w:val="62B41B9E"/>
    <w:lvl w:ilvl="0" w:tplc="C53C3012">
      <w:start w:val="1"/>
      <w:numFmt w:val="lowerRoman"/>
      <w:lvlText w:val="(%1)"/>
      <w:lvlJc w:val="left"/>
      <w:pPr>
        <w:tabs>
          <w:tab w:val="num" w:pos="1080"/>
        </w:tabs>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702237"/>
    <w:multiLevelType w:val="hybridMultilevel"/>
    <w:tmpl w:val="5B94B296"/>
    <w:lvl w:ilvl="0" w:tplc="C22EF44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A206819"/>
    <w:multiLevelType w:val="hybridMultilevel"/>
    <w:tmpl w:val="CA6C3F4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6873BE0"/>
    <w:multiLevelType w:val="hybridMultilevel"/>
    <w:tmpl w:val="8954D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9F00934"/>
    <w:multiLevelType w:val="multilevel"/>
    <w:tmpl w:val="69A2C966"/>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5AC57ADE"/>
    <w:multiLevelType w:val="hybridMultilevel"/>
    <w:tmpl w:val="5DE47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B2E320D"/>
    <w:multiLevelType w:val="hybridMultilevel"/>
    <w:tmpl w:val="6A1AEC14"/>
    <w:lvl w:ilvl="0" w:tplc="653C48B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F95756"/>
    <w:multiLevelType w:val="multilevel"/>
    <w:tmpl w:val="31A8480C"/>
    <w:name w:val="BE Bullets"/>
    <w:lvl w:ilvl="0">
      <w:start w:val="1"/>
      <w:numFmt w:val="bullet"/>
      <w:pStyle w:val="Bullet1"/>
      <w:lvlText w:val=""/>
      <w:lvlJc w:val="left"/>
      <w:pPr>
        <w:ind w:left="454" w:hanging="454"/>
      </w:pPr>
      <w:rPr>
        <w:rFonts w:ascii="Symbol" w:hAnsi="Symbol" w:hint="default"/>
        <w:color w:val="080808"/>
      </w:rPr>
    </w:lvl>
    <w:lvl w:ilvl="1">
      <w:start w:val="1"/>
      <w:numFmt w:val="bullet"/>
      <w:pStyle w:val="Bullet2"/>
      <w:lvlText w:val=""/>
      <w:lvlJc w:val="left"/>
      <w:pPr>
        <w:ind w:left="907" w:hanging="453"/>
      </w:pPr>
      <w:rPr>
        <w:rFonts w:ascii="Symbol" w:hAnsi="Symbol" w:hint="default"/>
      </w:rPr>
    </w:lvl>
    <w:lvl w:ilvl="2">
      <w:start w:val="1"/>
      <w:numFmt w:val="bullet"/>
      <w:pStyle w:val="Bullet3"/>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5E512111"/>
    <w:multiLevelType w:val="hybridMultilevel"/>
    <w:tmpl w:val="5FAE269A"/>
    <w:lvl w:ilvl="0" w:tplc="C53C3012">
      <w:start w:val="1"/>
      <w:numFmt w:val="lowerRoman"/>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6">
    <w:nsid w:val="618A2CB5"/>
    <w:multiLevelType w:val="multilevel"/>
    <w:tmpl w:val="8D9AC804"/>
    <w:name w:val="BE Appendix Headings"/>
    <w:lvl w:ilvl="0">
      <w:start w:val="1"/>
      <w:numFmt w:val="upperLetter"/>
      <w:pStyle w:val="AppendixSectionnumber"/>
      <w:lvlText w:val="Appendix %1"/>
      <w:lvlJc w:val="left"/>
      <w:pPr>
        <w:ind w:left="851"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1">
      <w:start w:val="1"/>
      <w:numFmt w:val="decimal"/>
      <w:pStyle w:val="AppendixHeading1"/>
      <w:lvlText w:val="%1"/>
      <w:lvlJc w:val="left"/>
      <w:pPr>
        <w:ind w:left="851"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3F1514D"/>
    <w:multiLevelType w:val="multilevel"/>
    <w:tmpl w:val="92E01AFA"/>
    <w:lvl w:ilvl="0">
      <w:start w:val="1"/>
      <w:numFmt w:val="bullet"/>
      <w:lvlText w:val=""/>
      <w:lvlJc w:val="left"/>
      <w:pPr>
        <w:ind w:left="454" w:hanging="454"/>
      </w:pPr>
      <w:rPr>
        <w:rFonts w:ascii="Symbol" w:hAnsi="Symbol" w:hint="default"/>
        <w:color w:val="080808"/>
      </w:rPr>
    </w:lvl>
    <w:lvl w:ilvl="1">
      <w:start w:val="1"/>
      <w:numFmt w:val="bullet"/>
      <w:lvlText w:val=""/>
      <w:lvlJc w:val="left"/>
      <w:pPr>
        <w:ind w:left="907" w:hanging="453"/>
      </w:pPr>
      <w:rPr>
        <w:rFonts w:ascii="Symbol" w:hAnsi="Symbol" w:hint="default"/>
      </w:rPr>
    </w:lvl>
    <w:lvl w:ilvl="2">
      <w:start w:val="1"/>
      <w:numFmt w:val="bullet"/>
      <w:lvlText w:val=""/>
      <w:lvlJc w:val="left"/>
      <w:pPr>
        <w:ind w:left="1361" w:hanging="454"/>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6AA748CE"/>
    <w:multiLevelType w:val="hybridMultilevel"/>
    <w:tmpl w:val="6CD0F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9B0701"/>
    <w:multiLevelType w:val="hybridMultilevel"/>
    <w:tmpl w:val="C114A6EC"/>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3CB7404"/>
    <w:multiLevelType w:val="hybridMultilevel"/>
    <w:tmpl w:val="459CC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77747681"/>
    <w:multiLevelType w:val="multilevel"/>
    <w:tmpl w:val="054A2CEE"/>
    <w:name w:val="BE_Appendix"/>
    <w:lvl w:ilvl="0">
      <w:start w:val="1"/>
      <w:numFmt w:val="decimal"/>
      <w:lvlText w:val="A%1"/>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2">
    <w:nsid w:val="7B11158D"/>
    <w:multiLevelType w:val="hybridMultilevel"/>
    <w:tmpl w:val="FA9E1090"/>
    <w:lvl w:ilvl="0" w:tplc="0C09000B">
      <w:start w:val="1"/>
      <w:numFmt w:val="bullet"/>
      <w:lvlText w:val=""/>
      <w:lvlJc w:val="left"/>
      <w:pPr>
        <w:tabs>
          <w:tab w:val="num" w:pos="1080"/>
        </w:tabs>
        <w:ind w:left="1080" w:hanging="360"/>
      </w:pPr>
      <w:rPr>
        <w:rFonts w:ascii="Wingdings" w:hAnsi="Wingding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3">
    <w:nsid w:val="7ED17712"/>
    <w:multiLevelType w:val="hybridMultilevel"/>
    <w:tmpl w:val="6E10E630"/>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20"/>
  </w:num>
  <w:num w:numId="4">
    <w:abstractNumId w:val="24"/>
  </w:num>
  <w:num w:numId="5">
    <w:abstractNumId w:val="9"/>
  </w:num>
  <w:num w:numId="6">
    <w:abstractNumId w:val="26"/>
  </w:num>
  <w:num w:numId="7">
    <w:abstractNumId w:val="15"/>
  </w:num>
  <w:num w:numId="8">
    <w:abstractNumId w:val="28"/>
  </w:num>
  <w:num w:numId="9">
    <w:abstractNumId w:val="1"/>
  </w:num>
  <w:num w:numId="10">
    <w:abstractNumId w:val="22"/>
  </w:num>
  <w:num w:numId="11">
    <w:abstractNumId w:val="14"/>
  </w:num>
  <w:num w:numId="12">
    <w:abstractNumId w:val="0"/>
  </w:num>
  <w:num w:numId="13">
    <w:abstractNumId w:val="27"/>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6"/>
  </w:num>
  <w:num w:numId="23">
    <w:abstractNumId w:val="5"/>
  </w:num>
  <w:num w:numId="24">
    <w:abstractNumId w:val="6"/>
  </w:num>
  <w:num w:numId="25">
    <w:abstractNumId w:val="3"/>
  </w:num>
  <w:num w:numId="26">
    <w:abstractNumId w:val="18"/>
  </w:num>
  <w:num w:numId="27">
    <w:abstractNumId w:val="29"/>
  </w:num>
  <w:num w:numId="28">
    <w:abstractNumId w:val="33"/>
  </w:num>
  <w:num w:numId="29">
    <w:abstractNumId w:val="11"/>
  </w:num>
  <w:num w:numId="30">
    <w:abstractNumId w:val="10"/>
  </w:num>
  <w:num w:numId="31">
    <w:abstractNumId w:val="7"/>
  </w:num>
  <w:num w:numId="32">
    <w:abstractNumId w:val="25"/>
  </w:num>
  <w:num w:numId="33">
    <w:abstractNumId w:val="8"/>
  </w:num>
  <w:num w:numId="34">
    <w:abstractNumId w:val="32"/>
  </w:num>
  <w:num w:numId="35">
    <w:abstractNumId w:val="4"/>
  </w:num>
  <w:num w:numId="36">
    <w:abstractNumId w:val="9"/>
  </w:num>
  <w:num w:numId="37">
    <w:abstractNumId w:val="21"/>
  </w:num>
  <w:num w:numId="38">
    <w:abstractNumId w:val="24"/>
  </w:num>
  <w:num w:numId="39">
    <w:abstractNumId w:val="2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7F04"/>
  <w:defaultTabStop w:val="720"/>
  <w:drawingGridHorizontalSpacing w:val="100"/>
  <w:displayHorizontalDrawingGridEvery w:val="2"/>
  <w:noPunctuationKerning/>
  <w:characterSpacingControl w:val="doNotCompress"/>
  <w:hdrShapeDefaults>
    <o:shapedefaults v:ext="edit" spidmax="6145">
      <o:colormru v:ext="edit" colors="#c5c5ff,#dbe5f1"/>
    </o:shapedefaults>
  </w:hdrShapeDefaults>
  <w:footnotePr>
    <w:footnote w:id="-1"/>
    <w:footnote w:id="0"/>
  </w:footnotePr>
  <w:endnotePr>
    <w:endnote w:id="-1"/>
    <w:endnote w:id="0"/>
  </w:endnotePr>
  <w:compat/>
  <w:rsids>
    <w:rsidRoot w:val="00BB11C4"/>
    <w:rsid w:val="00000DEF"/>
    <w:rsid w:val="000028BC"/>
    <w:rsid w:val="00002BA6"/>
    <w:rsid w:val="00003B64"/>
    <w:rsid w:val="00003EEF"/>
    <w:rsid w:val="00004297"/>
    <w:rsid w:val="00004FE7"/>
    <w:rsid w:val="0000517B"/>
    <w:rsid w:val="0000726B"/>
    <w:rsid w:val="000100D1"/>
    <w:rsid w:val="000118E2"/>
    <w:rsid w:val="00011B36"/>
    <w:rsid w:val="000122DD"/>
    <w:rsid w:val="00012580"/>
    <w:rsid w:val="00013A3E"/>
    <w:rsid w:val="000147BA"/>
    <w:rsid w:val="00014B71"/>
    <w:rsid w:val="00015C90"/>
    <w:rsid w:val="00016B2F"/>
    <w:rsid w:val="000170CD"/>
    <w:rsid w:val="00017135"/>
    <w:rsid w:val="000201C5"/>
    <w:rsid w:val="000224CF"/>
    <w:rsid w:val="00022629"/>
    <w:rsid w:val="00022E20"/>
    <w:rsid w:val="000232AF"/>
    <w:rsid w:val="0002354C"/>
    <w:rsid w:val="00023C1B"/>
    <w:rsid w:val="00023E0F"/>
    <w:rsid w:val="000240A2"/>
    <w:rsid w:val="000243FB"/>
    <w:rsid w:val="000244FC"/>
    <w:rsid w:val="00025D9E"/>
    <w:rsid w:val="0002606B"/>
    <w:rsid w:val="00026103"/>
    <w:rsid w:val="00027A17"/>
    <w:rsid w:val="00027B92"/>
    <w:rsid w:val="000300BC"/>
    <w:rsid w:val="00030167"/>
    <w:rsid w:val="00030BB9"/>
    <w:rsid w:val="0003109E"/>
    <w:rsid w:val="00032EC4"/>
    <w:rsid w:val="00032F41"/>
    <w:rsid w:val="00032FC5"/>
    <w:rsid w:val="00033816"/>
    <w:rsid w:val="00034E88"/>
    <w:rsid w:val="00035146"/>
    <w:rsid w:val="000359A3"/>
    <w:rsid w:val="00035B94"/>
    <w:rsid w:val="00035BB8"/>
    <w:rsid w:val="0003608C"/>
    <w:rsid w:val="0003730B"/>
    <w:rsid w:val="0003777E"/>
    <w:rsid w:val="00040004"/>
    <w:rsid w:val="000422FC"/>
    <w:rsid w:val="00044249"/>
    <w:rsid w:val="00044436"/>
    <w:rsid w:val="00044953"/>
    <w:rsid w:val="00046922"/>
    <w:rsid w:val="00047114"/>
    <w:rsid w:val="00051456"/>
    <w:rsid w:val="000515FD"/>
    <w:rsid w:val="0005251D"/>
    <w:rsid w:val="00055BC0"/>
    <w:rsid w:val="0005717D"/>
    <w:rsid w:val="000575D6"/>
    <w:rsid w:val="00057DB0"/>
    <w:rsid w:val="000608F5"/>
    <w:rsid w:val="00060AB8"/>
    <w:rsid w:val="00061534"/>
    <w:rsid w:val="00061913"/>
    <w:rsid w:val="00061D6F"/>
    <w:rsid w:val="00061F1C"/>
    <w:rsid w:val="0006200F"/>
    <w:rsid w:val="0006229E"/>
    <w:rsid w:val="00062A5B"/>
    <w:rsid w:val="00063C5E"/>
    <w:rsid w:val="00063E22"/>
    <w:rsid w:val="00063E72"/>
    <w:rsid w:val="00064D6C"/>
    <w:rsid w:val="000656C5"/>
    <w:rsid w:val="00066D45"/>
    <w:rsid w:val="00066FE6"/>
    <w:rsid w:val="000679A9"/>
    <w:rsid w:val="00067C06"/>
    <w:rsid w:val="00070AF1"/>
    <w:rsid w:val="00071135"/>
    <w:rsid w:val="000711DB"/>
    <w:rsid w:val="00071E29"/>
    <w:rsid w:val="00072E5E"/>
    <w:rsid w:val="00074032"/>
    <w:rsid w:val="0007591D"/>
    <w:rsid w:val="00075F62"/>
    <w:rsid w:val="0007614C"/>
    <w:rsid w:val="00076997"/>
    <w:rsid w:val="00076C03"/>
    <w:rsid w:val="00076C64"/>
    <w:rsid w:val="00076F68"/>
    <w:rsid w:val="00077191"/>
    <w:rsid w:val="00077ABF"/>
    <w:rsid w:val="00077D36"/>
    <w:rsid w:val="00077E9D"/>
    <w:rsid w:val="00081CFB"/>
    <w:rsid w:val="0008278B"/>
    <w:rsid w:val="000829A3"/>
    <w:rsid w:val="00083201"/>
    <w:rsid w:val="00083894"/>
    <w:rsid w:val="00083AB1"/>
    <w:rsid w:val="00083E9B"/>
    <w:rsid w:val="000841D2"/>
    <w:rsid w:val="000848FC"/>
    <w:rsid w:val="00085315"/>
    <w:rsid w:val="00085D3B"/>
    <w:rsid w:val="00086795"/>
    <w:rsid w:val="00086F2E"/>
    <w:rsid w:val="00086F85"/>
    <w:rsid w:val="00087093"/>
    <w:rsid w:val="000878AB"/>
    <w:rsid w:val="0009004C"/>
    <w:rsid w:val="0009065E"/>
    <w:rsid w:val="00090B3F"/>
    <w:rsid w:val="00091A72"/>
    <w:rsid w:val="00092E4D"/>
    <w:rsid w:val="00093831"/>
    <w:rsid w:val="00093F02"/>
    <w:rsid w:val="00094B26"/>
    <w:rsid w:val="00095AB2"/>
    <w:rsid w:val="00095CFB"/>
    <w:rsid w:val="00095EF8"/>
    <w:rsid w:val="000A02F2"/>
    <w:rsid w:val="000A078D"/>
    <w:rsid w:val="000A17C4"/>
    <w:rsid w:val="000A2334"/>
    <w:rsid w:val="000A3069"/>
    <w:rsid w:val="000A3220"/>
    <w:rsid w:val="000A3521"/>
    <w:rsid w:val="000A35B1"/>
    <w:rsid w:val="000A383F"/>
    <w:rsid w:val="000A38C6"/>
    <w:rsid w:val="000A41CB"/>
    <w:rsid w:val="000A442C"/>
    <w:rsid w:val="000A44EB"/>
    <w:rsid w:val="000A4B59"/>
    <w:rsid w:val="000A4CBE"/>
    <w:rsid w:val="000A5519"/>
    <w:rsid w:val="000A57B0"/>
    <w:rsid w:val="000A59EC"/>
    <w:rsid w:val="000A7753"/>
    <w:rsid w:val="000A7E55"/>
    <w:rsid w:val="000B0B25"/>
    <w:rsid w:val="000B0EAA"/>
    <w:rsid w:val="000B146C"/>
    <w:rsid w:val="000B226F"/>
    <w:rsid w:val="000B307C"/>
    <w:rsid w:val="000B335A"/>
    <w:rsid w:val="000B3523"/>
    <w:rsid w:val="000B4AB1"/>
    <w:rsid w:val="000B4F69"/>
    <w:rsid w:val="000B5AE6"/>
    <w:rsid w:val="000B5B7D"/>
    <w:rsid w:val="000B5FF7"/>
    <w:rsid w:val="000B61A5"/>
    <w:rsid w:val="000B64E1"/>
    <w:rsid w:val="000C0F5E"/>
    <w:rsid w:val="000C1209"/>
    <w:rsid w:val="000C1394"/>
    <w:rsid w:val="000C2024"/>
    <w:rsid w:val="000C21D0"/>
    <w:rsid w:val="000C3123"/>
    <w:rsid w:val="000C3D8D"/>
    <w:rsid w:val="000C4313"/>
    <w:rsid w:val="000C6192"/>
    <w:rsid w:val="000C685B"/>
    <w:rsid w:val="000C7045"/>
    <w:rsid w:val="000D09AB"/>
    <w:rsid w:val="000D0ED2"/>
    <w:rsid w:val="000D171D"/>
    <w:rsid w:val="000D3E35"/>
    <w:rsid w:val="000D4BC6"/>
    <w:rsid w:val="000D51CD"/>
    <w:rsid w:val="000D5E3B"/>
    <w:rsid w:val="000D611D"/>
    <w:rsid w:val="000D68FA"/>
    <w:rsid w:val="000D6A1E"/>
    <w:rsid w:val="000D7C2B"/>
    <w:rsid w:val="000D7DD5"/>
    <w:rsid w:val="000E017A"/>
    <w:rsid w:val="000E10BC"/>
    <w:rsid w:val="000E2B08"/>
    <w:rsid w:val="000E48F3"/>
    <w:rsid w:val="000E4B87"/>
    <w:rsid w:val="000E4F36"/>
    <w:rsid w:val="000E5328"/>
    <w:rsid w:val="000E6054"/>
    <w:rsid w:val="000E61F4"/>
    <w:rsid w:val="000E6CE3"/>
    <w:rsid w:val="000E7390"/>
    <w:rsid w:val="000E78FD"/>
    <w:rsid w:val="000E7987"/>
    <w:rsid w:val="000E7E24"/>
    <w:rsid w:val="000F02FA"/>
    <w:rsid w:val="000F05AA"/>
    <w:rsid w:val="000F065B"/>
    <w:rsid w:val="000F0AF6"/>
    <w:rsid w:val="000F0E0E"/>
    <w:rsid w:val="000F0EAF"/>
    <w:rsid w:val="000F1626"/>
    <w:rsid w:val="000F2194"/>
    <w:rsid w:val="000F229E"/>
    <w:rsid w:val="000F253B"/>
    <w:rsid w:val="000F29FF"/>
    <w:rsid w:val="000F2A02"/>
    <w:rsid w:val="000F302B"/>
    <w:rsid w:val="000F4399"/>
    <w:rsid w:val="000F5766"/>
    <w:rsid w:val="000F7405"/>
    <w:rsid w:val="000F74E7"/>
    <w:rsid w:val="001008D3"/>
    <w:rsid w:val="00102190"/>
    <w:rsid w:val="00102530"/>
    <w:rsid w:val="00102DF6"/>
    <w:rsid w:val="0010370E"/>
    <w:rsid w:val="00103AA3"/>
    <w:rsid w:val="00103E64"/>
    <w:rsid w:val="00104162"/>
    <w:rsid w:val="00104AF7"/>
    <w:rsid w:val="00104B01"/>
    <w:rsid w:val="00104B53"/>
    <w:rsid w:val="00104F5A"/>
    <w:rsid w:val="0010595C"/>
    <w:rsid w:val="00105CF5"/>
    <w:rsid w:val="00111E0C"/>
    <w:rsid w:val="0011222A"/>
    <w:rsid w:val="001127D3"/>
    <w:rsid w:val="00113339"/>
    <w:rsid w:val="001139EA"/>
    <w:rsid w:val="0011445C"/>
    <w:rsid w:val="0011445F"/>
    <w:rsid w:val="00114CB5"/>
    <w:rsid w:val="00114E17"/>
    <w:rsid w:val="00114FA5"/>
    <w:rsid w:val="0011594E"/>
    <w:rsid w:val="0011713B"/>
    <w:rsid w:val="001171DA"/>
    <w:rsid w:val="001179F0"/>
    <w:rsid w:val="00120423"/>
    <w:rsid w:val="0012047B"/>
    <w:rsid w:val="0012047D"/>
    <w:rsid w:val="00120B35"/>
    <w:rsid w:val="00120EC5"/>
    <w:rsid w:val="00121145"/>
    <w:rsid w:val="00121B6E"/>
    <w:rsid w:val="00121BCA"/>
    <w:rsid w:val="00121FF4"/>
    <w:rsid w:val="0012221E"/>
    <w:rsid w:val="0012239E"/>
    <w:rsid w:val="001224AB"/>
    <w:rsid w:val="001228ED"/>
    <w:rsid w:val="00123852"/>
    <w:rsid w:val="00123C7B"/>
    <w:rsid w:val="001240C7"/>
    <w:rsid w:val="001240F1"/>
    <w:rsid w:val="00124D0B"/>
    <w:rsid w:val="00125057"/>
    <w:rsid w:val="00125AC2"/>
    <w:rsid w:val="00125FC6"/>
    <w:rsid w:val="00126AAB"/>
    <w:rsid w:val="00126DD1"/>
    <w:rsid w:val="00127BF6"/>
    <w:rsid w:val="001302FA"/>
    <w:rsid w:val="001306C7"/>
    <w:rsid w:val="001317ED"/>
    <w:rsid w:val="00132749"/>
    <w:rsid w:val="0013282A"/>
    <w:rsid w:val="00132E22"/>
    <w:rsid w:val="00132E6E"/>
    <w:rsid w:val="00132E70"/>
    <w:rsid w:val="00133FD3"/>
    <w:rsid w:val="001364FA"/>
    <w:rsid w:val="00136BD8"/>
    <w:rsid w:val="0013736B"/>
    <w:rsid w:val="00137623"/>
    <w:rsid w:val="00140643"/>
    <w:rsid w:val="00141015"/>
    <w:rsid w:val="00141142"/>
    <w:rsid w:val="0014187C"/>
    <w:rsid w:val="0014242F"/>
    <w:rsid w:val="00142DAB"/>
    <w:rsid w:val="001434D3"/>
    <w:rsid w:val="00143E1C"/>
    <w:rsid w:val="00144201"/>
    <w:rsid w:val="00144440"/>
    <w:rsid w:val="00144650"/>
    <w:rsid w:val="00144C10"/>
    <w:rsid w:val="00144D6A"/>
    <w:rsid w:val="00146BE8"/>
    <w:rsid w:val="00146CF7"/>
    <w:rsid w:val="00147951"/>
    <w:rsid w:val="00147971"/>
    <w:rsid w:val="00147A7E"/>
    <w:rsid w:val="0015040D"/>
    <w:rsid w:val="001506AE"/>
    <w:rsid w:val="0015085C"/>
    <w:rsid w:val="00151E1B"/>
    <w:rsid w:val="00152034"/>
    <w:rsid w:val="00152106"/>
    <w:rsid w:val="0015233F"/>
    <w:rsid w:val="00152601"/>
    <w:rsid w:val="00153B16"/>
    <w:rsid w:val="00153D6A"/>
    <w:rsid w:val="00153F9C"/>
    <w:rsid w:val="0015422E"/>
    <w:rsid w:val="001542BA"/>
    <w:rsid w:val="00154794"/>
    <w:rsid w:val="001553B9"/>
    <w:rsid w:val="00155B66"/>
    <w:rsid w:val="00155E47"/>
    <w:rsid w:val="0015706B"/>
    <w:rsid w:val="00157D49"/>
    <w:rsid w:val="0016096D"/>
    <w:rsid w:val="00162EDB"/>
    <w:rsid w:val="001630A2"/>
    <w:rsid w:val="00163B2B"/>
    <w:rsid w:val="0016400F"/>
    <w:rsid w:val="00164317"/>
    <w:rsid w:val="00164665"/>
    <w:rsid w:val="00164760"/>
    <w:rsid w:val="00164DA4"/>
    <w:rsid w:val="00165E40"/>
    <w:rsid w:val="00166B74"/>
    <w:rsid w:val="00166FE3"/>
    <w:rsid w:val="0016733B"/>
    <w:rsid w:val="00167CD1"/>
    <w:rsid w:val="00170C1F"/>
    <w:rsid w:val="001712C5"/>
    <w:rsid w:val="00173B58"/>
    <w:rsid w:val="00173C71"/>
    <w:rsid w:val="001745F8"/>
    <w:rsid w:val="00174795"/>
    <w:rsid w:val="00174E8A"/>
    <w:rsid w:val="00175067"/>
    <w:rsid w:val="001750A7"/>
    <w:rsid w:val="00175192"/>
    <w:rsid w:val="001764D0"/>
    <w:rsid w:val="00177309"/>
    <w:rsid w:val="0017761E"/>
    <w:rsid w:val="001777B4"/>
    <w:rsid w:val="001777DA"/>
    <w:rsid w:val="00177D21"/>
    <w:rsid w:val="001815F7"/>
    <w:rsid w:val="00182625"/>
    <w:rsid w:val="00182987"/>
    <w:rsid w:val="0018321A"/>
    <w:rsid w:val="00183659"/>
    <w:rsid w:val="001837F7"/>
    <w:rsid w:val="001840CF"/>
    <w:rsid w:val="001862C6"/>
    <w:rsid w:val="00186C62"/>
    <w:rsid w:val="00187707"/>
    <w:rsid w:val="00187EE7"/>
    <w:rsid w:val="00187F9A"/>
    <w:rsid w:val="00187FEC"/>
    <w:rsid w:val="001917BF"/>
    <w:rsid w:val="00191867"/>
    <w:rsid w:val="00191A7C"/>
    <w:rsid w:val="00191C85"/>
    <w:rsid w:val="00192C44"/>
    <w:rsid w:val="00194428"/>
    <w:rsid w:val="001944DC"/>
    <w:rsid w:val="0019721A"/>
    <w:rsid w:val="001A01C0"/>
    <w:rsid w:val="001A0695"/>
    <w:rsid w:val="001A06AB"/>
    <w:rsid w:val="001A1455"/>
    <w:rsid w:val="001A3174"/>
    <w:rsid w:val="001A32F5"/>
    <w:rsid w:val="001A3324"/>
    <w:rsid w:val="001A4573"/>
    <w:rsid w:val="001A586D"/>
    <w:rsid w:val="001A5B7B"/>
    <w:rsid w:val="001A6376"/>
    <w:rsid w:val="001A79D0"/>
    <w:rsid w:val="001B01E9"/>
    <w:rsid w:val="001B062D"/>
    <w:rsid w:val="001B0654"/>
    <w:rsid w:val="001B2509"/>
    <w:rsid w:val="001B255A"/>
    <w:rsid w:val="001B2FA1"/>
    <w:rsid w:val="001B4687"/>
    <w:rsid w:val="001B50DE"/>
    <w:rsid w:val="001B5371"/>
    <w:rsid w:val="001B545D"/>
    <w:rsid w:val="001B5EF3"/>
    <w:rsid w:val="001B5F44"/>
    <w:rsid w:val="001B69C1"/>
    <w:rsid w:val="001B7CBC"/>
    <w:rsid w:val="001C1F43"/>
    <w:rsid w:val="001C24A3"/>
    <w:rsid w:val="001C267D"/>
    <w:rsid w:val="001C2BF9"/>
    <w:rsid w:val="001C3239"/>
    <w:rsid w:val="001C33E2"/>
    <w:rsid w:val="001C4194"/>
    <w:rsid w:val="001C4210"/>
    <w:rsid w:val="001C4736"/>
    <w:rsid w:val="001C5CD6"/>
    <w:rsid w:val="001C5FD3"/>
    <w:rsid w:val="001C606A"/>
    <w:rsid w:val="001C6E03"/>
    <w:rsid w:val="001C707E"/>
    <w:rsid w:val="001D09C4"/>
    <w:rsid w:val="001D0F2D"/>
    <w:rsid w:val="001D1297"/>
    <w:rsid w:val="001D1425"/>
    <w:rsid w:val="001D1D63"/>
    <w:rsid w:val="001D1FBF"/>
    <w:rsid w:val="001D224A"/>
    <w:rsid w:val="001D2480"/>
    <w:rsid w:val="001D2906"/>
    <w:rsid w:val="001D2FA7"/>
    <w:rsid w:val="001D3F68"/>
    <w:rsid w:val="001D4163"/>
    <w:rsid w:val="001D43B8"/>
    <w:rsid w:val="001D4832"/>
    <w:rsid w:val="001D615C"/>
    <w:rsid w:val="001D62F8"/>
    <w:rsid w:val="001D641B"/>
    <w:rsid w:val="001D6A8E"/>
    <w:rsid w:val="001D7C44"/>
    <w:rsid w:val="001D7EBA"/>
    <w:rsid w:val="001E139B"/>
    <w:rsid w:val="001E25AE"/>
    <w:rsid w:val="001E2F09"/>
    <w:rsid w:val="001E3221"/>
    <w:rsid w:val="001E46D8"/>
    <w:rsid w:val="001E4C04"/>
    <w:rsid w:val="001E51DD"/>
    <w:rsid w:val="001E5C3C"/>
    <w:rsid w:val="001E6AFB"/>
    <w:rsid w:val="001E761C"/>
    <w:rsid w:val="001F0CC1"/>
    <w:rsid w:val="001F0E73"/>
    <w:rsid w:val="001F175A"/>
    <w:rsid w:val="001F1A17"/>
    <w:rsid w:val="001F2356"/>
    <w:rsid w:val="001F2408"/>
    <w:rsid w:val="001F2B25"/>
    <w:rsid w:val="001F330F"/>
    <w:rsid w:val="001F369A"/>
    <w:rsid w:val="001F4992"/>
    <w:rsid w:val="001F4CB2"/>
    <w:rsid w:val="001F4D11"/>
    <w:rsid w:val="001F5421"/>
    <w:rsid w:val="001F5AD9"/>
    <w:rsid w:val="001F5DDD"/>
    <w:rsid w:val="001F61BD"/>
    <w:rsid w:val="001F7191"/>
    <w:rsid w:val="001F74EA"/>
    <w:rsid w:val="001F7F98"/>
    <w:rsid w:val="002008E3"/>
    <w:rsid w:val="00200C9E"/>
    <w:rsid w:val="00201EAD"/>
    <w:rsid w:val="002024AA"/>
    <w:rsid w:val="002043AF"/>
    <w:rsid w:val="002049A8"/>
    <w:rsid w:val="00204A57"/>
    <w:rsid w:val="00205BD8"/>
    <w:rsid w:val="00205FDA"/>
    <w:rsid w:val="0020678D"/>
    <w:rsid w:val="00207F49"/>
    <w:rsid w:val="00207FD3"/>
    <w:rsid w:val="00211331"/>
    <w:rsid w:val="00212444"/>
    <w:rsid w:val="002136D5"/>
    <w:rsid w:val="00213A21"/>
    <w:rsid w:val="002144EC"/>
    <w:rsid w:val="002146FA"/>
    <w:rsid w:val="00215842"/>
    <w:rsid w:val="0021626F"/>
    <w:rsid w:val="0021677A"/>
    <w:rsid w:val="00216969"/>
    <w:rsid w:val="002206A7"/>
    <w:rsid w:val="00220883"/>
    <w:rsid w:val="00220DBF"/>
    <w:rsid w:val="00221050"/>
    <w:rsid w:val="00221AF6"/>
    <w:rsid w:val="00221B10"/>
    <w:rsid w:val="002243AB"/>
    <w:rsid w:val="0022556F"/>
    <w:rsid w:val="0022660C"/>
    <w:rsid w:val="00227A95"/>
    <w:rsid w:val="002305FB"/>
    <w:rsid w:val="00231A20"/>
    <w:rsid w:val="00231C31"/>
    <w:rsid w:val="00232E53"/>
    <w:rsid w:val="00233343"/>
    <w:rsid w:val="002349B6"/>
    <w:rsid w:val="00234C89"/>
    <w:rsid w:val="0023695F"/>
    <w:rsid w:val="00236ADF"/>
    <w:rsid w:val="00236DFC"/>
    <w:rsid w:val="00237522"/>
    <w:rsid w:val="00237E78"/>
    <w:rsid w:val="00240089"/>
    <w:rsid w:val="0024063E"/>
    <w:rsid w:val="00241D75"/>
    <w:rsid w:val="00242A37"/>
    <w:rsid w:val="002431E1"/>
    <w:rsid w:val="00243BCC"/>
    <w:rsid w:val="002442F6"/>
    <w:rsid w:val="00244559"/>
    <w:rsid w:val="0024525A"/>
    <w:rsid w:val="002458A1"/>
    <w:rsid w:val="0024611D"/>
    <w:rsid w:val="0024759C"/>
    <w:rsid w:val="00247A7B"/>
    <w:rsid w:val="00247C1F"/>
    <w:rsid w:val="0025029F"/>
    <w:rsid w:val="00250396"/>
    <w:rsid w:val="0025046C"/>
    <w:rsid w:val="0025079A"/>
    <w:rsid w:val="00250F61"/>
    <w:rsid w:val="00251211"/>
    <w:rsid w:val="0025147E"/>
    <w:rsid w:val="002522D2"/>
    <w:rsid w:val="002538E9"/>
    <w:rsid w:val="00253F3B"/>
    <w:rsid w:val="00254684"/>
    <w:rsid w:val="00254D78"/>
    <w:rsid w:val="00254FA3"/>
    <w:rsid w:val="00256032"/>
    <w:rsid w:val="002561A1"/>
    <w:rsid w:val="00256C74"/>
    <w:rsid w:val="00257208"/>
    <w:rsid w:val="002573E5"/>
    <w:rsid w:val="00257C03"/>
    <w:rsid w:val="00257E8F"/>
    <w:rsid w:val="00257EC9"/>
    <w:rsid w:val="002603AF"/>
    <w:rsid w:val="0026043B"/>
    <w:rsid w:val="0026079F"/>
    <w:rsid w:val="00261351"/>
    <w:rsid w:val="00261AB9"/>
    <w:rsid w:val="002622E3"/>
    <w:rsid w:val="00263999"/>
    <w:rsid w:val="0026727B"/>
    <w:rsid w:val="00267C6B"/>
    <w:rsid w:val="0027004C"/>
    <w:rsid w:val="00271068"/>
    <w:rsid w:val="0027130F"/>
    <w:rsid w:val="00271A27"/>
    <w:rsid w:val="00271C68"/>
    <w:rsid w:val="0027352E"/>
    <w:rsid w:val="002740BE"/>
    <w:rsid w:val="00275622"/>
    <w:rsid w:val="00275C15"/>
    <w:rsid w:val="002763ED"/>
    <w:rsid w:val="002767B5"/>
    <w:rsid w:val="00276B7E"/>
    <w:rsid w:val="0028049B"/>
    <w:rsid w:val="002805B8"/>
    <w:rsid w:val="00281703"/>
    <w:rsid w:val="00282DD4"/>
    <w:rsid w:val="002838D7"/>
    <w:rsid w:val="002842DE"/>
    <w:rsid w:val="00284384"/>
    <w:rsid w:val="00285B5C"/>
    <w:rsid w:val="00286F29"/>
    <w:rsid w:val="0028706B"/>
    <w:rsid w:val="00287AB5"/>
    <w:rsid w:val="00287BFF"/>
    <w:rsid w:val="00287E5E"/>
    <w:rsid w:val="00290EE6"/>
    <w:rsid w:val="0029121A"/>
    <w:rsid w:val="00291467"/>
    <w:rsid w:val="0029323D"/>
    <w:rsid w:val="00293CFB"/>
    <w:rsid w:val="00294143"/>
    <w:rsid w:val="00295810"/>
    <w:rsid w:val="0029666D"/>
    <w:rsid w:val="002969D1"/>
    <w:rsid w:val="00297FDD"/>
    <w:rsid w:val="002A0222"/>
    <w:rsid w:val="002A08D1"/>
    <w:rsid w:val="002A0F13"/>
    <w:rsid w:val="002A0F82"/>
    <w:rsid w:val="002A0F8C"/>
    <w:rsid w:val="002A25E2"/>
    <w:rsid w:val="002A28D8"/>
    <w:rsid w:val="002A2EDD"/>
    <w:rsid w:val="002A5897"/>
    <w:rsid w:val="002A67E8"/>
    <w:rsid w:val="002A73E4"/>
    <w:rsid w:val="002A7CA4"/>
    <w:rsid w:val="002B17E5"/>
    <w:rsid w:val="002B2757"/>
    <w:rsid w:val="002B301F"/>
    <w:rsid w:val="002B33FD"/>
    <w:rsid w:val="002B3835"/>
    <w:rsid w:val="002B49F5"/>
    <w:rsid w:val="002B4A35"/>
    <w:rsid w:val="002B5457"/>
    <w:rsid w:val="002B7E2C"/>
    <w:rsid w:val="002C0BAE"/>
    <w:rsid w:val="002C11CE"/>
    <w:rsid w:val="002C302A"/>
    <w:rsid w:val="002C339C"/>
    <w:rsid w:val="002C4629"/>
    <w:rsid w:val="002C4D0B"/>
    <w:rsid w:val="002C5324"/>
    <w:rsid w:val="002D072E"/>
    <w:rsid w:val="002D0869"/>
    <w:rsid w:val="002D0910"/>
    <w:rsid w:val="002D17EC"/>
    <w:rsid w:val="002D3445"/>
    <w:rsid w:val="002D3807"/>
    <w:rsid w:val="002D39AB"/>
    <w:rsid w:val="002D3C9E"/>
    <w:rsid w:val="002D3FDF"/>
    <w:rsid w:val="002D4581"/>
    <w:rsid w:val="002D47CA"/>
    <w:rsid w:val="002D5386"/>
    <w:rsid w:val="002D6440"/>
    <w:rsid w:val="002D67AF"/>
    <w:rsid w:val="002E00B8"/>
    <w:rsid w:val="002E0D24"/>
    <w:rsid w:val="002E19E4"/>
    <w:rsid w:val="002E2983"/>
    <w:rsid w:val="002E2B19"/>
    <w:rsid w:val="002E2C88"/>
    <w:rsid w:val="002E2D11"/>
    <w:rsid w:val="002E2ED8"/>
    <w:rsid w:val="002E3243"/>
    <w:rsid w:val="002E39F5"/>
    <w:rsid w:val="002E5B44"/>
    <w:rsid w:val="002E623C"/>
    <w:rsid w:val="002E64B5"/>
    <w:rsid w:val="002E66B7"/>
    <w:rsid w:val="002E6A4C"/>
    <w:rsid w:val="002F0140"/>
    <w:rsid w:val="002F0F2B"/>
    <w:rsid w:val="002F27B8"/>
    <w:rsid w:val="002F2973"/>
    <w:rsid w:val="002F2A77"/>
    <w:rsid w:val="002F2C2F"/>
    <w:rsid w:val="002F2E3F"/>
    <w:rsid w:val="002F33E3"/>
    <w:rsid w:val="002F4938"/>
    <w:rsid w:val="002F54A0"/>
    <w:rsid w:val="002F7810"/>
    <w:rsid w:val="00301265"/>
    <w:rsid w:val="00301703"/>
    <w:rsid w:val="003018F1"/>
    <w:rsid w:val="003020DE"/>
    <w:rsid w:val="00302331"/>
    <w:rsid w:val="0030319E"/>
    <w:rsid w:val="00305932"/>
    <w:rsid w:val="003075BC"/>
    <w:rsid w:val="00307623"/>
    <w:rsid w:val="00310224"/>
    <w:rsid w:val="0031034C"/>
    <w:rsid w:val="0031059C"/>
    <w:rsid w:val="00310982"/>
    <w:rsid w:val="00314534"/>
    <w:rsid w:val="00314FA7"/>
    <w:rsid w:val="00315ACD"/>
    <w:rsid w:val="00315FA8"/>
    <w:rsid w:val="0031662B"/>
    <w:rsid w:val="003166FE"/>
    <w:rsid w:val="0032061A"/>
    <w:rsid w:val="00320ABC"/>
    <w:rsid w:val="00320F39"/>
    <w:rsid w:val="00322A90"/>
    <w:rsid w:val="003239BD"/>
    <w:rsid w:val="003242F9"/>
    <w:rsid w:val="003246AE"/>
    <w:rsid w:val="00324ACB"/>
    <w:rsid w:val="00324DB7"/>
    <w:rsid w:val="00325656"/>
    <w:rsid w:val="0032571A"/>
    <w:rsid w:val="00325AD3"/>
    <w:rsid w:val="00325B21"/>
    <w:rsid w:val="00326710"/>
    <w:rsid w:val="00326DCD"/>
    <w:rsid w:val="00326FDF"/>
    <w:rsid w:val="00327207"/>
    <w:rsid w:val="003277E4"/>
    <w:rsid w:val="00327D95"/>
    <w:rsid w:val="0033033D"/>
    <w:rsid w:val="0033037B"/>
    <w:rsid w:val="00330571"/>
    <w:rsid w:val="00330986"/>
    <w:rsid w:val="00330AB6"/>
    <w:rsid w:val="00330AD2"/>
    <w:rsid w:val="00330BF2"/>
    <w:rsid w:val="00331FFD"/>
    <w:rsid w:val="003348DB"/>
    <w:rsid w:val="00334CF7"/>
    <w:rsid w:val="00336307"/>
    <w:rsid w:val="00337EB0"/>
    <w:rsid w:val="003419A4"/>
    <w:rsid w:val="00342134"/>
    <w:rsid w:val="0034285E"/>
    <w:rsid w:val="00342B44"/>
    <w:rsid w:val="00342B9A"/>
    <w:rsid w:val="00342CAB"/>
    <w:rsid w:val="00343084"/>
    <w:rsid w:val="003442E4"/>
    <w:rsid w:val="00344E43"/>
    <w:rsid w:val="0034544E"/>
    <w:rsid w:val="003460A4"/>
    <w:rsid w:val="00346160"/>
    <w:rsid w:val="00351B20"/>
    <w:rsid w:val="00351B9D"/>
    <w:rsid w:val="00351C00"/>
    <w:rsid w:val="0035236E"/>
    <w:rsid w:val="0035240B"/>
    <w:rsid w:val="003529A6"/>
    <w:rsid w:val="0035333F"/>
    <w:rsid w:val="0035339C"/>
    <w:rsid w:val="0035413A"/>
    <w:rsid w:val="00355ABE"/>
    <w:rsid w:val="00356A74"/>
    <w:rsid w:val="0035798C"/>
    <w:rsid w:val="00357B03"/>
    <w:rsid w:val="0036070E"/>
    <w:rsid w:val="00361078"/>
    <w:rsid w:val="00361228"/>
    <w:rsid w:val="00361B9E"/>
    <w:rsid w:val="00361D70"/>
    <w:rsid w:val="003626AE"/>
    <w:rsid w:val="00362FF7"/>
    <w:rsid w:val="003633DF"/>
    <w:rsid w:val="00363B3F"/>
    <w:rsid w:val="0036450B"/>
    <w:rsid w:val="00364E41"/>
    <w:rsid w:val="00364E47"/>
    <w:rsid w:val="00365FA6"/>
    <w:rsid w:val="0036669F"/>
    <w:rsid w:val="0036693E"/>
    <w:rsid w:val="0036735A"/>
    <w:rsid w:val="0037083E"/>
    <w:rsid w:val="003708E7"/>
    <w:rsid w:val="00370D82"/>
    <w:rsid w:val="00371133"/>
    <w:rsid w:val="003715E1"/>
    <w:rsid w:val="003727DC"/>
    <w:rsid w:val="00373D0B"/>
    <w:rsid w:val="00373E50"/>
    <w:rsid w:val="00373F60"/>
    <w:rsid w:val="0037474C"/>
    <w:rsid w:val="00374BF9"/>
    <w:rsid w:val="0037507C"/>
    <w:rsid w:val="00376103"/>
    <w:rsid w:val="003762F2"/>
    <w:rsid w:val="00376C5E"/>
    <w:rsid w:val="00377BB4"/>
    <w:rsid w:val="003800CF"/>
    <w:rsid w:val="00380746"/>
    <w:rsid w:val="00380838"/>
    <w:rsid w:val="00381180"/>
    <w:rsid w:val="00381955"/>
    <w:rsid w:val="003819B8"/>
    <w:rsid w:val="00381F5C"/>
    <w:rsid w:val="00382C8E"/>
    <w:rsid w:val="00384F5F"/>
    <w:rsid w:val="00384FBD"/>
    <w:rsid w:val="00385019"/>
    <w:rsid w:val="00385082"/>
    <w:rsid w:val="003851B1"/>
    <w:rsid w:val="00385DE2"/>
    <w:rsid w:val="00385E34"/>
    <w:rsid w:val="0038726D"/>
    <w:rsid w:val="00387605"/>
    <w:rsid w:val="00387E8C"/>
    <w:rsid w:val="0039015B"/>
    <w:rsid w:val="003901C5"/>
    <w:rsid w:val="00390C12"/>
    <w:rsid w:val="00390D74"/>
    <w:rsid w:val="003917CB"/>
    <w:rsid w:val="00391D6B"/>
    <w:rsid w:val="00391D82"/>
    <w:rsid w:val="00391EA6"/>
    <w:rsid w:val="00391F93"/>
    <w:rsid w:val="00392D66"/>
    <w:rsid w:val="00394A22"/>
    <w:rsid w:val="00395AF7"/>
    <w:rsid w:val="00395FFD"/>
    <w:rsid w:val="003967BD"/>
    <w:rsid w:val="00397CB9"/>
    <w:rsid w:val="003A09E6"/>
    <w:rsid w:val="003A14F3"/>
    <w:rsid w:val="003A1FEA"/>
    <w:rsid w:val="003A4151"/>
    <w:rsid w:val="003A4554"/>
    <w:rsid w:val="003A5CE7"/>
    <w:rsid w:val="003A64A1"/>
    <w:rsid w:val="003A651A"/>
    <w:rsid w:val="003A68E5"/>
    <w:rsid w:val="003A6BF1"/>
    <w:rsid w:val="003A6C04"/>
    <w:rsid w:val="003A7DD5"/>
    <w:rsid w:val="003A7FCE"/>
    <w:rsid w:val="003B0457"/>
    <w:rsid w:val="003B0677"/>
    <w:rsid w:val="003B0DC8"/>
    <w:rsid w:val="003B1DE2"/>
    <w:rsid w:val="003B205E"/>
    <w:rsid w:val="003B328A"/>
    <w:rsid w:val="003B3614"/>
    <w:rsid w:val="003B3BBE"/>
    <w:rsid w:val="003B452B"/>
    <w:rsid w:val="003B4C53"/>
    <w:rsid w:val="003B537A"/>
    <w:rsid w:val="003B615E"/>
    <w:rsid w:val="003B6531"/>
    <w:rsid w:val="003B6549"/>
    <w:rsid w:val="003B674D"/>
    <w:rsid w:val="003B6BC3"/>
    <w:rsid w:val="003B6CC6"/>
    <w:rsid w:val="003B7D1A"/>
    <w:rsid w:val="003C01E3"/>
    <w:rsid w:val="003C0F31"/>
    <w:rsid w:val="003C2406"/>
    <w:rsid w:val="003C282D"/>
    <w:rsid w:val="003C29DC"/>
    <w:rsid w:val="003C2E4A"/>
    <w:rsid w:val="003C30B4"/>
    <w:rsid w:val="003C4A0D"/>
    <w:rsid w:val="003C4CA0"/>
    <w:rsid w:val="003C6046"/>
    <w:rsid w:val="003C6A48"/>
    <w:rsid w:val="003C6F3C"/>
    <w:rsid w:val="003D086D"/>
    <w:rsid w:val="003D0ED6"/>
    <w:rsid w:val="003D1477"/>
    <w:rsid w:val="003D15B7"/>
    <w:rsid w:val="003D17F7"/>
    <w:rsid w:val="003D1CB2"/>
    <w:rsid w:val="003D1D59"/>
    <w:rsid w:val="003D2B9E"/>
    <w:rsid w:val="003D31F3"/>
    <w:rsid w:val="003D3769"/>
    <w:rsid w:val="003D421F"/>
    <w:rsid w:val="003D4CD8"/>
    <w:rsid w:val="003D5265"/>
    <w:rsid w:val="003D55FB"/>
    <w:rsid w:val="003D5B29"/>
    <w:rsid w:val="003D61E8"/>
    <w:rsid w:val="003D63F8"/>
    <w:rsid w:val="003D6976"/>
    <w:rsid w:val="003D723D"/>
    <w:rsid w:val="003D7DDE"/>
    <w:rsid w:val="003D7E4E"/>
    <w:rsid w:val="003D7F65"/>
    <w:rsid w:val="003E05B7"/>
    <w:rsid w:val="003E0704"/>
    <w:rsid w:val="003E1885"/>
    <w:rsid w:val="003E1D77"/>
    <w:rsid w:val="003E2561"/>
    <w:rsid w:val="003E5CD2"/>
    <w:rsid w:val="003E66A9"/>
    <w:rsid w:val="003E67CB"/>
    <w:rsid w:val="003E6A95"/>
    <w:rsid w:val="003E6B4C"/>
    <w:rsid w:val="003E7A80"/>
    <w:rsid w:val="003F0A43"/>
    <w:rsid w:val="003F1522"/>
    <w:rsid w:val="003F1946"/>
    <w:rsid w:val="003F1E21"/>
    <w:rsid w:val="003F25C8"/>
    <w:rsid w:val="003F2BE9"/>
    <w:rsid w:val="003F34FC"/>
    <w:rsid w:val="003F526B"/>
    <w:rsid w:val="003F5732"/>
    <w:rsid w:val="003F5915"/>
    <w:rsid w:val="003F5D14"/>
    <w:rsid w:val="003F641C"/>
    <w:rsid w:val="004000AA"/>
    <w:rsid w:val="0040095B"/>
    <w:rsid w:val="00401139"/>
    <w:rsid w:val="0040188C"/>
    <w:rsid w:val="00402AFF"/>
    <w:rsid w:val="00403C42"/>
    <w:rsid w:val="00404336"/>
    <w:rsid w:val="004043E1"/>
    <w:rsid w:val="00404BF1"/>
    <w:rsid w:val="0040526E"/>
    <w:rsid w:val="00406719"/>
    <w:rsid w:val="00406F6A"/>
    <w:rsid w:val="0040745C"/>
    <w:rsid w:val="0040747C"/>
    <w:rsid w:val="00410168"/>
    <w:rsid w:val="0041426D"/>
    <w:rsid w:val="004147AE"/>
    <w:rsid w:val="00414A02"/>
    <w:rsid w:val="004153D5"/>
    <w:rsid w:val="00416725"/>
    <w:rsid w:val="004168AE"/>
    <w:rsid w:val="00417A2C"/>
    <w:rsid w:val="004201C6"/>
    <w:rsid w:val="004206C8"/>
    <w:rsid w:val="00420DBF"/>
    <w:rsid w:val="00420F5C"/>
    <w:rsid w:val="00421C55"/>
    <w:rsid w:val="00421CAB"/>
    <w:rsid w:val="004221E0"/>
    <w:rsid w:val="00422307"/>
    <w:rsid w:val="0042276E"/>
    <w:rsid w:val="004233A6"/>
    <w:rsid w:val="0042387C"/>
    <w:rsid w:val="0042693B"/>
    <w:rsid w:val="00427EAB"/>
    <w:rsid w:val="00431C3D"/>
    <w:rsid w:val="004327FC"/>
    <w:rsid w:val="00433055"/>
    <w:rsid w:val="004343C6"/>
    <w:rsid w:val="00434596"/>
    <w:rsid w:val="004347F7"/>
    <w:rsid w:val="00435814"/>
    <w:rsid w:val="00435E45"/>
    <w:rsid w:val="004366AC"/>
    <w:rsid w:val="00437594"/>
    <w:rsid w:val="004376E7"/>
    <w:rsid w:val="00437A9F"/>
    <w:rsid w:val="00437BFC"/>
    <w:rsid w:val="00440212"/>
    <w:rsid w:val="00441524"/>
    <w:rsid w:val="00441A2E"/>
    <w:rsid w:val="00442CD6"/>
    <w:rsid w:val="0044363C"/>
    <w:rsid w:val="00443650"/>
    <w:rsid w:val="004456B8"/>
    <w:rsid w:val="00445864"/>
    <w:rsid w:val="004463AA"/>
    <w:rsid w:val="004466E6"/>
    <w:rsid w:val="0044759A"/>
    <w:rsid w:val="00451103"/>
    <w:rsid w:val="0045144E"/>
    <w:rsid w:val="00451632"/>
    <w:rsid w:val="00451D66"/>
    <w:rsid w:val="004524BD"/>
    <w:rsid w:val="00452964"/>
    <w:rsid w:val="0045394F"/>
    <w:rsid w:val="0045408F"/>
    <w:rsid w:val="004545E0"/>
    <w:rsid w:val="0045549B"/>
    <w:rsid w:val="00456FB3"/>
    <w:rsid w:val="004572F4"/>
    <w:rsid w:val="00457733"/>
    <w:rsid w:val="00460EE5"/>
    <w:rsid w:val="0046118D"/>
    <w:rsid w:val="00461199"/>
    <w:rsid w:val="0046179C"/>
    <w:rsid w:val="00461C0E"/>
    <w:rsid w:val="004624F6"/>
    <w:rsid w:val="00463D0F"/>
    <w:rsid w:val="00463D78"/>
    <w:rsid w:val="00464105"/>
    <w:rsid w:val="004661C1"/>
    <w:rsid w:val="0046630D"/>
    <w:rsid w:val="00467A3A"/>
    <w:rsid w:val="0047006A"/>
    <w:rsid w:val="004711E8"/>
    <w:rsid w:val="004713CF"/>
    <w:rsid w:val="00472D3E"/>
    <w:rsid w:val="00472EB3"/>
    <w:rsid w:val="0047541A"/>
    <w:rsid w:val="00475943"/>
    <w:rsid w:val="00476889"/>
    <w:rsid w:val="004768F7"/>
    <w:rsid w:val="00476A1A"/>
    <w:rsid w:val="00476E91"/>
    <w:rsid w:val="004801BA"/>
    <w:rsid w:val="004815D2"/>
    <w:rsid w:val="00482242"/>
    <w:rsid w:val="0048246D"/>
    <w:rsid w:val="00484434"/>
    <w:rsid w:val="004845CD"/>
    <w:rsid w:val="004848A3"/>
    <w:rsid w:val="00484947"/>
    <w:rsid w:val="00484BEC"/>
    <w:rsid w:val="004850BF"/>
    <w:rsid w:val="0048663E"/>
    <w:rsid w:val="004866CD"/>
    <w:rsid w:val="00490CEC"/>
    <w:rsid w:val="0049102D"/>
    <w:rsid w:val="00491DA7"/>
    <w:rsid w:val="00491EE4"/>
    <w:rsid w:val="00493639"/>
    <w:rsid w:val="00494000"/>
    <w:rsid w:val="00494B61"/>
    <w:rsid w:val="00495310"/>
    <w:rsid w:val="004958CC"/>
    <w:rsid w:val="00495C44"/>
    <w:rsid w:val="004960BE"/>
    <w:rsid w:val="0049734C"/>
    <w:rsid w:val="004A01EC"/>
    <w:rsid w:val="004A06D3"/>
    <w:rsid w:val="004A07E9"/>
    <w:rsid w:val="004A0AAA"/>
    <w:rsid w:val="004A16BF"/>
    <w:rsid w:val="004A1B5B"/>
    <w:rsid w:val="004A22B6"/>
    <w:rsid w:val="004A2588"/>
    <w:rsid w:val="004A37E6"/>
    <w:rsid w:val="004A3976"/>
    <w:rsid w:val="004A42B6"/>
    <w:rsid w:val="004A4E6E"/>
    <w:rsid w:val="004A6975"/>
    <w:rsid w:val="004A6E42"/>
    <w:rsid w:val="004A7537"/>
    <w:rsid w:val="004A7AB2"/>
    <w:rsid w:val="004B0014"/>
    <w:rsid w:val="004B1CBF"/>
    <w:rsid w:val="004B1E3C"/>
    <w:rsid w:val="004B24C1"/>
    <w:rsid w:val="004B3479"/>
    <w:rsid w:val="004B43E8"/>
    <w:rsid w:val="004B464D"/>
    <w:rsid w:val="004B4A3E"/>
    <w:rsid w:val="004B4EAA"/>
    <w:rsid w:val="004B522A"/>
    <w:rsid w:val="004B669F"/>
    <w:rsid w:val="004B6761"/>
    <w:rsid w:val="004B6801"/>
    <w:rsid w:val="004B714C"/>
    <w:rsid w:val="004B7187"/>
    <w:rsid w:val="004C0112"/>
    <w:rsid w:val="004C04CE"/>
    <w:rsid w:val="004C0AC4"/>
    <w:rsid w:val="004C1912"/>
    <w:rsid w:val="004C4E65"/>
    <w:rsid w:val="004C5347"/>
    <w:rsid w:val="004C559C"/>
    <w:rsid w:val="004C5DC7"/>
    <w:rsid w:val="004C62E8"/>
    <w:rsid w:val="004C6BE2"/>
    <w:rsid w:val="004C6E15"/>
    <w:rsid w:val="004C7133"/>
    <w:rsid w:val="004C7B8A"/>
    <w:rsid w:val="004D030D"/>
    <w:rsid w:val="004D077D"/>
    <w:rsid w:val="004D0914"/>
    <w:rsid w:val="004D0F1B"/>
    <w:rsid w:val="004D11ED"/>
    <w:rsid w:val="004D1BDA"/>
    <w:rsid w:val="004D1F08"/>
    <w:rsid w:val="004D25C7"/>
    <w:rsid w:val="004D2A1D"/>
    <w:rsid w:val="004D43AB"/>
    <w:rsid w:val="004D4526"/>
    <w:rsid w:val="004D4B6E"/>
    <w:rsid w:val="004D4C98"/>
    <w:rsid w:val="004D4CA6"/>
    <w:rsid w:val="004D4E94"/>
    <w:rsid w:val="004D6DB0"/>
    <w:rsid w:val="004D7FB4"/>
    <w:rsid w:val="004E090B"/>
    <w:rsid w:val="004E0945"/>
    <w:rsid w:val="004E0D6C"/>
    <w:rsid w:val="004E16AF"/>
    <w:rsid w:val="004E354D"/>
    <w:rsid w:val="004E40E4"/>
    <w:rsid w:val="004E4374"/>
    <w:rsid w:val="004E4A95"/>
    <w:rsid w:val="004E55F8"/>
    <w:rsid w:val="004E63B4"/>
    <w:rsid w:val="004E67D7"/>
    <w:rsid w:val="004E787A"/>
    <w:rsid w:val="004F03F7"/>
    <w:rsid w:val="004F0930"/>
    <w:rsid w:val="004F1107"/>
    <w:rsid w:val="004F1280"/>
    <w:rsid w:val="004F13E0"/>
    <w:rsid w:val="004F241B"/>
    <w:rsid w:val="004F2708"/>
    <w:rsid w:val="004F2F89"/>
    <w:rsid w:val="004F363C"/>
    <w:rsid w:val="004F6D90"/>
    <w:rsid w:val="004F6EB5"/>
    <w:rsid w:val="004F76B4"/>
    <w:rsid w:val="005009F7"/>
    <w:rsid w:val="00501920"/>
    <w:rsid w:val="0050208F"/>
    <w:rsid w:val="00503004"/>
    <w:rsid w:val="0050339F"/>
    <w:rsid w:val="005039AE"/>
    <w:rsid w:val="00503B29"/>
    <w:rsid w:val="005046D3"/>
    <w:rsid w:val="005047ED"/>
    <w:rsid w:val="00504836"/>
    <w:rsid w:val="005049D8"/>
    <w:rsid w:val="00505CB3"/>
    <w:rsid w:val="005075DB"/>
    <w:rsid w:val="00507770"/>
    <w:rsid w:val="00507848"/>
    <w:rsid w:val="00507B4A"/>
    <w:rsid w:val="00511668"/>
    <w:rsid w:val="00511889"/>
    <w:rsid w:val="00511C7C"/>
    <w:rsid w:val="005125D4"/>
    <w:rsid w:val="00512AD6"/>
    <w:rsid w:val="00513A95"/>
    <w:rsid w:val="00514692"/>
    <w:rsid w:val="00515BE6"/>
    <w:rsid w:val="00516A8D"/>
    <w:rsid w:val="00516CBC"/>
    <w:rsid w:val="005176D5"/>
    <w:rsid w:val="005176F8"/>
    <w:rsid w:val="00520001"/>
    <w:rsid w:val="00521189"/>
    <w:rsid w:val="00521DA6"/>
    <w:rsid w:val="005223E5"/>
    <w:rsid w:val="00522DFD"/>
    <w:rsid w:val="0052327F"/>
    <w:rsid w:val="00523581"/>
    <w:rsid w:val="00523EB1"/>
    <w:rsid w:val="00524167"/>
    <w:rsid w:val="005246EC"/>
    <w:rsid w:val="005250AE"/>
    <w:rsid w:val="005262C5"/>
    <w:rsid w:val="00526B48"/>
    <w:rsid w:val="005271AB"/>
    <w:rsid w:val="00527B14"/>
    <w:rsid w:val="00527F30"/>
    <w:rsid w:val="00530CFB"/>
    <w:rsid w:val="005328E3"/>
    <w:rsid w:val="005340D9"/>
    <w:rsid w:val="0053575F"/>
    <w:rsid w:val="005371F6"/>
    <w:rsid w:val="00537D29"/>
    <w:rsid w:val="00537F67"/>
    <w:rsid w:val="00540B41"/>
    <w:rsid w:val="00540BBC"/>
    <w:rsid w:val="00540F8A"/>
    <w:rsid w:val="005414E8"/>
    <w:rsid w:val="0054192C"/>
    <w:rsid w:val="00541E73"/>
    <w:rsid w:val="00542277"/>
    <w:rsid w:val="00543286"/>
    <w:rsid w:val="00543EB0"/>
    <w:rsid w:val="00544590"/>
    <w:rsid w:val="00544C02"/>
    <w:rsid w:val="00545330"/>
    <w:rsid w:val="005459E4"/>
    <w:rsid w:val="00545ACE"/>
    <w:rsid w:val="00545B34"/>
    <w:rsid w:val="00546178"/>
    <w:rsid w:val="005465B4"/>
    <w:rsid w:val="00546ACD"/>
    <w:rsid w:val="00546BEC"/>
    <w:rsid w:val="00550238"/>
    <w:rsid w:val="00550E71"/>
    <w:rsid w:val="00552C82"/>
    <w:rsid w:val="005549BF"/>
    <w:rsid w:val="0055538A"/>
    <w:rsid w:val="00555555"/>
    <w:rsid w:val="005557C6"/>
    <w:rsid w:val="00555A50"/>
    <w:rsid w:val="005560A4"/>
    <w:rsid w:val="005569CC"/>
    <w:rsid w:val="00556F12"/>
    <w:rsid w:val="00557012"/>
    <w:rsid w:val="00557699"/>
    <w:rsid w:val="00560F0A"/>
    <w:rsid w:val="00561683"/>
    <w:rsid w:val="00561E49"/>
    <w:rsid w:val="005622E4"/>
    <w:rsid w:val="00563136"/>
    <w:rsid w:val="00563234"/>
    <w:rsid w:val="00564901"/>
    <w:rsid w:val="00564D3F"/>
    <w:rsid w:val="0056529B"/>
    <w:rsid w:val="0056548B"/>
    <w:rsid w:val="005670AD"/>
    <w:rsid w:val="005710CC"/>
    <w:rsid w:val="00571B58"/>
    <w:rsid w:val="00571F09"/>
    <w:rsid w:val="00572467"/>
    <w:rsid w:val="00572656"/>
    <w:rsid w:val="005726EF"/>
    <w:rsid w:val="0057290A"/>
    <w:rsid w:val="00572FC4"/>
    <w:rsid w:val="00573727"/>
    <w:rsid w:val="00575602"/>
    <w:rsid w:val="00575621"/>
    <w:rsid w:val="00575F6D"/>
    <w:rsid w:val="005768B7"/>
    <w:rsid w:val="00576D0D"/>
    <w:rsid w:val="005800B4"/>
    <w:rsid w:val="005801C4"/>
    <w:rsid w:val="005807E9"/>
    <w:rsid w:val="00581374"/>
    <w:rsid w:val="005816B4"/>
    <w:rsid w:val="0058297F"/>
    <w:rsid w:val="00582EE5"/>
    <w:rsid w:val="005832C0"/>
    <w:rsid w:val="005834C7"/>
    <w:rsid w:val="00584E79"/>
    <w:rsid w:val="00585B75"/>
    <w:rsid w:val="00585F91"/>
    <w:rsid w:val="0058659C"/>
    <w:rsid w:val="005879F5"/>
    <w:rsid w:val="00587DFE"/>
    <w:rsid w:val="005906F8"/>
    <w:rsid w:val="005909A0"/>
    <w:rsid w:val="005913EA"/>
    <w:rsid w:val="00591B74"/>
    <w:rsid w:val="00591F24"/>
    <w:rsid w:val="00593017"/>
    <w:rsid w:val="00593B5C"/>
    <w:rsid w:val="00594416"/>
    <w:rsid w:val="00594565"/>
    <w:rsid w:val="00594BEA"/>
    <w:rsid w:val="00594F29"/>
    <w:rsid w:val="005954F3"/>
    <w:rsid w:val="00596AE0"/>
    <w:rsid w:val="005A0312"/>
    <w:rsid w:val="005A0708"/>
    <w:rsid w:val="005A09B1"/>
    <w:rsid w:val="005A0F94"/>
    <w:rsid w:val="005A176B"/>
    <w:rsid w:val="005A1BE7"/>
    <w:rsid w:val="005A1D1A"/>
    <w:rsid w:val="005A6F9D"/>
    <w:rsid w:val="005A7174"/>
    <w:rsid w:val="005A7BCA"/>
    <w:rsid w:val="005B060E"/>
    <w:rsid w:val="005B0674"/>
    <w:rsid w:val="005B090F"/>
    <w:rsid w:val="005B0AAF"/>
    <w:rsid w:val="005B109F"/>
    <w:rsid w:val="005B1BF7"/>
    <w:rsid w:val="005B1FFD"/>
    <w:rsid w:val="005B229A"/>
    <w:rsid w:val="005B2B7B"/>
    <w:rsid w:val="005B3EFA"/>
    <w:rsid w:val="005B4280"/>
    <w:rsid w:val="005B578E"/>
    <w:rsid w:val="005B59F9"/>
    <w:rsid w:val="005B6034"/>
    <w:rsid w:val="005B7055"/>
    <w:rsid w:val="005B71F7"/>
    <w:rsid w:val="005B7769"/>
    <w:rsid w:val="005B7AD2"/>
    <w:rsid w:val="005C1D0D"/>
    <w:rsid w:val="005C1F9E"/>
    <w:rsid w:val="005C1FFC"/>
    <w:rsid w:val="005C236A"/>
    <w:rsid w:val="005C2476"/>
    <w:rsid w:val="005C3E1A"/>
    <w:rsid w:val="005C4255"/>
    <w:rsid w:val="005C4528"/>
    <w:rsid w:val="005C4C47"/>
    <w:rsid w:val="005C4C6E"/>
    <w:rsid w:val="005C4E81"/>
    <w:rsid w:val="005C51FA"/>
    <w:rsid w:val="005C60A6"/>
    <w:rsid w:val="005C633C"/>
    <w:rsid w:val="005C6567"/>
    <w:rsid w:val="005C7061"/>
    <w:rsid w:val="005C7328"/>
    <w:rsid w:val="005C7645"/>
    <w:rsid w:val="005C7A54"/>
    <w:rsid w:val="005C7AF4"/>
    <w:rsid w:val="005D0192"/>
    <w:rsid w:val="005D0A17"/>
    <w:rsid w:val="005D0F12"/>
    <w:rsid w:val="005D1AA6"/>
    <w:rsid w:val="005D1D76"/>
    <w:rsid w:val="005D23D1"/>
    <w:rsid w:val="005D2DCA"/>
    <w:rsid w:val="005D3068"/>
    <w:rsid w:val="005D3211"/>
    <w:rsid w:val="005D324E"/>
    <w:rsid w:val="005D3BC1"/>
    <w:rsid w:val="005D3F2F"/>
    <w:rsid w:val="005D41C9"/>
    <w:rsid w:val="005D53DE"/>
    <w:rsid w:val="005D56E4"/>
    <w:rsid w:val="005D587A"/>
    <w:rsid w:val="005D744E"/>
    <w:rsid w:val="005E14B3"/>
    <w:rsid w:val="005E17AE"/>
    <w:rsid w:val="005E18F6"/>
    <w:rsid w:val="005E2A75"/>
    <w:rsid w:val="005E36AD"/>
    <w:rsid w:val="005E382B"/>
    <w:rsid w:val="005E3A74"/>
    <w:rsid w:val="005E4328"/>
    <w:rsid w:val="005E447E"/>
    <w:rsid w:val="005E5CEF"/>
    <w:rsid w:val="005E674B"/>
    <w:rsid w:val="005E68B4"/>
    <w:rsid w:val="005E6D4D"/>
    <w:rsid w:val="005E7F22"/>
    <w:rsid w:val="005F005F"/>
    <w:rsid w:val="005F0628"/>
    <w:rsid w:val="005F0657"/>
    <w:rsid w:val="005F20D9"/>
    <w:rsid w:val="005F29DF"/>
    <w:rsid w:val="005F2DE3"/>
    <w:rsid w:val="005F3183"/>
    <w:rsid w:val="005F4C0D"/>
    <w:rsid w:val="005F5829"/>
    <w:rsid w:val="005F5BB1"/>
    <w:rsid w:val="005F61E2"/>
    <w:rsid w:val="005F6233"/>
    <w:rsid w:val="005F637A"/>
    <w:rsid w:val="005F79D5"/>
    <w:rsid w:val="006007E9"/>
    <w:rsid w:val="00601DC9"/>
    <w:rsid w:val="00602729"/>
    <w:rsid w:val="00602DAD"/>
    <w:rsid w:val="0060479A"/>
    <w:rsid w:val="00605B6C"/>
    <w:rsid w:val="00605CA5"/>
    <w:rsid w:val="00605E1B"/>
    <w:rsid w:val="00606915"/>
    <w:rsid w:val="00606DA0"/>
    <w:rsid w:val="0061016A"/>
    <w:rsid w:val="0061342A"/>
    <w:rsid w:val="00615C46"/>
    <w:rsid w:val="0062001A"/>
    <w:rsid w:val="006202F6"/>
    <w:rsid w:val="006217AD"/>
    <w:rsid w:val="00622060"/>
    <w:rsid w:val="00623503"/>
    <w:rsid w:val="00623504"/>
    <w:rsid w:val="00623630"/>
    <w:rsid w:val="00624B5A"/>
    <w:rsid w:val="00625119"/>
    <w:rsid w:val="00625250"/>
    <w:rsid w:val="00625631"/>
    <w:rsid w:val="00625CCB"/>
    <w:rsid w:val="00625FA9"/>
    <w:rsid w:val="00627520"/>
    <w:rsid w:val="0062795D"/>
    <w:rsid w:val="006305EC"/>
    <w:rsid w:val="00630DFF"/>
    <w:rsid w:val="00631491"/>
    <w:rsid w:val="006333DD"/>
    <w:rsid w:val="006338D7"/>
    <w:rsid w:val="00633B1C"/>
    <w:rsid w:val="00634228"/>
    <w:rsid w:val="00635EBF"/>
    <w:rsid w:val="006369F3"/>
    <w:rsid w:val="00637017"/>
    <w:rsid w:val="0063732B"/>
    <w:rsid w:val="00637630"/>
    <w:rsid w:val="00637D47"/>
    <w:rsid w:val="00637E73"/>
    <w:rsid w:val="006406A9"/>
    <w:rsid w:val="006406F2"/>
    <w:rsid w:val="00640D68"/>
    <w:rsid w:val="0064195F"/>
    <w:rsid w:val="00642B3C"/>
    <w:rsid w:val="00642C56"/>
    <w:rsid w:val="00643368"/>
    <w:rsid w:val="00643403"/>
    <w:rsid w:val="00643D6D"/>
    <w:rsid w:val="006441A2"/>
    <w:rsid w:val="0064580B"/>
    <w:rsid w:val="00645B1F"/>
    <w:rsid w:val="00645DD9"/>
    <w:rsid w:val="0064623E"/>
    <w:rsid w:val="00646C15"/>
    <w:rsid w:val="00647560"/>
    <w:rsid w:val="00647B78"/>
    <w:rsid w:val="006501A5"/>
    <w:rsid w:val="0065047A"/>
    <w:rsid w:val="00650663"/>
    <w:rsid w:val="0065230C"/>
    <w:rsid w:val="00653502"/>
    <w:rsid w:val="0065382B"/>
    <w:rsid w:val="006540CE"/>
    <w:rsid w:val="006542EE"/>
    <w:rsid w:val="006543CD"/>
    <w:rsid w:val="006543DD"/>
    <w:rsid w:val="006545F1"/>
    <w:rsid w:val="006558F6"/>
    <w:rsid w:val="00655915"/>
    <w:rsid w:val="00655C93"/>
    <w:rsid w:val="00655DAF"/>
    <w:rsid w:val="006562BA"/>
    <w:rsid w:val="00656446"/>
    <w:rsid w:val="00656BE1"/>
    <w:rsid w:val="0065766E"/>
    <w:rsid w:val="006603C6"/>
    <w:rsid w:val="006607A8"/>
    <w:rsid w:val="0066185F"/>
    <w:rsid w:val="00661C82"/>
    <w:rsid w:val="00661E13"/>
    <w:rsid w:val="00662086"/>
    <w:rsid w:val="00662421"/>
    <w:rsid w:val="00663202"/>
    <w:rsid w:val="0066358B"/>
    <w:rsid w:val="006635AE"/>
    <w:rsid w:val="006640D2"/>
    <w:rsid w:val="00664651"/>
    <w:rsid w:val="00664AF7"/>
    <w:rsid w:val="00664BC3"/>
    <w:rsid w:val="006652BF"/>
    <w:rsid w:val="00665CBA"/>
    <w:rsid w:val="006667DF"/>
    <w:rsid w:val="00667711"/>
    <w:rsid w:val="0067009E"/>
    <w:rsid w:val="00670596"/>
    <w:rsid w:val="00671F7E"/>
    <w:rsid w:val="006733DB"/>
    <w:rsid w:val="00673DA9"/>
    <w:rsid w:val="00673E5C"/>
    <w:rsid w:val="00674486"/>
    <w:rsid w:val="006751D0"/>
    <w:rsid w:val="00676333"/>
    <w:rsid w:val="0067780B"/>
    <w:rsid w:val="00677C58"/>
    <w:rsid w:val="00677F7B"/>
    <w:rsid w:val="0068078B"/>
    <w:rsid w:val="00683E8A"/>
    <w:rsid w:val="006866B8"/>
    <w:rsid w:val="00686A70"/>
    <w:rsid w:val="006901E3"/>
    <w:rsid w:val="006910ED"/>
    <w:rsid w:val="006915F8"/>
    <w:rsid w:val="00691C2B"/>
    <w:rsid w:val="00692CBA"/>
    <w:rsid w:val="006934CD"/>
    <w:rsid w:val="00693C81"/>
    <w:rsid w:val="006946D4"/>
    <w:rsid w:val="00694D86"/>
    <w:rsid w:val="00694FE5"/>
    <w:rsid w:val="006952A7"/>
    <w:rsid w:val="006962C3"/>
    <w:rsid w:val="0069776B"/>
    <w:rsid w:val="00697CCA"/>
    <w:rsid w:val="006A02F5"/>
    <w:rsid w:val="006A097E"/>
    <w:rsid w:val="006A1FFB"/>
    <w:rsid w:val="006A2179"/>
    <w:rsid w:val="006A33F6"/>
    <w:rsid w:val="006A39DE"/>
    <w:rsid w:val="006A3D86"/>
    <w:rsid w:val="006A448D"/>
    <w:rsid w:val="006A4B61"/>
    <w:rsid w:val="006A4F33"/>
    <w:rsid w:val="006A511D"/>
    <w:rsid w:val="006A5552"/>
    <w:rsid w:val="006A593B"/>
    <w:rsid w:val="006A663B"/>
    <w:rsid w:val="006A7550"/>
    <w:rsid w:val="006A7C21"/>
    <w:rsid w:val="006A7EA3"/>
    <w:rsid w:val="006B0302"/>
    <w:rsid w:val="006B088D"/>
    <w:rsid w:val="006B1D13"/>
    <w:rsid w:val="006B336A"/>
    <w:rsid w:val="006B3D23"/>
    <w:rsid w:val="006B419E"/>
    <w:rsid w:val="006B4651"/>
    <w:rsid w:val="006B48D2"/>
    <w:rsid w:val="006B5486"/>
    <w:rsid w:val="006B58E8"/>
    <w:rsid w:val="006B5E6B"/>
    <w:rsid w:val="006B6987"/>
    <w:rsid w:val="006B6C82"/>
    <w:rsid w:val="006B6D9F"/>
    <w:rsid w:val="006B75F4"/>
    <w:rsid w:val="006B773D"/>
    <w:rsid w:val="006B7EC5"/>
    <w:rsid w:val="006C0234"/>
    <w:rsid w:val="006C044B"/>
    <w:rsid w:val="006C3439"/>
    <w:rsid w:val="006C3633"/>
    <w:rsid w:val="006C3A3A"/>
    <w:rsid w:val="006C438A"/>
    <w:rsid w:val="006C4BB1"/>
    <w:rsid w:val="006C56D6"/>
    <w:rsid w:val="006C58B6"/>
    <w:rsid w:val="006C5A29"/>
    <w:rsid w:val="006C5B84"/>
    <w:rsid w:val="006C5DAD"/>
    <w:rsid w:val="006C5DFB"/>
    <w:rsid w:val="006C6A4B"/>
    <w:rsid w:val="006C6AA9"/>
    <w:rsid w:val="006C6C33"/>
    <w:rsid w:val="006D0083"/>
    <w:rsid w:val="006D030C"/>
    <w:rsid w:val="006D037E"/>
    <w:rsid w:val="006D06D6"/>
    <w:rsid w:val="006D0E9D"/>
    <w:rsid w:val="006D0FD7"/>
    <w:rsid w:val="006D25F9"/>
    <w:rsid w:val="006D3672"/>
    <w:rsid w:val="006D3ED4"/>
    <w:rsid w:val="006D45C8"/>
    <w:rsid w:val="006D535E"/>
    <w:rsid w:val="006D53EB"/>
    <w:rsid w:val="006D59DF"/>
    <w:rsid w:val="006D626B"/>
    <w:rsid w:val="006D684C"/>
    <w:rsid w:val="006D6B36"/>
    <w:rsid w:val="006D7327"/>
    <w:rsid w:val="006D739F"/>
    <w:rsid w:val="006E0606"/>
    <w:rsid w:val="006E2017"/>
    <w:rsid w:val="006E20AC"/>
    <w:rsid w:val="006E22C8"/>
    <w:rsid w:val="006E247E"/>
    <w:rsid w:val="006E2864"/>
    <w:rsid w:val="006E2A71"/>
    <w:rsid w:val="006E2D5F"/>
    <w:rsid w:val="006E4A06"/>
    <w:rsid w:val="006E4B85"/>
    <w:rsid w:val="006E561D"/>
    <w:rsid w:val="006E574F"/>
    <w:rsid w:val="006E6AB4"/>
    <w:rsid w:val="006E7CB9"/>
    <w:rsid w:val="006F0059"/>
    <w:rsid w:val="006F00D4"/>
    <w:rsid w:val="006F02D4"/>
    <w:rsid w:val="006F0A96"/>
    <w:rsid w:val="006F13EC"/>
    <w:rsid w:val="006F24E2"/>
    <w:rsid w:val="006F25E0"/>
    <w:rsid w:val="006F2CE3"/>
    <w:rsid w:val="006F2D6E"/>
    <w:rsid w:val="006F3738"/>
    <w:rsid w:val="006F46A5"/>
    <w:rsid w:val="006F4C4C"/>
    <w:rsid w:val="006F4C57"/>
    <w:rsid w:val="006F5654"/>
    <w:rsid w:val="006F593B"/>
    <w:rsid w:val="006F6FDE"/>
    <w:rsid w:val="00700119"/>
    <w:rsid w:val="007002BF"/>
    <w:rsid w:val="00701C90"/>
    <w:rsid w:val="007026A2"/>
    <w:rsid w:val="00702E96"/>
    <w:rsid w:val="00704E8C"/>
    <w:rsid w:val="00704EA1"/>
    <w:rsid w:val="00707033"/>
    <w:rsid w:val="0070738A"/>
    <w:rsid w:val="00710288"/>
    <w:rsid w:val="00711078"/>
    <w:rsid w:val="00711251"/>
    <w:rsid w:val="00711567"/>
    <w:rsid w:val="00712455"/>
    <w:rsid w:val="00712674"/>
    <w:rsid w:val="007130A3"/>
    <w:rsid w:val="00713130"/>
    <w:rsid w:val="007132BF"/>
    <w:rsid w:val="00714853"/>
    <w:rsid w:val="007149F5"/>
    <w:rsid w:val="00714D31"/>
    <w:rsid w:val="00715340"/>
    <w:rsid w:val="00717CA5"/>
    <w:rsid w:val="00717D92"/>
    <w:rsid w:val="00720524"/>
    <w:rsid w:val="007205CC"/>
    <w:rsid w:val="00720802"/>
    <w:rsid w:val="00722A20"/>
    <w:rsid w:val="00722ACA"/>
    <w:rsid w:val="007230C3"/>
    <w:rsid w:val="00723594"/>
    <w:rsid w:val="0072366B"/>
    <w:rsid w:val="0072469A"/>
    <w:rsid w:val="00724C9D"/>
    <w:rsid w:val="0072519B"/>
    <w:rsid w:val="007255A2"/>
    <w:rsid w:val="0072684A"/>
    <w:rsid w:val="00726B04"/>
    <w:rsid w:val="00727036"/>
    <w:rsid w:val="00727B24"/>
    <w:rsid w:val="00730532"/>
    <w:rsid w:val="0073060B"/>
    <w:rsid w:val="00730BD8"/>
    <w:rsid w:val="00730D2F"/>
    <w:rsid w:val="00730D49"/>
    <w:rsid w:val="007320A3"/>
    <w:rsid w:val="007324CE"/>
    <w:rsid w:val="00732B25"/>
    <w:rsid w:val="00734CFA"/>
    <w:rsid w:val="007355A0"/>
    <w:rsid w:val="007361E2"/>
    <w:rsid w:val="0073652B"/>
    <w:rsid w:val="00736812"/>
    <w:rsid w:val="00736918"/>
    <w:rsid w:val="0074085A"/>
    <w:rsid w:val="00741B22"/>
    <w:rsid w:val="00742F2A"/>
    <w:rsid w:val="00742FBC"/>
    <w:rsid w:val="0074367D"/>
    <w:rsid w:val="00744058"/>
    <w:rsid w:val="00744209"/>
    <w:rsid w:val="007456DC"/>
    <w:rsid w:val="00746FAF"/>
    <w:rsid w:val="0074715A"/>
    <w:rsid w:val="007475B7"/>
    <w:rsid w:val="00750B4E"/>
    <w:rsid w:val="00750C51"/>
    <w:rsid w:val="0075138C"/>
    <w:rsid w:val="0075173F"/>
    <w:rsid w:val="00751A43"/>
    <w:rsid w:val="0075205D"/>
    <w:rsid w:val="007553F8"/>
    <w:rsid w:val="0075546B"/>
    <w:rsid w:val="00756910"/>
    <w:rsid w:val="0075789F"/>
    <w:rsid w:val="007611DE"/>
    <w:rsid w:val="007619D2"/>
    <w:rsid w:val="007622D1"/>
    <w:rsid w:val="007624C2"/>
    <w:rsid w:val="00762883"/>
    <w:rsid w:val="007640F3"/>
    <w:rsid w:val="0076602E"/>
    <w:rsid w:val="0076684B"/>
    <w:rsid w:val="00766FEC"/>
    <w:rsid w:val="00767D45"/>
    <w:rsid w:val="00767F5B"/>
    <w:rsid w:val="007710A6"/>
    <w:rsid w:val="00771989"/>
    <w:rsid w:val="00771BE0"/>
    <w:rsid w:val="00771D48"/>
    <w:rsid w:val="007725F3"/>
    <w:rsid w:val="0077348C"/>
    <w:rsid w:val="0077426E"/>
    <w:rsid w:val="007751F6"/>
    <w:rsid w:val="00775A37"/>
    <w:rsid w:val="00775CB6"/>
    <w:rsid w:val="00777778"/>
    <w:rsid w:val="00777AA5"/>
    <w:rsid w:val="00777C18"/>
    <w:rsid w:val="007809F9"/>
    <w:rsid w:val="00780D64"/>
    <w:rsid w:val="00781D1F"/>
    <w:rsid w:val="007822A0"/>
    <w:rsid w:val="00782733"/>
    <w:rsid w:val="00783238"/>
    <w:rsid w:val="00783724"/>
    <w:rsid w:val="007837DB"/>
    <w:rsid w:val="00783ED8"/>
    <w:rsid w:val="0078490C"/>
    <w:rsid w:val="00784D41"/>
    <w:rsid w:val="00784DD6"/>
    <w:rsid w:val="00784FE9"/>
    <w:rsid w:val="00785AC1"/>
    <w:rsid w:val="00785D20"/>
    <w:rsid w:val="00785D7D"/>
    <w:rsid w:val="00786995"/>
    <w:rsid w:val="00786F30"/>
    <w:rsid w:val="00787E1C"/>
    <w:rsid w:val="00790216"/>
    <w:rsid w:val="00790D42"/>
    <w:rsid w:val="007916F3"/>
    <w:rsid w:val="00791C80"/>
    <w:rsid w:val="00793E9C"/>
    <w:rsid w:val="00794147"/>
    <w:rsid w:val="00794348"/>
    <w:rsid w:val="00794429"/>
    <w:rsid w:val="00794451"/>
    <w:rsid w:val="00794990"/>
    <w:rsid w:val="0079532F"/>
    <w:rsid w:val="0079701A"/>
    <w:rsid w:val="00797C47"/>
    <w:rsid w:val="007A01BF"/>
    <w:rsid w:val="007A1A7B"/>
    <w:rsid w:val="007A1BC8"/>
    <w:rsid w:val="007A212F"/>
    <w:rsid w:val="007A272B"/>
    <w:rsid w:val="007A29FB"/>
    <w:rsid w:val="007A3FE4"/>
    <w:rsid w:val="007A4195"/>
    <w:rsid w:val="007A4480"/>
    <w:rsid w:val="007A49F3"/>
    <w:rsid w:val="007A5D0F"/>
    <w:rsid w:val="007A5D12"/>
    <w:rsid w:val="007A5DDD"/>
    <w:rsid w:val="007A7617"/>
    <w:rsid w:val="007A763D"/>
    <w:rsid w:val="007A7A00"/>
    <w:rsid w:val="007B2C3C"/>
    <w:rsid w:val="007B3E6C"/>
    <w:rsid w:val="007B4C70"/>
    <w:rsid w:val="007B4DC2"/>
    <w:rsid w:val="007B5D45"/>
    <w:rsid w:val="007B5F39"/>
    <w:rsid w:val="007B60E7"/>
    <w:rsid w:val="007B6C2F"/>
    <w:rsid w:val="007B7273"/>
    <w:rsid w:val="007B7EC4"/>
    <w:rsid w:val="007C093D"/>
    <w:rsid w:val="007C13C6"/>
    <w:rsid w:val="007C142A"/>
    <w:rsid w:val="007C1556"/>
    <w:rsid w:val="007C1C9D"/>
    <w:rsid w:val="007C2A04"/>
    <w:rsid w:val="007C3F1F"/>
    <w:rsid w:val="007C43AF"/>
    <w:rsid w:val="007C69BA"/>
    <w:rsid w:val="007C7217"/>
    <w:rsid w:val="007C7B82"/>
    <w:rsid w:val="007C7BF5"/>
    <w:rsid w:val="007D175C"/>
    <w:rsid w:val="007D247F"/>
    <w:rsid w:val="007D32CE"/>
    <w:rsid w:val="007D32EF"/>
    <w:rsid w:val="007D34E9"/>
    <w:rsid w:val="007D35C6"/>
    <w:rsid w:val="007D3D62"/>
    <w:rsid w:val="007D4722"/>
    <w:rsid w:val="007D48D9"/>
    <w:rsid w:val="007D4D1E"/>
    <w:rsid w:val="007D4DB1"/>
    <w:rsid w:val="007D5875"/>
    <w:rsid w:val="007D590E"/>
    <w:rsid w:val="007D5A76"/>
    <w:rsid w:val="007D70C9"/>
    <w:rsid w:val="007E0CD8"/>
    <w:rsid w:val="007E0CE2"/>
    <w:rsid w:val="007E0F05"/>
    <w:rsid w:val="007E2DC3"/>
    <w:rsid w:val="007E3446"/>
    <w:rsid w:val="007E35EF"/>
    <w:rsid w:val="007E426B"/>
    <w:rsid w:val="007E450C"/>
    <w:rsid w:val="007E4BD8"/>
    <w:rsid w:val="007E656E"/>
    <w:rsid w:val="007E7037"/>
    <w:rsid w:val="007E762D"/>
    <w:rsid w:val="007F1572"/>
    <w:rsid w:val="007F194F"/>
    <w:rsid w:val="007F2934"/>
    <w:rsid w:val="007F35C6"/>
    <w:rsid w:val="007F40C4"/>
    <w:rsid w:val="007F4FAB"/>
    <w:rsid w:val="007F57D9"/>
    <w:rsid w:val="007F59EA"/>
    <w:rsid w:val="007F6405"/>
    <w:rsid w:val="007F6A5B"/>
    <w:rsid w:val="007F7468"/>
    <w:rsid w:val="007F7AEB"/>
    <w:rsid w:val="00800234"/>
    <w:rsid w:val="00800A99"/>
    <w:rsid w:val="008011D2"/>
    <w:rsid w:val="008011D7"/>
    <w:rsid w:val="00801340"/>
    <w:rsid w:val="00801760"/>
    <w:rsid w:val="00801BDB"/>
    <w:rsid w:val="0080221C"/>
    <w:rsid w:val="008028A2"/>
    <w:rsid w:val="00802CA7"/>
    <w:rsid w:val="00803E52"/>
    <w:rsid w:val="008047C4"/>
    <w:rsid w:val="00805B2C"/>
    <w:rsid w:val="008066DE"/>
    <w:rsid w:val="00806845"/>
    <w:rsid w:val="00806933"/>
    <w:rsid w:val="008071E1"/>
    <w:rsid w:val="008073B3"/>
    <w:rsid w:val="00807A1E"/>
    <w:rsid w:val="00807DBC"/>
    <w:rsid w:val="00807EF5"/>
    <w:rsid w:val="00810F89"/>
    <w:rsid w:val="00812FBC"/>
    <w:rsid w:val="00813D47"/>
    <w:rsid w:val="00813E94"/>
    <w:rsid w:val="00813EE6"/>
    <w:rsid w:val="008145B4"/>
    <w:rsid w:val="008150A1"/>
    <w:rsid w:val="008153F5"/>
    <w:rsid w:val="00816296"/>
    <w:rsid w:val="00816856"/>
    <w:rsid w:val="00816934"/>
    <w:rsid w:val="00816B54"/>
    <w:rsid w:val="008219D1"/>
    <w:rsid w:val="00822FAB"/>
    <w:rsid w:val="00824B68"/>
    <w:rsid w:val="00825374"/>
    <w:rsid w:val="00825772"/>
    <w:rsid w:val="00827348"/>
    <w:rsid w:val="0083105E"/>
    <w:rsid w:val="00833134"/>
    <w:rsid w:val="00833657"/>
    <w:rsid w:val="00833831"/>
    <w:rsid w:val="008343C5"/>
    <w:rsid w:val="00834B0C"/>
    <w:rsid w:val="00835929"/>
    <w:rsid w:val="00835D9A"/>
    <w:rsid w:val="00835E2B"/>
    <w:rsid w:val="00837426"/>
    <w:rsid w:val="0083748B"/>
    <w:rsid w:val="008410C8"/>
    <w:rsid w:val="008423F4"/>
    <w:rsid w:val="00844BC4"/>
    <w:rsid w:val="008457B4"/>
    <w:rsid w:val="008501FC"/>
    <w:rsid w:val="00850914"/>
    <w:rsid w:val="008509B0"/>
    <w:rsid w:val="00850C01"/>
    <w:rsid w:val="00851324"/>
    <w:rsid w:val="00851557"/>
    <w:rsid w:val="008522C0"/>
    <w:rsid w:val="00852700"/>
    <w:rsid w:val="0085283E"/>
    <w:rsid w:val="00852CE6"/>
    <w:rsid w:val="008543B7"/>
    <w:rsid w:val="008555F8"/>
    <w:rsid w:val="008562CB"/>
    <w:rsid w:val="008567FF"/>
    <w:rsid w:val="00856C6F"/>
    <w:rsid w:val="00857872"/>
    <w:rsid w:val="0086013C"/>
    <w:rsid w:val="008610A8"/>
    <w:rsid w:val="008611E0"/>
    <w:rsid w:val="008618AC"/>
    <w:rsid w:val="008618B8"/>
    <w:rsid w:val="00861DA3"/>
    <w:rsid w:val="008621EC"/>
    <w:rsid w:val="00863166"/>
    <w:rsid w:val="0086474A"/>
    <w:rsid w:val="00864E69"/>
    <w:rsid w:val="00865C7D"/>
    <w:rsid w:val="00865F15"/>
    <w:rsid w:val="00866892"/>
    <w:rsid w:val="0086729E"/>
    <w:rsid w:val="00870492"/>
    <w:rsid w:val="00870C39"/>
    <w:rsid w:val="0087104D"/>
    <w:rsid w:val="008715EE"/>
    <w:rsid w:val="00872290"/>
    <w:rsid w:val="0087235B"/>
    <w:rsid w:val="00873278"/>
    <w:rsid w:val="00875317"/>
    <w:rsid w:val="00875BC9"/>
    <w:rsid w:val="00875FE9"/>
    <w:rsid w:val="008765D4"/>
    <w:rsid w:val="008766E7"/>
    <w:rsid w:val="00876B78"/>
    <w:rsid w:val="0087708D"/>
    <w:rsid w:val="00877B91"/>
    <w:rsid w:val="0088026E"/>
    <w:rsid w:val="008807C1"/>
    <w:rsid w:val="008809C4"/>
    <w:rsid w:val="008817F8"/>
    <w:rsid w:val="00881DD4"/>
    <w:rsid w:val="0088315F"/>
    <w:rsid w:val="00885C7E"/>
    <w:rsid w:val="00887454"/>
    <w:rsid w:val="00890006"/>
    <w:rsid w:val="00890C53"/>
    <w:rsid w:val="00891AC3"/>
    <w:rsid w:val="00892726"/>
    <w:rsid w:val="00893380"/>
    <w:rsid w:val="00894315"/>
    <w:rsid w:val="0089447E"/>
    <w:rsid w:val="008947FF"/>
    <w:rsid w:val="00894991"/>
    <w:rsid w:val="00894D66"/>
    <w:rsid w:val="00896BCE"/>
    <w:rsid w:val="00896CAB"/>
    <w:rsid w:val="00896CD8"/>
    <w:rsid w:val="0089707A"/>
    <w:rsid w:val="008A0297"/>
    <w:rsid w:val="008A02CF"/>
    <w:rsid w:val="008A1A56"/>
    <w:rsid w:val="008A2CAD"/>
    <w:rsid w:val="008A2E69"/>
    <w:rsid w:val="008A3189"/>
    <w:rsid w:val="008A3648"/>
    <w:rsid w:val="008A3E5E"/>
    <w:rsid w:val="008A3EFE"/>
    <w:rsid w:val="008A4257"/>
    <w:rsid w:val="008A4E0C"/>
    <w:rsid w:val="008A5049"/>
    <w:rsid w:val="008A51C6"/>
    <w:rsid w:val="008B0473"/>
    <w:rsid w:val="008B085A"/>
    <w:rsid w:val="008B10B4"/>
    <w:rsid w:val="008B119A"/>
    <w:rsid w:val="008B12B9"/>
    <w:rsid w:val="008B1765"/>
    <w:rsid w:val="008B1B03"/>
    <w:rsid w:val="008B246C"/>
    <w:rsid w:val="008B315E"/>
    <w:rsid w:val="008B3350"/>
    <w:rsid w:val="008B3373"/>
    <w:rsid w:val="008B4825"/>
    <w:rsid w:val="008B4A24"/>
    <w:rsid w:val="008B6D4C"/>
    <w:rsid w:val="008B6FF2"/>
    <w:rsid w:val="008C03CB"/>
    <w:rsid w:val="008C0600"/>
    <w:rsid w:val="008C074F"/>
    <w:rsid w:val="008C2DA6"/>
    <w:rsid w:val="008C3091"/>
    <w:rsid w:val="008C33D9"/>
    <w:rsid w:val="008C33E2"/>
    <w:rsid w:val="008C34C9"/>
    <w:rsid w:val="008C5315"/>
    <w:rsid w:val="008C54F9"/>
    <w:rsid w:val="008C59EF"/>
    <w:rsid w:val="008C6430"/>
    <w:rsid w:val="008C6864"/>
    <w:rsid w:val="008C69B0"/>
    <w:rsid w:val="008C728E"/>
    <w:rsid w:val="008C76FD"/>
    <w:rsid w:val="008C7C07"/>
    <w:rsid w:val="008C7F84"/>
    <w:rsid w:val="008D115C"/>
    <w:rsid w:val="008D1615"/>
    <w:rsid w:val="008D2289"/>
    <w:rsid w:val="008D3D4F"/>
    <w:rsid w:val="008D476D"/>
    <w:rsid w:val="008D48C8"/>
    <w:rsid w:val="008D4B6C"/>
    <w:rsid w:val="008D568B"/>
    <w:rsid w:val="008D5E76"/>
    <w:rsid w:val="008D622D"/>
    <w:rsid w:val="008D6F30"/>
    <w:rsid w:val="008D722B"/>
    <w:rsid w:val="008D7392"/>
    <w:rsid w:val="008D77D4"/>
    <w:rsid w:val="008E1F04"/>
    <w:rsid w:val="008E1F95"/>
    <w:rsid w:val="008E26BA"/>
    <w:rsid w:val="008E3211"/>
    <w:rsid w:val="008E3D39"/>
    <w:rsid w:val="008E45A3"/>
    <w:rsid w:val="008E51D2"/>
    <w:rsid w:val="008E52AC"/>
    <w:rsid w:val="008E6A4C"/>
    <w:rsid w:val="008E7933"/>
    <w:rsid w:val="008E7ACB"/>
    <w:rsid w:val="008F14CE"/>
    <w:rsid w:val="008F3285"/>
    <w:rsid w:val="008F4E67"/>
    <w:rsid w:val="008F50BE"/>
    <w:rsid w:val="008F63BF"/>
    <w:rsid w:val="008F66B7"/>
    <w:rsid w:val="008F6B8D"/>
    <w:rsid w:val="008F6DD8"/>
    <w:rsid w:val="008F790C"/>
    <w:rsid w:val="009014A7"/>
    <w:rsid w:val="00901618"/>
    <w:rsid w:val="00901AAD"/>
    <w:rsid w:val="00901CDA"/>
    <w:rsid w:val="00902136"/>
    <w:rsid w:val="0090231D"/>
    <w:rsid w:val="00902614"/>
    <w:rsid w:val="00902664"/>
    <w:rsid w:val="00902F98"/>
    <w:rsid w:val="009035F5"/>
    <w:rsid w:val="00903C21"/>
    <w:rsid w:val="00903E27"/>
    <w:rsid w:val="00904479"/>
    <w:rsid w:val="00905154"/>
    <w:rsid w:val="00905B28"/>
    <w:rsid w:val="0090619F"/>
    <w:rsid w:val="0090748B"/>
    <w:rsid w:val="009106CA"/>
    <w:rsid w:val="00910A0A"/>
    <w:rsid w:val="009111AA"/>
    <w:rsid w:val="0091201F"/>
    <w:rsid w:val="00912151"/>
    <w:rsid w:val="00912D67"/>
    <w:rsid w:val="0091447A"/>
    <w:rsid w:val="009148D9"/>
    <w:rsid w:val="00914D31"/>
    <w:rsid w:val="009157FC"/>
    <w:rsid w:val="00915DF2"/>
    <w:rsid w:val="009176EB"/>
    <w:rsid w:val="00920029"/>
    <w:rsid w:val="00920CCD"/>
    <w:rsid w:val="00921E2C"/>
    <w:rsid w:val="00923188"/>
    <w:rsid w:val="0092407C"/>
    <w:rsid w:val="0092426E"/>
    <w:rsid w:val="00924456"/>
    <w:rsid w:val="00924E79"/>
    <w:rsid w:val="009253DF"/>
    <w:rsid w:val="00925721"/>
    <w:rsid w:val="0092601D"/>
    <w:rsid w:val="00926771"/>
    <w:rsid w:val="00926BAD"/>
    <w:rsid w:val="0092702E"/>
    <w:rsid w:val="00927883"/>
    <w:rsid w:val="00930998"/>
    <w:rsid w:val="00930C78"/>
    <w:rsid w:val="00930F69"/>
    <w:rsid w:val="0093154F"/>
    <w:rsid w:val="00931BE6"/>
    <w:rsid w:val="00933D3D"/>
    <w:rsid w:val="00934A08"/>
    <w:rsid w:val="00935D08"/>
    <w:rsid w:val="009366AA"/>
    <w:rsid w:val="00937078"/>
    <w:rsid w:val="009408CF"/>
    <w:rsid w:val="00941010"/>
    <w:rsid w:val="009413D8"/>
    <w:rsid w:val="00941AB1"/>
    <w:rsid w:val="0094230A"/>
    <w:rsid w:val="009423F5"/>
    <w:rsid w:val="009424EC"/>
    <w:rsid w:val="00942ADC"/>
    <w:rsid w:val="0094301F"/>
    <w:rsid w:val="009437DD"/>
    <w:rsid w:val="0094382B"/>
    <w:rsid w:val="00943F47"/>
    <w:rsid w:val="00944615"/>
    <w:rsid w:val="00944F65"/>
    <w:rsid w:val="00945228"/>
    <w:rsid w:val="0094550B"/>
    <w:rsid w:val="00946189"/>
    <w:rsid w:val="0094666C"/>
    <w:rsid w:val="009471FA"/>
    <w:rsid w:val="00947227"/>
    <w:rsid w:val="0094727E"/>
    <w:rsid w:val="00947E86"/>
    <w:rsid w:val="00947F6F"/>
    <w:rsid w:val="00950691"/>
    <w:rsid w:val="00950B89"/>
    <w:rsid w:val="00951642"/>
    <w:rsid w:val="009516C6"/>
    <w:rsid w:val="00952A97"/>
    <w:rsid w:val="00952B08"/>
    <w:rsid w:val="00954D6F"/>
    <w:rsid w:val="0095632E"/>
    <w:rsid w:val="00956ED9"/>
    <w:rsid w:val="009607E7"/>
    <w:rsid w:val="0096145D"/>
    <w:rsid w:val="00961964"/>
    <w:rsid w:val="00961A3A"/>
    <w:rsid w:val="00962490"/>
    <w:rsid w:val="0096305E"/>
    <w:rsid w:val="009630D7"/>
    <w:rsid w:val="00963F10"/>
    <w:rsid w:val="00964359"/>
    <w:rsid w:val="00964518"/>
    <w:rsid w:val="00964C77"/>
    <w:rsid w:val="0096514F"/>
    <w:rsid w:val="009653CB"/>
    <w:rsid w:val="0096646E"/>
    <w:rsid w:val="0096649C"/>
    <w:rsid w:val="00966760"/>
    <w:rsid w:val="00966798"/>
    <w:rsid w:val="00970BB0"/>
    <w:rsid w:val="00970E90"/>
    <w:rsid w:val="00971241"/>
    <w:rsid w:val="009724FD"/>
    <w:rsid w:val="00972B1B"/>
    <w:rsid w:val="00973E3A"/>
    <w:rsid w:val="009757C8"/>
    <w:rsid w:val="009758F5"/>
    <w:rsid w:val="00975E87"/>
    <w:rsid w:val="0097623D"/>
    <w:rsid w:val="0097686C"/>
    <w:rsid w:val="009772F6"/>
    <w:rsid w:val="00977C80"/>
    <w:rsid w:val="00980BE0"/>
    <w:rsid w:val="00983462"/>
    <w:rsid w:val="0098379C"/>
    <w:rsid w:val="00983B63"/>
    <w:rsid w:val="009848A5"/>
    <w:rsid w:val="009848EB"/>
    <w:rsid w:val="00985670"/>
    <w:rsid w:val="00985766"/>
    <w:rsid w:val="00985D11"/>
    <w:rsid w:val="009861EC"/>
    <w:rsid w:val="0098636C"/>
    <w:rsid w:val="009871E3"/>
    <w:rsid w:val="0099213B"/>
    <w:rsid w:val="0099442E"/>
    <w:rsid w:val="00994900"/>
    <w:rsid w:val="00994A1E"/>
    <w:rsid w:val="00995E7F"/>
    <w:rsid w:val="0099792E"/>
    <w:rsid w:val="009A0130"/>
    <w:rsid w:val="009A0243"/>
    <w:rsid w:val="009A062E"/>
    <w:rsid w:val="009A066E"/>
    <w:rsid w:val="009A1D53"/>
    <w:rsid w:val="009A2FB0"/>
    <w:rsid w:val="009A3992"/>
    <w:rsid w:val="009A4380"/>
    <w:rsid w:val="009A4840"/>
    <w:rsid w:val="009A57FC"/>
    <w:rsid w:val="009A582D"/>
    <w:rsid w:val="009A65DD"/>
    <w:rsid w:val="009A7F50"/>
    <w:rsid w:val="009B0997"/>
    <w:rsid w:val="009B1091"/>
    <w:rsid w:val="009B1421"/>
    <w:rsid w:val="009B1BBE"/>
    <w:rsid w:val="009B2C55"/>
    <w:rsid w:val="009B2C9C"/>
    <w:rsid w:val="009B2FA1"/>
    <w:rsid w:val="009B34A2"/>
    <w:rsid w:val="009B4487"/>
    <w:rsid w:val="009B4996"/>
    <w:rsid w:val="009B4CE5"/>
    <w:rsid w:val="009B5C25"/>
    <w:rsid w:val="009B5EE6"/>
    <w:rsid w:val="009B780D"/>
    <w:rsid w:val="009B7950"/>
    <w:rsid w:val="009C1078"/>
    <w:rsid w:val="009C2314"/>
    <w:rsid w:val="009C2484"/>
    <w:rsid w:val="009C3C61"/>
    <w:rsid w:val="009C3F13"/>
    <w:rsid w:val="009C4BA8"/>
    <w:rsid w:val="009C4BE7"/>
    <w:rsid w:val="009C4CFE"/>
    <w:rsid w:val="009C4D3E"/>
    <w:rsid w:val="009C4E20"/>
    <w:rsid w:val="009C53D8"/>
    <w:rsid w:val="009C562E"/>
    <w:rsid w:val="009C62B8"/>
    <w:rsid w:val="009C6CA3"/>
    <w:rsid w:val="009C6E76"/>
    <w:rsid w:val="009C73E1"/>
    <w:rsid w:val="009C7A33"/>
    <w:rsid w:val="009C7E01"/>
    <w:rsid w:val="009D0831"/>
    <w:rsid w:val="009D0A20"/>
    <w:rsid w:val="009D0A51"/>
    <w:rsid w:val="009D0E30"/>
    <w:rsid w:val="009D0FAB"/>
    <w:rsid w:val="009D108A"/>
    <w:rsid w:val="009D147E"/>
    <w:rsid w:val="009D15DC"/>
    <w:rsid w:val="009D16A1"/>
    <w:rsid w:val="009D19B0"/>
    <w:rsid w:val="009D29F0"/>
    <w:rsid w:val="009D2BCD"/>
    <w:rsid w:val="009D2F30"/>
    <w:rsid w:val="009D4866"/>
    <w:rsid w:val="009D4D68"/>
    <w:rsid w:val="009D671F"/>
    <w:rsid w:val="009D67EE"/>
    <w:rsid w:val="009D6F68"/>
    <w:rsid w:val="009D7527"/>
    <w:rsid w:val="009D7707"/>
    <w:rsid w:val="009D78ED"/>
    <w:rsid w:val="009D7DC4"/>
    <w:rsid w:val="009D7F60"/>
    <w:rsid w:val="009E053D"/>
    <w:rsid w:val="009E0EF7"/>
    <w:rsid w:val="009E1F9A"/>
    <w:rsid w:val="009E2D79"/>
    <w:rsid w:val="009E2DF4"/>
    <w:rsid w:val="009E3085"/>
    <w:rsid w:val="009E3E42"/>
    <w:rsid w:val="009E4190"/>
    <w:rsid w:val="009E43C6"/>
    <w:rsid w:val="009E4864"/>
    <w:rsid w:val="009E6CF2"/>
    <w:rsid w:val="009E7307"/>
    <w:rsid w:val="009F01F2"/>
    <w:rsid w:val="009F0448"/>
    <w:rsid w:val="009F05D4"/>
    <w:rsid w:val="009F20A7"/>
    <w:rsid w:val="009F2674"/>
    <w:rsid w:val="009F2D0A"/>
    <w:rsid w:val="009F2F42"/>
    <w:rsid w:val="009F31BB"/>
    <w:rsid w:val="009F33EF"/>
    <w:rsid w:val="009F4221"/>
    <w:rsid w:val="009F4313"/>
    <w:rsid w:val="009F4362"/>
    <w:rsid w:val="009F45CD"/>
    <w:rsid w:val="009F4FF1"/>
    <w:rsid w:val="009F53C6"/>
    <w:rsid w:val="009F5582"/>
    <w:rsid w:val="009F558B"/>
    <w:rsid w:val="009F7BC9"/>
    <w:rsid w:val="00A00110"/>
    <w:rsid w:val="00A0017D"/>
    <w:rsid w:val="00A00716"/>
    <w:rsid w:val="00A01C56"/>
    <w:rsid w:val="00A01E20"/>
    <w:rsid w:val="00A0218C"/>
    <w:rsid w:val="00A03CF8"/>
    <w:rsid w:val="00A03FD5"/>
    <w:rsid w:val="00A043C7"/>
    <w:rsid w:val="00A047F8"/>
    <w:rsid w:val="00A049AA"/>
    <w:rsid w:val="00A053A3"/>
    <w:rsid w:val="00A053AD"/>
    <w:rsid w:val="00A061AD"/>
    <w:rsid w:val="00A06AE8"/>
    <w:rsid w:val="00A11BBE"/>
    <w:rsid w:val="00A122EA"/>
    <w:rsid w:val="00A12876"/>
    <w:rsid w:val="00A13A4A"/>
    <w:rsid w:val="00A13B57"/>
    <w:rsid w:val="00A13C38"/>
    <w:rsid w:val="00A147BD"/>
    <w:rsid w:val="00A149C9"/>
    <w:rsid w:val="00A17149"/>
    <w:rsid w:val="00A1799F"/>
    <w:rsid w:val="00A17FEF"/>
    <w:rsid w:val="00A21171"/>
    <w:rsid w:val="00A21BB6"/>
    <w:rsid w:val="00A22181"/>
    <w:rsid w:val="00A23290"/>
    <w:rsid w:val="00A2446E"/>
    <w:rsid w:val="00A25662"/>
    <w:rsid w:val="00A25882"/>
    <w:rsid w:val="00A2701B"/>
    <w:rsid w:val="00A30131"/>
    <w:rsid w:val="00A311C3"/>
    <w:rsid w:val="00A32C7E"/>
    <w:rsid w:val="00A33591"/>
    <w:rsid w:val="00A33653"/>
    <w:rsid w:val="00A33BD0"/>
    <w:rsid w:val="00A34A96"/>
    <w:rsid w:val="00A34B63"/>
    <w:rsid w:val="00A378A4"/>
    <w:rsid w:val="00A378E8"/>
    <w:rsid w:val="00A40349"/>
    <w:rsid w:val="00A4129B"/>
    <w:rsid w:val="00A4179E"/>
    <w:rsid w:val="00A42C72"/>
    <w:rsid w:val="00A43836"/>
    <w:rsid w:val="00A43FF4"/>
    <w:rsid w:val="00A45330"/>
    <w:rsid w:val="00A45EAB"/>
    <w:rsid w:val="00A468A1"/>
    <w:rsid w:val="00A46D3E"/>
    <w:rsid w:val="00A47F8F"/>
    <w:rsid w:val="00A50391"/>
    <w:rsid w:val="00A5062A"/>
    <w:rsid w:val="00A522F5"/>
    <w:rsid w:val="00A52626"/>
    <w:rsid w:val="00A53CC6"/>
    <w:rsid w:val="00A553B2"/>
    <w:rsid w:val="00A555C7"/>
    <w:rsid w:val="00A558D4"/>
    <w:rsid w:val="00A55F87"/>
    <w:rsid w:val="00A56688"/>
    <w:rsid w:val="00A56883"/>
    <w:rsid w:val="00A56E17"/>
    <w:rsid w:val="00A57643"/>
    <w:rsid w:val="00A57C15"/>
    <w:rsid w:val="00A60C42"/>
    <w:rsid w:val="00A61184"/>
    <w:rsid w:val="00A613D9"/>
    <w:rsid w:val="00A623EF"/>
    <w:rsid w:val="00A62886"/>
    <w:rsid w:val="00A6334E"/>
    <w:rsid w:val="00A63DD9"/>
    <w:rsid w:val="00A645A3"/>
    <w:rsid w:val="00A64984"/>
    <w:rsid w:val="00A65BB6"/>
    <w:rsid w:val="00A65EBA"/>
    <w:rsid w:val="00A70AB2"/>
    <w:rsid w:val="00A72DF5"/>
    <w:rsid w:val="00A730F9"/>
    <w:rsid w:val="00A744C5"/>
    <w:rsid w:val="00A7711F"/>
    <w:rsid w:val="00A771DC"/>
    <w:rsid w:val="00A7743C"/>
    <w:rsid w:val="00A775B6"/>
    <w:rsid w:val="00A778F9"/>
    <w:rsid w:val="00A80B4A"/>
    <w:rsid w:val="00A80D93"/>
    <w:rsid w:val="00A81156"/>
    <w:rsid w:val="00A81C40"/>
    <w:rsid w:val="00A8298A"/>
    <w:rsid w:val="00A82B47"/>
    <w:rsid w:val="00A83F92"/>
    <w:rsid w:val="00A84116"/>
    <w:rsid w:val="00A85C46"/>
    <w:rsid w:val="00A86C60"/>
    <w:rsid w:val="00A9024D"/>
    <w:rsid w:val="00A90F28"/>
    <w:rsid w:val="00A922AD"/>
    <w:rsid w:val="00A923D5"/>
    <w:rsid w:val="00A9283A"/>
    <w:rsid w:val="00A92A57"/>
    <w:rsid w:val="00A92B33"/>
    <w:rsid w:val="00A93E31"/>
    <w:rsid w:val="00A9432A"/>
    <w:rsid w:val="00A94D2A"/>
    <w:rsid w:val="00A94F62"/>
    <w:rsid w:val="00A955C0"/>
    <w:rsid w:val="00A956E8"/>
    <w:rsid w:val="00A959A0"/>
    <w:rsid w:val="00A95CE1"/>
    <w:rsid w:val="00A9634B"/>
    <w:rsid w:val="00A96588"/>
    <w:rsid w:val="00AA024E"/>
    <w:rsid w:val="00AA09C1"/>
    <w:rsid w:val="00AA0BB6"/>
    <w:rsid w:val="00AA1A3A"/>
    <w:rsid w:val="00AA267D"/>
    <w:rsid w:val="00AA303D"/>
    <w:rsid w:val="00AA3F80"/>
    <w:rsid w:val="00AA4419"/>
    <w:rsid w:val="00AA52AE"/>
    <w:rsid w:val="00AA5A77"/>
    <w:rsid w:val="00AA5AB8"/>
    <w:rsid w:val="00AA65AB"/>
    <w:rsid w:val="00AA6634"/>
    <w:rsid w:val="00AA6A1A"/>
    <w:rsid w:val="00AA6CD5"/>
    <w:rsid w:val="00AA6F6E"/>
    <w:rsid w:val="00AA7EAD"/>
    <w:rsid w:val="00AA7F95"/>
    <w:rsid w:val="00AB0337"/>
    <w:rsid w:val="00AB0701"/>
    <w:rsid w:val="00AB09BE"/>
    <w:rsid w:val="00AB14CF"/>
    <w:rsid w:val="00AB1C21"/>
    <w:rsid w:val="00AB31F0"/>
    <w:rsid w:val="00AB4294"/>
    <w:rsid w:val="00AB54BF"/>
    <w:rsid w:val="00AB64F9"/>
    <w:rsid w:val="00AB6B70"/>
    <w:rsid w:val="00AB7628"/>
    <w:rsid w:val="00AC0E45"/>
    <w:rsid w:val="00AC1D9F"/>
    <w:rsid w:val="00AC2001"/>
    <w:rsid w:val="00AC2441"/>
    <w:rsid w:val="00AC35FF"/>
    <w:rsid w:val="00AC39C5"/>
    <w:rsid w:val="00AC4283"/>
    <w:rsid w:val="00AC42F0"/>
    <w:rsid w:val="00AC4657"/>
    <w:rsid w:val="00AC62E0"/>
    <w:rsid w:val="00AC6CFD"/>
    <w:rsid w:val="00AC6D60"/>
    <w:rsid w:val="00AC6FAF"/>
    <w:rsid w:val="00AC721B"/>
    <w:rsid w:val="00AD0BFA"/>
    <w:rsid w:val="00AD1240"/>
    <w:rsid w:val="00AD25C2"/>
    <w:rsid w:val="00AD305A"/>
    <w:rsid w:val="00AD30B2"/>
    <w:rsid w:val="00AD35DF"/>
    <w:rsid w:val="00AD4FE9"/>
    <w:rsid w:val="00AD51FE"/>
    <w:rsid w:val="00AD5277"/>
    <w:rsid w:val="00AD663C"/>
    <w:rsid w:val="00AD6D9E"/>
    <w:rsid w:val="00AD7DBF"/>
    <w:rsid w:val="00AE087C"/>
    <w:rsid w:val="00AE0B57"/>
    <w:rsid w:val="00AE120F"/>
    <w:rsid w:val="00AE237C"/>
    <w:rsid w:val="00AE2D3D"/>
    <w:rsid w:val="00AE3C41"/>
    <w:rsid w:val="00AE63CE"/>
    <w:rsid w:val="00AE764F"/>
    <w:rsid w:val="00AE78DC"/>
    <w:rsid w:val="00AE7D42"/>
    <w:rsid w:val="00AE7F5D"/>
    <w:rsid w:val="00AF1453"/>
    <w:rsid w:val="00AF20A2"/>
    <w:rsid w:val="00AF2D16"/>
    <w:rsid w:val="00AF3776"/>
    <w:rsid w:val="00AF4DE4"/>
    <w:rsid w:val="00AF55BE"/>
    <w:rsid w:val="00AF6749"/>
    <w:rsid w:val="00AF6AEA"/>
    <w:rsid w:val="00B01632"/>
    <w:rsid w:val="00B02AAE"/>
    <w:rsid w:val="00B02F78"/>
    <w:rsid w:val="00B0424E"/>
    <w:rsid w:val="00B044DC"/>
    <w:rsid w:val="00B0547B"/>
    <w:rsid w:val="00B05609"/>
    <w:rsid w:val="00B104B2"/>
    <w:rsid w:val="00B1072D"/>
    <w:rsid w:val="00B10AB9"/>
    <w:rsid w:val="00B10DAD"/>
    <w:rsid w:val="00B129A6"/>
    <w:rsid w:val="00B139BD"/>
    <w:rsid w:val="00B14CBB"/>
    <w:rsid w:val="00B14D96"/>
    <w:rsid w:val="00B15065"/>
    <w:rsid w:val="00B157DB"/>
    <w:rsid w:val="00B165FA"/>
    <w:rsid w:val="00B1686E"/>
    <w:rsid w:val="00B16A4F"/>
    <w:rsid w:val="00B16CE3"/>
    <w:rsid w:val="00B173E0"/>
    <w:rsid w:val="00B17CE2"/>
    <w:rsid w:val="00B20A39"/>
    <w:rsid w:val="00B20F9D"/>
    <w:rsid w:val="00B21793"/>
    <w:rsid w:val="00B21983"/>
    <w:rsid w:val="00B22B5B"/>
    <w:rsid w:val="00B24FDC"/>
    <w:rsid w:val="00B25BD9"/>
    <w:rsid w:val="00B2699B"/>
    <w:rsid w:val="00B27132"/>
    <w:rsid w:val="00B27D28"/>
    <w:rsid w:val="00B30810"/>
    <w:rsid w:val="00B31A88"/>
    <w:rsid w:val="00B32B8A"/>
    <w:rsid w:val="00B3351E"/>
    <w:rsid w:val="00B335BF"/>
    <w:rsid w:val="00B33F8E"/>
    <w:rsid w:val="00B342B2"/>
    <w:rsid w:val="00B35AC6"/>
    <w:rsid w:val="00B3618A"/>
    <w:rsid w:val="00B36570"/>
    <w:rsid w:val="00B36590"/>
    <w:rsid w:val="00B3719C"/>
    <w:rsid w:val="00B424C2"/>
    <w:rsid w:val="00B44873"/>
    <w:rsid w:val="00B45406"/>
    <w:rsid w:val="00B46473"/>
    <w:rsid w:val="00B46E72"/>
    <w:rsid w:val="00B4732F"/>
    <w:rsid w:val="00B47B3A"/>
    <w:rsid w:val="00B47C0A"/>
    <w:rsid w:val="00B5065A"/>
    <w:rsid w:val="00B50AAB"/>
    <w:rsid w:val="00B50E5B"/>
    <w:rsid w:val="00B520D1"/>
    <w:rsid w:val="00B53224"/>
    <w:rsid w:val="00B5334E"/>
    <w:rsid w:val="00B548F3"/>
    <w:rsid w:val="00B55B3A"/>
    <w:rsid w:val="00B579F8"/>
    <w:rsid w:val="00B57F7E"/>
    <w:rsid w:val="00B60192"/>
    <w:rsid w:val="00B60BD3"/>
    <w:rsid w:val="00B611AB"/>
    <w:rsid w:val="00B61D38"/>
    <w:rsid w:val="00B61ED5"/>
    <w:rsid w:val="00B62889"/>
    <w:rsid w:val="00B648DA"/>
    <w:rsid w:val="00B65358"/>
    <w:rsid w:val="00B65C4B"/>
    <w:rsid w:val="00B6690F"/>
    <w:rsid w:val="00B70288"/>
    <w:rsid w:val="00B70465"/>
    <w:rsid w:val="00B712E8"/>
    <w:rsid w:val="00B71F1B"/>
    <w:rsid w:val="00B76A75"/>
    <w:rsid w:val="00B76F16"/>
    <w:rsid w:val="00B77AF0"/>
    <w:rsid w:val="00B77CEF"/>
    <w:rsid w:val="00B80855"/>
    <w:rsid w:val="00B80AEF"/>
    <w:rsid w:val="00B80C20"/>
    <w:rsid w:val="00B80EFC"/>
    <w:rsid w:val="00B81699"/>
    <w:rsid w:val="00B82B9A"/>
    <w:rsid w:val="00B8410A"/>
    <w:rsid w:val="00B84F79"/>
    <w:rsid w:val="00B867D4"/>
    <w:rsid w:val="00B86A40"/>
    <w:rsid w:val="00B87E3E"/>
    <w:rsid w:val="00B87EA8"/>
    <w:rsid w:val="00B87FC8"/>
    <w:rsid w:val="00B90162"/>
    <w:rsid w:val="00B90403"/>
    <w:rsid w:val="00B90699"/>
    <w:rsid w:val="00B924D3"/>
    <w:rsid w:val="00B94B3E"/>
    <w:rsid w:val="00B95661"/>
    <w:rsid w:val="00B9660B"/>
    <w:rsid w:val="00B96BA0"/>
    <w:rsid w:val="00B9761C"/>
    <w:rsid w:val="00B9781B"/>
    <w:rsid w:val="00BA02A4"/>
    <w:rsid w:val="00BA112F"/>
    <w:rsid w:val="00BA1731"/>
    <w:rsid w:val="00BA18AC"/>
    <w:rsid w:val="00BA18DE"/>
    <w:rsid w:val="00BA1D14"/>
    <w:rsid w:val="00BA2A3B"/>
    <w:rsid w:val="00BA33AD"/>
    <w:rsid w:val="00BA35AE"/>
    <w:rsid w:val="00BA37B9"/>
    <w:rsid w:val="00BA3F72"/>
    <w:rsid w:val="00BA54DE"/>
    <w:rsid w:val="00BA5971"/>
    <w:rsid w:val="00BA5E24"/>
    <w:rsid w:val="00BA643F"/>
    <w:rsid w:val="00BA648B"/>
    <w:rsid w:val="00BA6A15"/>
    <w:rsid w:val="00BB03B2"/>
    <w:rsid w:val="00BB0C8E"/>
    <w:rsid w:val="00BB11C4"/>
    <w:rsid w:val="00BB3966"/>
    <w:rsid w:val="00BB48B2"/>
    <w:rsid w:val="00BB48F5"/>
    <w:rsid w:val="00BB490E"/>
    <w:rsid w:val="00BB4C81"/>
    <w:rsid w:val="00BB4F4A"/>
    <w:rsid w:val="00BB56EC"/>
    <w:rsid w:val="00BC02DC"/>
    <w:rsid w:val="00BC277F"/>
    <w:rsid w:val="00BC28E9"/>
    <w:rsid w:val="00BC3408"/>
    <w:rsid w:val="00BC3462"/>
    <w:rsid w:val="00BC4C9D"/>
    <w:rsid w:val="00BC5A3D"/>
    <w:rsid w:val="00BC5AD5"/>
    <w:rsid w:val="00BC6487"/>
    <w:rsid w:val="00BC6504"/>
    <w:rsid w:val="00BC6A74"/>
    <w:rsid w:val="00BC6EC0"/>
    <w:rsid w:val="00BD0193"/>
    <w:rsid w:val="00BD0595"/>
    <w:rsid w:val="00BD0BCE"/>
    <w:rsid w:val="00BD13E3"/>
    <w:rsid w:val="00BD1463"/>
    <w:rsid w:val="00BD2405"/>
    <w:rsid w:val="00BD3218"/>
    <w:rsid w:val="00BD334D"/>
    <w:rsid w:val="00BD37A4"/>
    <w:rsid w:val="00BD38ED"/>
    <w:rsid w:val="00BD4DF6"/>
    <w:rsid w:val="00BD4E26"/>
    <w:rsid w:val="00BD4EF6"/>
    <w:rsid w:val="00BD52C9"/>
    <w:rsid w:val="00BD6D33"/>
    <w:rsid w:val="00BD6DC2"/>
    <w:rsid w:val="00BD6F8F"/>
    <w:rsid w:val="00BD74D7"/>
    <w:rsid w:val="00BD7711"/>
    <w:rsid w:val="00BE0E01"/>
    <w:rsid w:val="00BE2A3B"/>
    <w:rsid w:val="00BE333E"/>
    <w:rsid w:val="00BE35F1"/>
    <w:rsid w:val="00BE50E0"/>
    <w:rsid w:val="00BE74F5"/>
    <w:rsid w:val="00BE7641"/>
    <w:rsid w:val="00BE7AB8"/>
    <w:rsid w:val="00BF003B"/>
    <w:rsid w:val="00BF1269"/>
    <w:rsid w:val="00BF1DCC"/>
    <w:rsid w:val="00BF2519"/>
    <w:rsid w:val="00BF4183"/>
    <w:rsid w:val="00BF5C5A"/>
    <w:rsid w:val="00BF5F0E"/>
    <w:rsid w:val="00BF63A7"/>
    <w:rsid w:val="00BF6AD5"/>
    <w:rsid w:val="00BF6EBA"/>
    <w:rsid w:val="00BF7D59"/>
    <w:rsid w:val="00BF7E47"/>
    <w:rsid w:val="00C01B77"/>
    <w:rsid w:val="00C0220C"/>
    <w:rsid w:val="00C02660"/>
    <w:rsid w:val="00C02E69"/>
    <w:rsid w:val="00C0331E"/>
    <w:rsid w:val="00C0346C"/>
    <w:rsid w:val="00C043EB"/>
    <w:rsid w:val="00C04CBB"/>
    <w:rsid w:val="00C05AA6"/>
    <w:rsid w:val="00C06345"/>
    <w:rsid w:val="00C06EEE"/>
    <w:rsid w:val="00C07EA5"/>
    <w:rsid w:val="00C109C5"/>
    <w:rsid w:val="00C1117F"/>
    <w:rsid w:val="00C11E5C"/>
    <w:rsid w:val="00C11E62"/>
    <w:rsid w:val="00C12193"/>
    <w:rsid w:val="00C12777"/>
    <w:rsid w:val="00C134A0"/>
    <w:rsid w:val="00C1360D"/>
    <w:rsid w:val="00C1450F"/>
    <w:rsid w:val="00C14774"/>
    <w:rsid w:val="00C151A5"/>
    <w:rsid w:val="00C1581C"/>
    <w:rsid w:val="00C1598C"/>
    <w:rsid w:val="00C160A7"/>
    <w:rsid w:val="00C16698"/>
    <w:rsid w:val="00C16A16"/>
    <w:rsid w:val="00C16B98"/>
    <w:rsid w:val="00C17042"/>
    <w:rsid w:val="00C20F8C"/>
    <w:rsid w:val="00C2183F"/>
    <w:rsid w:val="00C224E4"/>
    <w:rsid w:val="00C2323D"/>
    <w:rsid w:val="00C23461"/>
    <w:rsid w:val="00C23536"/>
    <w:rsid w:val="00C23792"/>
    <w:rsid w:val="00C23F83"/>
    <w:rsid w:val="00C241F6"/>
    <w:rsid w:val="00C244FD"/>
    <w:rsid w:val="00C25F36"/>
    <w:rsid w:val="00C262D4"/>
    <w:rsid w:val="00C26CB3"/>
    <w:rsid w:val="00C26EA4"/>
    <w:rsid w:val="00C304A9"/>
    <w:rsid w:val="00C30C95"/>
    <w:rsid w:val="00C32400"/>
    <w:rsid w:val="00C324A1"/>
    <w:rsid w:val="00C32723"/>
    <w:rsid w:val="00C33EE4"/>
    <w:rsid w:val="00C35952"/>
    <w:rsid w:val="00C35B82"/>
    <w:rsid w:val="00C364E4"/>
    <w:rsid w:val="00C36D95"/>
    <w:rsid w:val="00C36EBD"/>
    <w:rsid w:val="00C4047B"/>
    <w:rsid w:val="00C4273A"/>
    <w:rsid w:val="00C42FFA"/>
    <w:rsid w:val="00C43487"/>
    <w:rsid w:val="00C43622"/>
    <w:rsid w:val="00C43BEA"/>
    <w:rsid w:val="00C45074"/>
    <w:rsid w:val="00C458B5"/>
    <w:rsid w:val="00C45ABC"/>
    <w:rsid w:val="00C46E7F"/>
    <w:rsid w:val="00C47E6C"/>
    <w:rsid w:val="00C50B4F"/>
    <w:rsid w:val="00C50BA9"/>
    <w:rsid w:val="00C5293E"/>
    <w:rsid w:val="00C53B60"/>
    <w:rsid w:val="00C53CE0"/>
    <w:rsid w:val="00C54306"/>
    <w:rsid w:val="00C54596"/>
    <w:rsid w:val="00C548DF"/>
    <w:rsid w:val="00C551C2"/>
    <w:rsid w:val="00C5633B"/>
    <w:rsid w:val="00C57148"/>
    <w:rsid w:val="00C57249"/>
    <w:rsid w:val="00C57A28"/>
    <w:rsid w:val="00C60048"/>
    <w:rsid w:val="00C604ED"/>
    <w:rsid w:val="00C621EF"/>
    <w:rsid w:val="00C625C6"/>
    <w:rsid w:val="00C646A8"/>
    <w:rsid w:val="00C656D3"/>
    <w:rsid w:val="00C66550"/>
    <w:rsid w:val="00C67229"/>
    <w:rsid w:val="00C672FF"/>
    <w:rsid w:val="00C70806"/>
    <w:rsid w:val="00C70CDA"/>
    <w:rsid w:val="00C710CD"/>
    <w:rsid w:val="00C71B0F"/>
    <w:rsid w:val="00C71FF3"/>
    <w:rsid w:val="00C7259D"/>
    <w:rsid w:val="00C73BFD"/>
    <w:rsid w:val="00C74493"/>
    <w:rsid w:val="00C749B8"/>
    <w:rsid w:val="00C75079"/>
    <w:rsid w:val="00C7512F"/>
    <w:rsid w:val="00C759D7"/>
    <w:rsid w:val="00C760C2"/>
    <w:rsid w:val="00C766A0"/>
    <w:rsid w:val="00C76F0B"/>
    <w:rsid w:val="00C80BAA"/>
    <w:rsid w:val="00C81D5A"/>
    <w:rsid w:val="00C824DA"/>
    <w:rsid w:val="00C83D6B"/>
    <w:rsid w:val="00C84203"/>
    <w:rsid w:val="00C85009"/>
    <w:rsid w:val="00C852BA"/>
    <w:rsid w:val="00C85469"/>
    <w:rsid w:val="00C8733F"/>
    <w:rsid w:val="00C87509"/>
    <w:rsid w:val="00C87728"/>
    <w:rsid w:val="00C90054"/>
    <w:rsid w:val="00C9102B"/>
    <w:rsid w:val="00C91D27"/>
    <w:rsid w:val="00C92A1B"/>
    <w:rsid w:val="00C930FE"/>
    <w:rsid w:val="00C9334C"/>
    <w:rsid w:val="00C93A2E"/>
    <w:rsid w:val="00C93E6D"/>
    <w:rsid w:val="00C96039"/>
    <w:rsid w:val="00C9683F"/>
    <w:rsid w:val="00C96DE6"/>
    <w:rsid w:val="00CA1213"/>
    <w:rsid w:val="00CA1FEE"/>
    <w:rsid w:val="00CA25B8"/>
    <w:rsid w:val="00CA2AE8"/>
    <w:rsid w:val="00CA33AE"/>
    <w:rsid w:val="00CA37D4"/>
    <w:rsid w:val="00CA42F1"/>
    <w:rsid w:val="00CA4C33"/>
    <w:rsid w:val="00CA4DA8"/>
    <w:rsid w:val="00CA5187"/>
    <w:rsid w:val="00CA63EB"/>
    <w:rsid w:val="00CA6AAC"/>
    <w:rsid w:val="00CA7E4B"/>
    <w:rsid w:val="00CA7EC9"/>
    <w:rsid w:val="00CB00D1"/>
    <w:rsid w:val="00CB1CB4"/>
    <w:rsid w:val="00CB2532"/>
    <w:rsid w:val="00CB3AB7"/>
    <w:rsid w:val="00CB3B3F"/>
    <w:rsid w:val="00CB3FDF"/>
    <w:rsid w:val="00CB4E18"/>
    <w:rsid w:val="00CB4E7D"/>
    <w:rsid w:val="00CB587D"/>
    <w:rsid w:val="00CB5E6D"/>
    <w:rsid w:val="00CB623A"/>
    <w:rsid w:val="00CB657F"/>
    <w:rsid w:val="00CB7098"/>
    <w:rsid w:val="00CB7579"/>
    <w:rsid w:val="00CB75B8"/>
    <w:rsid w:val="00CC329F"/>
    <w:rsid w:val="00CC382D"/>
    <w:rsid w:val="00CC3DFF"/>
    <w:rsid w:val="00CC3E3D"/>
    <w:rsid w:val="00CC436A"/>
    <w:rsid w:val="00CC4F45"/>
    <w:rsid w:val="00CC53CF"/>
    <w:rsid w:val="00CC57E2"/>
    <w:rsid w:val="00CC59D4"/>
    <w:rsid w:val="00CC6448"/>
    <w:rsid w:val="00CC6618"/>
    <w:rsid w:val="00CC727C"/>
    <w:rsid w:val="00CC7B1C"/>
    <w:rsid w:val="00CD06CB"/>
    <w:rsid w:val="00CD1036"/>
    <w:rsid w:val="00CD1441"/>
    <w:rsid w:val="00CD2B2D"/>
    <w:rsid w:val="00CD5A81"/>
    <w:rsid w:val="00CD5BFD"/>
    <w:rsid w:val="00CD5DBE"/>
    <w:rsid w:val="00CD5F2C"/>
    <w:rsid w:val="00CD617E"/>
    <w:rsid w:val="00CD6B7D"/>
    <w:rsid w:val="00CD7748"/>
    <w:rsid w:val="00CE2FBB"/>
    <w:rsid w:val="00CE309D"/>
    <w:rsid w:val="00CE3483"/>
    <w:rsid w:val="00CE370C"/>
    <w:rsid w:val="00CE39DD"/>
    <w:rsid w:val="00CE3CB8"/>
    <w:rsid w:val="00CE4C64"/>
    <w:rsid w:val="00CE4F15"/>
    <w:rsid w:val="00CE6971"/>
    <w:rsid w:val="00CE6A9A"/>
    <w:rsid w:val="00CE7F79"/>
    <w:rsid w:val="00CF0070"/>
    <w:rsid w:val="00CF0B4A"/>
    <w:rsid w:val="00CF178D"/>
    <w:rsid w:val="00CF24EE"/>
    <w:rsid w:val="00CF2701"/>
    <w:rsid w:val="00CF2A06"/>
    <w:rsid w:val="00CF2B8D"/>
    <w:rsid w:val="00CF3428"/>
    <w:rsid w:val="00CF3BF9"/>
    <w:rsid w:val="00CF450A"/>
    <w:rsid w:val="00CF5396"/>
    <w:rsid w:val="00CF5A22"/>
    <w:rsid w:val="00CF73E4"/>
    <w:rsid w:val="00D00035"/>
    <w:rsid w:val="00D0019A"/>
    <w:rsid w:val="00D02101"/>
    <w:rsid w:val="00D025B7"/>
    <w:rsid w:val="00D02674"/>
    <w:rsid w:val="00D03334"/>
    <w:rsid w:val="00D03B84"/>
    <w:rsid w:val="00D04BFD"/>
    <w:rsid w:val="00D059C5"/>
    <w:rsid w:val="00D05A23"/>
    <w:rsid w:val="00D05D93"/>
    <w:rsid w:val="00D07959"/>
    <w:rsid w:val="00D07F9A"/>
    <w:rsid w:val="00D100C6"/>
    <w:rsid w:val="00D10578"/>
    <w:rsid w:val="00D1079C"/>
    <w:rsid w:val="00D10AE0"/>
    <w:rsid w:val="00D11A57"/>
    <w:rsid w:val="00D125E0"/>
    <w:rsid w:val="00D12875"/>
    <w:rsid w:val="00D12CA6"/>
    <w:rsid w:val="00D12FEC"/>
    <w:rsid w:val="00D13701"/>
    <w:rsid w:val="00D13C05"/>
    <w:rsid w:val="00D149AC"/>
    <w:rsid w:val="00D162A7"/>
    <w:rsid w:val="00D172A0"/>
    <w:rsid w:val="00D17685"/>
    <w:rsid w:val="00D201EA"/>
    <w:rsid w:val="00D209DE"/>
    <w:rsid w:val="00D20D90"/>
    <w:rsid w:val="00D213F5"/>
    <w:rsid w:val="00D220AC"/>
    <w:rsid w:val="00D220C9"/>
    <w:rsid w:val="00D2239D"/>
    <w:rsid w:val="00D22C90"/>
    <w:rsid w:val="00D22CC6"/>
    <w:rsid w:val="00D24422"/>
    <w:rsid w:val="00D24476"/>
    <w:rsid w:val="00D245C7"/>
    <w:rsid w:val="00D24C10"/>
    <w:rsid w:val="00D24F4D"/>
    <w:rsid w:val="00D253F8"/>
    <w:rsid w:val="00D25F82"/>
    <w:rsid w:val="00D2655C"/>
    <w:rsid w:val="00D2795E"/>
    <w:rsid w:val="00D30041"/>
    <w:rsid w:val="00D306E8"/>
    <w:rsid w:val="00D30757"/>
    <w:rsid w:val="00D309E7"/>
    <w:rsid w:val="00D30BCB"/>
    <w:rsid w:val="00D31175"/>
    <w:rsid w:val="00D31455"/>
    <w:rsid w:val="00D31E72"/>
    <w:rsid w:val="00D33551"/>
    <w:rsid w:val="00D33B98"/>
    <w:rsid w:val="00D352BE"/>
    <w:rsid w:val="00D356A3"/>
    <w:rsid w:val="00D36EDA"/>
    <w:rsid w:val="00D402E9"/>
    <w:rsid w:val="00D40345"/>
    <w:rsid w:val="00D406BF"/>
    <w:rsid w:val="00D410EE"/>
    <w:rsid w:val="00D41A8D"/>
    <w:rsid w:val="00D42A26"/>
    <w:rsid w:val="00D42D97"/>
    <w:rsid w:val="00D43340"/>
    <w:rsid w:val="00D43E0D"/>
    <w:rsid w:val="00D45809"/>
    <w:rsid w:val="00D45B39"/>
    <w:rsid w:val="00D46D48"/>
    <w:rsid w:val="00D4700F"/>
    <w:rsid w:val="00D5027E"/>
    <w:rsid w:val="00D50C76"/>
    <w:rsid w:val="00D524FE"/>
    <w:rsid w:val="00D52639"/>
    <w:rsid w:val="00D52AB2"/>
    <w:rsid w:val="00D534E5"/>
    <w:rsid w:val="00D53660"/>
    <w:rsid w:val="00D540B3"/>
    <w:rsid w:val="00D54B33"/>
    <w:rsid w:val="00D54D30"/>
    <w:rsid w:val="00D5740F"/>
    <w:rsid w:val="00D57BCA"/>
    <w:rsid w:val="00D607E6"/>
    <w:rsid w:val="00D60AEA"/>
    <w:rsid w:val="00D60E76"/>
    <w:rsid w:val="00D616D6"/>
    <w:rsid w:val="00D623BA"/>
    <w:rsid w:val="00D6272C"/>
    <w:rsid w:val="00D62851"/>
    <w:rsid w:val="00D629D4"/>
    <w:rsid w:val="00D62F29"/>
    <w:rsid w:val="00D642A2"/>
    <w:rsid w:val="00D64D8D"/>
    <w:rsid w:val="00D65164"/>
    <w:rsid w:val="00D6605D"/>
    <w:rsid w:val="00D66AA7"/>
    <w:rsid w:val="00D67694"/>
    <w:rsid w:val="00D67F29"/>
    <w:rsid w:val="00D70024"/>
    <w:rsid w:val="00D70227"/>
    <w:rsid w:val="00D70670"/>
    <w:rsid w:val="00D73107"/>
    <w:rsid w:val="00D73B07"/>
    <w:rsid w:val="00D74687"/>
    <w:rsid w:val="00D75B30"/>
    <w:rsid w:val="00D76583"/>
    <w:rsid w:val="00D76756"/>
    <w:rsid w:val="00D77851"/>
    <w:rsid w:val="00D77B1B"/>
    <w:rsid w:val="00D8021B"/>
    <w:rsid w:val="00D81B6B"/>
    <w:rsid w:val="00D83452"/>
    <w:rsid w:val="00D8370F"/>
    <w:rsid w:val="00D83E4D"/>
    <w:rsid w:val="00D85477"/>
    <w:rsid w:val="00D856DD"/>
    <w:rsid w:val="00D8676E"/>
    <w:rsid w:val="00D86863"/>
    <w:rsid w:val="00D86D77"/>
    <w:rsid w:val="00D91C20"/>
    <w:rsid w:val="00D928EC"/>
    <w:rsid w:val="00D92FD0"/>
    <w:rsid w:val="00D93050"/>
    <w:rsid w:val="00D93864"/>
    <w:rsid w:val="00D95F6B"/>
    <w:rsid w:val="00D96003"/>
    <w:rsid w:val="00D969EA"/>
    <w:rsid w:val="00DA010E"/>
    <w:rsid w:val="00DA0951"/>
    <w:rsid w:val="00DA0E5E"/>
    <w:rsid w:val="00DA10CD"/>
    <w:rsid w:val="00DA18C8"/>
    <w:rsid w:val="00DA21C5"/>
    <w:rsid w:val="00DA2D3B"/>
    <w:rsid w:val="00DA30BC"/>
    <w:rsid w:val="00DA387A"/>
    <w:rsid w:val="00DA3E57"/>
    <w:rsid w:val="00DA4B54"/>
    <w:rsid w:val="00DA4E28"/>
    <w:rsid w:val="00DA5B3B"/>
    <w:rsid w:val="00DA65E2"/>
    <w:rsid w:val="00DA6A5C"/>
    <w:rsid w:val="00DB0629"/>
    <w:rsid w:val="00DB09AF"/>
    <w:rsid w:val="00DB0DFF"/>
    <w:rsid w:val="00DB0E17"/>
    <w:rsid w:val="00DB13BB"/>
    <w:rsid w:val="00DB2465"/>
    <w:rsid w:val="00DB2789"/>
    <w:rsid w:val="00DB2A84"/>
    <w:rsid w:val="00DB465C"/>
    <w:rsid w:val="00DB6FE8"/>
    <w:rsid w:val="00DB73D5"/>
    <w:rsid w:val="00DB78B6"/>
    <w:rsid w:val="00DC0909"/>
    <w:rsid w:val="00DC10B9"/>
    <w:rsid w:val="00DC2382"/>
    <w:rsid w:val="00DC26E6"/>
    <w:rsid w:val="00DC2A0C"/>
    <w:rsid w:val="00DC2B11"/>
    <w:rsid w:val="00DC72B8"/>
    <w:rsid w:val="00DC7378"/>
    <w:rsid w:val="00DC7CD4"/>
    <w:rsid w:val="00DD05B4"/>
    <w:rsid w:val="00DD1AEF"/>
    <w:rsid w:val="00DD1C22"/>
    <w:rsid w:val="00DD2859"/>
    <w:rsid w:val="00DD5B60"/>
    <w:rsid w:val="00DD5FCA"/>
    <w:rsid w:val="00DD65FA"/>
    <w:rsid w:val="00DD665D"/>
    <w:rsid w:val="00DD69A6"/>
    <w:rsid w:val="00DD7B43"/>
    <w:rsid w:val="00DE0B24"/>
    <w:rsid w:val="00DE1876"/>
    <w:rsid w:val="00DE1A1C"/>
    <w:rsid w:val="00DE1ACB"/>
    <w:rsid w:val="00DE1B42"/>
    <w:rsid w:val="00DE1E42"/>
    <w:rsid w:val="00DE24D7"/>
    <w:rsid w:val="00DE259B"/>
    <w:rsid w:val="00DE3B93"/>
    <w:rsid w:val="00DE3E5D"/>
    <w:rsid w:val="00DE3FED"/>
    <w:rsid w:val="00DE4ECF"/>
    <w:rsid w:val="00DE58BF"/>
    <w:rsid w:val="00DE5BAD"/>
    <w:rsid w:val="00DE5FE5"/>
    <w:rsid w:val="00DE609A"/>
    <w:rsid w:val="00DE61EF"/>
    <w:rsid w:val="00DE6759"/>
    <w:rsid w:val="00DE7C63"/>
    <w:rsid w:val="00DE7DC8"/>
    <w:rsid w:val="00DF021B"/>
    <w:rsid w:val="00DF0988"/>
    <w:rsid w:val="00DF21D0"/>
    <w:rsid w:val="00DF2639"/>
    <w:rsid w:val="00DF2BED"/>
    <w:rsid w:val="00DF31FD"/>
    <w:rsid w:val="00DF33DF"/>
    <w:rsid w:val="00DF4FB7"/>
    <w:rsid w:val="00DF513A"/>
    <w:rsid w:val="00DF59F0"/>
    <w:rsid w:val="00DF5B0F"/>
    <w:rsid w:val="00DF61E1"/>
    <w:rsid w:val="00DF7285"/>
    <w:rsid w:val="00DF74BC"/>
    <w:rsid w:val="00DF7DCB"/>
    <w:rsid w:val="00DF7E13"/>
    <w:rsid w:val="00DF7EDC"/>
    <w:rsid w:val="00E0088B"/>
    <w:rsid w:val="00E00F29"/>
    <w:rsid w:val="00E01300"/>
    <w:rsid w:val="00E01C7A"/>
    <w:rsid w:val="00E01D75"/>
    <w:rsid w:val="00E022CA"/>
    <w:rsid w:val="00E02CAE"/>
    <w:rsid w:val="00E031B7"/>
    <w:rsid w:val="00E03444"/>
    <w:rsid w:val="00E0366E"/>
    <w:rsid w:val="00E03970"/>
    <w:rsid w:val="00E03B0A"/>
    <w:rsid w:val="00E03CA6"/>
    <w:rsid w:val="00E03D5A"/>
    <w:rsid w:val="00E04056"/>
    <w:rsid w:val="00E044CC"/>
    <w:rsid w:val="00E04906"/>
    <w:rsid w:val="00E04AC5"/>
    <w:rsid w:val="00E05A21"/>
    <w:rsid w:val="00E05D38"/>
    <w:rsid w:val="00E11B21"/>
    <w:rsid w:val="00E12B6D"/>
    <w:rsid w:val="00E13154"/>
    <w:rsid w:val="00E13307"/>
    <w:rsid w:val="00E13B45"/>
    <w:rsid w:val="00E13ECC"/>
    <w:rsid w:val="00E13F25"/>
    <w:rsid w:val="00E14179"/>
    <w:rsid w:val="00E151F6"/>
    <w:rsid w:val="00E1569B"/>
    <w:rsid w:val="00E16D7C"/>
    <w:rsid w:val="00E17460"/>
    <w:rsid w:val="00E223D0"/>
    <w:rsid w:val="00E23632"/>
    <w:rsid w:val="00E24F3F"/>
    <w:rsid w:val="00E25F4F"/>
    <w:rsid w:val="00E264ED"/>
    <w:rsid w:val="00E26DFC"/>
    <w:rsid w:val="00E27223"/>
    <w:rsid w:val="00E274E7"/>
    <w:rsid w:val="00E30677"/>
    <w:rsid w:val="00E31BB4"/>
    <w:rsid w:val="00E327A1"/>
    <w:rsid w:val="00E33645"/>
    <w:rsid w:val="00E33B42"/>
    <w:rsid w:val="00E33C6C"/>
    <w:rsid w:val="00E349FC"/>
    <w:rsid w:val="00E34CAE"/>
    <w:rsid w:val="00E34E06"/>
    <w:rsid w:val="00E3527F"/>
    <w:rsid w:val="00E35E08"/>
    <w:rsid w:val="00E36007"/>
    <w:rsid w:val="00E36FA6"/>
    <w:rsid w:val="00E409F1"/>
    <w:rsid w:val="00E40D65"/>
    <w:rsid w:val="00E4267A"/>
    <w:rsid w:val="00E435BA"/>
    <w:rsid w:val="00E44065"/>
    <w:rsid w:val="00E44B13"/>
    <w:rsid w:val="00E45412"/>
    <w:rsid w:val="00E45618"/>
    <w:rsid w:val="00E45957"/>
    <w:rsid w:val="00E46152"/>
    <w:rsid w:val="00E4645F"/>
    <w:rsid w:val="00E4744C"/>
    <w:rsid w:val="00E475B1"/>
    <w:rsid w:val="00E47B44"/>
    <w:rsid w:val="00E47F10"/>
    <w:rsid w:val="00E500D8"/>
    <w:rsid w:val="00E501CE"/>
    <w:rsid w:val="00E50891"/>
    <w:rsid w:val="00E52AC5"/>
    <w:rsid w:val="00E531BE"/>
    <w:rsid w:val="00E532F8"/>
    <w:rsid w:val="00E533BB"/>
    <w:rsid w:val="00E537B1"/>
    <w:rsid w:val="00E5424C"/>
    <w:rsid w:val="00E55BCB"/>
    <w:rsid w:val="00E55D05"/>
    <w:rsid w:val="00E55DDE"/>
    <w:rsid w:val="00E56B57"/>
    <w:rsid w:val="00E56D0A"/>
    <w:rsid w:val="00E60331"/>
    <w:rsid w:val="00E60739"/>
    <w:rsid w:val="00E60B73"/>
    <w:rsid w:val="00E60CA8"/>
    <w:rsid w:val="00E6241E"/>
    <w:rsid w:val="00E62469"/>
    <w:rsid w:val="00E62AE5"/>
    <w:rsid w:val="00E62D3E"/>
    <w:rsid w:val="00E63070"/>
    <w:rsid w:val="00E63F7B"/>
    <w:rsid w:val="00E651B1"/>
    <w:rsid w:val="00E65FBA"/>
    <w:rsid w:val="00E67678"/>
    <w:rsid w:val="00E67E3A"/>
    <w:rsid w:val="00E70022"/>
    <w:rsid w:val="00E70CEC"/>
    <w:rsid w:val="00E70F21"/>
    <w:rsid w:val="00E75758"/>
    <w:rsid w:val="00E75AB1"/>
    <w:rsid w:val="00E75FEB"/>
    <w:rsid w:val="00E80726"/>
    <w:rsid w:val="00E822E2"/>
    <w:rsid w:val="00E82ECD"/>
    <w:rsid w:val="00E839CD"/>
    <w:rsid w:val="00E8498E"/>
    <w:rsid w:val="00E84D74"/>
    <w:rsid w:val="00E906D6"/>
    <w:rsid w:val="00E91085"/>
    <w:rsid w:val="00E916B6"/>
    <w:rsid w:val="00E919A9"/>
    <w:rsid w:val="00E91EF4"/>
    <w:rsid w:val="00E926AD"/>
    <w:rsid w:val="00E92CEE"/>
    <w:rsid w:val="00E9344A"/>
    <w:rsid w:val="00E93926"/>
    <w:rsid w:val="00E94DB8"/>
    <w:rsid w:val="00E94FA7"/>
    <w:rsid w:val="00E94FDE"/>
    <w:rsid w:val="00E952CE"/>
    <w:rsid w:val="00E965E3"/>
    <w:rsid w:val="00E97687"/>
    <w:rsid w:val="00EA00C6"/>
    <w:rsid w:val="00EA0BA9"/>
    <w:rsid w:val="00EA10EC"/>
    <w:rsid w:val="00EA21F4"/>
    <w:rsid w:val="00EA32C5"/>
    <w:rsid w:val="00EA414D"/>
    <w:rsid w:val="00EA45EE"/>
    <w:rsid w:val="00EA52DD"/>
    <w:rsid w:val="00EA5341"/>
    <w:rsid w:val="00EA5E91"/>
    <w:rsid w:val="00EA68C5"/>
    <w:rsid w:val="00EA68DB"/>
    <w:rsid w:val="00EA6C0F"/>
    <w:rsid w:val="00EA7D45"/>
    <w:rsid w:val="00EB02C4"/>
    <w:rsid w:val="00EB0A97"/>
    <w:rsid w:val="00EB2960"/>
    <w:rsid w:val="00EB3591"/>
    <w:rsid w:val="00EB3F52"/>
    <w:rsid w:val="00EB47FC"/>
    <w:rsid w:val="00EB4B7E"/>
    <w:rsid w:val="00EB4D02"/>
    <w:rsid w:val="00EB677E"/>
    <w:rsid w:val="00EB68AB"/>
    <w:rsid w:val="00EB6E4D"/>
    <w:rsid w:val="00EB77B6"/>
    <w:rsid w:val="00EB794C"/>
    <w:rsid w:val="00EC0B91"/>
    <w:rsid w:val="00EC22F5"/>
    <w:rsid w:val="00EC3393"/>
    <w:rsid w:val="00EC4E14"/>
    <w:rsid w:val="00EC550C"/>
    <w:rsid w:val="00EC5659"/>
    <w:rsid w:val="00EC57D9"/>
    <w:rsid w:val="00EC5FB9"/>
    <w:rsid w:val="00EC6D7D"/>
    <w:rsid w:val="00EC6ED8"/>
    <w:rsid w:val="00EC789B"/>
    <w:rsid w:val="00EC7915"/>
    <w:rsid w:val="00ED09C9"/>
    <w:rsid w:val="00ED0FC0"/>
    <w:rsid w:val="00ED1002"/>
    <w:rsid w:val="00ED16CE"/>
    <w:rsid w:val="00ED18F1"/>
    <w:rsid w:val="00ED1F2A"/>
    <w:rsid w:val="00ED2070"/>
    <w:rsid w:val="00ED3850"/>
    <w:rsid w:val="00ED48B8"/>
    <w:rsid w:val="00ED548D"/>
    <w:rsid w:val="00ED687D"/>
    <w:rsid w:val="00ED703A"/>
    <w:rsid w:val="00ED707B"/>
    <w:rsid w:val="00ED7172"/>
    <w:rsid w:val="00ED7187"/>
    <w:rsid w:val="00ED7231"/>
    <w:rsid w:val="00ED7D33"/>
    <w:rsid w:val="00ED7E11"/>
    <w:rsid w:val="00ED7E1D"/>
    <w:rsid w:val="00EE0446"/>
    <w:rsid w:val="00EE0A85"/>
    <w:rsid w:val="00EE2AA8"/>
    <w:rsid w:val="00EE3A02"/>
    <w:rsid w:val="00EE4519"/>
    <w:rsid w:val="00EE4997"/>
    <w:rsid w:val="00EE567B"/>
    <w:rsid w:val="00EE652B"/>
    <w:rsid w:val="00EE67C1"/>
    <w:rsid w:val="00EE72BF"/>
    <w:rsid w:val="00EF0C38"/>
    <w:rsid w:val="00EF0E4A"/>
    <w:rsid w:val="00EF14A2"/>
    <w:rsid w:val="00EF1B61"/>
    <w:rsid w:val="00EF1F18"/>
    <w:rsid w:val="00EF2812"/>
    <w:rsid w:val="00EF291A"/>
    <w:rsid w:val="00EF317B"/>
    <w:rsid w:val="00EF334A"/>
    <w:rsid w:val="00EF34BB"/>
    <w:rsid w:val="00EF4CAA"/>
    <w:rsid w:val="00EF52F7"/>
    <w:rsid w:val="00EF5501"/>
    <w:rsid w:val="00EF5522"/>
    <w:rsid w:val="00EF5672"/>
    <w:rsid w:val="00EF6042"/>
    <w:rsid w:val="00EF6125"/>
    <w:rsid w:val="00EF74B9"/>
    <w:rsid w:val="00EF7E83"/>
    <w:rsid w:val="00F00061"/>
    <w:rsid w:val="00F00109"/>
    <w:rsid w:val="00F01175"/>
    <w:rsid w:val="00F04030"/>
    <w:rsid w:val="00F04735"/>
    <w:rsid w:val="00F0478C"/>
    <w:rsid w:val="00F065BB"/>
    <w:rsid w:val="00F066BA"/>
    <w:rsid w:val="00F07BBD"/>
    <w:rsid w:val="00F10157"/>
    <w:rsid w:val="00F10220"/>
    <w:rsid w:val="00F11C12"/>
    <w:rsid w:val="00F11CC9"/>
    <w:rsid w:val="00F11E21"/>
    <w:rsid w:val="00F11EC0"/>
    <w:rsid w:val="00F125C6"/>
    <w:rsid w:val="00F12612"/>
    <w:rsid w:val="00F129B2"/>
    <w:rsid w:val="00F132E8"/>
    <w:rsid w:val="00F1394D"/>
    <w:rsid w:val="00F13E36"/>
    <w:rsid w:val="00F13EB6"/>
    <w:rsid w:val="00F14141"/>
    <w:rsid w:val="00F14A58"/>
    <w:rsid w:val="00F17F8B"/>
    <w:rsid w:val="00F2164C"/>
    <w:rsid w:val="00F21D1F"/>
    <w:rsid w:val="00F22875"/>
    <w:rsid w:val="00F22876"/>
    <w:rsid w:val="00F23F6E"/>
    <w:rsid w:val="00F240AC"/>
    <w:rsid w:val="00F24835"/>
    <w:rsid w:val="00F271B1"/>
    <w:rsid w:val="00F27445"/>
    <w:rsid w:val="00F30FFB"/>
    <w:rsid w:val="00F31111"/>
    <w:rsid w:val="00F3119C"/>
    <w:rsid w:val="00F31318"/>
    <w:rsid w:val="00F32065"/>
    <w:rsid w:val="00F329CC"/>
    <w:rsid w:val="00F32E5C"/>
    <w:rsid w:val="00F3324F"/>
    <w:rsid w:val="00F3379A"/>
    <w:rsid w:val="00F33D31"/>
    <w:rsid w:val="00F33E5F"/>
    <w:rsid w:val="00F34D00"/>
    <w:rsid w:val="00F3555A"/>
    <w:rsid w:val="00F35640"/>
    <w:rsid w:val="00F36A6B"/>
    <w:rsid w:val="00F378F5"/>
    <w:rsid w:val="00F40CB3"/>
    <w:rsid w:val="00F4194D"/>
    <w:rsid w:val="00F421BA"/>
    <w:rsid w:val="00F4272F"/>
    <w:rsid w:val="00F42DFC"/>
    <w:rsid w:val="00F433A6"/>
    <w:rsid w:val="00F434C6"/>
    <w:rsid w:val="00F43B14"/>
    <w:rsid w:val="00F47A48"/>
    <w:rsid w:val="00F511C1"/>
    <w:rsid w:val="00F52DC7"/>
    <w:rsid w:val="00F532EB"/>
    <w:rsid w:val="00F54916"/>
    <w:rsid w:val="00F551A0"/>
    <w:rsid w:val="00F5599D"/>
    <w:rsid w:val="00F57325"/>
    <w:rsid w:val="00F57496"/>
    <w:rsid w:val="00F6077E"/>
    <w:rsid w:val="00F60C53"/>
    <w:rsid w:val="00F61325"/>
    <w:rsid w:val="00F61625"/>
    <w:rsid w:val="00F61AFA"/>
    <w:rsid w:val="00F63109"/>
    <w:rsid w:val="00F63F89"/>
    <w:rsid w:val="00F64682"/>
    <w:rsid w:val="00F654BA"/>
    <w:rsid w:val="00F65579"/>
    <w:rsid w:val="00F65C61"/>
    <w:rsid w:val="00F668CE"/>
    <w:rsid w:val="00F66C72"/>
    <w:rsid w:val="00F66D47"/>
    <w:rsid w:val="00F670B3"/>
    <w:rsid w:val="00F673DA"/>
    <w:rsid w:val="00F674CB"/>
    <w:rsid w:val="00F679DD"/>
    <w:rsid w:val="00F67A5C"/>
    <w:rsid w:val="00F67AC4"/>
    <w:rsid w:val="00F71C0C"/>
    <w:rsid w:val="00F72214"/>
    <w:rsid w:val="00F72AF3"/>
    <w:rsid w:val="00F73E03"/>
    <w:rsid w:val="00F7409F"/>
    <w:rsid w:val="00F74CD5"/>
    <w:rsid w:val="00F74D5D"/>
    <w:rsid w:val="00F74E95"/>
    <w:rsid w:val="00F76228"/>
    <w:rsid w:val="00F765F1"/>
    <w:rsid w:val="00F775CA"/>
    <w:rsid w:val="00F77D7C"/>
    <w:rsid w:val="00F809F3"/>
    <w:rsid w:val="00F810CB"/>
    <w:rsid w:val="00F8204D"/>
    <w:rsid w:val="00F82278"/>
    <w:rsid w:val="00F82763"/>
    <w:rsid w:val="00F83666"/>
    <w:rsid w:val="00F838B8"/>
    <w:rsid w:val="00F85E18"/>
    <w:rsid w:val="00F87900"/>
    <w:rsid w:val="00F87921"/>
    <w:rsid w:val="00F87B81"/>
    <w:rsid w:val="00F91E48"/>
    <w:rsid w:val="00F91F8F"/>
    <w:rsid w:val="00F93C9E"/>
    <w:rsid w:val="00F943FF"/>
    <w:rsid w:val="00F96B55"/>
    <w:rsid w:val="00F96CFB"/>
    <w:rsid w:val="00F96F73"/>
    <w:rsid w:val="00FA0524"/>
    <w:rsid w:val="00FA0B0E"/>
    <w:rsid w:val="00FA0CD7"/>
    <w:rsid w:val="00FA1665"/>
    <w:rsid w:val="00FA1AB6"/>
    <w:rsid w:val="00FA1C83"/>
    <w:rsid w:val="00FA1D8E"/>
    <w:rsid w:val="00FA2E10"/>
    <w:rsid w:val="00FA3105"/>
    <w:rsid w:val="00FA4090"/>
    <w:rsid w:val="00FA43D0"/>
    <w:rsid w:val="00FA4DAA"/>
    <w:rsid w:val="00FA7213"/>
    <w:rsid w:val="00FB09FC"/>
    <w:rsid w:val="00FB3544"/>
    <w:rsid w:val="00FB3F25"/>
    <w:rsid w:val="00FB42EB"/>
    <w:rsid w:val="00FB45C7"/>
    <w:rsid w:val="00FB467D"/>
    <w:rsid w:val="00FB4820"/>
    <w:rsid w:val="00FB52C4"/>
    <w:rsid w:val="00FB5725"/>
    <w:rsid w:val="00FB5928"/>
    <w:rsid w:val="00FB5BAC"/>
    <w:rsid w:val="00FB7021"/>
    <w:rsid w:val="00FB797D"/>
    <w:rsid w:val="00FB7C08"/>
    <w:rsid w:val="00FB7F4A"/>
    <w:rsid w:val="00FC045A"/>
    <w:rsid w:val="00FC0736"/>
    <w:rsid w:val="00FC0B0C"/>
    <w:rsid w:val="00FC11F0"/>
    <w:rsid w:val="00FC180A"/>
    <w:rsid w:val="00FC237C"/>
    <w:rsid w:val="00FC2698"/>
    <w:rsid w:val="00FC27CF"/>
    <w:rsid w:val="00FC2D1C"/>
    <w:rsid w:val="00FC2E0B"/>
    <w:rsid w:val="00FC3435"/>
    <w:rsid w:val="00FC3938"/>
    <w:rsid w:val="00FC39B6"/>
    <w:rsid w:val="00FC43BA"/>
    <w:rsid w:val="00FC4678"/>
    <w:rsid w:val="00FC4827"/>
    <w:rsid w:val="00FC5CA3"/>
    <w:rsid w:val="00FC5EF2"/>
    <w:rsid w:val="00FC6518"/>
    <w:rsid w:val="00FC6EEF"/>
    <w:rsid w:val="00FC7BF2"/>
    <w:rsid w:val="00FD0B2F"/>
    <w:rsid w:val="00FD1559"/>
    <w:rsid w:val="00FD178F"/>
    <w:rsid w:val="00FD2B7F"/>
    <w:rsid w:val="00FD2C88"/>
    <w:rsid w:val="00FD2EFE"/>
    <w:rsid w:val="00FD2F35"/>
    <w:rsid w:val="00FD3562"/>
    <w:rsid w:val="00FD5458"/>
    <w:rsid w:val="00FD5DD9"/>
    <w:rsid w:val="00FD5E6F"/>
    <w:rsid w:val="00FD6123"/>
    <w:rsid w:val="00FD671E"/>
    <w:rsid w:val="00FE0AFB"/>
    <w:rsid w:val="00FE0B11"/>
    <w:rsid w:val="00FE138D"/>
    <w:rsid w:val="00FE1855"/>
    <w:rsid w:val="00FE2EDB"/>
    <w:rsid w:val="00FE3FCD"/>
    <w:rsid w:val="00FE4A10"/>
    <w:rsid w:val="00FE5BD4"/>
    <w:rsid w:val="00FE5CEF"/>
    <w:rsid w:val="00FE6186"/>
    <w:rsid w:val="00FE6942"/>
    <w:rsid w:val="00FE7639"/>
    <w:rsid w:val="00FE7B70"/>
    <w:rsid w:val="00FF0C61"/>
    <w:rsid w:val="00FF0C93"/>
    <w:rsid w:val="00FF12A8"/>
    <w:rsid w:val="00FF1FE4"/>
    <w:rsid w:val="00FF59B4"/>
    <w:rsid w:val="00FF6BBE"/>
    <w:rsid w:val="00FF7134"/>
    <w:rsid w:val="00FF7827"/>
    <w:rsid w:val="00FF7F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c5c5ff,#dbe5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uiPriority="2"/>
    <w:lsdException w:name="heading 1" w:uiPriority="1" w:qFormat="1"/>
    <w:lsdException w:name="heading 2" w:uiPriority="1" w:qFormat="1"/>
    <w:lsdException w:name="heading 3"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qFormat="1"/>
    <w:lsdException w:name="annotation text" w:semiHidden="1"/>
    <w:lsdException w:name="footer" w:uiPriority="3"/>
    <w:lsdException w:name="index heading" w:semiHidden="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uiPriority="4"/>
    <w:lsdException w:name="List Bullet" w:semiHidden="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uiPriority="1" w:qFormat="1"/>
    <w:lsdException w:name="List Number 3" w:uiPriority="1" w:qFormat="1"/>
    <w:lsdException w:name="List Number 4" w:semiHidden="1"/>
    <w:lsdException w:name="List Number 5" w:semiHidden="1"/>
    <w:lsdException w:name="Title" w:qFormat="1"/>
    <w:lsdException w:name="Closing" w:semiHidden="1"/>
    <w:lsdException w:name="Signature" w:semiHidden="1"/>
    <w:lsdException w:name="Body Tex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3" w:semiHidden="1"/>
    <w:lsdException w:name="Block Text" w:semiHidden="1"/>
    <w:lsdException w:name="Hyperlink" w:uiPriority="99"/>
    <w:lsdException w:name="Strong" w:semiHidden="1" w:uiPriority="22" w:qFormat="1"/>
    <w:lsdException w:name="Emphasis" w:semiHidden="1"/>
    <w:lsdException w:name="Document Map" w:semiHidden="1"/>
    <w:lsdException w:name="Plain Text" w:semiHidden="1" w:uiPriority="99"/>
    <w:lsdException w:name="E-mail Signature" w:semiHidden="1"/>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uiPriority w:val="2"/>
    <w:rsid w:val="00FA2E10"/>
    <w:pPr>
      <w:spacing w:line="260" w:lineRule="atLeast"/>
    </w:pPr>
    <w:rPr>
      <w:rFonts w:cstheme="minorHAnsi"/>
      <w:color w:val="181818" w:themeColor="text1" w:themeTint="F2"/>
      <w:szCs w:val="22"/>
      <w:lang w:eastAsia="en-US"/>
    </w:rPr>
  </w:style>
  <w:style w:type="paragraph" w:styleId="Heading1">
    <w:name w:val="heading 1"/>
    <w:next w:val="BodyText"/>
    <w:link w:val="Heading1Char"/>
    <w:uiPriority w:val="1"/>
    <w:qFormat/>
    <w:rsid w:val="006D25F9"/>
    <w:pPr>
      <w:numPr>
        <w:numId w:val="14"/>
      </w:numPr>
      <w:spacing w:after="360"/>
      <w:ind w:left="1134" w:hanging="1134"/>
      <w:outlineLvl w:val="0"/>
    </w:pPr>
    <w:rPr>
      <w:rFonts w:ascii="Arial Rounded MT Bold" w:hAnsi="Arial Rounded MT Bold" w:cs="Arial"/>
      <w:color w:val="0000FF"/>
      <w:sz w:val="36"/>
      <w:szCs w:val="36"/>
      <w:lang w:eastAsia="en-US"/>
    </w:rPr>
  </w:style>
  <w:style w:type="paragraph" w:styleId="Heading2">
    <w:name w:val="heading 2"/>
    <w:next w:val="BodyText"/>
    <w:link w:val="Heading2Char"/>
    <w:uiPriority w:val="1"/>
    <w:qFormat/>
    <w:rsid w:val="006D25F9"/>
    <w:pPr>
      <w:numPr>
        <w:ilvl w:val="1"/>
        <w:numId w:val="14"/>
      </w:numPr>
      <w:spacing w:before="240" w:after="240"/>
      <w:ind w:left="1134" w:hanging="1134"/>
      <w:outlineLvl w:val="1"/>
    </w:pPr>
    <w:rPr>
      <w:rFonts w:ascii="Arial Rounded MT Bold" w:hAnsi="Arial Rounded MT Bold" w:cs="Arial"/>
      <w:color w:val="0000FF"/>
      <w:sz w:val="28"/>
      <w:szCs w:val="28"/>
      <w:lang w:eastAsia="en-US"/>
    </w:rPr>
  </w:style>
  <w:style w:type="paragraph" w:styleId="Heading3">
    <w:name w:val="heading 3"/>
    <w:next w:val="BodyText"/>
    <w:link w:val="Heading3Char"/>
    <w:qFormat/>
    <w:rsid w:val="006D25F9"/>
    <w:pPr>
      <w:numPr>
        <w:ilvl w:val="2"/>
        <w:numId w:val="14"/>
      </w:numPr>
      <w:spacing w:before="240" w:after="120"/>
      <w:ind w:left="1134" w:hanging="1134"/>
      <w:outlineLvl w:val="2"/>
    </w:pPr>
    <w:rPr>
      <w:rFonts w:ascii="Arial Rounded MT Bold" w:eastAsiaTheme="minorHAnsi" w:hAnsi="Arial Rounded MT Bold" w:cs="Arial"/>
      <w:color w:val="0000FF"/>
      <w:sz w:val="24"/>
      <w:szCs w:val="22"/>
      <w:lang w:eastAsia="en-US"/>
    </w:rPr>
  </w:style>
  <w:style w:type="paragraph" w:styleId="Heading4">
    <w:name w:val="heading 4"/>
    <w:basedOn w:val="Normal"/>
    <w:next w:val="Normal"/>
    <w:link w:val="Heading4Char"/>
    <w:semiHidden/>
    <w:rsid w:val="004D4E94"/>
    <w:pPr>
      <w:keepNext/>
      <w:numPr>
        <w:ilvl w:val="3"/>
        <w:numId w:val="14"/>
      </w:numPr>
      <w:spacing w:before="240" w:after="60"/>
      <w:outlineLvl w:val="3"/>
    </w:pPr>
    <w:rPr>
      <w:b/>
      <w:bCs/>
      <w:sz w:val="28"/>
      <w:szCs w:val="28"/>
    </w:rPr>
  </w:style>
  <w:style w:type="paragraph" w:styleId="Heading5">
    <w:name w:val="heading 5"/>
    <w:basedOn w:val="Normal"/>
    <w:next w:val="Normal"/>
    <w:link w:val="Heading5Char"/>
    <w:semiHidden/>
    <w:qFormat/>
    <w:rsid w:val="0031662B"/>
    <w:pPr>
      <w:keepNext/>
      <w:keepLines/>
      <w:numPr>
        <w:ilvl w:val="4"/>
        <w:numId w:val="14"/>
      </w:numPr>
      <w:spacing w:before="200"/>
      <w:outlineLvl w:val="4"/>
    </w:pPr>
    <w:rPr>
      <w:rFonts w:asciiTheme="majorHAnsi" w:eastAsiaTheme="majorEastAsia" w:hAnsiTheme="majorHAnsi" w:cstheme="majorBidi"/>
      <w:color w:val="000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rsid w:val="004D0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qFormat/>
    <w:rsid w:val="00DF7285"/>
    <w:pPr>
      <w:spacing w:after="60" w:line="180" w:lineRule="exact"/>
    </w:pPr>
    <w:rPr>
      <w:rFonts w:cs="Arial"/>
      <w:sz w:val="18"/>
      <w:szCs w:val="18"/>
    </w:rPr>
  </w:style>
  <w:style w:type="character" w:styleId="FootnoteReference">
    <w:name w:val="footnote reference"/>
    <w:basedOn w:val="DefaultParagraphFont"/>
    <w:semiHidden/>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uiPriority w:val="1"/>
    <w:qFormat/>
    <w:rsid w:val="00121BCA"/>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basedOn w:val="Normal"/>
    <w:next w:val="Normal"/>
    <w:semiHidden/>
    <w:rsid w:val="004D4E94"/>
    <w:pPr>
      <w:ind w:left="360"/>
    </w:pPr>
    <w:rPr>
      <w:rFonts w:ascii="Arial" w:hAnsi="Arial" w:cs="Arial"/>
      <w:i/>
      <w:iCs/>
      <w:sz w:val="18"/>
      <w:szCs w:val="20"/>
    </w:rPr>
  </w:style>
  <w:style w:type="table" w:styleId="TableList3">
    <w:name w:val="Table List 3"/>
    <w:basedOn w:val="TableNormal"/>
    <w:rsid w:val="004D0F1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4"/>
    <w:rsid w:val="00FB09FC"/>
    <w:rPr>
      <w:color w:val="0000FF" w:themeColor="accent1"/>
      <w:u w:val="single"/>
    </w:rPr>
  </w:style>
  <w:style w:type="paragraph" w:styleId="TOC1">
    <w:name w:val="toc 1"/>
    <w:next w:val="Normal"/>
    <w:autoRedefine/>
    <w:uiPriority w:val="39"/>
    <w:qFormat/>
    <w:rsid w:val="00BF5C5A"/>
    <w:pPr>
      <w:tabs>
        <w:tab w:val="right" w:leader="dot" w:pos="9346"/>
      </w:tabs>
      <w:spacing w:before="120" w:after="120"/>
      <w:ind w:left="426" w:hanging="426"/>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rsid w:val="009014A7"/>
    <w:pPr>
      <w:ind w:left="480"/>
    </w:pPr>
    <w:rPr>
      <w:i/>
      <w:iCs/>
      <w:szCs w:val="20"/>
    </w:rPr>
  </w:style>
  <w:style w:type="paragraph" w:styleId="TOC4">
    <w:name w:val="toc 4"/>
    <w:basedOn w:val="Normal"/>
    <w:next w:val="Normal"/>
    <w:autoRedefine/>
    <w:uiPriority w:val="39"/>
    <w:rsid w:val="009014A7"/>
    <w:pPr>
      <w:ind w:left="720"/>
    </w:pPr>
    <w:rPr>
      <w:sz w:val="18"/>
      <w:szCs w:val="18"/>
    </w:rPr>
  </w:style>
  <w:style w:type="paragraph" w:styleId="TOC5">
    <w:name w:val="toc 5"/>
    <w:basedOn w:val="Normal"/>
    <w:next w:val="Normal"/>
    <w:autoRedefine/>
    <w:uiPriority w:val="39"/>
    <w:rsid w:val="009014A7"/>
    <w:pPr>
      <w:ind w:left="960"/>
    </w:pPr>
    <w:rPr>
      <w:sz w:val="18"/>
      <w:szCs w:val="18"/>
    </w:rPr>
  </w:style>
  <w:style w:type="paragraph" w:styleId="TOC6">
    <w:name w:val="toc 6"/>
    <w:basedOn w:val="Normal"/>
    <w:next w:val="Normal"/>
    <w:autoRedefine/>
    <w:uiPriority w:val="39"/>
    <w:rsid w:val="009014A7"/>
    <w:pPr>
      <w:ind w:left="1200"/>
    </w:pPr>
    <w:rPr>
      <w:sz w:val="18"/>
      <w:szCs w:val="18"/>
    </w:rPr>
  </w:style>
  <w:style w:type="paragraph" w:styleId="TOC7">
    <w:name w:val="toc 7"/>
    <w:basedOn w:val="Normal"/>
    <w:next w:val="Normal"/>
    <w:autoRedefine/>
    <w:uiPriority w:val="39"/>
    <w:rsid w:val="009014A7"/>
    <w:pPr>
      <w:ind w:left="1440"/>
    </w:pPr>
    <w:rPr>
      <w:sz w:val="18"/>
      <w:szCs w:val="18"/>
    </w:rPr>
  </w:style>
  <w:style w:type="paragraph" w:styleId="TOC8">
    <w:name w:val="toc 8"/>
    <w:basedOn w:val="Normal"/>
    <w:next w:val="Normal"/>
    <w:autoRedefine/>
    <w:uiPriority w:val="39"/>
    <w:rsid w:val="009014A7"/>
    <w:pPr>
      <w:ind w:left="1680"/>
    </w:pPr>
    <w:rPr>
      <w:sz w:val="18"/>
      <w:szCs w:val="18"/>
    </w:rPr>
  </w:style>
  <w:style w:type="paragraph" w:styleId="TOC9">
    <w:name w:val="toc 9"/>
    <w:basedOn w:val="Normal"/>
    <w:next w:val="Normal"/>
    <w:autoRedefine/>
    <w:uiPriority w:val="39"/>
    <w:rsid w:val="009014A7"/>
    <w:pPr>
      <w:ind w:left="1920"/>
    </w:pPr>
    <w:rPr>
      <w:sz w:val="18"/>
      <w:szCs w:val="18"/>
    </w:rPr>
  </w:style>
  <w:style w:type="paragraph" w:styleId="NormalWeb">
    <w:name w:val="Normal (Web)"/>
    <w:basedOn w:val="Normal"/>
    <w:uiPriority w:val="99"/>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FB4820"/>
    <w:pPr>
      <w:tabs>
        <w:tab w:val="clear" w:pos="2835"/>
      </w:tabs>
      <w:spacing w:after="0"/>
      <w:ind w:left="1276" w:hanging="1276"/>
    </w:pPr>
    <w:rPr>
      <w:rFonts w:ascii="Calibri" w:hAnsi="Calibri" w:cs="Calibri"/>
      <w:sz w:val="22"/>
    </w:rPr>
  </w:style>
  <w:style w:type="paragraph" w:styleId="TableofFigures">
    <w:name w:val="table of figures"/>
    <w:basedOn w:val="Normal"/>
    <w:next w:val="Normal"/>
    <w:autoRedefine/>
    <w:uiPriority w:val="99"/>
    <w:rsid w:val="00330AD2"/>
    <w:pPr>
      <w:tabs>
        <w:tab w:val="left" w:pos="1134"/>
        <w:tab w:val="right" w:leader="dot" w:pos="9356"/>
      </w:tabs>
      <w:ind w:left="1134"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uiPriority w:val="1"/>
    <w:rsid w:val="00121BCA"/>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semiHidden/>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semiHidden/>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6"/>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rsid w:val="00F532EB"/>
    <w:pPr>
      <w:numPr>
        <w:numId w:val="2"/>
      </w:numPr>
    </w:pPr>
  </w:style>
  <w:style w:type="numbering" w:customStyle="1" w:styleId="BEList">
    <w:name w:val="BE_List"/>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2144EC"/>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2144EC"/>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F810CB"/>
    <w:pPr>
      <w:numPr>
        <w:numId w:val="6"/>
      </w:numPr>
      <w:pBdr>
        <w:bottom w:val="single" w:sz="4" w:space="1" w:color="0000FF"/>
      </w:pBdr>
    </w:pPr>
    <w:rPr>
      <w:rFonts w:ascii="Arial Rounded MT Bold" w:hAnsi="Arial Rounded MT Bold" w:cs="Arial"/>
      <w:color w:val="0000FF"/>
      <w:sz w:val="36"/>
      <w:szCs w:val="36"/>
      <w:lang w:eastAsia="en-US"/>
    </w:rPr>
  </w:style>
  <w:style w:type="character" w:customStyle="1" w:styleId="AppendixSectionnumberChar">
    <w:name w:val="Appendix Section number Char"/>
    <w:basedOn w:val="TitleChar"/>
    <w:link w:val="AppendixSectionnumber"/>
    <w:rsid w:val="00F810CB"/>
    <w:rPr>
      <w:rFonts w:ascii="Arial Rounded MT Bold" w:hAnsi="Arial Rounded MT Bold" w:cs="Arial"/>
      <w:b w:val="0"/>
      <w:color w:val="0000FF"/>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Ind w:w="57" w:type="dxa"/>
      <w:tbl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single" w:sz="4" w:space="0" w:color="7F7F7F" w:themeColor="background2"/>
      </w:tblBorders>
      <w:tblCellMar>
        <w:top w:w="28" w:type="dxa"/>
        <w:left w:w="57" w:type="dxa"/>
        <w:bottom w:w="28" w:type="dxa"/>
        <w:right w:w="57"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95632E"/>
    <w:pPr>
      <w:spacing w:before="80"/>
    </w:pPr>
    <w:rPr>
      <w:rFonts w:cs="Arial"/>
      <w:i/>
      <w:color w:val="0000FF"/>
      <w:sz w:val="22"/>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AF3776"/>
    <w:pPr>
      <w:numPr>
        <w:numId w:val="5"/>
      </w:numPr>
      <w:spacing w:before="80" w:line="240" w:lineRule="auto"/>
    </w:pPr>
    <w:rPr>
      <w:sz w:val="22"/>
    </w:rPr>
  </w:style>
  <w:style w:type="paragraph" w:styleId="ListNumber2">
    <w:name w:val="List Number 2"/>
    <w:basedOn w:val="Normal"/>
    <w:uiPriority w:val="1"/>
    <w:qFormat/>
    <w:rsid w:val="00F11E21"/>
    <w:pPr>
      <w:numPr>
        <w:ilvl w:val="1"/>
        <w:numId w:val="5"/>
      </w:numPr>
      <w:spacing w:line="240" w:lineRule="auto"/>
      <w:contextualSpacing/>
    </w:pPr>
    <w:rPr>
      <w:sz w:val="22"/>
    </w:rPr>
  </w:style>
  <w:style w:type="paragraph" w:styleId="ListNumber3">
    <w:name w:val="List Number 3"/>
    <w:basedOn w:val="Normal"/>
    <w:uiPriority w:val="1"/>
    <w:qFormat/>
    <w:rsid w:val="00F11E21"/>
    <w:pPr>
      <w:numPr>
        <w:ilvl w:val="2"/>
        <w:numId w:val="5"/>
      </w:num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character" w:customStyle="1" w:styleId="FootnoteTextChar">
    <w:name w:val="Footnote Text Char"/>
    <w:link w:val="FootnoteText"/>
    <w:semiHidden/>
    <w:locked/>
    <w:rsid w:val="009035F5"/>
    <w:rPr>
      <w:rFonts w:cs="Arial"/>
      <w:color w:val="181818" w:themeColor="text1" w:themeTint="F2"/>
      <w:sz w:val="18"/>
      <w:szCs w:val="18"/>
      <w:lang w:eastAsia="en-US"/>
    </w:rPr>
  </w:style>
  <w:style w:type="table" w:customStyle="1" w:styleId="BETable11">
    <w:name w:val="BE Table 11"/>
    <w:basedOn w:val="TableNormal"/>
    <w:uiPriority w:val="99"/>
    <w:qFormat/>
    <w:rsid w:val="00B165FA"/>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BETable12">
    <w:name w:val="BE Table 12"/>
    <w:basedOn w:val="TableNormal"/>
    <w:uiPriority w:val="99"/>
    <w:qFormat/>
    <w:rsid w:val="007D175C"/>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styleId="CommentReference">
    <w:name w:val="annotation reference"/>
    <w:basedOn w:val="DefaultParagraphFont"/>
    <w:semiHidden/>
    <w:rsid w:val="00560F0A"/>
    <w:rPr>
      <w:sz w:val="16"/>
      <w:szCs w:val="16"/>
    </w:rPr>
  </w:style>
  <w:style w:type="paragraph" w:styleId="CommentText">
    <w:name w:val="annotation text"/>
    <w:basedOn w:val="Normal"/>
    <w:link w:val="CommentTextChar"/>
    <w:semiHidden/>
    <w:rsid w:val="00560F0A"/>
    <w:pPr>
      <w:spacing w:line="240" w:lineRule="auto"/>
    </w:pPr>
    <w:rPr>
      <w:szCs w:val="20"/>
    </w:rPr>
  </w:style>
  <w:style w:type="character" w:customStyle="1" w:styleId="CommentTextChar">
    <w:name w:val="Comment Text Char"/>
    <w:basedOn w:val="DefaultParagraphFont"/>
    <w:link w:val="CommentText"/>
    <w:semiHidden/>
    <w:rsid w:val="00560F0A"/>
    <w:rPr>
      <w:rFonts w:cstheme="minorHAnsi"/>
      <w:color w:val="181818" w:themeColor="text1" w:themeTint="F2"/>
      <w:lang w:eastAsia="en-US"/>
    </w:rPr>
  </w:style>
  <w:style w:type="paragraph" w:styleId="CommentSubject">
    <w:name w:val="annotation subject"/>
    <w:basedOn w:val="CommentText"/>
    <w:next w:val="CommentText"/>
    <w:link w:val="CommentSubjectChar"/>
    <w:semiHidden/>
    <w:rsid w:val="00560F0A"/>
    <w:rPr>
      <w:b/>
      <w:bCs/>
    </w:rPr>
  </w:style>
  <w:style w:type="character" w:customStyle="1" w:styleId="CommentSubjectChar">
    <w:name w:val="Comment Subject Char"/>
    <w:basedOn w:val="CommentTextChar"/>
    <w:link w:val="CommentSubject"/>
    <w:semiHidden/>
    <w:rsid w:val="00560F0A"/>
    <w:rPr>
      <w:rFonts w:cstheme="minorHAnsi"/>
      <w:b/>
      <w:bCs/>
      <w:color w:val="181818" w:themeColor="text1" w:themeTint="F2"/>
      <w:lang w:eastAsia="en-US"/>
    </w:rPr>
  </w:style>
  <w:style w:type="character" w:customStyle="1" w:styleId="Heading3Char">
    <w:name w:val="Heading 3 Char"/>
    <w:basedOn w:val="DefaultParagraphFont"/>
    <w:link w:val="Heading3"/>
    <w:rsid w:val="006D25F9"/>
    <w:rPr>
      <w:rFonts w:ascii="Arial Rounded MT Bold" w:eastAsiaTheme="minorHAnsi" w:hAnsi="Arial Rounded MT Bold" w:cs="Arial"/>
      <w:color w:val="0000FF"/>
      <w:sz w:val="24"/>
      <w:szCs w:val="22"/>
      <w:lang w:eastAsia="en-US"/>
    </w:rPr>
  </w:style>
  <w:style w:type="character" w:customStyle="1" w:styleId="Heading2Char">
    <w:name w:val="Heading 2 Char"/>
    <w:basedOn w:val="DefaultParagraphFont"/>
    <w:link w:val="Heading2"/>
    <w:uiPriority w:val="1"/>
    <w:rsid w:val="006D25F9"/>
    <w:rPr>
      <w:rFonts w:ascii="Arial Rounded MT Bold" w:hAnsi="Arial Rounded MT Bold" w:cs="Arial"/>
      <w:color w:val="0000FF"/>
      <w:sz w:val="28"/>
      <w:szCs w:val="28"/>
      <w:lang w:eastAsia="en-US"/>
    </w:rPr>
  </w:style>
  <w:style w:type="character" w:customStyle="1" w:styleId="Heading1Char">
    <w:name w:val="Heading 1 Char"/>
    <w:basedOn w:val="DefaultParagraphFont"/>
    <w:link w:val="Heading1"/>
    <w:uiPriority w:val="1"/>
    <w:rsid w:val="006D25F9"/>
    <w:rPr>
      <w:rFonts w:ascii="Arial Rounded MT Bold" w:hAnsi="Arial Rounded MT Bold" w:cs="Arial"/>
      <w:color w:val="0000FF"/>
      <w:sz w:val="36"/>
      <w:szCs w:val="36"/>
      <w:lang w:eastAsia="en-US"/>
    </w:rPr>
  </w:style>
  <w:style w:type="table" w:customStyle="1" w:styleId="BETable13">
    <w:name w:val="BE Table 13"/>
    <w:basedOn w:val="TableNormal"/>
    <w:uiPriority w:val="99"/>
    <w:qFormat/>
    <w:rsid w:val="006751D0"/>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BETable14">
    <w:name w:val="BE Table 14"/>
    <w:basedOn w:val="TableNormal"/>
    <w:uiPriority w:val="99"/>
    <w:qFormat/>
    <w:rsid w:val="00463D78"/>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BETable15">
    <w:name w:val="BE Table 15"/>
    <w:basedOn w:val="TableNormal"/>
    <w:uiPriority w:val="99"/>
    <w:qFormat/>
    <w:rsid w:val="00E532F8"/>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paragraph" w:styleId="ListBullet">
    <w:name w:val="List Bullet"/>
    <w:basedOn w:val="Normal"/>
    <w:semiHidden/>
    <w:rsid w:val="00476889"/>
    <w:pPr>
      <w:contextualSpacing/>
    </w:pPr>
  </w:style>
  <w:style w:type="paragraph" w:styleId="Revision">
    <w:name w:val="Revision"/>
    <w:hidden/>
    <w:uiPriority w:val="99"/>
    <w:semiHidden/>
    <w:rsid w:val="00C2183F"/>
    <w:rPr>
      <w:rFonts w:cstheme="minorHAnsi"/>
      <w:color w:val="181818" w:themeColor="text1" w:themeTint="F2"/>
      <w:szCs w:val="22"/>
      <w:lang w:eastAsia="en-US"/>
    </w:rPr>
  </w:style>
  <w:style w:type="character" w:customStyle="1" w:styleId="st1">
    <w:name w:val="st1"/>
    <w:basedOn w:val="DefaultParagraphFont"/>
    <w:rsid w:val="000B64E1"/>
  </w:style>
  <w:style w:type="paragraph" w:customStyle="1" w:styleId="Monkey">
    <w:name w:val="Monkey"/>
    <w:basedOn w:val="Heading4"/>
    <w:link w:val="MonkeyChar"/>
    <w:uiPriority w:val="2"/>
    <w:qFormat/>
    <w:rsid w:val="003C0F31"/>
    <w:pPr>
      <w:numPr>
        <w:ilvl w:val="0"/>
        <w:numId w:val="0"/>
      </w:numPr>
      <w:spacing w:before="120" w:after="120"/>
    </w:pPr>
    <w:rPr>
      <w:color w:val="0000FF" w:themeColor="text2"/>
      <w:sz w:val="24"/>
      <w:szCs w:val="24"/>
    </w:rPr>
  </w:style>
  <w:style w:type="character" w:customStyle="1" w:styleId="Heading5Char">
    <w:name w:val="Heading 5 Char"/>
    <w:basedOn w:val="DefaultParagraphFont"/>
    <w:link w:val="Heading5"/>
    <w:semiHidden/>
    <w:rsid w:val="0031662B"/>
    <w:rPr>
      <w:rFonts w:asciiTheme="majorHAnsi" w:eastAsiaTheme="majorEastAsia" w:hAnsiTheme="majorHAnsi" w:cstheme="majorBidi"/>
      <w:color w:val="00007F" w:themeColor="accent1" w:themeShade="7F"/>
      <w:szCs w:val="22"/>
      <w:lang w:eastAsia="en-US"/>
    </w:rPr>
  </w:style>
  <w:style w:type="character" w:customStyle="1" w:styleId="Heading4Char">
    <w:name w:val="Heading 4 Char"/>
    <w:basedOn w:val="DefaultParagraphFont"/>
    <w:link w:val="Heading4"/>
    <w:semiHidden/>
    <w:rsid w:val="00E63F7B"/>
    <w:rPr>
      <w:rFonts w:cstheme="minorHAnsi"/>
      <w:b/>
      <w:bCs/>
      <w:color w:val="181818" w:themeColor="text1" w:themeTint="F2"/>
      <w:sz w:val="28"/>
      <w:szCs w:val="28"/>
      <w:lang w:eastAsia="en-US"/>
    </w:rPr>
  </w:style>
  <w:style w:type="character" w:customStyle="1" w:styleId="MonkeyChar">
    <w:name w:val="Monkey Char"/>
    <w:basedOn w:val="Heading4Char"/>
    <w:link w:val="Monkey"/>
    <w:uiPriority w:val="2"/>
    <w:rsid w:val="003C0F31"/>
    <w:rPr>
      <w:rFonts w:cstheme="minorHAnsi"/>
      <w:b/>
      <w:bCs/>
      <w:color w:val="0000FF" w:themeColor="text2"/>
      <w:sz w:val="24"/>
      <w:szCs w:val="24"/>
      <w:lang w:eastAsia="en-US"/>
    </w:rPr>
  </w:style>
  <w:style w:type="paragraph" w:customStyle="1" w:styleId="Monkey2">
    <w:name w:val="Monkey 2"/>
    <w:basedOn w:val="Heading5"/>
    <w:link w:val="Monkey2Char"/>
    <w:uiPriority w:val="2"/>
    <w:qFormat/>
    <w:rsid w:val="0060479A"/>
    <w:pPr>
      <w:numPr>
        <w:ilvl w:val="0"/>
        <w:numId w:val="0"/>
      </w:numPr>
      <w:spacing w:before="0"/>
    </w:pPr>
    <w:rPr>
      <w:rFonts w:asciiTheme="minorHAnsi" w:hAnsiTheme="minorHAnsi"/>
      <w:i/>
      <w:color w:val="0000FF" w:themeColor="text2"/>
    </w:rPr>
  </w:style>
  <w:style w:type="character" w:customStyle="1" w:styleId="Monkey2Char">
    <w:name w:val="Monkey 2 Char"/>
    <w:basedOn w:val="Heading5Char"/>
    <w:link w:val="Monkey2"/>
    <w:uiPriority w:val="2"/>
    <w:rsid w:val="0060479A"/>
    <w:rPr>
      <w:rFonts w:asciiTheme="minorHAnsi" w:eastAsiaTheme="majorEastAsia" w:hAnsiTheme="minorHAnsi" w:cstheme="majorBidi"/>
      <w:i/>
      <w:color w:val="0000FF" w:themeColor="text2"/>
      <w:szCs w:val="22"/>
      <w:lang w:eastAsia="en-US"/>
    </w:rPr>
  </w:style>
  <w:style w:type="paragraph" w:styleId="PlainText">
    <w:name w:val="Plain Text"/>
    <w:basedOn w:val="Normal"/>
    <w:link w:val="PlainTextChar"/>
    <w:uiPriority w:val="99"/>
    <w:semiHidden/>
    <w:unhideWhenUsed/>
    <w:rsid w:val="00A771DC"/>
    <w:pPr>
      <w:spacing w:line="240" w:lineRule="auto"/>
    </w:pPr>
    <w:rPr>
      <w:rFonts w:eastAsiaTheme="minorHAnsi" w:cs="Times New Roman"/>
      <w:color w:val="auto"/>
      <w:sz w:val="22"/>
    </w:rPr>
  </w:style>
  <w:style w:type="character" w:customStyle="1" w:styleId="PlainTextChar">
    <w:name w:val="Plain Text Char"/>
    <w:basedOn w:val="DefaultParagraphFont"/>
    <w:link w:val="PlainText"/>
    <w:uiPriority w:val="99"/>
    <w:semiHidden/>
    <w:rsid w:val="00A771DC"/>
    <w:rPr>
      <w:rFonts w:eastAsiaTheme="minorHAnsi"/>
      <w:sz w:val="22"/>
      <w:szCs w:val="22"/>
      <w:lang w:eastAsia="en-US"/>
    </w:rPr>
  </w:style>
  <w:style w:type="paragraph" w:styleId="NoSpacing">
    <w:name w:val="No Spacing"/>
    <w:uiPriority w:val="1"/>
    <w:qFormat/>
    <w:rsid w:val="001179F0"/>
    <w:rPr>
      <w:rFonts w:eastAsia="Calibri"/>
      <w:sz w:val="22"/>
      <w:szCs w:val="22"/>
      <w:lang w:eastAsia="en-US"/>
    </w:rPr>
  </w:style>
  <w:style w:type="character" w:styleId="Strong">
    <w:name w:val="Strong"/>
    <w:uiPriority w:val="22"/>
    <w:qFormat/>
    <w:rsid w:val="001179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uiPriority="2"/>
    <w:lsdException w:name="heading 1" w:uiPriority="1" w:qFormat="1"/>
    <w:lsdException w:name="heading 2" w:uiPriority="1" w:qFormat="1"/>
    <w:lsdException w:name="heading 3"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qFormat="1"/>
    <w:lsdException w:name="annotation text" w:semiHidden="1"/>
    <w:lsdException w:name="footer" w:uiPriority="3"/>
    <w:lsdException w:name="index heading" w:semiHidden="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uiPriority="4"/>
    <w:lsdException w:name="List Bullet" w:semiHidden="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uiPriority="1" w:qFormat="1"/>
    <w:lsdException w:name="List Number 3" w:uiPriority="1" w:qFormat="1"/>
    <w:lsdException w:name="List Number 4" w:semiHidden="1"/>
    <w:lsdException w:name="List Number 5" w:semiHidden="1"/>
    <w:lsdException w:name="Title" w:qFormat="1"/>
    <w:lsdException w:name="Closing" w:semiHidden="1"/>
    <w:lsdException w:name="Signature" w:semiHidden="1"/>
    <w:lsdException w:name="Body Tex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3" w:semiHidden="1"/>
    <w:lsdException w:name="Block Text" w:semiHidden="1"/>
    <w:lsdException w:name="Hyperlink" w:uiPriority="99"/>
    <w:lsdException w:name="Strong" w:semiHidden="1" w:uiPriority="22" w:qFormat="1"/>
    <w:lsdException w:name="Emphasis" w:semiHidden="1"/>
    <w:lsdException w:name="Document Map" w:semiHidden="1"/>
    <w:lsdException w:name="Plain Text" w:semiHidden="1" w:uiPriority="99"/>
    <w:lsdException w:name="E-mail Signature" w:semiHidden="1"/>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uiPriority w:val="2"/>
    <w:rsid w:val="00FA2E10"/>
    <w:pPr>
      <w:spacing w:line="260" w:lineRule="atLeast"/>
    </w:pPr>
    <w:rPr>
      <w:rFonts w:cstheme="minorHAnsi"/>
      <w:color w:val="181818" w:themeColor="text1" w:themeTint="F2"/>
      <w:szCs w:val="22"/>
      <w:lang w:eastAsia="en-US"/>
    </w:rPr>
  </w:style>
  <w:style w:type="paragraph" w:styleId="Heading1">
    <w:name w:val="heading 1"/>
    <w:next w:val="BodyText"/>
    <w:link w:val="Heading1Char"/>
    <w:uiPriority w:val="1"/>
    <w:qFormat/>
    <w:rsid w:val="006D25F9"/>
    <w:pPr>
      <w:numPr>
        <w:numId w:val="14"/>
      </w:numPr>
      <w:spacing w:after="360"/>
      <w:ind w:left="1134" w:hanging="1134"/>
      <w:outlineLvl w:val="0"/>
    </w:pPr>
    <w:rPr>
      <w:rFonts w:ascii="Arial Rounded MT Bold" w:hAnsi="Arial Rounded MT Bold" w:cs="Arial"/>
      <w:color w:val="0000FF"/>
      <w:sz w:val="36"/>
      <w:szCs w:val="36"/>
      <w:lang w:eastAsia="en-US"/>
    </w:rPr>
  </w:style>
  <w:style w:type="paragraph" w:styleId="Heading2">
    <w:name w:val="heading 2"/>
    <w:next w:val="BodyText"/>
    <w:link w:val="Heading2Char"/>
    <w:uiPriority w:val="1"/>
    <w:qFormat/>
    <w:rsid w:val="006D25F9"/>
    <w:pPr>
      <w:numPr>
        <w:ilvl w:val="1"/>
        <w:numId w:val="14"/>
      </w:numPr>
      <w:spacing w:before="240" w:after="240"/>
      <w:ind w:left="1134" w:hanging="1134"/>
      <w:outlineLvl w:val="1"/>
    </w:pPr>
    <w:rPr>
      <w:rFonts w:ascii="Arial Rounded MT Bold" w:hAnsi="Arial Rounded MT Bold" w:cs="Arial"/>
      <w:color w:val="0000FF"/>
      <w:sz w:val="28"/>
      <w:szCs w:val="28"/>
      <w:lang w:eastAsia="en-US"/>
    </w:rPr>
  </w:style>
  <w:style w:type="paragraph" w:styleId="Heading3">
    <w:name w:val="heading 3"/>
    <w:next w:val="BodyText"/>
    <w:link w:val="Heading3Char"/>
    <w:qFormat/>
    <w:rsid w:val="006D25F9"/>
    <w:pPr>
      <w:numPr>
        <w:ilvl w:val="2"/>
        <w:numId w:val="14"/>
      </w:numPr>
      <w:spacing w:before="240" w:after="120"/>
      <w:ind w:left="1134" w:hanging="1134"/>
      <w:outlineLvl w:val="2"/>
    </w:pPr>
    <w:rPr>
      <w:rFonts w:ascii="Arial Rounded MT Bold" w:eastAsiaTheme="minorHAnsi" w:hAnsi="Arial Rounded MT Bold" w:cs="Arial"/>
      <w:color w:val="0000FF"/>
      <w:sz w:val="24"/>
      <w:szCs w:val="22"/>
      <w:lang w:eastAsia="en-US"/>
    </w:rPr>
  </w:style>
  <w:style w:type="paragraph" w:styleId="Heading4">
    <w:name w:val="heading 4"/>
    <w:basedOn w:val="Normal"/>
    <w:next w:val="Normal"/>
    <w:link w:val="Heading4Char"/>
    <w:semiHidden/>
    <w:rsid w:val="004D4E94"/>
    <w:pPr>
      <w:keepNext/>
      <w:numPr>
        <w:ilvl w:val="3"/>
        <w:numId w:val="14"/>
      </w:numPr>
      <w:spacing w:before="240" w:after="60"/>
      <w:outlineLvl w:val="3"/>
    </w:pPr>
    <w:rPr>
      <w:b/>
      <w:bCs/>
      <w:sz w:val="28"/>
      <w:szCs w:val="28"/>
    </w:rPr>
  </w:style>
  <w:style w:type="paragraph" w:styleId="Heading5">
    <w:name w:val="heading 5"/>
    <w:basedOn w:val="Normal"/>
    <w:next w:val="Normal"/>
    <w:link w:val="Heading5Char"/>
    <w:semiHidden/>
    <w:qFormat/>
    <w:rsid w:val="0031662B"/>
    <w:pPr>
      <w:keepNext/>
      <w:keepLines/>
      <w:numPr>
        <w:ilvl w:val="4"/>
        <w:numId w:val="14"/>
      </w:numPr>
      <w:spacing w:before="200"/>
      <w:outlineLvl w:val="4"/>
    </w:pPr>
    <w:rPr>
      <w:rFonts w:asciiTheme="majorHAnsi" w:eastAsiaTheme="majorEastAsia" w:hAnsiTheme="majorHAnsi" w:cstheme="majorBidi"/>
      <w:color w:val="000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rsid w:val="004D0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qFormat/>
    <w:rsid w:val="00DF7285"/>
    <w:pPr>
      <w:spacing w:after="60" w:line="180" w:lineRule="exact"/>
    </w:pPr>
    <w:rPr>
      <w:rFonts w:cs="Arial"/>
      <w:sz w:val="18"/>
      <w:szCs w:val="18"/>
    </w:rPr>
  </w:style>
  <w:style w:type="character" w:styleId="FootnoteReference">
    <w:name w:val="footnote reference"/>
    <w:basedOn w:val="DefaultParagraphFont"/>
    <w:semiHidden/>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uiPriority w:val="1"/>
    <w:qFormat/>
    <w:rsid w:val="00121BCA"/>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basedOn w:val="Normal"/>
    <w:next w:val="Normal"/>
    <w:semiHidden/>
    <w:rsid w:val="004D4E94"/>
    <w:pPr>
      <w:ind w:left="360"/>
    </w:pPr>
    <w:rPr>
      <w:rFonts w:ascii="Arial" w:hAnsi="Arial" w:cs="Arial"/>
      <w:i/>
      <w:iCs/>
      <w:sz w:val="18"/>
      <w:szCs w:val="20"/>
    </w:rPr>
  </w:style>
  <w:style w:type="table" w:styleId="TableList3">
    <w:name w:val="Table List 3"/>
    <w:basedOn w:val="TableNormal"/>
    <w:rsid w:val="004D0F1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4"/>
    <w:rsid w:val="00FB09FC"/>
    <w:rPr>
      <w:color w:val="0000FF" w:themeColor="accent1"/>
      <w:u w:val="single"/>
    </w:rPr>
  </w:style>
  <w:style w:type="paragraph" w:styleId="TOC1">
    <w:name w:val="toc 1"/>
    <w:next w:val="Normal"/>
    <w:autoRedefine/>
    <w:uiPriority w:val="39"/>
    <w:qFormat/>
    <w:rsid w:val="00BF5C5A"/>
    <w:pPr>
      <w:tabs>
        <w:tab w:val="right" w:leader="dot" w:pos="9346"/>
      </w:tabs>
      <w:spacing w:before="120" w:after="120"/>
      <w:ind w:left="426" w:hanging="426"/>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rsid w:val="009014A7"/>
    <w:pPr>
      <w:ind w:left="480"/>
    </w:pPr>
    <w:rPr>
      <w:i/>
      <w:iCs/>
      <w:szCs w:val="20"/>
    </w:rPr>
  </w:style>
  <w:style w:type="paragraph" w:styleId="TOC4">
    <w:name w:val="toc 4"/>
    <w:basedOn w:val="Normal"/>
    <w:next w:val="Normal"/>
    <w:autoRedefine/>
    <w:uiPriority w:val="39"/>
    <w:rsid w:val="009014A7"/>
    <w:pPr>
      <w:ind w:left="720"/>
    </w:pPr>
    <w:rPr>
      <w:sz w:val="18"/>
      <w:szCs w:val="18"/>
    </w:rPr>
  </w:style>
  <w:style w:type="paragraph" w:styleId="TOC5">
    <w:name w:val="toc 5"/>
    <w:basedOn w:val="Normal"/>
    <w:next w:val="Normal"/>
    <w:autoRedefine/>
    <w:uiPriority w:val="39"/>
    <w:rsid w:val="009014A7"/>
    <w:pPr>
      <w:ind w:left="960"/>
    </w:pPr>
    <w:rPr>
      <w:sz w:val="18"/>
      <w:szCs w:val="18"/>
    </w:rPr>
  </w:style>
  <w:style w:type="paragraph" w:styleId="TOC6">
    <w:name w:val="toc 6"/>
    <w:basedOn w:val="Normal"/>
    <w:next w:val="Normal"/>
    <w:autoRedefine/>
    <w:uiPriority w:val="39"/>
    <w:rsid w:val="009014A7"/>
    <w:pPr>
      <w:ind w:left="1200"/>
    </w:pPr>
    <w:rPr>
      <w:sz w:val="18"/>
      <w:szCs w:val="18"/>
    </w:rPr>
  </w:style>
  <w:style w:type="paragraph" w:styleId="TOC7">
    <w:name w:val="toc 7"/>
    <w:basedOn w:val="Normal"/>
    <w:next w:val="Normal"/>
    <w:autoRedefine/>
    <w:uiPriority w:val="39"/>
    <w:rsid w:val="009014A7"/>
    <w:pPr>
      <w:ind w:left="1440"/>
    </w:pPr>
    <w:rPr>
      <w:sz w:val="18"/>
      <w:szCs w:val="18"/>
    </w:rPr>
  </w:style>
  <w:style w:type="paragraph" w:styleId="TOC8">
    <w:name w:val="toc 8"/>
    <w:basedOn w:val="Normal"/>
    <w:next w:val="Normal"/>
    <w:autoRedefine/>
    <w:uiPriority w:val="39"/>
    <w:rsid w:val="009014A7"/>
    <w:pPr>
      <w:ind w:left="1680"/>
    </w:pPr>
    <w:rPr>
      <w:sz w:val="18"/>
      <w:szCs w:val="18"/>
    </w:rPr>
  </w:style>
  <w:style w:type="paragraph" w:styleId="TOC9">
    <w:name w:val="toc 9"/>
    <w:basedOn w:val="Normal"/>
    <w:next w:val="Normal"/>
    <w:autoRedefine/>
    <w:uiPriority w:val="39"/>
    <w:rsid w:val="009014A7"/>
    <w:pPr>
      <w:ind w:left="1920"/>
    </w:pPr>
    <w:rPr>
      <w:sz w:val="18"/>
      <w:szCs w:val="18"/>
    </w:rPr>
  </w:style>
  <w:style w:type="paragraph" w:styleId="NormalWeb">
    <w:name w:val="Normal (Web)"/>
    <w:basedOn w:val="Normal"/>
    <w:uiPriority w:val="99"/>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FB4820"/>
    <w:pPr>
      <w:tabs>
        <w:tab w:val="clear" w:pos="2835"/>
      </w:tabs>
      <w:spacing w:after="0"/>
      <w:ind w:left="1276" w:hanging="1276"/>
    </w:pPr>
    <w:rPr>
      <w:rFonts w:ascii="Calibri" w:hAnsi="Calibri" w:cs="Calibri"/>
      <w:sz w:val="22"/>
    </w:rPr>
  </w:style>
  <w:style w:type="paragraph" w:styleId="TableofFigures">
    <w:name w:val="table of figures"/>
    <w:basedOn w:val="Normal"/>
    <w:next w:val="Normal"/>
    <w:autoRedefine/>
    <w:uiPriority w:val="99"/>
    <w:rsid w:val="00330AD2"/>
    <w:pPr>
      <w:tabs>
        <w:tab w:val="left" w:pos="1134"/>
        <w:tab w:val="right" w:leader="dot" w:pos="9356"/>
      </w:tabs>
      <w:ind w:left="1134"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uiPriority w:val="1"/>
    <w:rsid w:val="00121BCA"/>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semiHidden/>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semiHidden/>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6"/>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rsid w:val="00F532EB"/>
    <w:pPr>
      <w:numPr>
        <w:numId w:val="2"/>
      </w:numPr>
    </w:pPr>
  </w:style>
  <w:style w:type="numbering" w:customStyle="1" w:styleId="BEList">
    <w:name w:val="BE_List"/>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2144EC"/>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2144EC"/>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F810CB"/>
    <w:pPr>
      <w:numPr>
        <w:numId w:val="6"/>
      </w:numPr>
      <w:pBdr>
        <w:bottom w:val="single" w:sz="4" w:space="1" w:color="0000FF"/>
      </w:pBdr>
    </w:pPr>
    <w:rPr>
      <w:rFonts w:ascii="Arial Rounded MT Bold" w:hAnsi="Arial Rounded MT Bold" w:cs="Arial"/>
      <w:color w:val="0000FF"/>
      <w:sz w:val="36"/>
      <w:szCs w:val="36"/>
      <w:lang w:eastAsia="en-US"/>
    </w:rPr>
  </w:style>
  <w:style w:type="character" w:customStyle="1" w:styleId="AppendixSectionnumberChar">
    <w:name w:val="Appendix Section number Char"/>
    <w:basedOn w:val="TitleChar"/>
    <w:link w:val="AppendixSectionnumber"/>
    <w:rsid w:val="00F810CB"/>
    <w:rPr>
      <w:rFonts w:ascii="Arial Rounded MT Bold" w:hAnsi="Arial Rounded MT Bold" w:cs="Arial"/>
      <w:b w:val="0"/>
      <w:color w:val="0000FF"/>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Ind w:w="57" w:type="dxa"/>
      <w:tbl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single" w:sz="4" w:space="0" w:color="7F7F7F" w:themeColor="background2"/>
      </w:tblBorders>
      <w:tblCellMar>
        <w:top w:w="28" w:type="dxa"/>
        <w:left w:w="57" w:type="dxa"/>
        <w:bottom w:w="28" w:type="dxa"/>
        <w:right w:w="57"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95632E"/>
    <w:pPr>
      <w:spacing w:before="80"/>
    </w:pPr>
    <w:rPr>
      <w:rFonts w:cs="Arial"/>
      <w:i/>
      <w:color w:val="0000FF"/>
      <w:sz w:val="22"/>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AF3776"/>
    <w:pPr>
      <w:numPr>
        <w:numId w:val="5"/>
      </w:numPr>
      <w:spacing w:before="80" w:line="240" w:lineRule="auto"/>
    </w:pPr>
    <w:rPr>
      <w:sz w:val="22"/>
    </w:rPr>
  </w:style>
  <w:style w:type="paragraph" w:styleId="ListNumber2">
    <w:name w:val="List Number 2"/>
    <w:basedOn w:val="Normal"/>
    <w:uiPriority w:val="1"/>
    <w:qFormat/>
    <w:rsid w:val="00F11E21"/>
    <w:pPr>
      <w:numPr>
        <w:ilvl w:val="1"/>
        <w:numId w:val="5"/>
      </w:numPr>
      <w:spacing w:line="240" w:lineRule="auto"/>
      <w:contextualSpacing/>
    </w:pPr>
    <w:rPr>
      <w:sz w:val="22"/>
    </w:rPr>
  </w:style>
  <w:style w:type="paragraph" w:styleId="ListNumber3">
    <w:name w:val="List Number 3"/>
    <w:basedOn w:val="Normal"/>
    <w:uiPriority w:val="1"/>
    <w:qFormat/>
    <w:rsid w:val="00F11E21"/>
    <w:pPr>
      <w:numPr>
        <w:ilvl w:val="2"/>
        <w:numId w:val="5"/>
      </w:num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character" w:customStyle="1" w:styleId="FootnoteTextChar">
    <w:name w:val="Footnote Text Char"/>
    <w:link w:val="FootnoteText"/>
    <w:semiHidden/>
    <w:locked/>
    <w:rsid w:val="009035F5"/>
    <w:rPr>
      <w:rFonts w:cs="Arial"/>
      <w:color w:val="181818" w:themeColor="text1" w:themeTint="F2"/>
      <w:sz w:val="18"/>
      <w:szCs w:val="18"/>
      <w:lang w:eastAsia="en-US"/>
    </w:rPr>
  </w:style>
  <w:style w:type="table" w:customStyle="1" w:styleId="BETable11">
    <w:name w:val="BE Table 11"/>
    <w:basedOn w:val="TableNormal"/>
    <w:uiPriority w:val="99"/>
    <w:qFormat/>
    <w:rsid w:val="00B165FA"/>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BETable12">
    <w:name w:val="BE Table 12"/>
    <w:basedOn w:val="TableNormal"/>
    <w:uiPriority w:val="99"/>
    <w:qFormat/>
    <w:rsid w:val="007D175C"/>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styleId="CommentReference">
    <w:name w:val="annotation reference"/>
    <w:basedOn w:val="DefaultParagraphFont"/>
    <w:semiHidden/>
    <w:rsid w:val="00560F0A"/>
    <w:rPr>
      <w:sz w:val="16"/>
      <w:szCs w:val="16"/>
    </w:rPr>
  </w:style>
  <w:style w:type="paragraph" w:styleId="CommentText">
    <w:name w:val="annotation text"/>
    <w:basedOn w:val="Normal"/>
    <w:link w:val="CommentTextChar"/>
    <w:semiHidden/>
    <w:rsid w:val="00560F0A"/>
    <w:pPr>
      <w:spacing w:line="240" w:lineRule="auto"/>
    </w:pPr>
    <w:rPr>
      <w:szCs w:val="20"/>
    </w:rPr>
  </w:style>
  <w:style w:type="character" w:customStyle="1" w:styleId="CommentTextChar">
    <w:name w:val="Comment Text Char"/>
    <w:basedOn w:val="DefaultParagraphFont"/>
    <w:link w:val="CommentText"/>
    <w:semiHidden/>
    <w:rsid w:val="00560F0A"/>
    <w:rPr>
      <w:rFonts w:cstheme="minorHAnsi"/>
      <w:color w:val="181818" w:themeColor="text1" w:themeTint="F2"/>
      <w:lang w:eastAsia="en-US"/>
    </w:rPr>
  </w:style>
  <w:style w:type="paragraph" w:styleId="CommentSubject">
    <w:name w:val="annotation subject"/>
    <w:basedOn w:val="CommentText"/>
    <w:next w:val="CommentText"/>
    <w:link w:val="CommentSubjectChar"/>
    <w:semiHidden/>
    <w:rsid w:val="00560F0A"/>
    <w:rPr>
      <w:b/>
      <w:bCs/>
    </w:rPr>
  </w:style>
  <w:style w:type="character" w:customStyle="1" w:styleId="CommentSubjectChar">
    <w:name w:val="Comment Subject Char"/>
    <w:basedOn w:val="CommentTextChar"/>
    <w:link w:val="CommentSubject"/>
    <w:semiHidden/>
    <w:rsid w:val="00560F0A"/>
    <w:rPr>
      <w:rFonts w:cstheme="minorHAnsi"/>
      <w:b/>
      <w:bCs/>
      <w:color w:val="181818" w:themeColor="text1" w:themeTint="F2"/>
      <w:lang w:eastAsia="en-US"/>
    </w:rPr>
  </w:style>
  <w:style w:type="character" w:customStyle="1" w:styleId="Heading3Char">
    <w:name w:val="Heading 3 Char"/>
    <w:basedOn w:val="DefaultParagraphFont"/>
    <w:link w:val="Heading3"/>
    <w:rsid w:val="006D25F9"/>
    <w:rPr>
      <w:rFonts w:ascii="Arial Rounded MT Bold" w:eastAsiaTheme="minorHAnsi" w:hAnsi="Arial Rounded MT Bold" w:cs="Arial"/>
      <w:color w:val="0000FF"/>
      <w:sz w:val="24"/>
      <w:szCs w:val="22"/>
      <w:lang w:eastAsia="en-US"/>
    </w:rPr>
  </w:style>
  <w:style w:type="character" w:customStyle="1" w:styleId="Heading2Char">
    <w:name w:val="Heading 2 Char"/>
    <w:basedOn w:val="DefaultParagraphFont"/>
    <w:link w:val="Heading2"/>
    <w:uiPriority w:val="1"/>
    <w:rsid w:val="006D25F9"/>
    <w:rPr>
      <w:rFonts w:ascii="Arial Rounded MT Bold" w:hAnsi="Arial Rounded MT Bold" w:cs="Arial"/>
      <w:color w:val="0000FF"/>
      <w:sz w:val="28"/>
      <w:szCs w:val="28"/>
      <w:lang w:eastAsia="en-US"/>
    </w:rPr>
  </w:style>
  <w:style w:type="character" w:customStyle="1" w:styleId="Heading1Char">
    <w:name w:val="Heading 1 Char"/>
    <w:basedOn w:val="DefaultParagraphFont"/>
    <w:link w:val="Heading1"/>
    <w:uiPriority w:val="1"/>
    <w:rsid w:val="006D25F9"/>
    <w:rPr>
      <w:rFonts w:ascii="Arial Rounded MT Bold" w:hAnsi="Arial Rounded MT Bold" w:cs="Arial"/>
      <w:color w:val="0000FF"/>
      <w:sz w:val="36"/>
      <w:szCs w:val="36"/>
      <w:lang w:eastAsia="en-US"/>
    </w:rPr>
  </w:style>
  <w:style w:type="table" w:customStyle="1" w:styleId="BETable13">
    <w:name w:val="BE Table 13"/>
    <w:basedOn w:val="TableNormal"/>
    <w:uiPriority w:val="99"/>
    <w:qFormat/>
    <w:rsid w:val="006751D0"/>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BETable14">
    <w:name w:val="BE Table 14"/>
    <w:basedOn w:val="TableNormal"/>
    <w:uiPriority w:val="99"/>
    <w:qFormat/>
    <w:rsid w:val="00463D78"/>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BETable15">
    <w:name w:val="BE Table 15"/>
    <w:basedOn w:val="TableNormal"/>
    <w:uiPriority w:val="99"/>
    <w:qFormat/>
    <w:rsid w:val="00E532F8"/>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paragraph" w:styleId="ListBullet">
    <w:name w:val="List Bullet"/>
    <w:basedOn w:val="Normal"/>
    <w:semiHidden/>
    <w:rsid w:val="00476889"/>
    <w:pPr>
      <w:contextualSpacing/>
    </w:pPr>
  </w:style>
  <w:style w:type="paragraph" w:styleId="Revision">
    <w:name w:val="Revision"/>
    <w:hidden/>
    <w:uiPriority w:val="99"/>
    <w:semiHidden/>
    <w:rsid w:val="00C2183F"/>
    <w:rPr>
      <w:rFonts w:cstheme="minorHAnsi"/>
      <w:color w:val="181818" w:themeColor="text1" w:themeTint="F2"/>
      <w:szCs w:val="22"/>
      <w:lang w:eastAsia="en-US"/>
    </w:rPr>
  </w:style>
  <w:style w:type="character" w:customStyle="1" w:styleId="st1">
    <w:name w:val="st1"/>
    <w:basedOn w:val="DefaultParagraphFont"/>
    <w:rsid w:val="000B64E1"/>
  </w:style>
  <w:style w:type="paragraph" w:customStyle="1" w:styleId="Monkey">
    <w:name w:val="Monkey"/>
    <w:basedOn w:val="Heading4"/>
    <w:link w:val="MonkeyChar"/>
    <w:uiPriority w:val="2"/>
    <w:qFormat/>
    <w:rsid w:val="003C0F31"/>
    <w:pPr>
      <w:numPr>
        <w:ilvl w:val="0"/>
        <w:numId w:val="0"/>
      </w:numPr>
      <w:spacing w:before="120" w:after="120"/>
    </w:pPr>
    <w:rPr>
      <w:color w:val="0000FF" w:themeColor="text2"/>
      <w:sz w:val="24"/>
      <w:szCs w:val="24"/>
    </w:rPr>
  </w:style>
  <w:style w:type="character" w:customStyle="1" w:styleId="Heading5Char">
    <w:name w:val="Heading 5 Char"/>
    <w:basedOn w:val="DefaultParagraphFont"/>
    <w:link w:val="Heading5"/>
    <w:semiHidden/>
    <w:rsid w:val="0031662B"/>
    <w:rPr>
      <w:rFonts w:asciiTheme="majorHAnsi" w:eastAsiaTheme="majorEastAsia" w:hAnsiTheme="majorHAnsi" w:cstheme="majorBidi"/>
      <w:color w:val="00007F" w:themeColor="accent1" w:themeShade="7F"/>
      <w:szCs w:val="22"/>
      <w:lang w:eastAsia="en-US"/>
    </w:rPr>
  </w:style>
  <w:style w:type="character" w:customStyle="1" w:styleId="Heading4Char">
    <w:name w:val="Heading 4 Char"/>
    <w:basedOn w:val="DefaultParagraphFont"/>
    <w:link w:val="Heading4"/>
    <w:semiHidden/>
    <w:rsid w:val="00E63F7B"/>
    <w:rPr>
      <w:rFonts w:cstheme="minorHAnsi"/>
      <w:b/>
      <w:bCs/>
      <w:color w:val="181818" w:themeColor="text1" w:themeTint="F2"/>
      <w:sz w:val="28"/>
      <w:szCs w:val="28"/>
      <w:lang w:eastAsia="en-US"/>
    </w:rPr>
  </w:style>
  <w:style w:type="character" w:customStyle="1" w:styleId="MonkeyChar">
    <w:name w:val="Monkey Char"/>
    <w:basedOn w:val="Heading4Char"/>
    <w:link w:val="Monkey"/>
    <w:uiPriority w:val="2"/>
    <w:rsid w:val="003C0F31"/>
    <w:rPr>
      <w:rFonts w:cstheme="minorHAnsi"/>
      <w:b/>
      <w:bCs/>
      <w:color w:val="0000FF" w:themeColor="text2"/>
      <w:sz w:val="24"/>
      <w:szCs w:val="24"/>
      <w:lang w:eastAsia="en-US"/>
    </w:rPr>
  </w:style>
  <w:style w:type="paragraph" w:customStyle="1" w:styleId="Monkey2">
    <w:name w:val="Monkey 2"/>
    <w:basedOn w:val="Heading5"/>
    <w:link w:val="Monkey2Char"/>
    <w:uiPriority w:val="2"/>
    <w:qFormat/>
    <w:rsid w:val="0060479A"/>
    <w:pPr>
      <w:numPr>
        <w:ilvl w:val="0"/>
        <w:numId w:val="0"/>
      </w:numPr>
      <w:spacing w:before="0"/>
    </w:pPr>
    <w:rPr>
      <w:rFonts w:asciiTheme="minorHAnsi" w:hAnsiTheme="minorHAnsi"/>
      <w:i/>
      <w:color w:val="0000FF" w:themeColor="text2"/>
    </w:rPr>
  </w:style>
  <w:style w:type="character" w:customStyle="1" w:styleId="Monkey2Char">
    <w:name w:val="Monkey 2 Char"/>
    <w:basedOn w:val="Heading5Char"/>
    <w:link w:val="Monkey2"/>
    <w:uiPriority w:val="2"/>
    <w:rsid w:val="0060479A"/>
    <w:rPr>
      <w:rFonts w:asciiTheme="minorHAnsi" w:eastAsiaTheme="majorEastAsia" w:hAnsiTheme="minorHAnsi" w:cstheme="majorBidi"/>
      <w:i/>
      <w:color w:val="0000FF" w:themeColor="text2"/>
      <w:szCs w:val="22"/>
      <w:lang w:eastAsia="en-US"/>
    </w:rPr>
  </w:style>
  <w:style w:type="paragraph" w:styleId="PlainText">
    <w:name w:val="Plain Text"/>
    <w:basedOn w:val="Normal"/>
    <w:link w:val="PlainTextChar"/>
    <w:uiPriority w:val="99"/>
    <w:semiHidden/>
    <w:unhideWhenUsed/>
    <w:rsid w:val="00A771DC"/>
    <w:pPr>
      <w:spacing w:line="240" w:lineRule="auto"/>
    </w:pPr>
    <w:rPr>
      <w:rFonts w:eastAsiaTheme="minorHAnsi" w:cs="Times New Roman"/>
      <w:color w:val="auto"/>
      <w:sz w:val="22"/>
    </w:rPr>
  </w:style>
  <w:style w:type="character" w:customStyle="1" w:styleId="PlainTextChar">
    <w:name w:val="Plain Text Char"/>
    <w:basedOn w:val="DefaultParagraphFont"/>
    <w:link w:val="PlainText"/>
    <w:uiPriority w:val="99"/>
    <w:semiHidden/>
    <w:rsid w:val="00A771DC"/>
    <w:rPr>
      <w:rFonts w:eastAsiaTheme="minorHAnsi"/>
      <w:sz w:val="22"/>
      <w:szCs w:val="22"/>
      <w:lang w:eastAsia="en-US"/>
    </w:rPr>
  </w:style>
  <w:style w:type="paragraph" w:styleId="NoSpacing">
    <w:name w:val="No Spacing"/>
    <w:uiPriority w:val="1"/>
    <w:qFormat/>
    <w:rsid w:val="001179F0"/>
    <w:rPr>
      <w:rFonts w:eastAsia="Calibri"/>
      <w:sz w:val="22"/>
      <w:szCs w:val="22"/>
      <w:lang w:eastAsia="en-US"/>
    </w:rPr>
  </w:style>
  <w:style w:type="character" w:styleId="Strong">
    <w:name w:val="Strong"/>
    <w:uiPriority w:val="22"/>
    <w:qFormat/>
    <w:rsid w:val="001179F0"/>
    <w:rPr>
      <w:b/>
      <w:bCs/>
    </w:rPr>
  </w:style>
</w:styles>
</file>

<file path=word/webSettings.xml><?xml version="1.0" encoding="utf-8"?>
<w:webSettings xmlns:r="http://schemas.openxmlformats.org/officeDocument/2006/relationships" xmlns:w="http://schemas.openxmlformats.org/wordprocessingml/2006/main">
  <w:divs>
    <w:div w:id="23407373">
      <w:bodyDiv w:val="1"/>
      <w:marLeft w:val="0"/>
      <w:marRight w:val="0"/>
      <w:marTop w:val="0"/>
      <w:marBottom w:val="0"/>
      <w:divBdr>
        <w:top w:val="none" w:sz="0" w:space="0" w:color="auto"/>
        <w:left w:val="none" w:sz="0" w:space="0" w:color="auto"/>
        <w:bottom w:val="none" w:sz="0" w:space="0" w:color="auto"/>
        <w:right w:val="none" w:sz="0" w:space="0" w:color="auto"/>
      </w:divBdr>
    </w:div>
    <w:div w:id="36204103">
      <w:bodyDiv w:val="1"/>
      <w:marLeft w:val="0"/>
      <w:marRight w:val="0"/>
      <w:marTop w:val="0"/>
      <w:marBottom w:val="0"/>
      <w:divBdr>
        <w:top w:val="none" w:sz="0" w:space="0" w:color="auto"/>
        <w:left w:val="none" w:sz="0" w:space="0" w:color="auto"/>
        <w:bottom w:val="none" w:sz="0" w:space="0" w:color="auto"/>
        <w:right w:val="none" w:sz="0" w:space="0" w:color="auto"/>
      </w:divBdr>
    </w:div>
    <w:div w:id="79641296">
      <w:bodyDiv w:val="1"/>
      <w:marLeft w:val="0"/>
      <w:marRight w:val="0"/>
      <w:marTop w:val="0"/>
      <w:marBottom w:val="0"/>
      <w:divBdr>
        <w:top w:val="none" w:sz="0" w:space="0" w:color="auto"/>
        <w:left w:val="none" w:sz="0" w:space="0" w:color="auto"/>
        <w:bottom w:val="none" w:sz="0" w:space="0" w:color="auto"/>
        <w:right w:val="none" w:sz="0" w:space="0" w:color="auto"/>
      </w:divBdr>
    </w:div>
    <w:div w:id="116995165">
      <w:bodyDiv w:val="1"/>
      <w:marLeft w:val="0"/>
      <w:marRight w:val="0"/>
      <w:marTop w:val="0"/>
      <w:marBottom w:val="0"/>
      <w:divBdr>
        <w:top w:val="none" w:sz="0" w:space="0" w:color="auto"/>
        <w:left w:val="none" w:sz="0" w:space="0" w:color="auto"/>
        <w:bottom w:val="none" w:sz="0" w:space="0" w:color="auto"/>
        <w:right w:val="none" w:sz="0" w:space="0" w:color="auto"/>
      </w:divBdr>
    </w:div>
    <w:div w:id="133526080">
      <w:bodyDiv w:val="1"/>
      <w:marLeft w:val="0"/>
      <w:marRight w:val="0"/>
      <w:marTop w:val="0"/>
      <w:marBottom w:val="0"/>
      <w:divBdr>
        <w:top w:val="none" w:sz="0" w:space="0" w:color="auto"/>
        <w:left w:val="none" w:sz="0" w:space="0" w:color="auto"/>
        <w:bottom w:val="none" w:sz="0" w:space="0" w:color="auto"/>
        <w:right w:val="none" w:sz="0" w:space="0" w:color="auto"/>
      </w:divBdr>
    </w:div>
    <w:div w:id="209925997">
      <w:bodyDiv w:val="1"/>
      <w:marLeft w:val="0"/>
      <w:marRight w:val="0"/>
      <w:marTop w:val="0"/>
      <w:marBottom w:val="0"/>
      <w:divBdr>
        <w:top w:val="none" w:sz="0" w:space="0" w:color="auto"/>
        <w:left w:val="none" w:sz="0" w:space="0" w:color="auto"/>
        <w:bottom w:val="none" w:sz="0" w:space="0" w:color="auto"/>
        <w:right w:val="none" w:sz="0" w:space="0" w:color="auto"/>
      </w:divBdr>
    </w:div>
    <w:div w:id="235821939">
      <w:bodyDiv w:val="1"/>
      <w:marLeft w:val="0"/>
      <w:marRight w:val="0"/>
      <w:marTop w:val="0"/>
      <w:marBottom w:val="0"/>
      <w:divBdr>
        <w:top w:val="none" w:sz="0" w:space="0" w:color="auto"/>
        <w:left w:val="none" w:sz="0" w:space="0" w:color="auto"/>
        <w:bottom w:val="none" w:sz="0" w:space="0" w:color="auto"/>
        <w:right w:val="none" w:sz="0" w:space="0" w:color="auto"/>
      </w:divBdr>
    </w:div>
    <w:div w:id="237056808">
      <w:bodyDiv w:val="1"/>
      <w:marLeft w:val="0"/>
      <w:marRight w:val="0"/>
      <w:marTop w:val="0"/>
      <w:marBottom w:val="0"/>
      <w:divBdr>
        <w:top w:val="none" w:sz="0" w:space="0" w:color="auto"/>
        <w:left w:val="none" w:sz="0" w:space="0" w:color="auto"/>
        <w:bottom w:val="none" w:sz="0" w:space="0" w:color="auto"/>
        <w:right w:val="none" w:sz="0" w:space="0" w:color="auto"/>
      </w:divBdr>
    </w:div>
    <w:div w:id="297417658">
      <w:bodyDiv w:val="1"/>
      <w:marLeft w:val="0"/>
      <w:marRight w:val="0"/>
      <w:marTop w:val="0"/>
      <w:marBottom w:val="0"/>
      <w:divBdr>
        <w:top w:val="none" w:sz="0" w:space="0" w:color="auto"/>
        <w:left w:val="none" w:sz="0" w:space="0" w:color="auto"/>
        <w:bottom w:val="none" w:sz="0" w:space="0" w:color="auto"/>
        <w:right w:val="none" w:sz="0" w:space="0" w:color="auto"/>
      </w:divBdr>
    </w:div>
    <w:div w:id="310253162">
      <w:bodyDiv w:val="1"/>
      <w:marLeft w:val="0"/>
      <w:marRight w:val="0"/>
      <w:marTop w:val="0"/>
      <w:marBottom w:val="0"/>
      <w:divBdr>
        <w:top w:val="none" w:sz="0" w:space="0" w:color="auto"/>
        <w:left w:val="none" w:sz="0" w:space="0" w:color="auto"/>
        <w:bottom w:val="none" w:sz="0" w:space="0" w:color="auto"/>
        <w:right w:val="none" w:sz="0" w:space="0" w:color="auto"/>
      </w:divBdr>
    </w:div>
    <w:div w:id="310982921">
      <w:bodyDiv w:val="1"/>
      <w:marLeft w:val="0"/>
      <w:marRight w:val="0"/>
      <w:marTop w:val="0"/>
      <w:marBottom w:val="0"/>
      <w:divBdr>
        <w:top w:val="none" w:sz="0" w:space="0" w:color="auto"/>
        <w:left w:val="none" w:sz="0" w:space="0" w:color="auto"/>
        <w:bottom w:val="none" w:sz="0" w:space="0" w:color="auto"/>
        <w:right w:val="none" w:sz="0" w:space="0" w:color="auto"/>
      </w:divBdr>
    </w:div>
    <w:div w:id="317155170">
      <w:bodyDiv w:val="1"/>
      <w:marLeft w:val="0"/>
      <w:marRight w:val="0"/>
      <w:marTop w:val="0"/>
      <w:marBottom w:val="0"/>
      <w:divBdr>
        <w:top w:val="none" w:sz="0" w:space="0" w:color="auto"/>
        <w:left w:val="none" w:sz="0" w:space="0" w:color="auto"/>
        <w:bottom w:val="none" w:sz="0" w:space="0" w:color="auto"/>
        <w:right w:val="none" w:sz="0" w:space="0" w:color="auto"/>
      </w:divBdr>
    </w:div>
    <w:div w:id="346685457">
      <w:bodyDiv w:val="1"/>
      <w:marLeft w:val="0"/>
      <w:marRight w:val="0"/>
      <w:marTop w:val="0"/>
      <w:marBottom w:val="0"/>
      <w:divBdr>
        <w:top w:val="none" w:sz="0" w:space="0" w:color="auto"/>
        <w:left w:val="none" w:sz="0" w:space="0" w:color="auto"/>
        <w:bottom w:val="none" w:sz="0" w:space="0" w:color="auto"/>
        <w:right w:val="none" w:sz="0" w:space="0" w:color="auto"/>
      </w:divBdr>
    </w:div>
    <w:div w:id="358094503">
      <w:bodyDiv w:val="1"/>
      <w:marLeft w:val="0"/>
      <w:marRight w:val="0"/>
      <w:marTop w:val="0"/>
      <w:marBottom w:val="0"/>
      <w:divBdr>
        <w:top w:val="none" w:sz="0" w:space="0" w:color="auto"/>
        <w:left w:val="none" w:sz="0" w:space="0" w:color="auto"/>
        <w:bottom w:val="none" w:sz="0" w:space="0" w:color="auto"/>
        <w:right w:val="none" w:sz="0" w:space="0" w:color="auto"/>
      </w:divBdr>
    </w:div>
    <w:div w:id="415174620">
      <w:bodyDiv w:val="1"/>
      <w:marLeft w:val="0"/>
      <w:marRight w:val="0"/>
      <w:marTop w:val="0"/>
      <w:marBottom w:val="0"/>
      <w:divBdr>
        <w:top w:val="none" w:sz="0" w:space="0" w:color="auto"/>
        <w:left w:val="none" w:sz="0" w:space="0" w:color="auto"/>
        <w:bottom w:val="none" w:sz="0" w:space="0" w:color="auto"/>
        <w:right w:val="none" w:sz="0" w:space="0" w:color="auto"/>
      </w:divBdr>
    </w:div>
    <w:div w:id="423039497">
      <w:bodyDiv w:val="1"/>
      <w:marLeft w:val="0"/>
      <w:marRight w:val="0"/>
      <w:marTop w:val="0"/>
      <w:marBottom w:val="0"/>
      <w:divBdr>
        <w:top w:val="none" w:sz="0" w:space="0" w:color="auto"/>
        <w:left w:val="none" w:sz="0" w:space="0" w:color="auto"/>
        <w:bottom w:val="none" w:sz="0" w:space="0" w:color="auto"/>
        <w:right w:val="none" w:sz="0" w:space="0" w:color="auto"/>
      </w:divBdr>
    </w:div>
    <w:div w:id="487214186">
      <w:bodyDiv w:val="1"/>
      <w:marLeft w:val="0"/>
      <w:marRight w:val="0"/>
      <w:marTop w:val="0"/>
      <w:marBottom w:val="0"/>
      <w:divBdr>
        <w:top w:val="none" w:sz="0" w:space="0" w:color="auto"/>
        <w:left w:val="none" w:sz="0" w:space="0" w:color="auto"/>
        <w:bottom w:val="none" w:sz="0" w:space="0" w:color="auto"/>
        <w:right w:val="none" w:sz="0" w:space="0" w:color="auto"/>
      </w:divBdr>
    </w:div>
    <w:div w:id="488058221">
      <w:bodyDiv w:val="1"/>
      <w:marLeft w:val="0"/>
      <w:marRight w:val="0"/>
      <w:marTop w:val="0"/>
      <w:marBottom w:val="0"/>
      <w:divBdr>
        <w:top w:val="none" w:sz="0" w:space="0" w:color="auto"/>
        <w:left w:val="none" w:sz="0" w:space="0" w:color="auto"/>
        <w:bottom w:val="none" w:sz="0" w:space="0" w:color="auto"/>
        <w:right w:val="none" w:sz="0" w:space="0" w:color="auto"/>
      </w:divBdr>
    </w:div>
    <w:div w:id="531189428">
      <w:bodyDiv w:val="1"/>
      <w:marLeft w:val="0"/>
      <w:marRight w:val="0"/>
      <w:marTop w:val="0"/>
      <w:marBottom w:val="0"/>
      <w:divBdr>
        <w:top w:val="none" w:sz="0" w:space="0" w:color="auto"/>
        <w:left w:val="none" w:sz="0" w:space="0" w:color="auto"/>
        <w:bottom w:val="none" w:sz="0" w:space="0" w:color="auto"/>
        <w:right w:val="none" w:sz="0" w:space="0" w:color="auto"/>
      </w:divBdr>
    </w:div>
    <w:div w:id="578100015">
      <w:bodyDiv w:val="1"/>
      <w:marLeft w:val="0"/>
      <w:marRight w:val="0"/>
      <w:marTop w:val="0"/>
      <w:marBottom w:val="0"/>
      <w:divBdr>
        <w:top w:val="none" w:sz="0" w:space="0" w:color="auto"/>
        <w:left w:val="none" w:sz="0" w:space="0" w:color="auto"/>
        <w:bottom w:val="none" w:sz="0" w:space="0" w:color="auto"/>
        <w:right w:val="none" w:sz="0" w:space="0" w:color="auto"/>
      </w:divBdr>
    </w:div>
    <w:div w:id="580718681">
      <w:bodyDiv w:val="1"/>
      <w:marLeft w:val="0"/>
      <w:marRight w:val="0"/>
      <w:marTop w:val="0"/>
      <w:marBottom w:val="0"/>
      <w:divBdr>
        <w:top w:val="none" w:sz="0" w:space="0" w:color="auto"/>
        <w:left w:val="none" w:sz="0" w:space="0" w:color="auto"/>
        <w:bottom w:val="none" w:sz="0" w:space="0" w:color="auto"/>
        <w:right w:val="none" w:sz="0" w:space="0" w:color="auto"/>
      </w:divBdr>
    </w:div>
    <w:div w:id="581723865">
      <w:bodyDiv w:val="1"/>
      <w:marLeft w:val="0"/>
      <w:marRight w:val="0"/>
      <w:marTop w:val="0"/>
      <w:marBottom w:val="0"/>
      <w:divBdr>
        <w:top w:val="none" w:sz="0" w:space="0" w:color="auto"/>
        <w:left w:val="none" w:sz="0" w:space="0" w:color="auto"/>
        <w:bottom w:val="none" w:sz="0" w:space="0" w:color="auto"/>
        <w:right w:val="none" w:sz="0" w:space="0" w:color="auto"/>
      </w:divBdr>
    </w:div>
    <w:div w:id="637951015">
      <w:bodyDiv w:val="1"/>
      <w:marLeft w:val="0"/>
      <w:marRight w:val="0"/>
      <w:marTop w:val="0"/>
      <w:marBottom w:val="0"/>
      <w:divBdr>
        <w:top w:val="none" w:sz="0" w:space="0" w:color="auto"/>
        <w:left w:val="none" w:sz="0" w:space="0" w:color="auto"/>
        <w:bottom w:val="none" w:sz="0" w:space="0" w:color="auto"/>
        <w:right w:val="none" w:sz="0" w:space="0" w:color="auto"/>
      </w:divBdr>
    </w:div>
    <w:div w:id="641816588">
      <w:bodyDiv w:val="1"/>
      <w:marLeft w:val="0"/>
      <w:marRight w:val="0"/>
      <w:marTop w:val="0"/>
      <w:marBottom w:val="0"/>
      <w:divBdr>
        <w:top w:val="none" w:sz="0" w:space="0" w:color="auto"/>
        <w:left w:val="none" w:sz="0" w:space="0" w:color="auto"/>
        <w:bottom w:val="none" w:sz="0" w:space="0" w:color="auto"/>
        <w:right w:val="none" w:sz="0" w:space="0" w:color="auto"/>
      </w:divBdr>
    </w:div>
    <w:div w:id="657920238">
      <w:bodyDiv w:val="1"/>
      <w:marLeft w:val="0"/>
      <w:marRight w:val="0"/>
      <w:marTop w:val="0"/>
      <w:marBottom w:val="0"/>
      <w:divBdr>
        <w:top w:val="none" w:sz="0" w:space="0" w:color="auto"/>
        <w:left w:val="none" w:sz="0" w:space="0" w:color="auto"/>
        <w:bottom w:val="none" w:sz="0" w:space="0" w:color="auto"/>
        <w:right w:val="none" w:sz="0" w:space="0" w:color="auto"/>
      </w:divBdr>
    </w:div>
    <w:div w:id="662246970">
      <w:bodyDiv w:val="1"/>
      <w:marLeft w:val="0"/>
      <w:marRight w:val="0"/>
      <w:marTop w:val="0"/>
      <w:marBottom w:val="0"/>
      <w:divBdr>
        <w:top w:val="none" w:sz="0" w:space="0" w:color="auto"/>
        <w:left w:val="none" w:sz="0" w:space="0" w:color="auto"/>
        <w:bottom w:val="none" w:sz="0" w:space="0" w:color="auto"/>
        <w:right w:val="none" w:sz="0" w:space="0" w:color="auto"/>
      </w:divBdr>
    </w:div>
    <w:div w:id="679549088">
      <w:bodyDiv w:val="1"/>
      <w:marLeft w:val="0"/>
      <w:marRight w:val="0"/>
      <w:marTop w:val="0"/>
      <w:marBottom w:val="0"/>
      <w:divBdr>
        <w:top w:val="none" w:sz="0" w:space="0" w:color="auto"/>
        <w:left w:val="none" w:sz="0" w:space="0" w:color="auto"/>
        <w:bottom w:val="none" w:sz="0" w:space="0" w:color="auto"/>
        <w:right w:val="none" w:sz="0" w:space="0" w:color="auto"/>
      </w:divBdr>
    </w:div>
    <w:div w:id="746416998">
      <w:bodyDiv w:val="1"/>
      <w:marLeft w:val="0"/>
      <w:marRight w:val="0"/>
      <w:marTop w:val="0"/>
      <w:marBottom w:val="0"/>
      <w:divBdr>
        <w:top w:val="none" w:sz="0" w:space="0" w:color="auto"/>
        <w:left w:val="none" w:sz="0" w:space="0" w:color="auto"/>
        <w:bottom w:val="none" w:sz="0" w:space="0" w:color="auto"/>
        <w:right w:val="none" w:sz="0" w:space="0" w:color="auto"/>
      </w:divBdr>
    </w:div>
    <w:div w:id="807239633">
      <w:bodyDiv w:val="1"/>
      <w:marLeft w:val="0"/>
      <w:marRight w:val="0"/>
      <w:marTop w:val="0"/>
      <w:marBottom w:val="0"/>
      <w:divBdr>
        <w:top w:val="none" w:sz="0" w:space="0" w:color="auto"/>
        <w:left w:val="none" w:sz="0" w:space="0" w:color="auto"/>
        <w:bottom w:val="none" w:sz="0" w:space="0" w:color="auto"/>
        <w:right w:val="none" w:sz="0" w:space="0" w:color="auto"/>
      </w:divBdr>
    </w:div>
    <w:div w:id="816530591">
      <w:bodyDiv w:val="1"/>
      <w:marLeft w:val="0"/>
      <w:marRight w:val="0"/>
      <w:marTop w:val="0"/>
      <w:marBottom w:val="0"/>
      <w:divBdr>
        <w:top w:val="none" w:sz="0" w:space="0" w:color="auto"/>
        <w:left w:val="none" w:sz="0" w:space="0" w:color="auto"/>
        <w:bottom w:val="none" w:sz="0" w:space="0" w:color="auto"/>
        <w:right w:val="none" w:sz="0" w:space="0" w:color="auto"/>
      </w:divBdr>
    </w:div>
    <w:div w:id="841820265">
      <w:bodyDiv w:val="1"/>
      <w:marLeft w:val="0"/>
      <w:marRight w:val="0"/>
      <w:marTop w:val="0"/>
      <w:marBottom w:val="0"/>
      <w:divBdr>
        <w:top w:val="none" w:sz="0" w:space="0" w:color="auto"/>
        <w:left w:val="none" w:sz="0" w:space="0" w:color="auto"/>
        <w:bottom w:val="none" w:sz="0" w:space="0" w:color="auto"/>
        <w:right w:val="none" w:sz="0" w:space="0" w:color="auto"/>
      </w:divBdr>
    </w:div>
    <w:div w:id="855927093">
      <w:bodyDiv w:val="1"/>
      <w:marLeft w:val="0"/>
      <w:marRight w:val="0"/>
      <w:marTop w:val="0"/>
      <w:marBottom w:val="0"/>
      <w:divBdr>
        <w:top w:val="none" w:sz="0" w:space="0" w:color="auto"/>
        <w:left w:val="none" w:sz="0" w:space="0" w:color="auto"/>
        <w:bottom w:val="none" w:sz="0" w:space="0" w:color="auto"/>
        <w:right w:val="none" w:sz="0" w:space="0" w:color="auto"/>
      </w:divBdr>
    </w:div>
    <w:div w:id="858591528">
      <w:bodyDiv w:val="1"/>
      <w:marLeft w:val="0"/>
      <w:marRight w:val="0"/>
      <w:marTop w:val="0"/>
      <w:marBottom w:val="0"/>
      <w:divBdr>
        <w:top w:val="none" w:sz="0" w:space="0" w:color="auto"/>
        <w:left w:val="none" w:sz="0" w:space="0" w:color="auto"/>
        <w:bottom w:val="none" w:sz="0" w:space="0" w:color="auto"/>
        <w:right w:val="none" w:sz="0" w:space="0" w:color="auto"/>
      </w:divBdr>
    </w:div>
    <w:div w:id="872577359">
      <w:bodyDiv w:val="1"/>
      <w:marLeft w:val="0"/>
      <w:marRight w:val="0"/>
      <w:marTop w:val="0"/>
      <w:marBottom w:val="0"/>
      <w:divBdr>
        <w:top w:val="none" w:sz="0" w:space="0" w:color="auto"/>
        <w:left w:val="none" w:sz="0" w:space="0" w:color="auto"/>
        <w:bottom w:val="none" w:sz="0" w:space="0" w:color="auto"/>
        <w:right w:val="none" w:sz="0" w:space="0" w:color="auto"/>
      </w:divBdr>
    </w:div>
    <w:div w:id="962272866">
      <w:bodyDiv w:val="1"/>
      <w:marLeft w:val="0"/>
      <w:marRight w:val="0"/>
      <w:marTop w:val="0"/>
      <w:marBottom w:val="0"/>
      <w:divBdr>
        <w:top w:val="none" w:sz="0" w:space="0" w:color="auto"/>
        <w:left w:val="none" w:sz="0" w:space="0" w:color="auto"/>
        <w:bottom w:val="none" w:sz="0" w:space="0" w:color="auto"/>
        <w:right w:val="none" w:sz="0" w:space="0" w:color="auto"/>
      </w:divBdr>
    </w:div>
    <w:div w:id="975333149">
      <w:bodyDiv w:val="1"/>
      <w:marLeft w:val="0"/>
      <w:marRight w:val="0"/>
      <w:marTop w:val="0"/>
      <w:marBottom w:val="0"/>
      <w:divBdr>
        <w:top w:val="none" w:sz="0" w:space="0" w:color="auto"/>
        <w:left w:val="none" w:sz="0" w:space="0" w:color="auto"/>
        <w:bottom w:val="none" w:sz="0" w:space="0" w:color="auto"/>
        <w:right w:val="none" w:sz="0" w:space="0" w:color="auto"/>
      </w:divBdr>
    </w:div>
    <w:div w:id="1006596157">
      <w:bodyDiv w:val="1"/>
      <w:marLeft w:val="0"/>
      <w:marRight w:val="0"/>
      <w:marTop w:val="0"/>
      <w:marBottom w:val="0"/>
      <w:divBdr>
        <w:top w:val="none" w:sz="0" w:space="0" w:color="auto"/>
        <w:left w:val="none" w:sz="0" w:space="0" w:color="auto"/>
        <w:bottom w:val="none" w:sz="0" w:space="0" w:color="auto"/>
        <w:right w:val="none" w:sz="0" w:space="0" w:color="auto"/>
      </w:divBdr>
    </w:div>
    <w:div w:id="1033310887">
      <w:bodyDiv w:val="1"/>
      <w:marLeft w:val="0"/>
      <w:marRight w:val="0"/>
      <w:marTop w:val="0"/>
      <w:marBottom w:val="0"/>
      <w:divBdr>
        <w:top w:val="none" w:sz="0" w:space="0" w:color="auto"/>
        <w:left w:val="none" w:sz="0" w:space="0" w:color="auto"/>
        <w:bottom w:val="none" w:sz="0" w:space="0" w:color="auto"/>
        <w:right w:val="none" w:sz="0" w:space="0" w:color="auto"/>
      </w:divBdr>
    </w:div>
    <w:div w:id="1054813517">
      <w:bodyDiv w:val="1"/>
      <w:marLeft w:val="0"/>
      <w:marRight w:val="0"/>
      <w:marTop w:val="0"/>
      <w:marBottom w:val="0"/>
      <w:divBdr>
        <w:top w:val="none" w:sz="0" w:space="0" w:color="auto"/>
        <w:left w:val="none" w:sz="0" w:space="0" w:color="auto"/>
        <w:bottom w:val="none" w:sz="0" w:space="0" w:color="auto"/>
        <w:right w:val="none" w:sz="0" w:space="0" w:color="auto"/>
      </w:divBdr>
    </w:div>
    <w:div w:id="1115902802">
      <w:bodyDiv w:val="1"/>
      <w:marLeft w:val="0"/>
      <w:marRight w:val="0"/>
      <w:marTop w:val="0"/>
      <w:marBottom w:val="0"/>
      <w:divBdr>
        <w:top w:val="none" w:sz="0" w:space="0" w:color="auto"/>
        <w:left w:val="none" w:sz="0" w:space="0" w:color="auto"/>
        <w:bottom w:val="none" w:sz="0" w:space="0" w:color="auto"/>
        <w:right w:val="none" w:sz="0" w:space="0" w:color="auto"/>
      </w:divBdr>
    </w:div>
    <w:div w:id="1131561241">
      <w:bodyDiv w:val="1"/>
      <w:marLeft w:val="0"/>
      <w:marRight w:val="0"/>
      <w:marTop w:val="0"/>
      <w:marBottom w:val="0"/>
      <w:divBdr>
        <w:top w:val="none" w:sz="0" w:space="0" w:color="auto"/>
        <w:left w:val="none" w:sz="0" w:space="0" w:color="auto"/>
        <w:bottom w:val="none" w:sz="0" w:space="0" w:color="auto"/>
        <w:right w:val="none" w:sz="0" w:space="0" w:color="auto"/>
      </w:divBdr>
    </w:div>
    <w:div w:id="1133526440">
      <w:bodyDiv w:val="1"/>
      <w:marLeft w:val="0"/>
      <w:marRight w:val="0"/>
      <w:marTop w:val="0"/>
      <w:marBottom w:val="0"/>
      <w:divBdr>
        <w:top w:val="none" w:sz="0" w:space="0" w:color="auto"/>
        <w:left w:val="none" w:sz="0" w:space="0" w:color="auto"/>
        <w:bottom w:val="none" w:sz="0" w:space="0" w:color="auto"/>
        <w:right w:val="none" w:sz="0" w:space="0" w:color="auto"/>
      </w:divBdr>
    </w:div>
    <w:div w:id="1164970872">
      <w:bodyDiv w:val="1"/>
      <w:marLeft w:val="0"/>
      <w:marRight w:val="0"/>
      <w:marTop w:val="0"/>
      <w:marBottom w:val="0"/>
      <w:divBdr>
        <w:top w:val="none" w:sz="0" w:space="0" w:color="auto"/>
        <w:left w:val="none" w:sz="0" w:space="0" w:color="auto"/>
        <w:bottom w:val="none" w:sz="0" w:space="0" w:color="auto"/>
        <w:right w:val="none" w:sz="0" w:space="0" w:color="auto"/>
      </w:divBdr>
    </w:div>
    <w:div w:id="1183058359">
      <w:bodyDiv w:val="1"/>
      <w:marLeft w:val="0"/>
      <w:marRight w:val="0"/>
      <w:marTop w:val="0"/>
      <w:marBottom w:val="0"/>
      <w:divBdr>
        <w:top w:val="none" w:sz="0" w:space="0" w:color="auto"/>
        <w:left w:val="none" w:sz="0" w:space="0" w:color="auto"/>
        <w:bottom w:val="none" w:sz="0" w:space="0" w:color="auto"/>
        <w:right w:val="none" w:sz="0" w:space="0" w:color="auto"/>
      </w:divBdr>
    </w:div>
    <w:div w:id="1205678176">
      <w:bodyDiv w:val="1"/>
      <w:marLeft w:val="0"/>
      <w:marRight w:val="0"/>
      <w:marTop w:val="0"/>
      <w:marBottom w:val="0"/>
      <w:divBdr>
        <w:top w:val="none" w:sz="0" w:space="0" w:color="auto"/>
        <w:left w:val="none" w:sz="0" w:space="0" w:color="auto"/>
        <w:bottom w:val="none" w:sz="0" w:space="0" w:color="auto"/>
        <w:right w:val="none" w:sz="0" w:space="0" w:color="auto"/>
      </w:divBdr>
    </w:div>
    <w:div w:id="1224607576">
      <w:bodyDiv w:val="1"/>
      <w:marLeft w:val="0"/>
      <w:marRight w:val="0"/>
      <w:marTop w:val="0"/>
      <w:marBottom w:val="0"/>
      <w:divBdr>
        <w:top w:val="none" w:sz="0" w:space="0" w:color="auto"/>
        <w:left w:val="none" w:sz="0" w:space="0" w:color="auto"/>
        <w:bottom w:val="none" w:sz="0" w:space="0" w:color="auto"/>
        <w:right w:val="none" w:sz="0" w:space="0" w:color="auto"/>
      </w:divBdr>
    </w:div>
    <w:div w:id="1225525034">
      <w:bodyDiv w:val="1"/>
      <w:marLeft w:val="0"/>
      <w:marRight w:val="0"/>
      <w:marTop w:val="0"/>
      <w:marBottom w:val="0"/>
      <w:divBdr>
        <w:top w:val="none" w:sz="0" w:space="0" w:color="auto"/>
        <w:left w:val="none" w:sz="0" w:space="0" w:color="auto"/>
        <w:bottom w:val="none" w:sz="0" w:space="0" w:color="auto"/>
        <w:right w:val="none" w:sz="0" w:space="0" w:color="auto"/>
      </w:divBdr>
    </w:div>
    <w:div w:id="1226843383">
      <w:bodyDiv w:val="1"/>
      <w:marLeft w:val="0"/>
      <w:marRight w:val="0"/>
      <w:marTop w:val="0"/>
      <w:marBottom w:val="0"/>
      <w:divBdr>
        <w:top w:val="none" w:sz="0" w:space="0" w:color="auto"/>
        <w:left w:val="none" w:sz="0" w:space="0" w:color="auto"/>
        <w:bottom w:val="none" w:sz="0" w:space="0" w:color="auto"/>
        <w:right w:val="none" w:sz="0" w:space="0" w:color="auto"/>
      </w:divBdr>
    </w:div>
    <w:div w:id="1263100872">
      <w:bodyDiv w:val="1"/>
      <w:marLeft w:val="0"/>
      <w:marRight w:val="0"/>
      <w:marTop w:val="0"/>
      <w:marBottom w:val="0"/>
      <w:divBdr>
        <w:top w:val="none" w:sz="0" w:space="0" w:color="auto"/>
        <w:left w:val="none" w:sz="0" w:space="0" w:color="auto"/>
        <w:bottom w:val="none" w:sz="0" w:space="0" w:color="auto"/>
        <w:right w:val="none" w:sz="0" w:space="0" w:color="auto"/>
      </w:divBdr>
    </w:div>
    <w:div w:id="1265072298">
      <w:bodyDiv w:val="1"/>
      <w:marLeft w:val="0"/>
      <w:marRight w:val="0"/>
      <w:marTop w:val="0"/>
      <w:marBottom w:val="0"/>
      <w:divBdr>
        <w:top w:val="none" w:sz="0" w:space="0" w:color="auto"/>
        <w:left w:val="none" w:sz="0" w:space="0" w:color="auto"/>
        <w:bottom w:val="none" w:sz="0" w:space="0" w:color="auto"/>
        <w:right w:val="none" w:sz="0" w:space="0" w:color="auto"/>
      </w:divBdr>
    </w:div>
    <w:div w:id="1303079581">
      <w:bodyDiv w:val="1"/>
      <w:marLeft w:val="0"/>
      <w:marRight w:val="0"/>
      <w:marTop w:val="0"/>
      <w:marBottom w:val="0"/>
      <w:divBdr>
        <w:top w:val="none" w:sz="0" w:space="0" w:color="auto"/>
        <w:left w:val="none" w:sz="0" w:space="0" w:color="auto"/>
        <w:bottom w:val="none" w:sz="0" w:space="0" w:color="auto"/>
        <w:right w:val="none" w:sz="0" w:space="0" w:color="auto"/>
      </w:divBdr>
    </w:div>
    <w:div w:id="1322854391">
      <w:bodyDiv w:val="1"/>
      <w:marLeft w:val="0"/>
      <w:marRight w:val="0"/>
      <w:marTop w:val="0"/>
      <w:marBottom w:val="0"/>
      <w:divBdr>
        <w:top w:val="none" w:sz="0" w:space="0" w:color="auto"/>
        <w:left w:val="none" w:sz="0" w:space="0" w:color="auto"/>
        <w:bottom w:val="none" w:sz="0" w:space="0" w:color="auto"/>
        <w:right w:val="none" w:sz="0" w:space="0" w:color="auto"/>
      </w:divBdr>
    </w:div>
    <w:div w:id="1346395149">
      <w:bodyDiv w:val="1"/>
      <w:marLeft w:val="0"/>
      <w:marRight w:val="0"/>
      <w:marTop w:val="0"/>
      <w:marBottom w:val="0"/>
      <w:divBdr>
        <w:top w:val="none" w:sz="0" w:space="0" w:color="auto"/>
        <w:left w:val="none" w:sz="0" w:space="0" w:color="auto"/>
        <w:bottom w:val="none" w:sz="0" w:space="0" w:color="auto"/>
        <w:right w:val="none" w:sz="0" w:space="0" w:color="auto"/>
      </w:divBdr>
    </w:div>
    <w:div w:id="1372878071">
      <w:bodyDiv w:val="1"/>
      <w:marLeft w:val="0"/>
      <w:marRight w:val="0"/>
      <w:marTop w:val="0"/>
      <w:marBottom w:val="0"/>
      <w:divBdr>
        <w:top w:val="none" w:sz="0" w:space="0" w:color="auto"/>
        <w:left w:val="none" w:sz="0" w:space="0" w:color="auto"/>
        <w:bottom w:val="none" w:sz="0" w:space="0" w:color="auto"/>
        <w:right w:val="none" w:sz="0" w:space="0" w:color="auto"/>
      </w:divBdr>
    </w:div>
    <w:div w:id="1419599676">
      <w:bodyDiv w:val="1"/>
      <w:marLeft w:val="0"/>
      <w:marRight w:val="0"/>
      <w:marTop w:val="0"/>
      <w:marBottom w:val="0"/>
      <w:divBdr>
        <w:top w:val="none" w:sz="0" w:space="0" w:color="auto"/>
        <w:left w:val="none" w:sz="0" w:space="0" w:color="auto"/>
        <w:bottom w:val="none" w:sz="0" w:space="0" w:color="auto"/>
        <w:right w:val="none" w:sz="0" w:space="0" w:color="auto"/>
      </w:divBdr>
    </w:div>
    <w:div w:id="1500849315">
      <w:bodyDiv w:val="1"/>
      <w:marLeft w:val="0"/>
      <w:marRight w:val="0"/>
      <w:marTop w:val="0"/>
      <w:marBottom w:val="0"/>
      <w:divBdr>
        <w:top w:val="none" w:sz="0" w:space="0" w:color="auto"/>
        <w:left w:val="none" w:sz="0" w:space="0" w:color="auto"/>
        <w:bottom w:val="none" w:sz="0" w:space="0" w:color="auto"/>
        <w:right w:val="none" w:sz="0" w:space="0" w:color="auto"/>
      </w:divBdr>
    </w:div>
    <w:div w:id="1530414502">
      <w:bodyDiv w:val="1"/>
      <w:marLeft w:val="0"/>
      <w:marRight w:val="0"/>
      <w:marTop w:val="0"/>
      <w:marBottom w:val="0"/>
      <w:divBdr>
        <w:top w:val="none" w:sz="0" w:space="0" w:color="auto"/>
        <w:left w:val="none" w:sz="0" w:space="0" w:color="auto"/>
        <w:bottom w:val="none" w:sz="0" w:space="0" w:color="auto"/>
        <w:right w:val="none" w:sz="0" w:space="0" w:color="auto"/>
      </w:divBdr>
    </w:div>
    <w:div w:id="1735927655">
      <w:bodyDiv w:val="1"/>
      <w:marLeft w:val="0"/>
      <w:marRight w:val="0"/>
      <w:marTop w:val="0"/>
      <w:marBottom w:val="0"/>
      <w:divBdr>
        <w:top w:val="none" w:sz="0" w:space="0" w:color="auto"/>
        <w:left w:val="none" w:sz="0" w:space="0" w:color="auto"/>
        <w:bottom w:val="none" w:sz="0" w:space="0" w:color="auto"/>
        <w:right w:val="none" w:sz="0" w:space="0" w:color="auto"/>
      </w:divBdr>
    </w:div>
    <w:div w:id="1749569430">
      <w:bodyDiv w:val="1"/>
      <w:marLeft w:val="0"/>
      <w:marRight w:val="0"/>
      <w:marTop w:val="0"/>
      <w:marBottom w:val="0"/>
      <w:divBdr>
        <w:top w:val="none" w:sz="0" w:space="0" w:color="auto"/>
        <w:left w:val="none" w:sz="0" w:space="0" w:color="auto"/>
        <w:bottom w:val="none" w:sz="0" w:space="0" w:color="auto"/>
        <w:right w:val="none" w:sz="0" w:space="0" w:color="auto"/>
      </w:divBdr>
    </w:div>
    <w:div w:id="1750038993">
      <w:bodyDiv w:val="1"/>
      <w:marLeft w:val="0"/>
      <w:marRight w:val="0"/>
      <w:marTop w:val="0"/>
      <w:marBottom w:val="0"/>
      <w:divBdr>
        <w:top w:val="none" w:sz="0" w:space="0" w:color="auto"/>
        <w:left w:val="none" w:sz="0" w:space="0" w:color="auto"/>
        <w:bottom w:val="none" w:sz="0" w:space="0" w:color="auto"/>
        <w:right w:val="none" w:sz="0" w:space="0" w:color="auto"/>
      </w:divBdr>
    </w:div>
    <w:div w:id="1780954845">
      <w:bodyDiv w:val="1"/>
      <w:marLeft w:val="0"/>
      <w:marRight w:val="0"/>
      <w:marTop w:val="0"/>
      <w:marBottom w:val="0"/>
      <w:divBdr>
        <w:top w:val="none" w:sz="0" w:space="0" w:color="auto"/>
        <w:left w:val="none" w:sz="0" w:space="0" w:color="auto"/>
        <w:bottom w:val="none" w:sz="0" w:space="0" w:color="auto"/>
        <w:right w:val="none" w:sz="0" w:space="0" w:color="auto"/>
      </w:divBdr>
    </w:div>
    <w:div w:id="1811748921">
      <w:bodyDiv w:val="1"/>
      <w:marLeft w:val="0"/>
      <w:marRight w:val="0"/>
      <w:marTop w:val="0"/>
      <w:marBottom w:val="0"/>
      <w:divBdr>
        <w:top w:val="none" w:sz="0" w:space="0" w:color="auto"/>
        <w:left w:val="none" w:sz="0" w:space="0" w:color="auto"/>
        <w:bottom w:val="none" w:sz="0" w:space="0" w:color="auto"/>
        <w:right w:val="none" w:sz="0" w:space="0" w:color="auto"/>
      </w:divBdr>
    </w:div>
    <w:div w:id="1830319763">
      <w:bodyDiv w:val="1"/>
      <w:marLeft w:val="0"/>
      <w:marRight w:val="0"/>
      <w:marTop w:val="0"/>
      <w:marBottom w:val="0"/>
      <w:divBdr>
        <w:top w:val="none" w:sz="0" w:space="0" w:color="auto"/>
        <w:left w:val="none" w:sz="0" w:space="0" w:color="auto"/>
        <w:bottom w:val="none" w:sz="0" w:space="0" w:color="auto"/>
        <w:right w:val="none" w:sz="0" w:space="0" w:color="auto"/>
      </w:divBdr>
    </w:div>
    <w:div w:id="1854152763">
      <w:bodyDiv w:val="1"/>
      <w:marLeft w:val="0"/>
      <w:marRight w:val="0"/>
      <w:marTop w:val="0"/>
      <w:marBottom w:val="0"/>
      <w:divBdr>
        <w:top w:val="none" w:sz="0" w:space="0" w:color="auto"/>
        <w:left w:val="none" w:sz="0" w:space="0" w:color="auto"/>
        <w:bottom w:val="none" w:sz="0" w:space="0" w:color="auto"/>
        <w:right w:val="none" w:sz="0" w:space="0" w:color="auto"/>
      </w:divBdr>
    </w:div>
    <w:div w:id="1858880829">
      <w:bodyDiv w:val="1"/>
      <w:marLeft w:val="0"/>
      <w:marRight w:val="0"/>
      <w:marTop w:val="0"/>
      <w:marBottom w:val="0"/>
      <w:divBdr>
        <w:top w:val="none" w:sz="0" w:space="0" w:color="auto"/>
        <w:left w:val="none" w:sz="0" w:space="0" w:color="auto"/>
        <w:bottom w:val="none" w:sz="0" w:space="0" w:color="auto"/>
        <w:right w:val="none" w:sz="0" w:space="0" w:color="auto"/>
      </w:divBdr>
    </w:div>
    <w:div w:id="1865365299">
      <w:bodyDiv w:val="1"/>
      <w:marLeft w:val="0"/>
      <w:marRight w:val="0"/>
      <w:marTop w:val="0"/>
      <w:marBottom w:val="0"/>
      <w:divBdr>
        <w:top w:val="none" w:sz="0" w:space="0" w:color="auto"/>
        <w:left w:val="none" w:sz="0" w:space="0" w:color="auto"/>
        <w:bottom w:val="none" w:sz="0" w:space="0" w:color="auto"/>
        <w:right w:val="none" w:sz="0" w:space="0" w:color="auto"/>
      </w:divBdr>
    </w:div>
    <w:div w:id="1867676677">
      <w:bodyDiv w:val="1"/>
      <w:marLeft w:val="0"/>
      <w:marRight w:val="0"/>
      <w:marTop w:val="0"/>
      <w:marBottom w:val="0"/>
      <w:divBdr>
        <w:top w:val="none" w:sz="0" w:space="0" w:color="auto"/>
        <w:left w:val="none" w:sz="0" w:space="0" w:color="auto"/>
        <w:bottom w:val="none" w:sz="0" w:space="0" w:color="auto"/>
        <w:right w:val="none" w:sz="0" w:space="0" w:color="auto"/>
      </w:divBdr>
    </w:div>
    <w:div w:id="1891722004">
      <w:bodyDiv w:val="1"/>
      <w:marLeft w:val="0"/>
      <w:marRight w:val="0"/>
      <w:marTop w:val="0"/>
      <w:marBottom w:val="0"/>
      <w:divBdr>
        <w:top w:val="none" w:sz="0" w:space="0" w:color="auto"/>
        <w:left w:val="none" w:sz="0" w:space="0" w:color="auto"/>
        <w:bottom w:val="none" w:sz="0" w:space="0" w:color="auto"/>
        <w:right w:val="none" w:sz="0" w:space="0" w:color="auto"/>
      </w:divBdr>
    </w:div>
    <w:div w:id="1995715968">
      <w:bodyDiv w:val="1"/>
      <w:marLeft w:val="0"/>
      <w:marRight w:val="0"/>
      <w:marTop w:val="0"/>
      <w:marBottom w:val="0"/>
      <w:divBdr>
        <w:top w:val="none" w:sz="0" w:space="0" w:color="auto"/>
        <w:left w:val="none" w:sz="0" w:space="0" w:color="auto"/>
        <w:bottom w:val="none" w:sz="0" w:space="0" w:color="auto"/>
        <w:right w:val="none" w:sz="0" w:space="0" w:color="auto"/>
      </w:divBdr>
    </w:div>
    <w:div w:id="1999503861">
      <w:bodyDiv w:val="1"/>
      <w:marLeft w:val="0"/>
      <w:marRight w:val="0"/>
      <w:marTop w:val="0"/>
      <w:marBottom w:val="0"/>
      <w:divBdr>
        <w:top w:val="none" w:sz="0" w:space="0" w:color="auto"/>
        <w:left w:val="none" w:sz="0" w:space="0" w:color="auto"/>
        <w:bottom w:val="none" w:sz="0" w:space="0" w:color="auto"/>
        <w:right w:val="none" w:sz="0" w:space="0" w:color="auto"/>
      </w:divBdr>
    </w:div>
    <w:div w:id="2012105150">
      <w:bodyDiv w:val="1"/>
      <w:marLeft w:val="0"/>
      <w:marRight w:val="0"/>
      <w:marTop w:val="0"/>
      <w:marBottom w:val="0"/>
      <w:divBdr>
        <w:top w:val="none" w:sz="0" w:space="0" w:color="auto"/>
        <w:left w:val="none" w:sz="0" w:space="0" w:color="auto"/>
        <w:bottom w:val="none" w:sz="0" w:space="0" w:color="auto"/>
        <w:right w:val="none" w:sz="0" w:space="0" w:color="auto"/>
      </w:divBdr>
    </w:div>
    <w:div w:id="2012486326">
      <w:bodyDiv w:val="1"/>
      <w:marLeft w:val="0"/>
      <w:marRight w:val="0"/>
      <w:marTop w:val="0"/>
      <w:marBottom w:val="0"/>
      <w:divBdr>
        <w:top w:val="none" w:sz="0" w:space="0" w:color="auto"/>
        <w:left w:val="none" w:sz="0" w:space="0" w:color="auto"/>
        <w:bottom w:val="none" w:sz="0" w:space="0" w:color="auto"/>
        <w:right w:val="none" w:sz="0" w:space="0" w:color="auto"/>
      </w:divBdr>
    </w:div>
    <w:div w:id="2021855968">
      <w:bodyDiv w:val="1"/>
      <w:marLeft w:val="0"/>
      <w:marRight w:val="0"/>
      <w:marTop w:val="0"/>
      <w:marBottom w:val="0"/>
      <w:divBdr>
        <w:top w:val="none" w:sz="0" w:space="0" w:color="auto"/>
        <w:left w:val="none" w:sz="0" w:space="0" w:color="auto"/>
        <w:bottom w:val="none" w:sz="0" w:space="0" w:color="auto"/>
        <w:right w:val="none" w:sz="0" w:space="0" w:color="auto"/>
      </w:divBdr>
    </w:div>
    <w:div w:id="2052070400">
      <w:bodyDiv w:val="1"/>
      <w:marLeft w:val="0"/>
      <w:marRight w:val="0"/>
      <w:marTop w:val="0"/>
      <w:marBottom w:val="0"/>
      <w:divBdr>
        <w:top w:val="none" w:sz="0" w:space="0" w:color="auto"/>
        <w:left w:val="none" w:sz="0" w:space="0" w:color="auto"/>
        <w:bottom w:val="none" w:sz="0" w:space="0" w:color="auto"/>
        <w:right w:val="none" w:sz="0" w:space="0" w:color="auto"/>
      </w:divBdr>
    </w:div>
    <w:div w:id="207848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header" Target="header6.xml"/><Relationship Id="rId42" Type="http://schemas.openxmlformats.org/officeDocument/2006/relationships/footer" Target="footer10.xml"/><Relationship Id="rId63" Type="http://schemas.openxmlformats.org/officeDocument/2006/relationships/image" Target="media/image28.png"/><Relationship Id="rId84" Type="http://schemas.openxmlformats.org/officeDocument/2006/relationships/image" Target="media/image49.png"/><Relationship Id="rId138" Type="http://schemas.openxmlformats.org/officeDocument/2006/relationships/image" Target="media/image77.png"/><Relationship Id="rId159" Type="http://schemas.openxmlformats.org/officeDocument/2006/relationships/footer" Target="footer30.xml"/><Relationship Id="rId170" Type="http://schemas.openxmlformats.org/officeDocument/2006/relationships/hyperlink" Target="http://www.adaa.asn.au/ccp-utilisation.php" TargetMode="External"/><Relationship Id="rId191" Type="http://schemas.openxmlformats.org/officeDocument/2006/relationships/hyperlink" Target="http://epp.eurostat.ec.europa.eu/cache/ITY_PUBLIC/8-08032011-AP/EN/8-08032011-AP-EN.PDF" TargetMode="External"/><Relationship Id="rId205" Type="http://schemas.openxmlformats.org/officeDocument/2006/relationships/hyperlink" Target="http://www.ons.gov.uk/ons/dcp171778_292378.pdf" TargetMode="External"/><Relationship Id="rId226" Type="http://schemas.openxmlformats.org/officeDocument/2006/relationships/hyperlink" Target="http://www.zerowaste.sa.gov.au/upload/resources/publications/landfill/Landfill_Audit_2007_1.pdf" TargetMode="External"/><Relationship Id="rId247" Type="http://schemas.openxmlformats.org/officeDocument/2006/relationships/hyperlink" Target="http://www.environment.nsw.gov.au/resources/warr/105WasteSurveypt1.pdf" TargetMode="External"/><Relationship Id="rId107" Type="http://schemas.openxmlformats.org/officeDocument/2006/relationships/image" Target="media/image66.png"/><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footer" Target="footer13.xml"/><Relationship Id="rId74" Type="http://schemas.openxmlformats.org/officeDocument/2006/relationships/image" Target="media/image39.png"/><Relationship Id="rId128" Type="http://schemas.openxmlformats.org/officeDocument/2006/relationships/header" Target="header17.xml"/><Relationship Id="rId149" Type="http://schemas.openxmlformats.org/officeDocument/2006/relationships/header" Target="header22.xml"/><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hyperlink" Target="http://www.abs.gov.au/ausstats/abs@.nsf/mf/3101.0" TargetMode="External"/><Relationship Id="rId181" Type="http://schemas.openxmlformats.org/officeDocument/2006/relationships/hyperlink" Target="http://www.environment.nsw.gov.au/warr/CnDWasteStream.htm" TargetMode="External"/><Relationship Id="rId216" Type="http://schemas.openxmlformats.org/officeDocument/2006/relationships/hyperlink" Target="http://www.sustainability.vic.gov.au/www/html/1825-publications---i-l.asp?intSiteID=4" TargetMode="External"/><Relationship Id="rId237" Type="http://schemas.openxmlformats.org/officeDocument/2006/relationships/hyperlink" Target="http://www.calrecycle.ca.gov/Publications/General/2009023.pdf" TargetMode="External"/><Relationship Id="rId22" Type="http://schemas.openxmlformats.org/officeDocument/2006/relationships/footer" Target="footer7.xml"/><Relationship Id="rId43" Type="http://schemas.openxmlformats.org/officeDocument/2006/relationships/image" Target="media/image16.png"/><Relationship Id="rId64" Type="http://schemas.openxmlformats.org/officeDocument/2006/relationships/image" Target="media/image29.png"/><Relationship Id="rId118" Type="http://schemas.openxmlformats.org/officeDocument/2006/relationships/image" Target="media/image71.png"/><Relationship Id="rId139" Type="http://schemas.openxmlformats.org/officeDocument/2006/relationships/image" Target="media/image78.png"/><Relationship Id="rId85" Type="http://schemas.openxmlformats.org/officeDocument/2006/relationships/image" Target="media/image50.png"/><Relationship Id="rId150" Type="http://schemas.openxmlformats.org/officeDocument/2006/relationships/footer" Target="footer25.xml"/><Relationship Id="rId171" Type="http://schemas.openxmlformats.org/officeDocument/2006/relationships/hyperlink" Target="http://ageis.climatechange.gov.au" TargetMode="External"/><Relationship Id="rId192" Type="http://schemas.openxmlformats.org/officeDocument/2006/relationships/hyperlink" Target="http://www.environment.gov.au/coasts/pollution/marine-debris/index.html" TargetMode="External"/><Relationship Id="rId206" Type="http://schemas.openxmlformats.org/officeDocument/2006/relationships/hyperlink" Target="http://epp.eurostat.ec.europa.eu/cache/ITY_PUBLIC/3-28072011-AP/EN/3-28072011-AP-EN.PDF" TargetMode="External"/><Relationship Id="rId227" Type="http://schemas.openxmlformats.org/officeDocument/2006/relationships/hyperlink" Target="http://www.zerowaste.sa.gov.au/resource-centre/publications/reuse-recovery-and-recycling" TargetMode="External"/><Relationship Id="rId248" Type="http://schemas.openxmlformats.org/officeDocument/2006/relationships/hyperlink" Target="http://www.environment.nsw.gov.au/resources/warr/105WasteSurveyappend.pdf" TargetMode="External"/><Relationship Id="rId12" Type="http://schemas.openxmlformats.org/officeDocument/2006/relationships/header" Target="header3.xml"/><Relationship Id="rId33" Type="http://schemas.openxmlformats.org/officeDocument/2006/relationships/image" Target="media/image9.png"/><Relationship Id="rId108" Type="http://schemas.openxmlformats.org/officeDocument/2006/relationships/image" Target="media/image67.png"/><Relationship Id="rId129" Type="http://schemas.openxmlformats.org/officeDocument/2006/relationships/footer" Target="footer21.xml"/><Relationship Id="rId54" Type="http://schemas.openxmlformats.org/officeDocument/2006/relationships/hyperlink" Target="http://stats.oecd.org/index.aspx?r=571968" TargetMode="External"/><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image" Target="media/image79.png"/><Relationship Id="rId145" Type="http://schemas.openxmlformats.org/officeDocument/2006/relationships/image" Target="media/image82.png"/><Relationship Id="rId161" Type="http://schemas.openxmlformats.org/officeDocument/2006/relationships/hyperlink" Target="http://www.abs.gov.au/ausstats/abs@.nsf/mf/5216.0" TargetMode="External"/><Relationship Id="rId166" Type="http://schemas.openxmlformats.org/officeDocument/2006/relationships/hyperlink" Target="http://www.legislation.act.gov.au/di/2012-69/" TargetMode="External"/><Relationship Id="rId182" Type="http://schemas.openxmlformats.org/officeDocument/2006/relationships/hyperlink" Target="http://www.environment.nsw.gov.au/waste/index.htm" TargetMode="External"/><Relationship Id="rId187" Type="http://schemas.openxmlformats.org/officeDocument/2006/relationships/hyperlink" Target="http://www.environment.gov.au/wastepolicy/publications/biosolids-snapshot.html" TargetMode="External"/><Relationship Id="rId217" Type="http://schemas.openxmlformats.org/officeDocument/2006/relationships/hyperlink" Target="http://www.unep.org/PDF/PressReleases/E-Waste_publication_screen_FINALVERSION-sml.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recycledorganics.com/publications/index.htm" TargetMode="External"/><Relationship Id="rId233" Type="http://schemas.openxmlformats.org/officeDocument/2006/relationships/footer" Target="footer32.xml"/><Relationship Id="rId238" Type="http://schemas.openxmlformats.org/officeDocument/2006/relationships/hyperlink" Target="http://www.environment.nsw.gov.au/resources/warr/105WasteSurveypt1.pdf" TargetMode="External"/><Relationship Id="rId254" Type="http://schemas.openxmlformats.org/officeDocument/2006/relationships/theme" Target="theme/theme1.xml"/><Relationship Id="rId23" Type="http://schemas.openxmlformats.org/officeDocument/2006/relationships/image" Target="media/image3.png"/><Relationship Id="rId28" Type="http://schemas.openxmlformats.org/officeDocument/2006/relationships/footer" Target="footer8.xml"/><Relationship Id="rId49" Type="http://schemas.openxmlformats.org/officeDocument/2006/relationships/hyperlink" Target="http://stats.oecd.org" TargetMode="External"/><Relationship Id="rId114" Type="http://schemas.openxmlformats.org/officeDocument/2006/relationships/header" Target="header14.xml"/><Relationship Id="rId119" Type="http://schemas.openxmlformats.org/officeDocument/2006/relationships/image" Target="media/image72.png"/><Relationship Id="rId44"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header" Target="header18.xml"/><Relationship Id="rId135" Type="http://schemas.openxmlformats.org/officeDocument/2006/relationships/image" Target="media/image75.png"/><Relationship Id="rId151" Type="http://schemas.openxmlformats.org/officeDocument/2006/relationships/footer" Target="footer26.xml"/><Relationship Id="rId156" Type="http://schemas.openxmlformats.org/officeDocument/2006/relationships/footer" Target="footer28.xml"/><Relationship Id="rId177" Type="http://schemas.openxmlformats.org/officeDocument/2006/relationships/hyperlink" Target="http://www.packagingcovenant.org.au/" TargetMode="External"/><Relationship Id="rId198" Type="http://schemas.openxmlformats.org/officeDocument/2006/relationships/hyperlink" Target="http://www.scew.gov.au/publications/annual-report/index.html" TargetMode="External"/><Relationship Id="rId172" Type="http://schemas.openxmlformats.org/officeDocument/2006/relationships/hyperlink" Target="http://www.mobilemuster.com.au/" TargetMode="External"/><Relationship Id="rId193" Type="http://schemas.openxmlformats.org/officeDocument/2006/relationships/hyperlink" Target="http://www.environment.gov.au/wastepolicy/publications/waste-recycling2011.html" TargetMode="External"/><Relationship Id="rId202" Type="http://schemas.openxmlformats.org/officeDocument/2006/relationships/hyperlink" Target="http://www.pacia.org.au/reports/plasticsrecyclingsurveyarchive" TargetMode="External"/><Relationship Id="rId207" Type="http://schemas.openxmlformats.org/officeDocument/2006/relationships/hyperlink" Target="http://www12.statcan.gc.ca/census-recensement/2011/as-sa/98-310-x/98-310-x2011001-eng.cfm" TargetMode="External"/><Relationship Id="rId223" Type="http://schemas.openxmlformats.org/officeDocument/2006/relationships/hyperlink" Target="http://www.wasteauthority.wa.gov.au/resources/category/report" TargetMode="External"/><Relationship Id="rId228" Type="http://schemas.openxmlformats.org/officeDocument/2006/relationships/hyperlink" Target="http://www.zerowaste.sa.gov.au/resource-centre/publications/reuse-recovery-and-recycling" TargetMode="External"/><Relationship Id="rId244" Type="http://schemas.openxmlformats.org/officeDocument/2006/relationships/hyperlink" Target="http://www.environment.nsw.gov.au/resources/sustainbus/10212GlassReprocessing08_09.pdf" TargetMode="External"/><Relationship Id="rId249" Type="http://schemas.openxmlformats.org/officeDocument/2006/relationships/hyperlink" Target="http://www.environment.nsw.gov.au/warr/cndwastestream.htm" TargetMode="Externa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3.png"/><Relationship Id="rId109" Type="http://schemas.openxmlformats.org/officeDocument/2006/relationships/image" Target="media/image68.png"/><Relationship Id="rId34" Type="http://schemas.openxmlformats.org/officeDocument/2006/relationships/hyperlink" Target="http://abs.gov.au/websitedbs/censushome.nsf/home/data?opendocument" TargetMode="External"/><Relationship Id="rId50" Type="http://schemas.openxmlformats.org/officeDocument/2006/relationships/hyperlink" Target="http://stats.oecd.org/index.aspx?r=571968" TargetMode="External"/><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header" Target="header10.xml"/><Relationship Id="rId104" Type="http://schemas.openxmlformats.org/officeDocument/2006/relationships/image" Target="media/image63.png"/><Relationship Id="rId120" Type="http://schemas.openxmlformats.org/officeDocument/2006/relationships/image" Target="media/image73.emf"/><Relationship Id="rId125" Type="http://schemas.openxmlformats.org/officeDocument/2006/relationships/hyperlink" Target="http://www.environment.gov.au/settlements/waste/covenant/index.html" TargetMode="External"/><Relationship Id="rId141" Type="http://schemas.openxmlformats.org/officeDocument/2006/relationships/image" Target="media/image80.png"/><Relationship Id="rId146" Type="http://schemas.openxmlformats.org/officeDocument/2006/relationships/hyperlink" Target="http://www.epa.gov/osw/conserve/tools/recmeas/docs/guide_a.pdf" TargetMode="External"/><Relationship Id="rId167" Type="http://schemas.openxmlformats.org/officeDocument/2006/relationships/hyperlink" Target="http://www.adaa.asn.au/ccp-utilisation.php" TargetMode="External"/><Relationship Id="rId188" Type="http://schemas.openxmlformats.org/officeDocument/2006/relationships/hyperlink" Target="http://www.mfe.govt.nz/publications/ser/enz07-dec07/chapter-6.pdf"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7.png"/><Relationship Id="rId162" Type="http://schemas.openxmlformats.org/officeDocument/2006/relationships/hyperlink" Target="http://www.abs.gov.au/ausstats/abs@.nsf/mf/3218.0" TargetMode="External"/><Relationship Id="rId183" Type="http://schemas.openxmlformats.org/officeDocument/2006/relationships/hyperlink" Target="http://www.environment.nsw.gov.au/resources/waste/08202classifyingwaste.pdf" TargetMode="External"/><Relationship Id="rId213" Type="http://schemas.openxmlformats.org/officeDocument/2006/relationships/hyperlink" Target="http://www.recycledorganics.com/publications/index.htm" TargetMode="External"/><Relationship Id="rId218" Type="http://schemas.openxmlformats.org/officeDocument/2006/relationships/hyperlink" Target="http://www.epa.gov/epawaste/conserve/imr/cdm/pubs/cd-meas.pdf" TargetMode="External"/><Relationship Id="rId234" Type="http://schemas.openxmlformats.org/officeDocument/2006/relationships/header" Target="header29.xml"/><Relationship Id="rId239" Type="http://schemas.openxmlformats.org/officeDocument/2006/relationships/hyperlink" Target="http://www.environment.nsw.gov.au/resources/warr/105WasteSurveyappend.pdf" TargetMode="External"/><Relationship Id="rId2" Type="http://schemas.openxmlformats.org/officeDocument/2006/relationships/numbering" Target="numbering.xml"/><Relationship Id="rId29" Type="http://schemas.openxmlformats.org/officeDocument/2006/relationships/header" Target="header8.xml"/><Relationship Id="rId250" Type="http://schemas.openxmlformats.org/officeDocument/2006/relationships/hyperlink" Target="http://www.environment.nsw.gov.au/warr/datareport.htm" TargetMode="External"/><Relationship Id="rId255" Type="http://schemas.microsoft.com/office/2007/relationships/stylesWithEffects" Target="stylesWithEffects.xml"/><Relationship Id="rId24" Type="http://schemas.openxmlformats.org/officeDocument/2006/relationships/image" Target="media/image4.png"/><Relationship Id="rId40" Type="http://schemas.openxmlformats.org/officeDocument/2006/relationships/image" Target="media/image14.png"/><Relationship Id="rId45" Type="http://schemas.openxmlformats.org/officeDocument/2006/relationships/footer" Target="footer11.xml"/><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69.png"/><Relationship Id="rId115" Type="http://schemas.openxmlformats.org/officeDocument/2006/relationships/footer" Target="footer18.xml"/><Relationship Id="rId131" Type="http://schemas.openxmlformats.org/officeDocument/2006/relationships/footer" Target="footer22.xml"/><Relationship Id="rId136" Type="http://schemas.openxmlformats.org/officeDocument/2006/relationships/image" Target="media/image76.png"/><Relationship Id="rId157" Type="http://schemas.openxmlformats.org/officeDocument/2006/relationships/footer" Target="footer29.xml"/><Relationship Id="rId178" Type="http://schemas.openxmlformats.org/officeDocument/2006/relationships/hyperlink" Target="http://www.climatechange.gov.au/en/publications/greenhouse-acctg/state-territory-inventory-2010.aspx" TargetMode="External"/><Relationship Id="rId61" Type="http://schemas.openxmlformats.org/officeDocument/2006/relationships/image" Target="media/image26.png"/><Relationship Id="rId82" Type="http://schemas.openxmlformats.org/officeDocument/2006/relationships/image" Target="media/image47.png"/><Relationship Id="rId152" Type="http://schemas.openxmlformats.org/officeDocument/2006/relationships/header" Target="header23.xml"/><Relationship Id="rId173" Type="http://schemas.openxmlformats.org/officeDocument/2006/relationships/hyperlink" Target="http://www.tams.act.gov.au/__data/assets/pdf_file/0003/136740/Canberra_Audit_Report_1_2007.pdf" TargetMode="External"/><Relationship Id="rId194" Type="http://schemas.openxmlformats.org/officeDocument/2006/relationships/hyperlink" Target="http://www.environment.gov.au/wastepolicy/publications/local-government.html" TargetMode="External"/><Relationship Id="rId199" Type="http://schemas.openxmlformats.org/officeDocument/2006/relationships/hyperlink" Target="http://www.environment.nsw.gov.au/sustainbus/SustainabilityData.htm" TargetMode="External"/><Relationship Id="rId203" Type="http://schemas.openxmlformats.org/officeDocument/2006/relationships/hyperlink" Target="http://www.pacia.org.au/reports/plasticsrecyclingsurvey" TargetMode="External"/><Relationship Id="rId208" Type="http://schemas.openxmlformats.org/officeDocument/2006/relationships/hyperlink" Target="https://www.destatis.de/EN/FactsFigures/SocietyState/Population/CurrentPopulation/CurrentPopulation.html" TargetMode="External"/><Relationship Id="rId229" Type="http://schemas.openxmlformats.org/officeDocument/2006/relationships/hyperlink" Target="http://www.zerowaste.sa.gov.au/resource-centre/publications/reuse-recovery-and-recycling" TargetMode="External"/><Relationship Id="rId19" Type="http://schemas.openxmlformats.org/officeDocument/2006/relationships/footer" Target="footer5.xml"/><Relationship Id="rId224" Type="http://schemas.openxmlformats.org/officeDocument/2006/relationships/hyperlink" Target="http://www.wmaa.asn.au/uploads/documents/RRIS_CDReport_DECC.pdf" TargetMode="External"/><Relationship Id="rId240" Type="http://schemas.openxmlformats.org/officeDocument/2006/relationships/hyperlink" Target="http://www.environment.nsw.gov.au/warr/cndwastestream.htm" TargetMode="External"/><Relationship Id="rId245" Type="http://schemas.openxmlformats.org/officeDocument/2006/relationships/hyperlink" Target="http://www.environment.nsw.gov.au/resources/sustainbus/09779PaperRecovery08_09.pdf" TargetMode="External"/><Relationship Id="rId14" Type="http://schemas.openxmlformats.org/officeDocument/2006/relationships/hyperlink" Target="mailto:blue@blueenvironment.com.au" TargetMode="External"/><Relationship Id="rId30" Type="http://schemas.openxmlformats.org/officeDocument/2006/relationships/footer" Target="footer9.xml"/><Relationship Id="rId35" Type="http://schemas.openxmlformats.org/officeDocument/2006/relationships/image" Target="media/image10.png"/><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footer" Target="footer15.xml"/><Relationship Id="rId105" Type="http://schemas.openxmlformats.org/officeDocument/2006/relationships/image" Target="media/image64.png"/><Relationship Id="rId126" Type="http://schemas.openxmlformats.org/officeDocument/2006/relationships/header" Target="header16.xml"/><Relationship Id="rId147" Type="http://schemas.openxmlformats.org/officeDocument/2006/relationships/image" Target="media/image83.emf"/><Relationship Id="rId168" Type="http://schemas.openxmlformats.org/officeDocument/2006/relationships/hyperlink" Target="http://www.adaa.asn.au/ccp-utilisation.php" TargetMode="External"/><Relationship Id="rId8" Type="http://schemas.openxmlformats.org/officeDocument/2006/relationships/header" Target="header1.xml"/><Relationship Id="rId51" Type="http://schemas.openxmlformats.org/officeDocument/2006/relationships/hyperlink" Target="http://www.defra.gov.uk/statistics/environment/waste/" TargetMode="External"/><Relationship Id="rId72" Type="http://schemas.openxmlformats.org/officeDocument/2006/relationships/image" Target="media/image37.png"/><Relationship Id="rId93" Type="http://schemas.openxmlformats.org/officeDocument/2006/relationships/image" Target="media/image58.png"/><Relationship Id="rId98" Type="http://schemas.openxmlformats.org/officeDocument/2006/relationships/header" Target="header11.xml"/><Relationship Id="rId121" Type="http://schemas.openxmlformats.org/officeDocument/2006/relationships/image" Target="media/image74.emf"/><Relationship Id="rId142" Type="http://schemas.openxmlformats.org/officeDocument/2006/relationships/header" Target="header20.xml"/><Relationship Id="rId163" Type="http://schemas.openxmlformats.org/officeDocument/2006/relationships/hyperlink" Target="http://www.abs.gov.au/AUSSTATS/abs@.nsf/DetailsPage/5220.02011-12?OpenDocument" TargetMode="External"/><Relationship Id="rId184" Type="http://schemas.openxmlformats.org/officeDocument/2006/relationships/hyperlink" Target="http://www.environment.nsw.gov.au/resources/warr/110061WARRSPRvolume2.pdf" TargetMode="External"/><Relationship Id="rId189" Type="http://schemas.openxmlformats.org/officeDocument/2006/relationships/hyperlink" Target="http://www.ephc.gov.au/sites/default/files/PS_TV_Comp__Decision_RIS__Televisions_and_Computers__200911_0.pdf" TargetMode="External"/><Relationship Id="rId219" Type="http://schemas.openxmlformats.org/officeDocument/2006/relationships/hyperlink" Target="http://www.epa.gov/epawaste/nonhaz/municipal/pubs/2010_MSW_Tables_and_Figures_508.pdf" TargetMode="External"/><Relationship Id="rId3" Type="http://schemas.openxmlformats.org/officeDocument/2006/relationships/styles" Target="styles.xml"/><Relationship Id="rId214" Type="http://schemas.openxmlformats.org/officeDocument/2006/relationships/hyperlink" Target="http://www.statcan.gc.ca/pub/16-201-x/16-201-x2012000-eng.pdf" TargetMode="External"/><Relationship Id="rId230" Type="http://schemas.openxmlformats.org/officeDocument/2006/relationships/header" Target="header27.xml"/><Relationship Id="rId235" Type="http://schemas.openxmlformats.org/officeDocument/2006/relationships/footer" Target="footer33.xml"/><Relationship Id="rId251" Type="http://schemas.openxmlformats.org/officeDocument/2006/relationships/hyperlink" Target="http://www.environment.nsw.gov.au/warr/datareport.htm" TargetMode="External"/><Relationship Id="rId25" Type="http://schemas.openxmlformats.org/officeDocument/2006/relationships/image" Target="media/image5.png"/><Relationship Id="rId46" Type="http://schemas.openxmlformats.org/officeDocument/2006/relationships/image" Target="media/image18.png"/><Relationship Id="rId67" Type="http://schemas.openxmlformats.org/officeDocument/2006/relationships/image" Target="media/image32.png"/><Relationship Id="rId116" Type="http://schemas.openxmlformats.org/officeDocument/2006/relationships/header" Target="header15.xml"/><Relationship Id="rId137" Type="http://schemas.openxmlformats.org/officeDocument/2006/relationships/hyperlink" Target="http://ageis.climatechange.gov.au/" TargetMode="External"/><Relationship Id="rId158" Type="http://schemas.openxmlformats.org/officeDocument/2006/relationships/header" Target="header26.xml"/><Relationship Id="rId20" Type="http://schemas.openxmlformats.org/officeDocument/2006/relationships/footer" Target="footer6.xml"/><Relationship Id="rId41" Type="http://schemas.openxmlformats.org/officeDocument/2006/relationships/image" Target="media/image15.png"/><Relationship Id="rId62" Type="http://schemas.openxmlformats.org/officeDocument/2006/relationships/image" Target="media/image27.png"/><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0.png"/><Relationship Id="rId132" Type="http://schemas.openxmlformats.org/officeDocument/2006/relationships/header" Target="header19.xml"/><Relationship Id="rId153" Type="http://schemas.openxmlformats.org/officeDocument/2006/relationships/footer" Target="footer27.xml"/><Relationship Id="rId174" Type="http://schemas.openxmlformats.org/officeDocument/2006/relationships/hyperlink" Target="http://www.tams.act.gov.au/__data/assets/pdf_file/0007/208663/ACTNOWaste_Domestic_Waste_Audit_Report_December_09.pdf" TargetMode="External"/><Relationship Id="rId179" Type="http://schemas.openxmlformats.org/officeDocument/2006/relationships/hyperlink" Target="http://www.climatechange.gov.au/en/publications/greenhouse-acctg/state-territory-inventory-2010.aspx" TargetMode="External"/><Relationship Id="rId195" Type="http://schemas.openxmlformats.org/officeDocument/2006/relationships/hyperlink" Target="http://www.scew.gov.au/sites/www.scew.gov.au/files/resources/023a5607-0964-47e0-92cd-78fc0e6bb14e/files/hyder-end-life-tyres.pdf" TargetMode="External"/><Relationship Id="rId209" Type="http://schemas.openxmlformats.org/officeDocument/2006/relationships/hyperlink" Target="http://www.resourceco.com.au/about-us/publications/full-circle-newsletters.html" TargetMode="External"/><Relationship Id="rId190" Type="http://schemas.openxmlformats.org/officeDocument/2006/relationships/hyperlink" Target="http://epp.eurostat.ec.europa.eu/statistics_explained/index.php/Waste_statistics" TargetMode="External"/><Relationship Id="rId204" Type="http://schemas.openxmlformats.org/officeDocument/2006/relationships/hyperlink" Target="http://factfinder2.census.gov/faces/tableservices/jsf/pages/productview.xhtml?pid=ACS_11_1YR_B01003&amp;prodType=table" TargetMode="External"/><Relationship Id="rId220" Type="http://schemas.openxmlformats.org/officeDocument/2006/relationships/hyperlink" Target="http://www.zerowaste.wa.gov.au/media/files/documents/zwpds_phase1_0607.pdf" TargetMode="External"/><Relationship Id="rId225" Type="http://schemas.openxmlformats.org/officeDocument/2006/relationships/hyperlink" Target="http://www.zerowaste.sa.gov.au/resource-centre/publications/reuse-recovery-and-recycling" TargetMode="External"/><Relationship Id="rId241" Type="http://schemas.openxmlformats.org/officeDocument/2006/relationships/hyperlink" Target="http://www.environment.nsw.gov.au/resources/wr/2009wcmr.pdf" TargetMode="External"/><Relationship Id="rId246" Type="http://schemas.openxmlformats.org/officeDocument/2006/relationships/hyperlink" Target="http://www.environment.nsw.gov.au/resources/sustainbus/10534OrganicsReprocessing.pdf" TargetMode="External"/><Relationship Id="rId15" Type="http://schemas.openxmlformats.org/officeDocument/2006/relationships/hyperlink" Target="http://www.blueenvironment.com.au" TargetMode="External"/><Relationship Id="rId36" Type="http://schemas.openxmlformats.org/officeDocument/2006/relationships/hyperlink" Target="http://www.abs.gov.au/ausstats/abs@.nsf/Products/3218.0~2011~Main+Features~Main+Features?OpenDocument" TargetMode="External"/><Relationship Id="rId57" Type="http://schemas.openxmlformats.org/officeDocument/2006/relationships/image" Target="media/image22.png"/><Relationship Id="rId106" Type="http://schemas.openxmlformats.org/officeDocument/2006/relationships/image" Target="media/image65.png"/><Relationship Id="rId127" Type="http://schemas.openxmlformats.org/officeDocument/2006/relationships/footer" Target="footer20.xml"/><Relationship Id="rId10" Type="http://schemas.openxmlformats.org/officeDocument/2006/relationships/footer" Target="footer1.xml"/><Relationship Id="rId31" Type="http://schemas.openxmlformats.org/officeDocument/2006/relationships/image" Target="media/image7.png"/><Relationship Id="rId52" Type="http://schemas.openxmlformats.org/officeDocument/2006/relationships/header" Target="header9.xml"/><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9.png"/><Relationship Id="rId99" Type="http://schemas.openxmlformats.org/officeDocument/2006/relationships/footer" Target="footer14.xml"/><Relationship Id="rId101" Type="http://schemas.openxmlformats.org/officeDocument/2006/relationships/header" Target="header12.xml"/><Relationship Id="rId122" Type="http://schemas.openxmlformats.org/officeDocument/2006/relationships/hyperlink" Target="http://www.environment.gov.au/settlements/waste/ewaste/about.html" TargetMode="External"/><Relationship Id="rId143" Type="http://schemas.openxmlformats.org/officeDocument/2006/relationships/footer" Target="footer24.xml"/><Relationship Id="rId148" Type="http://schemas.openxmlformats.org/officeDocument/2006/relationships/header" Target="header21.xml"/><Relationship Id="rId164" Type="http://schemas.openxmlformats.org/officeDocument/2006/relationships/hyperlink" Target="http://www.tams.act.gov.au/recycling-waste/reports_data_forms/statistics" TargetMode="External"/><Relationship Id="rId169" Type="http://schemas.openxmlformats.org/officeDocument/2006/relationships/hyperlink" Target="http://www.adaa.asn.au/ccp-utilisation.php" TargetMode="External"/><Relationship Id="rId185" Type="http://schemas.openxmlformats.org/officeDocument/2006/relationships/hyperlink" Target="http://www.defra.gov.uk/statistics/environment/waste/wrfg23-wrmsannual/"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zerowaste.wa.gov.au/media/files/documents/zwpds_phase1_0607.pdf" TargetMode="External"/><Relationship Id="rId210" Type="http://schemas.openxmlformats.org/officeDocument/2006/relationships/hyperlink" Target="http://www.recycledorganics.com/publications/index.htm" TargetMode="External"/><Relationship Id="rId215" Type="http://schemas.openxmlformats.org/officeDocument/2006/relationships/hyperlink" Target="http://www.statistik-portal.de/Statistik-Portal/en/en_jb10_jahrtabu12.asp" TargetMode="External"/><Relationship Id="rId236" Type="http://schemas.openxmlformats.org/officeDocument/2006/relationships/hyperlink" Target="http://www.environment.nsw.gov.au/warr/datareport.htm" TargetMode="External"/><Relationship Id="rId26" Type="http://schemas.openxmlformats.org/officeDocument/2006/relationships/image" Target="media/image6.png"/><Relationship Id="rId231" Type="http://schemas.openxmlformats.org/officeDocument/2006/relationships/header" Target="header28.xml"/><Relationship Id="rId252" Type="http://schemas.openxmlformats.org/officeDocument/2006/relationships/footer" Target="footer34.xml"/><Relationship Id="rId47" Type="http://schemas.openxmlformats.org/officeDocument/2006/relationships/image" Target="media/image19.png"/><Relationship Id="rId68" Type="http://schemas.openxmlformats.org/officeDocument/2006/relationships/image" Target="media/image33.png"/><Relationship Id="rId89" Type="http://schemas.openxmlformats.org/officeDocument/2006/relationships/image" Target="media/image54.png"/><Relationship Id="rId112" Type="http://schemas.openxmlformats.org/officeDocument/2006/relationships/header" Target="header13.xml"/><Relationship Id="rId133" Type="http://schemas.openxmlformats.org/officeDocument/2006/relationships/footer" Target="footer23.xml"/><Relationship Id="rId154" Type="http://schemas.openxmlformats.org/officeDocument/2006/relationships/header" Target="header24.xml"/><Relationship Id="rId175" Type="http://schemas.openxmlformats.org/officeDocument/2006/relationships/hyperlink" Target="http://www.tams.act.gov.au/recycling-waste/reports_data_forms/statistics" TargetMode="External"/><Relationship Id="rId196" Type="http://schemas.openxmlformats.org/officeDocument/2006/relationships/hyperlink" Target="http://www.kab.org.au/litter-research/what-we-do/national-litter-index/" TargetMode="External"/><Relationship Id="rId200" Type="http://schemas.openxmlformats.org/officeDocument/2006/relationships/hyperlink" Target="http://www.environment.nsw.gov.au/resources/warr/1264LGWARR0910.pdf" TargetMode="External"/><Relationship Id="rId16" Type="http://schemas.openxmlformats.org/officeDocument/2006/relationships/header" Target="header4.xml"/><Relationship Id="rId221" Type="http://schemas.openxmlformats.org/officeDocument/2006/relationships/hyperlink" Target="http://www.wasteauthority.wa.gov.au/resources/category/report" TargetMode="External"/><Relationship Id="rId242" Type="http://schemas.openxmlformats.org/officeDocument/2006/relationships/hyperlink" Target="http://www.environment.nsw.gov.au/resources/warr/110061WARRSPRvolume2.pdf" TargetMode="External"/><Relationship Id="rId37" Type="http://schemas.openxmlformats.org/officeDocument/2006/relationships/image" Target="media/image11.png"/><Relationship Id="rId58" Type="http://schemas.openxmlformats.org/officeDocument/2006/relationships/image" Target="media/image23.png"/><Relationship Id="rId79" Type="http://schemas.openxmlformats.org/officeDocument/2006/relationships/image" Target="media/image44.png"/><Relationship Id="rId102" Type="http://schemas.openxmlformats.org/officeDocument/2006/relationships/footer" Target="footer16.xml"/><Relationship Id="rId123" Type="http://schemas.openxmlformats.org/officeDocument/2006/relationships/hyperlink" Target="http://www.environment.gov.au/settlements/waste/lamp-mercury.html" TargetMode="External"/><Relationship Id="rId144" Type="http://schemas.openxmlformats.org/officeDocument/2006/relationships/image" Target="media/image81.emf"/><Relationship Id="rId90" Type="http://schemas.openxmlformats.org/officeDocument/2006/relationships/image" Target="media/image55.png"/><Relationship Id="rId165" Type="http://schemas.openxmlformats.org/officeDocument/2006/relationships/hyperlink" Target="http://www.tams.act.gov.au/recycling-waste/reports_data_forms/statistics" TargetMode="External"/><Relationship Id="rId186" Type="http://schemas.openxmlformats.org/officeDocument/2006/relationships/hyperlink" Target="http://www.dse.vic.gov.au/conservation-and-environment/sustainability/waste-management-and-resource-efficiency" TargetMode="External"/><Relationship Id="rId211" Type="http://schemas.openxmlformats.org/officeDocument/2006/relationships/hyperlink" Target="http://www.recycledorganics.com/publications/index.htm" TargetMode="External"/><Relationship Id="rId232" Type="http://schemas.openxmlformats.org/officeDocument/2006/relationships/footer" Target="footer31.xml"/><Relationship Id="rId253" Type="http://schemas.openxmlformats.org/officeDocument/2006/relationships/fontTable" Target="fontTable.xml"/><Relationship Id="rId27" Type="http://schemas.openxmlformats.org/officeDocument/2006/relationships/header" Target="header7.xml"/><Relationship Id="rId48" Type="http://schemas.openxmlformats.org/officeDocument/2006/relationships/footer" Target="footer12.xml"/><Relationship Id="rId69" Type="http://schemas.openxmlformats.org/officeDocument/2006/relationships/image" Target="media/image34.png"/><Relationship Id="rId113" Type="http://schemas.openxmlformats.org/officeDocument/2006/relationships/footer" Target="footer17.xml"/><Relationship Id="rId134" Type="http://schemas.openxmlformats.org/officeDocument/2006/relationships/hyperlink" Target="http://www.zerowaste.sa.gov.au/resource-centre/publications/reuse-recovery-and-recycling" TargetMode="External"/><Relationship Id="rId80" Type="http://schemas.openxmlformats.org/officeDocument/2006/relationships/image" Target="media/image45.png"/><Relationship Id="rId155" Type="http://schemas.openxmlformats.org/officeDocument/2006/relationships/header" Target="header25.xml"/><Relationship Id="rId176" Type="http://schemas.openxmlformats.org/officeDocument/2006/relationships/hyperlink" Target="http://www.comlaw.gov.au/Details/F2011C00469/Html/Text" TargetMode="External"/><Relationship Id="rId197" Type="http://schemas.openxmlformats.org/officeDocument/2006/relationships/hyperlink" Target="http://www.mfe.govt.nz/publications/ser/enz07-dec07/" TargetMode="External"/><Relationship Id="rId201" Type="http://schemas.openxmlformats.org/officeDocument/2006/relationships/hyperlink" Target="http://www.pacia.org.au/reports/plasticsrecyclingsurveyarchive" TargetMode="External"/><Relationship Id="rId222" Type="http://schemas.openxmlformats.org/officeDocument/2006/relationships/hyperlink" Target="http://www.wasteauthority.wa.gov.au/resources/category/report" TargetMode="External"/><Relationship Id="rId243" Type="http://schemas.openxmlformats.org/officeDocument/2006/relationships/hyperlink" Target="http://www.pacia.org.au/Content/media-21.12.2009-1.aspx" TargetMode="External"/><Relationship Id="rId17" Type="http://schemas.openxmlformats.org/officeDocument/2006/relationships/footer" Target="footer4.xml"/><Relationship Id="rId38" Type="http://schemas.openxmlformats.org/officeDocument/2006/relationships/image" Target="media/image12.png"/><Relationship Id="rId59" Type="http://schemas.openxmlformats.org/officeDocument/2006/relationships/image" Target="media/image24.png"/><Relationship Id="rId103" Type="http://schemas.openxmlformats.org/officeDocument/2006/relationships/image" Target="media/image62.png"/><Relationship Id="rId124" Type="http://schemas.openxmlformats.org/officeDocument/2006/relationships/hyperlink" Target="http://www.fluorocycle.org.au/why-recycle.ph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pa.sa.gov.au" TargetMode="External"/><Relationship Id="rId13" Type="http://schemas.openxmlformats.org/officeDocument/2006/relationships/hyperlink" Target="http://www.dec.wa.gov.au" TargetMode="External"/><Relationship Id="rId3" Type="http://schemas.openxmlformats.org/officeDocument/2006/relationships/hyperlink" Target="http://www.environment.nsw.gov.au/waste/index.htm(Jan" TargetMode="External"/><Relationship Id="rId7" Type="http://schemas.openxmlformats.org/officeDocument/2006/relationships/hyperlink" Target="http://www.zerowaste.sa.gov.au" TargetMode="External"/><Relationship Id="rId12" Type="http://schemas.openxmlformats.org/officeDocument/2006/relationships/hyperlink" Target="http://www.epa.vic.gov.au" TargetMode="External"/><Relationship Id="rId2" Type="http://schemas.openxmlformats.org/officeDocument/2006/relationships/hyperlink" Target="http://www.tams.act.gov.au/recycling-waste" TargetMode="External"/><Relationship Id="rId1" Type="http://schemas.openxmlformats.org/officeDocument/2006/relationships/hyperlink" Target="http://stats.oecd.org/index.aspx?r=571968" TargetMode="External"/><Relationship Id="rId6" Type="http://schemas.openxmlformats.org/officeDocument/2006/relationships/hyperlink" Target="http://www.derm.qld.gov.au" TargetMode="External"/><Relationship Id="rId11" Type="http://schemas.openxmlformats.org/officeDocument/2006/relationships/hyperlink" Target="http://www.sustainability.vic.gov.au" TargetMode="External"/><Relationship Id="rId5" Type="http://schemas.openxmlformats.org/officeDocument/2006/relationships/hyperlink" Target="http://www.epa.nt.gov.au" TargetMode="External"/><Relationship Id="rId10" Type="http://schemas.openxmlformats.org/officeDocument/2006/relationships/hyperlink" Target="http://www.taswaste.com.au" TargetMode="External"/><Relationship Id="rId4" Type="http://schemas.openxmlformats.org/officeDocument/2006/relationships/hyperlink" Target="http://www.territory2030.nt.gov.au" TargetMode="External"/><Relationship Id="rId9" Type="http://schemas.openxmlformats.org/officeDocument/2006/relationships/hyperlink" Target="http://www.environment.tas.gov.au" TargetMode="External"/><Relationship Id="rId14" Type="http://schemas.openxmlformats.org/officeDocument/2006/relationships/hyperlink" Target="http://www.ben-global.com/storyview.asp?storyID=9586462&amp;section=Recycling&amp;sectionsource=s14501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SkyDrive\REC\TEMPLATES\Blue%20Environment%20Report.dotm" TargetMode="External"/></Relationships>
</file>

<file path=word/theme/theme1.xml><?xml version="1.0" encoding="utf-8"?>
<a:theme xmlns:a="http://schemas.openxmlformats.org/drawingml/2006/main" name="Office Theme">
  <a:themeElements>
    <a:clrScheme name="Blue Environment">
      <a:dk1>
        <a:srgbClr val="0C0C0C"/>
      </a:dk1>
      <a:lt1>
        <a:sysClr val="window" lastClr="FFFFFF"/>
      </a:lt1>
      <a:dk2>
        <a:srgbClr val="0000FF"/>
      </a:dk2>
      <a:lt2>
        <a:srgbClr val="7F7F7F"/>
      </a:lt2>
      <a:accent1>
        <a:srgbClr val="0000FF"/>
      </a:accent1>
      <a:accent2>
        <a:srgbClr val="7F7F7F"/>
      </a:accent2>
      <a:accent3>
        <a:srgbClr val="F2F2F2"/>
      </a:accent3>
      <a:accent4>
        <a:srgbClr val="92D050"/>
      </a:accent4>
      <a:accent5>
        <a:srgbClr val="FF0000"/>
      </a:accent5>
      <a:accent6>
        <a:srgbClr val="FFCC66"/>
      </a:accent6>
      <a:hlink>
        <a:srgbClr val="0000FF"/>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DCA55-AA0E-4451-A6A3-597674C6B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Environment Report</Template>
  <TotalTime>6</TotalTime>
  <Pages>143</Pages>
  <Words>35538</Words>
  <Characters>226447</Characters>
  <Application>Microsoft Office Word</Application>
  <DocSecurity>0</DocSecurity>
  <Lines>1887</Lines>
  <Paragraphs>522</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261463</CharactersWithSpaces>
  <SharedDoc>false</SharedDoc>
  <HLinks>
    <vt:vector size="60" baseType="variant">
      <vt:variant>
        <vt:i4>1966135</vt:i4>
      </vt:variant>
      <vt:variant>
        <vt:i4>44</vt:i4>
      </vt:variant>
      <vt:variant>
        <vt:i4>0</vt:i4>
      </vt:variant>
      <vt:variant>
        <vt:i4>5</vt:i4>
      </vt:variant>
      <vt:variant>
        <vt:lpwstr/>
      </vt:variant>
      <vt:variant>
        <vt:lpwstr>_Toc156623299</vt:lpwstr>
      </vt:variant>
      <vt:variant>
        <vt:i4>1966135</vt:i4>
      </vt:variant>
      <vt:variant>
        <vt:i4>38</vt:i4>
      </vt:variant>
      <vt:variant>
        <vt:i4>0</vt:i4>
      </vt:variant>
      <vt:variant>
        <vt:i4>5</vt:i4>
      </vt:variant>
      <vt:variant>
        <vt:lpwstr/>
      </vt:variant>
      <vt:variant>
        <vt:lpwstr>_Toc156623298</vt:lpwstr>
      </vt:variant>
      <vt:variant>
        <vt:i4>1966135</vt:i4>
      </vt:variant>
      <vt:variant>
        <vt:i4>32</vt:i4>
      </vt:variant>
      <vt:variant>
        <vt:i4>0</vt:i4>
      </vt:variant>
      <vt:variant>
        <vt:i4>5</vt:i4>
      </vt:variant>
      <vt:variant>
        <vt:lpwstr/>
      </vt:variant>
      <vt:variant>
        <vt:lpwstr>_Toc156623297</vt:lpwstr>
      </vt:variant>
      <vt:variant>
        <vt:i4>1966135</vt:i4>
      </vt:variant>
      <vt:variant>
        <vt:i4>26</vt:i4>
      </vt:variant>
      <vt:variant>
        <vt:i4>0</vt:i4>
      </vt:variant>
      <vt:variant>
        <vt:i4>5</vt:i4>
      </vt:variant>
      <vt:variant>
        <vt:lpwstr/>
      </vt:variant>
      <vt:variant>
        <vt:lpwstr>_Toc156623296</vt:lpwstr>
      </vt:variant>
      <vt:variant>
        <vt:i4>1966135</vt:i4>
      </vt:variant>
      <vt:variant>
        <vt:i4>20</vt:i4>
      </vt:variant>
      <vt:variant>
        <vt:i4>0</vt:i4>
      </vt:variant>
      <vt:variant>
        <vt:i4>5</vt:i4>
      </vt:variant>
      <vt:variant>
        <vt:lpwstr/>
      </vt:variant>
      <vt:variant>
        <vt:lpwstr>_Toc156623295</vt:lpwstr>
      </vt:variant>
      <vt:variant>
        <vt:i4>1966135</vt:i4>
      </vt:variant>
      <vt:variant>
        <vt:i4>14</vt:i4>
      </vt:variant>
      <vt:variant>
        <vt:i4>0</vt:i4>
      </vt:variant>
      <vt:variant>
        <vt:i4>5</vt:i4>
      </vt:variant>
      <vt:variant>
        <vt:lpwstr/>
      </vt:variant>
      <vt:variant>
        <vt:lpwstr>_Toc156623294</vt:lpwstr>
      </vt:variant>
      <vt:variant>
        <vt:i4>1966135</vt:i4>
      </vt:variant>
      <vt:variant>
        <vt:i4>8</vt:i4>
      </vt:variant>
      <vt:variant>
        <vt:i4>0</vt:i4>
      </vt:variant>
      <vt:variant>
        <vt:i4>5</vt:i4>
      </vt:variant>
      <vt:variant>
        <vt:lpwstr/>
      </vt:variant>
      <vt:variant>
        <vt:lpwstr>_Toc156623293</vt:lpwstr>
      </vt:variant>
      <vt:variant>
        <vt:i4>1966135</vt:i4>
      </vt:variant>
      <vt:variant>
        <vt:i4>2</vt:i4>
      </vt:variant>
      <vt:variant>
        <vt:i4>0</vt:i4>
      </vt:variant>
      <vt:variant>
        <vt:i4>5</vt:i4>
      </vt:variant>
      <vt:variant>
        <vt:lpwstr/>
      </vt:variant>
      <vt:variant>
        <vt:lpwstr>_Toc156623292</vt:lpwstr>
      </vt:variant>
      <vt:variant>
        <vt:i4>6422568</vt:i4>
      </vt:variant>
      <vt:variant>
        <vt:i4>3</vt:i4>
      </vt:variant>
      <vt:variant>
        <vt:i4>0</vt:i4>
      </vt:variant>
      <vt:variant>
        <vt:i4>5</vt:i4>
      </vt:variant>
      <vt:variant>
        <vt:lpwstr>http://www.blueenvironment.com.au/</vt:lpwstr>
      </vt:variant>
      <vt:variant>
        <vt:lpwstr/>
      </vt:variant>
      <vt:variant>
        <vt:i4>5046309</vt:i4>
      </vt:variant>
      <vt:variant>
        <vt:i4>0</vt:i4>
      </vt:variant>
      <vt:variant>
        <vt:i4>0</vt:i4>
      </vt:variant>
      <vt:variant>
        <vt:i4>5</vt:i4>
      </vt:variant>
      <vt:variant>
        <vt:lpwstr>mailto:blue@blueenvironment.com.au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generation and resource recovery in Australia</dc:title>
  <dc:creator>Joe Pickin</dc:creator>
  <cp:lastModifiedBy>A00870</cp:lastModifiedBy>
  <cp:revision>5</cp:revision>
  <cp:lastPrinted>2013-07-05T09:56:00Z</cp:lastPrinted>
  <dcterms:created xsi:type="dcterms:W3CDTF">2014-02-06T05:06:00Z</dcterms:created>
  <dcterms:modified xsi:type="dcterms:W3CDTF">2014-02-09T21:33:00Z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Client">
    <vt:lpwstr>Department of Sustainability, Environment, Water, Population and Communities</vt:lpwstr>
  </property>
  <property fmtid="{D5CDD505-2E9C-101B-9397-08002B2CF9AE}" pid="3" name="xDraft">
    <vt:lpwstr>Final</vt:lpwstr>
  </property>
  <property fmtid="{D5CDD505-2E9C-101B-9397-08002B2CF9AE}" pid="4" name="xVersion">
    <vt:lpwstr/>
  </property>
  <property fmtid="{D5CDD505-2E9C-101B-9397-08002B2CF9AE}" pid="5" name="xDate">
    <vt:lpwstr>6 December 2013</vt:lpwstr>
  </property>
  <property fmtid="{D5CDD505-2E9C-101B-9397-08002B2CF9AE}" pid="6" name="xContractDate">
    <vt:lpwstr>15 June 2012</vt:lpwstr>
  </property>
  <property fmtid="{D5CDD505-2E9C-101B-9397-08002B2CF9AE}" pid="7" name="xAuthor">
    <vt:lpwstr>Paul Randell, Joe Pickin, Bill Grant</vt:lpwstr>
  </property>
  <property fmtid="{D5CDD505-2E9C-101B-9397-08002B2CF9AE}" pid="8" name="xReviewer">
    <vt:lpwstr>Christine Wardle, Joe Pickin</vt:lpwstr>
  </property>
  <property fmtid="{D5CDD505-2E9C-101B-9397-08002B2CF9AE}" pid="9" name="xCopyright">
    <vt:lpwstr>DSEWPaC and Blue Environment Pty Ltd, 2013</vt:lpwstr>
  </property>
  <property fmtid="{D5CDD505-2E9C-101B-9397-08002B2CF9AE}" pid="10" name="xProjectNumber">
    <vt:lpwstr>P321</vt:lpwstr>
  </property>
  <property fmtid="{D5CDD505-2E9C-101B-9397-08002B2CF9AE}" pid="11" name="xCurrentTo">
    <vt:lpwstr>May 2013</vt:lpwstr>
  </property>
  <property fmtid="{D5CDD505-2E9C-101B-9397-08002B2CF9AE}" pid="12" name="xTableTitle">
    <vt:lpwstr>True</vt:lpwstr>
  </property>
  <property fmtid="{D5CDD505-2E9C-101B-9397-08002B2CF9AE}" pid="13" name="xTableInfo">
    <vt:lpwstr>True</vt:lpwstr>
  </property>
  <property fmtid="{D5CDD505-2E9C-101B-9397-08002B2CF9AE}" pid="14" name="xTitle">
    <vt:lpwstr>Waste generation and resource recovery in Australia</vt:lpwstr>
  </property>
</Properties>
</file>