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AF3D" w14:textId="77777777" w:rsidR="00CD0ABA" w:rsidRPr="00795EB5" w:rsidRDefault="00CD0ABA" w:rsidP="00CD0ABA">
      <w:pPr>
        <w:pStyle w:val="Heading1"/>
      </w:pPr>
      <w:r w:rsidRPr="00795EB5">
        <w:t>Commonwealth Environmental Water Office Water Management Plan 2021–22</w:t>
      </w:r>
    </w:p>
    <w:p w14:paraId="6F57A1EE" w14:textId="77777777" w:rsidR="00CD0ABA" w:rsidRPr="00795EB5" w:rsidRDefault="00CD0ABA" w:rsidP="00CD0ABA">
      <w:pPr>
        <w:pStyle w:val="Subtitle"/>
      </w:pPr>
      <w:r>
        <w:t xml:space="preserve">Chapter 5 Warrego and Moonie Valleys </w:t>
      </w:r>
      <w:r w:rsidRPr="00795EB5">
        <w:t>Water Plan</w:t>
      </w:r>
    </w:p>
    <w:p w14:paraId="0FEC2186" w14:textId="77777777" w:rsidR="00CD0ABA" w:rsidRPr="00795EB5" w:rsidRDefault="00CD0ABA" w:rsidP="00CD0ABA">
      <w:pPr>
        <w:pStyle w:val="Normalsmall"/>
      </w:pPr>
      <w:r w:rsidRPr="00795EB5">
        <w:br w:type="page"/>
      </w:r>
      <w:r w:rsidRPr="00795EB5">
        <w:lastRenderedPageBreak/>
        <w:t>© Commonwealth of Australia 2021</w:t>
      </w:r>
    </w:p>
    <w:p w14:paraId="70CEC11B" w14:textId="77777777" w:rsidR="00CD0ABA" w:rsidRPr="00795EB5" w:rsidRDefault="00CD0ABA" w:rsidP="00CD0ABA">
      <w:pPr>
        <w:pStyle w:val="Normalsmall"/>
        <w:rPr>
          <w:rStyle w:val="Strong"/>
        </w:rPr>
      </w:pPr>
      <w:r w:rsidRPr="00795EB5">
        <w:rPr>
          <w:rStyle w:val="Strong"/>
        </w:rPr>
        <w:t>Ownership of intellectual property rights</w:t>
      </w:r>
    </w:p>
    <w:p w14:paraId="46D32830" w14:textId="77777777" w:rsidR="00CD0ABA" w:rsidRPr="00795EB5" w:rsidRDefault="00CD0ABA" w:rsidP="00CD0ABA">
      <w:pPr>
        <w:pStyle w:val="Normalsmall"/>
      </w:pPr>
      <w:r w:rsidRPr="00795EB5">
        <w:t>Unless otherwise noted, copyright (and any other intellectual property rights) in this publication is owned by the Commonwealth of Australia (referred to as the Commonwealth).</w:t>
      </w:r>
    </w:p>
    <w:p w14:paraId="2DB98B30" w14:textId="77777777" w:rsidR="00CD0ABA" w:rsidRPr="00795EB5" w:rsidRDefault="00CD0ABA" w:rsidP="00CD0ABA">
      <w:pPr>
        <w:pStyle w:val="Normalsmall"/>
        <w:rPr>
          <w:rStyle w:val="Strong"/>
        </w:rPr>
      </w:pPr>
      <w:r w:rsidRPr="00795EB5">
        <w:rPr>
          <w:rStyle w:val="Strong"/>
        </w:rPr>
        <w:t>Creative Commons licence</w:t>
      </w:r>
    </w:p>
    <w:p w14:paraId="421D6A6F" w14:textId="77777777" w:rsidR="00CD0ABA" w:rsidRPr="00795EB5" w:rsidRDefault="00CD0ABA" w:rsidP="00CD0ABA">
      <w:pPr>
        <w:pStyle w:val="Normalsmall"/>
      </w:pPr>
      <w:r w:rsidRPr="00795EB5">
        <w:t xml:space="preserve">All material in this publication is </w:t>
      </w:r>
      <w:r>
        <w:t>licence</w:t>
      </w:r>
      <w:r w:rsidRPr="00795EB5">
        <w:t xml:space="preserve">d under a </w:t>
      </w:r>
      <w:hyperlink r:id="rId11" w:history="1">
        <w:r w:rsidRPr="00795EB5">
          <w:rPr>
            <w:rStyle w:val="Hyperlink"/>
          </w:rPr>
          <w:t>Creative Commons Attribution 4.0 International Licence</w:t>
        </w:r>
      </w:hyperlink>
      <w:r w:rsidRPr="00795EB5">
        <w:t xml:space="preserve"> except content supplied by third parties, logos and the Commonwealth Coat of Arms.</w:t>
      </w:r>
    </w:p>
    <w:p w14:paraId="7D88EE6D" w14:textId="77777777" w:rsidR="00CD0ABA" w:rsidRPr="00795EB5" w:rsidRDefault="00CD0ABA" w:rsidP="00CD0ABA">
      <w:pPr>
        <w:pStyle w:val="Normalsmall"/>
      </w:pPr>
      <w:r w:rsidRPr="00795EB5">
        <w:t xml:space="preserve">Inquiries about the licence and any use of this document should be emailed to </w:t>
      </w:r>
      <w:hyperlink r:id="rId12" w:history="1">
        <w:r w:rsidRPr="00795EB5">
          <w:rPr>
            <w:rStyle w:val="Hyperlink"/>
          </w:rPr>
          <w:t>copyright@awe.gov.au</w:t>
        </w:r>
      </w:hyperlink>
      <w:r w:rsidRPr="00795EB5">
        <w:t>.</w:t>
      </w:r>
    </w:p>
    <w:p w14:paraId="092FBE17" w14:textId="77777777" w:rsidR="00CD0ABA" w:rsidRPr="00795EB5" w:rsidRDefault="00CD0ABA" w:rsidP="00CD0ABA">
      <w:pPr>
        <w:pStyle w:val="Normalsmall"/>
      </w:pPr>
      <w:r w:rsidRPr="00795EB5">
        <w:rPr>
          <w:noProof/>
          <w:lang w:eastAsia="en-AU"/>
        </w:rPr>
        <w:drawing>
          <wp:inline distT="0" distB="0" distL="0" distR="0" wp14:anchorId="3927E0E0" wp14:editId="49EAC3B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79C40D1" w14:textId="77777777" w:rsidR="00CD0ABA" w:rsidRPr="00795EB5" w:rsidRDefault="00CD0ABA" w:rsidP="00CD0ABA">
      <w:pPr>
        <w:pStyle w:val="Normalsmall"/>
        <w:rPr>
          <w:rStyle w:val="Strong"/>
        </w:rPr>
      </w:pPr>
      <w:r w:rsidRPr="00795EB5">
        <w:rPr>
          <w:rStyle w:val="Strong"/>
        </w:rPr>
        <w:t>Cataloguing data</w:t>
      </w:r>
    </w:p>
    <w:p w14:paraId="106F37D8" w14:textId="3E46F368" w:rsidR="00CD0ABA" w:rsidRPr="00795EB5" w:rsidRDefault="00CD0ABA" w:rsidP="00CD0ABA">
      <w:pPr>
        <w:pStyle w:val="Normalsmall"/>
      </w:pPr>
      <w:r w:rsidRPr="00795EB5">
        <w:t xml:space="preserve">This publication (and any material sourced from it) should be attributed as: Commonwealth of Australia 2021, </w:t>
      </w:r>
      <w:r w:rsidRPr="00D56E8B">
        <w:rPr>
          <w:i/>
        </w:rPr>
        <w:t xml:space="preserve">Commonwealth Environmental Water Office Water Management Plan 2021–22: Warrego </w:t>
      </w:r>
      <w:r w:rsidR="00C64618">
        <w:rPr>
          <w:i/>
        </w:rPr>
        <w:t xml:space="preserve">and Moonie Valley </w:t>
      </w:r>
      <w:r w:rsidRPr="00D56E8B">
        <w:rPr>
          <w:i/>
        </w:rPr>
        <w:t>Water Management Plan</w:t>
      </w:r>
      <w:r w:rsidRPr="00D56E8B">
        <w:t>, Canberra. CC BY 4.0.</w:t>
      </w:r>
    </w:p>
    <w:p w14:paraId="15BE0980" w14:textId="262B6001" w:rsidR="00CD0ABA" w:rsidRPr="00795EB5" w:rsidRDefault="00CD0ABA" w:rsidP="00CD0ABA">
      <w:pPr>
        <w:pStyle w:val="Normalsmall"/>
      </w:pPr>
      <w:r w:rsidRPr="00CA6A68">
        <w:t xml:space="preserve">ISBN </w:t>
      </w:r>
      <w:r w:rsidR="00CA6A68" w:rsidRPr="00CA6A68">
        <w:t>978-1-76003-434-4</w:t>
      </w:r>
    </w:p>
    <w:p w14:paraId="367F3789" w14:textId="1D2F158C" w:rsidR="00CD0ABA" w:rsidRPr="00795EB5" w:rsidRDefault="00CD0ABA" w:rsidP="00CD0ABA">
      <w:pPr>
        <w:pStyle w:val="Normalsmall"/>
      </w:pPr>
      <w:r w:rsidRPr="00795EB5">
        <w:t xml:space="preserve">This publication is available at </w:t>
      </w:r>
      <w:hyperlink r:id="rId14" w:history="1">
        <w:r w:rsidRPr="00025615">
          <w:rPr>
            <w:rStyle w:val="Hyperlink"/>
          </w:rPr>
          <w:t>environment.gov.au/water/cewo/publications/water-management-plan-2021–22</w:t>
        </w:r>
      </w:hyperlink>
      <w:r w:rsidRPr="00025615">
        <w:t>.</w:t>
      </w:r>
    </w:p>
    <w:p w14:paraId="498259E9" w14:textId="77777777" w:rsidR="00CD0ABA" w:rsidRPr="00795EB5" w:rsidRDefault="00CD0ABA" w:rsidP="00CD0ABA">
      <w:pPr>
        <w:pStyle w:val="Normalsmall"/>
        <w:spacing w:after="0"/>
      </w:pPr>
      <w:r w:rsidRPr="00795EB5">
        <w:t>For more information about Commonwealth environmental water, contact us at:</w:t>
      </w:r>
    </w:p>
    <w:p w14:paraId="28C02300" w14:textId="77777777" w:rsidR="00CD0ABA" w:rsidRPr="00795EB5" w:rsidRDefault="00CD0ABA" w:rsidP="00CD0ABA">
      <w:pPr>
        <w:pStyle w:val="Normalsmall"/>
        <w:spacing w:after="0"/>
      </w:pPr>
      <w:r w:rsidRPr="00795EB5">
        <w:t>Commonwealth Environmental Water Office</w:t>
      </w:r>
    </w:p>
    <w:p w14:paraId="6E0B8B4B" w14:textId="77777777" w:rsidR="00CD0ABA" w:rsidRPr="00795EB5" w:rsidRDefault="00CD0ABA" w:rsidP="00CD0ABA">
      <w:pPr>
        <w:pStyle w:val="Normalsmall"/>
        <w:spacing w:after="0"/>
      </w:pPr>
      <w:r w:rsidRPr="00795EB5">
        <w:t>Department of Agriculture, Water and the Environment</w:t>
      </w:r>
    </w:p>
    <w:p w14:paraId="4BEBA359" w14:textId="77777777" w:rsidR="00CD0ABA" w:rsidRPr="00795EB5" w:rsidRDefault="00CD0ABA" w:rsidP="00CD0ABA">
      <w:pPr>
        <w:pStyle w:val="Normalsmall"/>
        <w:spacing w:after="0"/>
      </w:pPr>
      <w:r w:rsidRPr="00795EB5">
        <w:t>GPO Box 858 Canberra ACT 2601</w:t>
      </w:r>
    </w:p>
    <w:p w14:paraId="29E664C6" w14:textId="77777777" w:rsidR="00CD0ABA" w:rsidRPr="00795EB5" w:rsidRDefault="00CD0ABA" w:rsidP="00CD0ABA">
      <w:pPr>
        <w:pStyle w:val="Normalsmall"/>
        <w:spacing w:after="0"/>
      </w:pPr>
      <w:r w:rsidRPr="00795EB5">
        <w:t>Telephone 1800 803 772</w:t>
      </w:r>
    </w:p>
    <w:p w14:paraId="06B4D8CC" w14:textId="77777777" w:rsidR="00CD0ABA" w:rsidRPr="00795EB5" w:rsidRDefault="00CD0ABA" w:rsidP="00CD0ABA">
      <w:pPr>
        <w:pStyle w:val="Normalsmall"/>
        <w:spacing w:after="0"/>
      </w:pPr>
      <w:r w:rsidRPr="00795EB5">
        <w:t xml:space="preserve">Email </w:t>
      </w:r>
      <w:hyperlink r:id="rId15" w:history="1">
        <w:r w:rsidRPr="00795EB5">
          <w:rPr>
            <w:rStyle w:val="Hyperlink"/>
          </w:rPr>
          <w:t>ewater@awe.gov.au</w:t>
        </w:r>
      </w:hyperlink>
    </w:p>
    <w:p w14:paraId="62EDCDEB" w14:textId="4D05D081" w:rsidR="00CD0ABA" w:rsidRDefault="00CD0ABA" w:rsidP="00CD0ABA">
      <w:pPr>
        <w:pStyle w:val="Normalsmall"/>
        <w:rPr>
          <w:rStyle w:val="Hyperlink"/>
        </w:rPr>
      </w:pPr>
      <w:r w:rsidRPr="00795EB5">
        <w:t xml:space="preserve">Web </w:t>
      </w:r>
      <w:hyperlink r:id="rId16" w:history="1">
        <w:r w:rsidRPr="00795EB5">
          <w:rPr>
            <w:rStyle w:val="Hyperlink"/>
          </w:rPr>
          <w:t>environment.gov.au/water/cewo</w:t>
        </w:r>
      </w:hyperlink>
    </w:p>
    <w:p w14:paraId="731CD075" w14:textId="47A68BFA" w:rsidR="008F6B3E" w:rsidRPr="00795EB5" w:rsidRDefault="008F6B3E" w:rsidP="00CD0ABA">
      <w:pPr>
        <w:pStyle w:val="Normalsmall"/>
      </w:pPr>
      <w:r>
        <w:rPr>
          <w:rStyle w:val="Hyperlink"/>
          <w:color w:val="auto"/>
          <w:u w:val="none"/>
        </w:rPr>
        <w:t xml:space="preserve">For issues accessing links in this document, please visit the </w:t>
      </w:r>
      <w:hyperlink r:id="rId17" w:history="1">
        <w:r>
          <w:rPr>
            <w:rStyle w:val="Hyperlink"/>
          </w:rPr>
          <w:t>homepage</w:t>
        </w:r>
      </w:hyperlink>
      <w:r>
        <w:rPr>
          <w:rStyle w:val="Hyperlink"/>
          <w:color w:val="auto"/>
          <w:u w:val="none"/>
        </w:rPr>
        <w:t xml:space="preserve"> or let us know by </w:t>
      </w:r>
      <w:hyperlink r:id="rId18" w:history="1">
        <w:r w:rsidRPr="0015512C">
          <w:rPr>
            <w:rStyle w:val="Hyperlink"/>
          </w:rPr>
          <w:t>email</w:t>
        </w:r>
      </w:hyperlink>
      <w:r>
        <w:rPr>
          <w:rStyle w:val="Hyperlink"/>
          <w:color w:val="auto"/>
          <w:u w:val="none"/>
        </w:rPr>
        <w:t xml:space="preserve">. </w:t>
      </w:r>
    </w:p>
    <w:p w14:paraId="580198F8" w14:textId="77777777" w:rsidR="00CD0ABA" w:rsidRPr="00795EB5" w:rsidRDefault="00CD0ABA" w:rsidP="00CD0ABA">
      <w:pPr>
        <w:pStyle w:val="Normalsmall"/>
      </w:pPr>
      <w:r w:rsidRPr="00795EB5">
        <w:rPr>
          <w:rStyle w:val="Strong"/>
        </w:rPr>
        <w:t>Disclaimer</w:t>
      </w:r>
    </w:p>
    <w:p w14:paraId="505651D0" w14:textId="77777777" w:rsidR="00CD0ABA" w:rsidRPr="00795EB5" w:rsidRDefault="00CD0ABA" w:rsidP="00CD0ABA">
      <w:pPr>
        <w:pStyle w:val="Normalsmall"/>
      </w:pPr>
      <w:r w:rsidRPr="00795EB5">
        <w:t>The Commonwealth of Australia has made all reasonable efforts to identify content supplied by third parties using the format ‘© Copyright’ noting the third party.</w:t>
      </w:r>
    </w:p>
    <w:p w14:paraId="1A8D6BBC" w14:textId="77777777" w:rsidR="00CD0ABA" w:rsidRPr="00795EB5" w:rsidRDefault="00CD0ABA" w:rsidP="00CD0ABA">
      <w:pPr>
        <w:pStyle w:val="Normalsmall"/>
      </w:pPr>
      <w:r w:rsidRPr="00795EB5">
        <w:t>The views and opinions expressed in this publication are those of the authors and do not necessarily reflect those of the Australian Government or the Minister for the Environment.</w:t>
      </w:r>
    </w:p>
    <w:p w14:paraId="3E6AD69A" w14:textId="77777777" w:rsidR="00CD0ABA" w:rsidRPr="00795EB5" w:rsidRDefault="00CD0ABA" w:rsidP="00CD0ABA">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23B79A7A" w14:textId="77777777" w:rsidR="00CD0ABA" w:rsidRPr="00795EB5" w:rsidRDefault="00CD0ABA" w:rsidP="00CD0ABA">
      <w:pPr>
        <w:pStyle w:val="Normalsmall"/>
        <w:rPr>
          <w:rStyle w:val="Strong"/>
        </w:rPr>
      </w:pPr>
      <w:r w:rsidRPr="00795EB5">
        <w:rPr>
          <w:rStyle w:val="Strong"/>
        </w:rPr>
        <w:t>Acknowledgement of the Traditional Owners of the Murray–Darling Basin</w:t>
      </w:r>
    </w:p>
    <w:p w14:paraId="55AE0D91" w14:textId="77777777" w:rsidR="00CD0ABA" w:rsidRPr="00795EB5" w:rsidRDefault="00CD0ABA" w:rsidP="00CD0ABA">
      <w:pPr>
        <w:pStyle w:val="Normalsmall"/>
      </w:pPr>
      <w:r w:rsidRPr="00795EB5">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114B45F3" w14:textId="77777777" w:rsidR="00CD0ABA" w:rsidRPr="00795EB5" w:rsidRDefault="00CD0ABA" w:rsidP="00CD0ABA">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FC73FB1" w14:textId="77777777" w:rsidR="00CD0ABA" w:rsidRPr="00795EB5" w:rsidRDefault="00CD0ABA" w:rsidP="00CD0ABA">
          <w:pPr>
            <w:pStyle w:val="TOCHeading"/>
          </w:pPr>
          <w:r w:rsidRPr="00D27489">
            <w:t>Contents</w:t>
          </w:r>
        </w:p>
        <w:p w14:paraId="5CFB4ADE" w14:textId="2C656A17" w:rsidR="0044215C" w:rsidRDefault="00CD0ABA">
          <w:pPr>
            <w:pStyle w:val="TOC1"/>
            <w:rPr>
              <w:rFonts w:asciiTheme="minorHAnsi" w:eastAsiaTheme="minorEastAsia" w:hAnsiTheme="minorHAnsi"/>
              <w:b w:val="0"/>
              <w:lang w:eastAsia="en-AU"/>
            </w:rPr>
          </w:pPr>
          <w:r w:rsidRPr="00795EB5">
            <w:rPr>
              <w:b w:val="0"/>
            </w:rPr>
            <w:fldChar w:fldCharType="begin"/>
          </w:r>
          <w:r w:rsidRPr="00795EB5">
            <w:rPr>
              <w:b w:val="0"/>
            </w:rPr>
            <w:instrText xml:space="preserve"> TOC \h \z \u \t "Heading 2,1,Heading 3,2,Style1,2,TOA Heading,1" </w:instrText>
          </w:r>
          <w:r w:rsidRPr="00795EB5">
            <w:rPr>
              <w:b w:val="0"/>
            </w:rPr>
            <w:fldChar w:fldCharType="separate"/>
          </w:r>
          <w:hyperlink w:anchor="_Toc80294612" w:history="1">
            <w:r w:rsidR="0044215C" w:rsidRPr="00AD7261">
              <w:rPr>
                <w:rStyle w:val="Hyperlink"/>
              </w:rPr>
              <w:t>5</w:t>
            </w:r>
            <w:r w:rsidR="0044215C">
              <w:rPr>
                <w:rFonts w:asciiTheme="minorHAnsi" w:eastAsiaTheme="minorEastAsia" w:hAnsiTheme="minorHAnsi"/>
                <w:b w:val="0"/>
                <w:lang w:eastAsia="en-AU"/>
              </w:rPr>
              <w:tab/>
            </w:r>
            <w:r w:rsidR="0044215C" w:rsidRPr="00AD7261">
              <w:rPr>
                <w:rStyle w:val="Hyperlink"/>
              </w:rPr>
              <w:t>Warrego and Moonie Valleys Water Plan</w:t>
            </w:r>
            <w:r w:rsidR="0044215C">
              <w:rPr>
                <w:webHidden/>
              </w:rPr>
              <w:tab/>
            </w:r>
            <w:r w:rsidR="0044215C">
              <w:rPr>
                <w:webHidden/>
              </w:rPr>
              <w:fldChar w:fldCharType="begin"/>
            </w:r>
            <w:r w:rsidR="0044215C">
              <w:rPr>
                <w:webHidden/>
              </w:rPr>
              <w:instrText xml:space="preserve"> PAGEREF _Toc80294612 \h </w:instrText>
            </w:r>
            <w:r w:rsidR="0044215C">
              <w:rPr>
                <w:webHidden/>
              </w:rPr>
            </w:r>
            <w:r w:rsidR="0044215C">
              <w:rPr>
                <w:webHidden/>
              </w:rPr>
              <w:fldChar w:fldCharType="separate"/>
            </w:r>
            <w:r w:rsidR="0044215C">
              <w:rPr>
                <w:webHidden/>
              </w:rPr>
              <w:t>1</w:t>
            </w:r>
            <w:r w:rsidR="0044215C">
              <w:rPr>
                <w:webHidden/>
              </w:rPr>
              <w:fldChar w:fldCharType="end"/>
            </w:r>
          </w:hyperlink>
        </w:p>
        <w:p w14:paraId="2F740A14" w14:textId="77EED750" w:rsidR="0044215C" w:rsidRDefault="004D6BAD">
          <w:pPr>
            <w:pStyle w:val="TOC2"/>
            <w:tabs>
              <w:tab w:val="left" w:pos="1100"/>
            </w:tabs>
            <w:rPr>
              <w:rFonts w:asciiTheme="minorHAnsi" w:eastAsiaTheme="minorEastAsia" w:hAnsiTheme="minorHAnsi"/>
              <w:lang w:eastAsia="en-AU"/>
            </w:rPr>
          </w:pPr>
          <w:hyperlink w:anchor="_Toc80294613" w:history="1">
            <w:r w:rsidR="0044215C" w:rsidRPr="00AD7261">
              <w:rPr>
                <w:rStyle w:val="Hyperlink"/>
                <w:lang w:eastAsia="ja-JP"/>
              </w:rPr>
              <w:t>5.1</w:t>
            </w:r>
            <w:r w:rsidR="0044215C">
              <w:rPr>
                <w:rFonts w:asciiTheme="minorHAnsi" w:eastAsiaTheme="minorEastAsia" w:hAnsiTheme="minorHAnsi"/>
                <w:lang w:eastAsia="en-AU"/>
              </w:rPr>
              <w:tab/>
            </w:r>
            <w:r w:rsidR="0044215C" w:rsidRPr="00AD7261">
              <w:rPr>
                <w:rStyle w:val="Hyperlink"/>
                <w:lang w:eastAsia="ja-JP"/>
              </w:rPr>
              <w:t>Region overview</w:t>
            </w:r>
            <w:r w:rsidR="0044215C">
              <w:rPr>
                <w:webHidden/>
              </w:rPr>
              <w:tab/>
            </w:r>
            <w:r w:rsidR="0044215C">
              <w:rPr>
                <w:webHidden/>
              </w:rPr>
              <w:fldChar w:fldCharType="begin"/>
            </w:r>
            <w:r w:rsidR="0044215C">
              <w:rPr>
                <w:webHidden/>
              </w:rPr>
              <w:instrText xml:space="preserve"> PAGEREF _Toc80294613 \h </w:instrText>
            </w:r>
            <w:r w:rsidR="0044215C">
              <w:rPr>
                <w:webHidden/>
              </w:rPr>
            </w:r>
            <w:r w:rsidR="0044215C">
              <w:rPr>
                <w:webHidden/>
              </w:rPr>
              <w:fldChar w:fldCharType="separate"/>
            </w:r>
            <w:r w:rsidR="0044215C">
              <w:rPr>
                <w:webHidden/>
              </w:rPr>
              <w:t>1</w:t>
            </w:r>
            <w:r w:rsidR="0044215C">
              <w:rPr>
                <w:webHidden/>
              </w:rPr>
              <w:fldChar w:fldCharType="end"/>
            </w:r>
          </w:hyperlink>
        </w:p>
        <w:p w14:paraId="11B37C88" w14:textId="0DF29D5F" w:rsidR="0044215C" w:rsidRDefault="004D6BAD">
          <w:pPr>
            <w:pStyle w:val="TOC2"/>
            <w:tabs>
              <w:tab w:val="left" w:pos="1100"/>
            </w:tabs>
            <w:rPr>
              <w:rFonts w:asciiTheme="minorHAnsi" w:eastAsiaTheme="minorEastAsia" w:hAnsiTheme="minorHAnsi"/>
              <w:lang w:eastAsia="en-AU"/>
            </w:rPr>
          </w:pPr>
          <w:hyperlink w:anchor="_Toc80294614" w:history="1">
            <w:r w:rsidR="0044215C" w:rsidRPr="00AD7261">
              <w:rPr>
                <w:rStyle w:val="Hyperlink"/>
                <w:lang w:eastAsia="ja-JP"/>
              </w:rPr>
              <w:t>5.2</w:t>
            </w:r>
            <w:r w:rsidR="0044215C">
              <w:rPr>
                <w:rFonts w:asciiTheme="minorHAnsi" w:eastAsiaTheme="minorEastAsia" w:hAnsiTheme="minorHAnsi"/>
                <w:lang w:eastAsia="en-AU"/>
              </w:rPr>
              <w:tab/>
            </w:r>
            <w:r w:rsidR="0044215C" w:rsidRPr="00AD7261">
              <w:rPr>
                <w:rStyle w:val="Hyperlink"/>
                <w:lang w:eastAsia="ja-JP"/>
              </w:rPr>
              <w:t>Environmental objectives</w:t>
            </w:r>
            <w:r w:rsidR="0044215C">
              <w:rPr>
                <w:webHidden/>
              </w:rPr>
              <w:tab/>
            </w:r>
            <w:r w:rsidR="0044215C">
              <w:rPr>
                <w:webHidden/>
              </w:rPr>
              <w:fldChar w:fldCharType="begin"/>
            </w:r>
            <w:r w:rsidR="0044215C">
              <w:rPr>
                <w:webHidden/>
              </w:rPr>
              <w:instrText xml:space="preserve"> PAGEREF _Toc80294614 \h </w:instrText>
            </w:r>
            <w:r w:rsidR="0044215C">
              <w:rPr>
                <w:webHidden/>
              </w:rPr>
            </w:r>
            <w:r w:rsidR="0044215C">
              <w:rPr>
                <w:webHidden/>
              </w:rPr>
              <w:fldChar w:fldCharType="separate"/>
            </w:r>
            <w:r w:rsidR="0044215C">
              <w:rPr>
                <w:webHidden/>
              </w:rPr>
              <w:t>4</w:t>
            </w:r>
            <w:r w:rsidR="0044215C">
              <w:rPr>
                <w:webHidden/>
              </w:rPr>
              <w:fldChar w:fldCharType="end"/>
            </w:r>
          </w:hyperlink>
        </w:p>
        <w:p w14:paraId="2DBD2A06" w14:textId="28DBA813" w:rsidR="0044215C" w:rsidRDefault="004D6BAD">
          <w:pPr>
            <w:pStyle w:val="TOC2"/>
            <w:tabs>
              <w:tab w:val="left" w:pos="1100"/>
            </w:tabs>
            <w:rPr>
              <w:rFonts w:asciiTheme="minorHAnsi" w:eastAsiaTheme="minorEastAsia" w:hAnsiTheme="minorHAnsi"/>
              <w:lang w:eastAsia="en-AU"/>
            </w:rPr>
          </w:pPr>
          <w:hyperlink w:anchor="_Toc80294615" w:history="1">
            <w:r w:rsidR="0044215C" w:rsidRPr="00AD7261">
              <w:rPr>
                <w:rStyle w:val="Hyperlink"/>
                <w:lang w:eastAsia="ja-JP"/>
              </w:rPr>
              <w:t>5.3</w:t>
            </w:r>
            <w:r w:rsidR="0044215C">
              <w:rPr>
                <w:rFonts w:asciiTheme="minorHAnsi" w:eastAsiaTheme="minorEastAsia" w:hAnsiTheme="minorHAnsi"/>
                <w:lang w:eastAsia="en-AU"/>
              </w:rPr>
              <w:tab/>
            </w:r>
            <w:r w:rsidR="0044215C" w:rsidRPr="00AD7261">
              <w:rPr>
                <w:rStyle w:val="Hyperlink"/>
                <w:lang w:eastAsia="ja-JP"/>
              </w:rPr>
              <w:t>First Nations environmental watering objectives</w:t>
            </w:r>
            <w:r w:rsidR="0044215C">
              <w:rPr>
                <w:webHidden/>
              </w:rPr>
              <w:tab/>
            </w:r>
            <w:r w:rsidR="0044215C">
              <w:rPr>
                <w:webHidden/>
              </w:rPr>
              <w:fldChar w:fldCharType="begin"/>
            </w:r>
            <w:r w:rsidR="0044215C">
              <w:rPr>
                <w:webHidden/>
              </w:rPr>
              <w:instrText xml:space="preserve"> PAGEREF _Toc80294615 \h </w:instrText>
            </w:r>
            <w:r w:rsidR="0044215C">
              <w:rPr>
                <w:webHidden/>
              </w:rPr>
            </w:r>
            <w:r w:rsidR="0044215C">
              <w:rPr>
                <w:webHidden/>
              </w:rPr>
              <w:fldChar w:fldCharType="separate"/>
            </w:r>
            <w:r w:rsidR="0044215C">
              <w:rPr>
                <w:webHidden/>
              </w:rPr>
              <w:t>5</w:t>
            </w:r>
            <w:r w:rsidR="0044215C">
              <w:rPr>
                <w:webHidden/>
              </w:rPr>
              <w:fldChar w:fldCharType="end"/>
            </w:r>
          </w:hyperlink>
        </w:p>
        <w:p w14:paraId="4D01FFFF" w14:textId="587DA296" w:rsidR="0044215C" w:rsidRDefault="004D6BAD">
          <w:pPr>
            <w:pStyle w:val="TOC2"/>
            <w:tabs>
              <w:tab w:val="left" w:pos="1100"/>
            </w:tabs>
            <w:rPr>
              <w:rFonts w:asciiTheme="minorHAnsi" w:eastAsiaTheme="minorEastAsia" w:hAnsiTheme="minorHAnsi"/>
              <w:lang w:eastAsia="en-AU"/>
            </w:rPr>
          </w:pPr>
          <w:hyperlink w:anchor="_Toc80294616" w:history="1">
            <w:r w:rsidR="0044215C" w:rsidRPr="00AD7261">
              <w:rPr>
                <w:rStyle w:val="Hyperlink"/>
              </w:rPr>
              <w:t>5.4</w:t>
            </w:r>
            <w:r w:rsidR="0044215C">
              <w:rPr>
                <w:rFonts w:asciiTheme="minorHAnsi" w:eastAsiaTheme="minorEastAsia" w:hAnsiTheme="minorHAnsi"/>
                <w:lang w:eastAsia="en-AU"/>
              </w:rPr>
              <w:tab/>
            </w:r>
            <w:r w:rsidR="0044215C" w:rsidRPr="00AD7261">
              <w:rPr>
                <w:rStyle w:val="Hyperlink"/>
              </w:rPr>
              <w:t>Recent conditions and seasonal outlook</w:t>
            </w:r>
            <w:r w:rsidR="0044215C">
              <w:rPr>
                <w:webHidden/>
              </w:rPr>
              <w:tab/>
            </w:r>
            <w:r w:rsidR="0044215C">
              <w:rPr>
                <w:webHidden/>
              </w:rPr>
              <w:fldChar w:fldCharType="begin"/>
            </w:r>
            <w:r w:rsidR="0044215C">
              <w:rPr>
                <w:webHidden/>
              </w:rPr>
              <w:instrText xml:space="preserve"> PAGEREF _Toc80294616 \h </w:instrText>
            </w:r>
            <w:r w:rsidR="0044215C">
              <w:rPr>
                <w:webHidden/>
              </w:rPr>
            </w:r>
            <w:r w:rsidR="0044215C">
              <w:rPr>
                <w:webHidden/>
              </w:rPr>
              <w:fldChar w:fldCharType="separate"/>
            </w:r>
            <w:r w:rsidR="0044215C">
              <w:rPr>
                <w:webHidden/>
              </w:rPr>
              <w:t>5</w:t>
            </w:r>
            <w:r w:rsidR="0044215C">
              <w:rPr>
                <w:webHidden/>
              </w:rPr>
              <w:fldChar w:fldCharType="end"/>
            </w:r>
          </w:hyperlink>
        </w:p>
        <w:p w14:paraId="60C6AEFA" w14:textId="514E85E6" w:rsidR="0044215C" w:rsidRDefault="004D6BAD">
          <w:pPr>
            <w:pStyle w:val="TOC2"/>
            <w:tabs>
              <w:tab w:val="left" w:pos="1100"/>
            </w:tabs>
            <w:rPr>
              <w:rFonts w:asciiTheme="minorHAnsi" w:eastAsiaTheme="minorEastAsia" w:hAnsiTheme="minorHAnsi"/>
              <w:lang w:eastAsia="en-AU"/>
            </w:rPr>
          </w:pPr>
          <w:hyperlink w:anchor="_Toc80294617" w:history="1">
            <w:r w:rsidR="0044215C" w:rsidRPr="00AD7261">
              <w:rPr>
                <w:rStyle w:val="Hyperlink"/>
              </w:rPr>
              <w:t>5.5</w:t>
            </w:r>
            <w:r w:rsidR="0044215C">
              <w:rPr>
                <w:rFonts w:asciiTheme="minorHAnsi" w:eastAsiaTheme="minorEastAsia" w:hAnsiTheme="minorHAnsi"/>
                <w:lang w:eastAsia="en-AU"/>
              </w:rPr>
              <w:tab/>
            </w:r>
            <w:r w:rsidR="0044215C" w:rsidRPr="00AD7261">
              <w:rPr>
                <w:rStyle w:val="Hyperlink"/>
              </w:rPr>
              <w:t>Water delivery in 2021–22</w:t>
            </w:r>
            <w:r w:rsidR="0044215C">
              <w:rPr>
                <w:webHidden/>
              </w:rPr>
              <w:tab/>
            </w:r>
            <w:r w:rsidR="0044215C">
              <w:rPr>
                <w:webHidden/>
              </w:rPr>
              <w:fldChar w:fldCharType="begin"/>
            </w:r>
            <w:r w:rsidR="0044215C">
              <w:rPr>
                <w:webHidden/>
              </w:rPr>
              <w:instrText xml:space="preserve"> PAGEREF _Toc80294617 \h </w:instrText>
            </w:r>
            <w:r w:rsidR="0044215C">
              <w:rPr>
                <w:webHidden/>
              </w:rPr>
            </w:r>
            <w:r w:rsidR="0044215C">
              <w:rPr>
                <w:webHidden/>
              </w:rPr>
              <w:fldChar w:fldCharType="separate"/>
            </w:r>
            <w:r w:rsidR="0044215C">
              <w:rPr>
                <w:webHidden/>
              </w:rPr>
              <w:t>11</w:t>
            </w:r>
            <w:r w:rsidR="0044215C">
              <w:rPr>
                <w:webHidden/>
              </w:rPr>
              <w:fldChar w:fldCharType="end"/>
            </w:r>
          </w:hyperlink>
        </w:p>
        <w:p w14:paraId="4133A8C1" w14:textId="0E34CB52" w:rsidR="0044215C" w:rsidRDefault="004D6BAD">
          <w:pPr>
            <w:pStyle w:val="TOC2"/>
            <w:tabs>
              <w:tab w:val="left" w:pos="1100"/>
            </w:tabs>
            <w:rPr>
              <w:rFonts w:asciiTheme="minorHAnsi" w:eastAsiaTheme="minorEastAsia" w:hAnsiTheme="minorHAnsi"/>
              <w:lang w:eastAsia="en-AU"/>
            </w:rPr>
          </w:pPr>
          <w:hyperlink w:anchor="_Toc80294618" w:history="1">
            <w:r w:rsidR="0044215C" w:rsidRPr="00AD7261">
              <w:rPr>
                <w:rStyle w:val="Hyperlink"/>
              </w:rPr>
              <w:t>5.6</w:t>
            </w:r>
            <w:r w:rsidR="0044215C">
              <w:rPr>
                <w:rFonts w:asciiTheme="minorHAnsi" w:eastAsiaTheme="minorEastAsia" w:hAnsiTheme="minorHAnsi"/>
                <w:lang w:eastAsia="en-AU"/>
              </w:rPr>
              <w:tab/>
            </w:r>
            <w:r w:rsidR="0044215C" w:rsidRPr="00AD7261">
              <w:rPr>
                <w:rStyle w:val="Hyperlink"/>
              </w:rPr>
              <w:t>Monitoring and lessons learned</w:t>
            </w:r>
            <w:r w:rsidR="0044215C">
              <w:rPr>
                <w:webHidden/>
              </w:rPr>
              <w:tab/>
            </w:r>
            <w:r w:rsidR="0044215C">
              <w:rPr>
                <w:webHidden/>
              </w:rPr>
              <w:fldChar w:fldCharType="begin"/>
            </w:r>
            <w:r w:rsidR="0044215C">
              <w:rPr>
                <w:webHidden/>
              </w:rPr>
              <w:instrText xml:space="preserve"> PAGEREF _Toc80294618 \h </w:instrText>
            </w:r>
            <w:r w:rsidR="0044215C">
              <w:rPr>
                <w:webHidden/>
              </w:rPr>
            </w:r>
            <w:r w:rsidR="0044215C">
              <w:rPr>
                <w:webHidden/>
              </w:rPr>
              <w:fldChar w:fldCharType="separate"/>
            </w:r>
            <w:r w:rsidR="0044215C">
              <w:rPr>
                <w:webHidden/>
              </w:rPr>
              <w:t>13</w:t>
            </w:r>
            <w:r w:rsidR="0044215C">
              <w:rPr>
                <w:webHidden/>
              </w:rPr>
              <w:fldChar w:fldCharType="end"/>
            </w:r>
          </w:hyperlink>
        </w:p>
        <w:p w14:paraId="75DDB838" w14:textId="3E563686" w:rsidR="0044215C" w:rsidRDefault="004D6BAD">
          <w:pPr>
            <w:pStyle w:val="TOC2"/>
            <w:rPr>
              <w:rFonts w:asciiTheme="minorHAnsi" w:eastAsiaTheme="minorEastAsia" w:hAnsiTheme="minorHAnsi"/>
              <w:lang w:eastAsia="en-AU"/>
            </w:rPr>
          </w:pPr>
          <w:hyperlink w:anchor="_Toc80294619" w:history="1">
            <w:r w:rsidR="0044215C" w:rsidRPr="00AD7261">
              <w:rPr>
                <w:rStyle w:val="Hyperlink"/>
              </w:rPr>
              <w:t>References</w:t>
            </w:r>
            <w:r w:rsidR="0044215C">
              <w:rPr>
                <w:webHidden/>
              </w:rPr>
              <w:tab/>
            </w:r>
            <w:r w:rsidR="0044215C">
              <w:rPr>
                <w:webHidden/>
              </w:rPr>
              <w:fldChar w:fldCharType="begin"/>
            </w:r>
            <w:r w:rsidR="0044215C">
              <w:rPr>
                <w:webHidden/>
              </w:rPr>
              <w:instrText xml:space="preserve"> PAGEREF _Toc80294619 \h </w:instrText>
            </w:r>
            <w:r w:rsidR="0044215C">
              <w:rPr>
                <w:webHidden/>
              </w:rPr>
            </w:r>
            <w:r w:rsidR="0044215C">
              <w:rPr>
                <w:webHidden/>
              </w:rPr>
              <w:fldChar w:fldCharType="separate"/>
            </w:r>
            <w:r w:rsidR="0044215C">
              <w:rPr>
                <w:webHidden/>
              </w:rPr>
              <w:t>17</w:t>
            </w:r>
            <w:r w:rsidR="0044215C">
              <w:rPr>
                <w:webHidden/>
              </w:rPr>
              <w:fldChar w:fldCharType="end"/>
            </w:r>
          </w:hyperlink>
        </w:p>
        <w:p w14:paraId="487EAE3F" w14:textId="55F140D1" w:rsidR="00CD0ABA" w:rsidRPr="00795EB5" w:rsidRDefault="00CD0ABA" w:rsidP="00CD0ABA">
          <w:r w:rsidRPr="00795EB5">
            <w:rPr>
              <w:b/>
              <w:noProof/>
            </w:rPr>
            <w:fldChar w:fldCharType="end"/>
          </w:r>
        </w:p>
      </w:sdtContent>
    </w:sdt>
    <w:p w14:paraId="1A27C6CD" w14:textId="77777777" w:rsidR="0044215C" w:rsidRDefault="00CD0ABA" w:rsidP="00CA6A68">
      <w:pPr>
        <w:pStyle w:val="TOCHeading2"/>
        <w:rPr>
          <w:noProof/>
        </w:rPr>
      </w:pPr>
      <w:bookmarkStart w:id="0" w:name="_Hlk76042612"/>
      <w:r w:rsidRPr="00D27489">
        <w:rPr>
          <w:rStyle w:val="Strong"/>
        </w:rPr>
        <w:t>Tables</w:t>
      </w:r>
      <w:bookmarkEnd w:id="0"/>
      <w:r w:rsidR="00CA6A68">
        <w:rPr>
          <w:noProof/>
        </w:rPr>
        <w:fldChar w:fldCharType="begin"/>
      </w:r>
      <w:r w:rsidR="00CA6A68">
        <w:rPr>
          <w:noProof/>
        </w:rPr>
        <w:instrText xml:space="preserve"> TOC \h \z \c "Table WMV" </w:instrText>
      </w:r>
      <w:r w:rsidR="00CA6A68">
        <w:rPr>
          <w:noProof/>
        </w:rPr>
        <w:fldChar w:fldCharType="separate"/>
      </w:r>
    </w:p>
    <w:p w14:paraId="030277ED" w14:textId="5DDF4FED" w:rsidR="0044215C" w:rsidRDefault="004D6BAD">
      <w:pPr>
        <w:pStyle w:val="TableofFigures"/>
        <w:tabs>
          <w:tab w:val="right" w:leader="dot" w:pos="9060"/>
        </w:tabs>
        <w:rPr>
          <w:rFonts w:asciiTheme="minorHAnsi" w:eastAsiaTheme="minorEastAsia" w:hAnsiTheme="minorHAnsi"/>
          <w:noProof/>
          <w:lang w:eastAsia="en-AU"/>
        </w:rPr>
      </w:pPr>
      <w:hyperlink w:anchor="_Toc80294620" w:history="1">
        <w:r w:rsidR="0044215C" w:rsidRPr="008D182F">
          <w:rPr>
            <w:rStyle w:val="Hyperlink"/>
            <w:noProof/>
          </w:rPr>
          <w:t>Table WMV1 Environmental demands in 2021–22 for the Moonie Valley</w:t>
        </w:r>
        <w:r w:rsidR="0044215C">
          <w:rPr>
            <w:noProof/>
            <w:webHidden/>
          </w:rPr>
          <w:tab/>
        </w:r>
        <w:r w:rsidR="0044215C">
          <w:rPr>
            <w:noProof/>
            <w:webHidden/>
          </w:rPr>
          <w:fldChar w:fldCharType="begin"/>
        </w:r>
        <w:r w:rsidR="0044215C">
          <w:rPr>
            <w:noProof/>
            <w:webHidden/>
          </w:rPr>
          <w:instrText xml:space="preserve"> PAGEREF _Toc80294620 \h </w:instrText>
        </w:r>
        <w:r w:rsidR="0044215C">
          <w:rPr>
            <w:noProof/>
            <w:webHidden/>
          </w:rPr>
        </w:r>
        <w:r w:rsidR="0044215C">
          <w:rPr>
            <w:noProof/>
            <w:webHidden/>
          </w:rPr>
          <w:fldChar w:fldCharType="separate"/>
        </w:r>
        <w:r w:rsidR="0044215C">
          <w:rPr>
            <w:noProof/>
            <w:webHidden/>
          </w:rPr>
          <w:t>8</w:t>
        </w:r>
        <w:r w:rsidR="0044215C">
          <w:rPr>
            <w:noProof/>
            <w:webHidden/>
          </w:rPr>
          <w:fldChar w:fldCharType="end"/>
        </w:r>
      </w:hyperlink>
    </w:p>
    <w:p w14:paraId="10BF6AE1" w14:textId="2F941231" w:rsidR="0044215C" w:rsidRDefault="004D6BAD">
      <w:pPr>
        <w:pStyle w:val="TableofFigures"/>
        <w:tabs>
          <w:tab w:val="right" w:leader="dot" w:pos="9060"/>
        </w:tabs>
        <w:rPr>
          <w:rFonts w:asciiTheme="minorHAnsi" w:eastAsiaTheme="minorEastAsia" w:hAnsiTheme="minorHAnsi"/>
          <w:noProof/>
          <w:lang w:eastAsia="en-AU"/>
        </w:rPr>
      </w:pPr>
      <w:hyperlink w:anchor="_Toc80294621" w:history="1">
        <w:r w:rsidR="0044215C" w:rsidRPr="008D182F">
          <w:rPr>
            <w:rStyle w:val="Hyperlink"/>
            <w:noProof/>
          </w:rPr>
          <w:t>Table WMV2 Environmental demands in 2021–22 for the Warrego Valley</w:t>
        </w:r>
        <w:r w:rsidR="0044215C">
          <w:rPr>
            <w:noProof/>
            <w:webHidden/>
          </w:rPr>
          <w:tab/>
        </w:r>
        <w:r w:rsidR="0044215C">
          <w:rPr>
            <w:noProof/>
            <w:webHidden/>
          </w:rPr>
          <w:fldChar w:fldCharType="begin"/>
        </w:r>
        <w:r w:rsidR="0044215C">
          <w:rPr>
            <w:noProof/>
            <w:webHidden/>
          </w:rPr>
          <w:instrText xml:space="preserve"> PAGEREF _Toc80294621 \h </w:instrText>
        </w:r>
        <w:r w:rsidR="0044215C">
          <w:rPr>
            <w:noProof/>
            <w:webHidden/>
          </w:rPr>
        </w:r>
        <w:r w:rsidR="0044215C">
          <w:rPr>
            <w:noProof/>
            <w:webHidden/>
          </w:rPr>
          <w:fldChar w:fldCharType="separate"/>
        </w:r>
        <w:r w:rsidR="0044215C">
          <w:rPr>
            <w:noProof/>
            <w:webHidden/>
          </w:rPr>
          <w:t>8</w:t>
        </w:r>
        <w:r w:rsidR="0044215C">
          <w:rPr>
            <w:noProof/>
            <w:webHidden/>
          </w:rPr>
          <w:fldChar w:fldCharType="end"/>
        </w:r>
      </w:hyperlink>
    </w:p>
    <w:p w14:paraId="1A73E85E" w14:textId="0A8CBCEB" w:rsidR="0044215C" w:rsidRDefault="004D6BAD">
      <w:pPr>
        <w:pStyle w:val="TableofFigures"/>
        <w:tabs>
          <w:tab w:val="right" w:leader="dot" w:pos="9060"/>
        </w:tabs>
        <w:rPr>
          <w:rFonts w:asciiTheme="minorHAnsi" w:eastAsiaTheme="minorEastAsia" w:hAnsiTheme="minorHAnsi"/>
          <w:noProof/>
          <w:lang w:eastAsia="en-AU"/>
        </w:rPr>
      </w:pPr>
      <w:hyperlink w:anchor="_Toc80294622" w:history="1">
        <w:r w:rsidR="0044215C" w:rsidRPr="008D182F">
          <w:rPr>
            <w:rStyle w:val="Hyperlink"/>
            <w:noProof/>
          </w:rPr>
          <w:t>Table WMV3 Key lessons learned in the Warrego and Moonie Valleys</w:t>
        </w:r>
        <w:r w:rsidR="0044215C">
          <w:rPr>
            <w:noProof/>
            <w:webHidden/>
          </w:rPr>
          <w:tab/>
        </w:r>
        <w:r w:rsidR="0044215C">
          <w:rPr>
            <w:noProof/>
            <w:webHidden/>
          </w:rPr>
          <w:fldChar w:fldCharType="begin"/>
        </w:r>
        <w:r w:rsidR="0044215C">
          <w:rPr>
            <w:noProof/>
            <w:webHidden/>
          </w:rPr>
          <w:instrText xml:space="preserve"> PAGEREF _Toc80294622 \h </w:instrText>
        </w:r>
        <w:r w:rsidR="0044215C">
          <w:rPr>
            <w:noProof/>
            <w:webHidden/>
          </w:rPr>
        </w:r>
        <w:r w:rsidR="0044215C">
          <w:rPr>
            <w:noProof/>
            <w:webHidden/>
          </w:rPr>
          <w:fldChar w:fldCharType="separate"/>
        </w:r>
        <w:r w:rsidR="0044215C">
          <w:rPr>
            <w:noProof/>
            <w:webHidden/>
          </w:rPr>
          <w:t>13</w:t>
        </w:r>
        <w:r w:rsidR="0044215C">
          <w:rPr>
            <w:noProof/>
            <w:webHidden/>
          </w:rPr>
          <w:fldChar w:fldCharType="end"/>
        </w:r>
      </w:hyperlink>
    </w:p>
    <w:p w14:paraId="73272C74" w14:textId="7F0747E2" w:rsidR="00DC2E2D" w:rsidRPr="000837DA" w:rsidRDefault="00CA6A68" w:rsidP="00D542A4">
      <w:r>
        <w:rPr>
          <w:noProof/>
        </w:rPr>
        <w:fldChar w:fldCharType="end"/>
      </w:r>
    </w:p>
    <w:p w14:paraId="1DE7EA95" w14:textId="33EFEFA7" w:rsidR="00DC2E2D" w:rsidRPr="00CA6A68" w:rsidRDefault="00DC2E2D" w:rsidP="00DC2E2D">
      <w:pPr>
        <w:pStyle w:val="TOCHeading2"/>
        <w:rPr>
          <w:rStyle w:val="Strong"/>
        </w:rPr>
      </w:pPr>
      <w:r w:rsidRPr="00CA6A68">
        <w:rPr>
          <w:rStyle w:val="Strong"/>
        </w:rPr>
        <w:t>Figures</w:t>
      </w:r>
    </w:p>
    <w:p w14:paraId="4D187C50" w14:textId="0CAE0839" w:rsidR="009F6AA5" w:rsidRDefault="00DC2E2D">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WMV" </w:instrText>
      </w:r>
      <w:r>
        <w:fldChar w:fldCharType="separate"/>
      </w:r>
      <w:hyperlink w:anchor="_Toc80117091" w:history="1">
        <w:r w:rsidR="009F6AA5" w:rsidRPr="006B3A40">
          <w:rPr>
            <w:rStyle w:val="Hyperlink"/>
            <w:noProof/>
          </w:rPr>
          <w:t>Figure WMV1 Management strategy for Commonwealth environmental water at Toorale</w:t>
        </w:r>
        <w:r w:rsidR="009F6AA5">
          <w:rPr>
            <w:noProof/>
            <w:webHidden/>
          </w:rPr>
          <w:tab/>
        </w:r>
        <w:r w:rsidR="009F6AA5">
          <w:rPr>
            <w:noProof/>
            <w:webHidden/>
          </w:rPr>
          <w:fldChar w:fldCharType="begin"/>
        </w:r>
        <w:r w:rsidR="009F6AA5">
          <w:rPr>
            <w:noProof/>
            <w:webHidden/>
          </w:rPr>
          <w:instrText xml:space="preserve"> PAGEREF _Toc80117091 \h </w:instrText>
        </w:r>
        <w:r w:rsidR="009F6AA5">
          <w:rPr>
            <w:noProof/>
            <w:webHidden/>
          </w:rPr>
        </w:r>
        <w:r w:rsidR="009F6AA5">
          <w:rPr>
            <w:noProof/>
            <w:webHidden/>
          </w:rPr>
          <w:fldChar w:fldCharType="separate"/>
        </w:r>
        <w:r w:rsidR="0044215C">
          <w:rPr>
            <w:noProof/>
            <w:webHidden/>
          </w:rPr>
          <w:t>12</w:t>
        </w:r>
        <w:r w:rsidR="009F6AA5">
          <w:rPr>
            <w:noProof/>
            <w:webHidden/>
          </w:rPr>
          <w:fldChar w:fldCharType="end"/>
        </w:r>
      </w:hyperlink>
    </w:p>
    <w:p w14:paraId="0D22DFE4" w14:textId="3F65E872" w:rsidR="00CD0ABA" w:rsidRPr="00D27489" w:rsidRDefault="00DC2E2D" w:rsidP="000837DA">
      <w:r>
        <w:fldChar w:fldCharType="end"/>
      </w:r>
      <w:r w:rsidR="00CD0ABA" w:rsidRPr="00D27489">
        <w:fldChar w:fldCharType="begin"/>
      </w:r>
      <w:r w:rsidR="00CD0ABA" w:rsidRPr="00D27489">
        <w:instrText xml:space="preserve"> TOC \h \z \c "Table A" </w:instrText>
      </w:r>
      <w:r w:rsidR="00CD0ABA" w:rsidRPr="00D27489">
        <w:fldChar w:fldCharType="end"/>
      </w:r>
    </w:p>
    <w:p w14:paraId="0DF3F2C4" w14:textId="77777777" w:rsidR="00CD0ABA" w:rsidRPr="00D27489" w:rsidRDefault="00CD0ABA" w:rsidP="00CD0ABA">
      <w:pPr>
        <w:pStyle w:val="TOCHeading2"/>
        <w:rPr>
          <w:rStyle w:val="Strong"/>
        </w:rPr>
      </w:pPr>
      <w:r w:rsidRPr="00D27489">
        <w:rPr>
          <w:rStyle w:val="Strong"/>
        </w:rPr>
        <w:t>Maps</w:t>
      </w:r>
    </w:p>
    <w:p w14:paraId="16F63972" w14:textId="004C991B" w:rsidR="0024069A" w:rsidRDefault="00CA6A68">
      <w:pPr>
        <w:pStyle w:val="TableofFigures"/>
        <w:tabs>
          <w:tab w:val="right" w:leader="dot" w:pos="9060"/>
        </w:tabs>
        <w:rPr>
          <w:rFonts w:asciiTheme="minorHAnsi" w:eastAsiaTheme="minorEastAsia" w:hAnsiTheme="minorHAnsi"/>
          <w:noProof/>
          <w:lang w:eastAsia="en-AU"/>
        </w:rPr>
      </w:pPr>
      <w:r>
        <w:fldChar w:fldCharType="begin"/>
      </w:r>
      <w:r>
        <w:instrText xml:space="preserve"> TOC \h \z \c "Map WMV" </w:instrText>
      </w:r>
      <w:r>
        <w:fldChar w:fldCharType="separate"/>
      </w:r>
      <w:hyperlink w:anchor="_Toc80294604" w:history="1">
        <w:r w:rsidR="0024069A" w:rsidRPr="009820D5">
          <w:rPr>
            <w:rStyle w:val="Hyperlink"/>
            <w:noProof/>
          </w:rPr>
          <w:t>Map WMV1 Warrego and Moonie River Valleys</w:t>
        </w:r>
        <w:r w:rsidR="0024069A">
          <w:rPr>
            <w:noProof/>
            <w:webHidden/>
          </w:rPr>
          <w:tab/>
        </w:r>
        <w:r w:rsidR="0024069A">
          <w:rPr>
            <w:noProof/>
            <w:webHidden/>
          </w:rPr>
          <w:fldChar w:fldCharType="begin"/>
        </w:r>
        <w:r w:rsidR="0024069A">
          <w:rPr>
            <w:noProof/>
            <w:webHidden/>
          </w:rPr>
          <w:instrText xml:space="preserve"> PAGEREF _Toc80294604 \h </w:instrText>
        </w:r>
        <w:r w:rsidR="0024069A">
          <w:rPr>
            <w:noProof/>
            <w:webHidden/>
          </w:rPr>
        </w:r>
        <w:r w:rsidR="0024069A">
          <w:rPr>
            <w:noProof/>
            <w:webHidden/>
          </w:rPr>
          <w:fldChar w:fldCharType="separate"/>
        </w:r>
        <w:r w:rsidR="0044215C">
          <w:rPr>
            <w:noProof/>
            <w:webHidden/>
          </w:rPr>
          <w:t>4</w:t>
        </w:r>
        <w:r w:rsidR="0024069A">
          <w:rPr>
            <w:noProof/>
            <w:webHidden/>
          </w:rPr>
          <w:fldChar w:fldCharType="end"/>
        </w:r>
      </w:hyperlink>
    </w:p>
    <w:p w14:paraId="54EF69A4" w14:textId="7F068F1F" w:rsidR="00CA6A68" w:rsidRPr="00CA6A68" w:rsidRDefault="00CA6A68" w:rsidP="00CA6A68">
      <w:pPr>
        <w:pStyle w:val="TableofFigures"/>
        <w:tabs>
          <w:tab w:val="right" w:leader="dot" w:pos="9060"/>
        </w:tabs>
        <w:sectPr w:rsidR="00CA6A68" w:rsidRPr="00CA6A68">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r>
        <w:fldChar w:fldCharType="end"/>
      </w:r>
    </w:p>
    <w:p w14:paraId="7FB4915D" w14:textId="77777777" w:rsidR="00CD0ABA" w:rsidRPr="009E49EB" w:rsidRDefault="00CD0ABA" w:rsidP="00E90446">
      <w:pPr>
        <w:pStyle w:val="Heading2"/>
        <w:ind w:left="720" w:hanging="720"/>
      </w:pPr>
      <w:bookmarkStart w:id="1" w:name="_Toc61430048"/>
      <w:bookmarkStart w:id="2" w:name="_Toc80294612"/>
      <w:r>
        <w:lastRenderedPageBreak/>
        <w:t xml:space="preserve">Warrego and Moonie Valleys </w:t>
      </w:r>
      <w:r w:rsidRPr="009E49EB">
        <w:t>Water Plan</w:t>
      </w:r>
      <w:bookmarkEnd w:id="1"/>
      <w:bookmarkEnd w:id="2"/>
    </w:p>
    <w:p w14:paraId="4D39A65A" w14:textId="77777777" w:rsidR="00CD0ABA" w:rsidRDefault="00CD0ABA" w:rsidP="00CD0ABA">
      <w:pPr>
        <w:pStyle w:val="Heading3"/>
        <w:rPr>
          <w:lang w:eastAsia="ja-JP"/>
        </w:rPr>
      </w:pPr>
      <w:bookmarkStart w:id="3" w:name="_Toc61430049"/>
      <w:bookmarkStart w:id="4" w:name="_Toc80294613"/>
      <w:r>
        <w:rPr>
          <w:lang w:eastAsia="ja-JP"/>
        </w:rPr>
        <w:t>Region overview</w:t>
      </w:r>
      <w:bookmarkEnd w:id="3"/>
      <w:bookmarkEnd w:id="4"/>
    </w:p>
    <w:p w14:paraId="37AFB76B" w14:textId="77777777" w:rsidR="00CD0ABA" w:rsidRDefault="00CD0ABA" w:rsidP="00CD0ABA">
      <w:pPr>
        <w:pStyle w:val="Heading4"/>
        <w:rPr>
          <w:lang w:eastAsia="ja-JP"/>
        </w:rPr>
      </w:pPr>
      <w:r>
        <w:rPr>
          <w:lang w:eastAsia="ja-JP"/>
        </w:rPr>
        <w:t>River system</w:t>
      </w:r>
    </w:p>
    <w:p w14:paraId="6B1C4CD9" w14:textId="1A2877C7" w:rsidR="00CD0ABA" w:rsidRDefault="00CD0ABA" w:rsidP="00CD0ABA">
      <w:r w:rsidRPr="0020755D">
        <w:t>The</w:t>
      </w:r>
      <w:r>
        <w:t xml:space="preserve"> Warrego and Moonie River Valleys are </w:t>
      </w:r>
      <w:r w:rsidRPr="0020755D">
        <w:t xml:space="preserve">characterised by highly variable rainfall and ephemeral (intermittent) </w:t>
      </w:r>
      <w:r>
        <w:t>stream</w:t>
      </w:r>
      <w:r w:rsidRPr="0020755D">
        <w:t xml:space="preserve"> flows</w:t>
      </w:r>
      <w:r>
        <w:t xml:space="preserve"> (</w:t>
      </w:r>
      <w:r w:rsidR="00CA6A68">
        <w:fldChar w:fldCharType="begin"/>
      </w:r>
      <w:r w:rsidR="00CA6A68">
        <w:instrText xml:space="preserve"> REF _Ref76107376 \h </w:instrText>
      </w:r>
      <w:r w:rsidR="00CA6A68">
        <w:fldChar w:fldCharType="separate"/>
      </w:r>
      <w:r w:rsidR="0044215C">
        <w:t>Map WMV</w:t>
      </w:r>
      <w:r w:rsidR="0044215C">
        <w:rPr>
          <w:noProof/>
        </w:rPr>
        <w:t>1</w:t>
      </w:r>
      <w:r w:rsidR="00CA6A68">
        <w:fldChar w:fldCharType="end"/>
      </w:r>
      <w:r>
        <w:t>) (MDBA 2021</w:t>
      </w:r>
      <w:proofErr w:type="gramStart"/>
      <w:r>
        <w:t>a,b</w:t>
      </w:r>
      <w:proofErr w:type="gramEnd"/>
      <w:r>
        <w:t>)</w:t>
      </w:r>
      <w:r w:rsidRPr="0020755D">
        <w:t>. Significant flow events generally result from heavy rainfall in elevated headwater areas</w:t>
      </w:r>
      <w:r>
        <w:t xml:space="preserve"> (CSIRO 2007,2008; DEHP 2016, MDBA 2021</w:t>
      </w:r>
      <w:proofErr w:type="gramStart"/>
      <w:r>
        <w:t>a,b</w:t>
      </w:r>
      <w:proofErr w:type="gramEnd"/>
      <w:r>
        <w:t>)</w:t>
      </w:r>
      <w:r w:rsidRPr="0020755D">
        <w:t xml:space="preserve">. </w:t>
      </w:r>
      <w:r>
        <w:t>N</w:t>
      </w:r>
      <w:r w:rsidRPr="0020755D">
        <w:t>o flow periods of several months are common</w:t>
      </w:r>
      <w:r>
        <w:t>,</w:t>
      </w:r>
      <w:r w:rsidRPr="0020755D">
        <w:t xml:space="preserve"> </w:t>
      </w:r>
      <w:r>
        <w:t>e</w:t>
      </w:r>
      <w:r w:rsidRPr="0020755D">
        <w:t>xtend</w:t>
      </w:r>
      <w:r>
        <w:t>ing</w:t>
      </w:r>
      <w:r w:rsidRPr="0020755D">
        <w:t xml:space="preserve"> to several years during prolonged dry conditions</w:t>
      </w:r>
      <w:r>
        <w:t xml:space="preserve"> (CSIRO 2007, 2008; DEHP 2016, MDBA 2021</w:t>
      </w:r>
      <w:proofErr w:type="gramStart"/>
      <w:r>
        <w:t>a,b</w:t>
      </w:r>
      <w:proofErr w:type="gramEnd"/>
      <w:r>
        <w:t>)</w:t>
      </w:r>
      <w:r w:rsidRPr="0020755D">
        <w:t>.</w:t>
      </w:r>
    </w:p>
    <w:p w14:paraId="37BD1DE3" w14:textId="7E155DB8" w:rsidR="00CD0ABA" w:rsidRDefault="00CD0ABA" w:rsidP="00CD0ABA">
      <w:r w:rsidRPr="00665948">
        <w:t xml:space="preserve">The flat landscape, low local runoff and intermittent flow conditions </w:t>
      </w:r>
      <w:r>
        <w:t xml:space="preserve">in both the Warrego and Moonie Valleys </w:t>
      </w:r>
      <w:r w:rsidRPr="00665948">
        <w:t>have led to the evolution of distinctive ecology in lowland river reaches</w:t>
      </w:r>
      <w:r>
        <w:t xml:space="preserve"> (Balcombe et al. 2006)</w:t>
      </w:r>
      <w:r w:rsidRPr="00665948">
        <w:t>. Aquatic and floodplain species are adapted to high flow variability and ‘boom and bust’ cycles</w:t>
      </w:r>
      <w:r>
        <w:t xml:space="preserve"> (Balcombe et al. 2006)</w:t>
      </w:r>
      <w:r w:rsidRPr="00665948">
        <w:t>. This is characterised by episodes of intense reproduction and high productivity by opportunistic plants and animals</w:t>
      </w:r>
      <w:r w:rsidR="009A4D1F">
        <w:t xml:space="preserve"> – </w:t>
      </w:r>
      <w:r w:rsidRPr="00665948">
        <w:t>the boom</w:t>
      </w:r>
      <w:r w:rsidR="009A4D1F">
        <w:t xml:space="preserve"> – </w:t>
      </w:r>
      <w:r w:rsidRPr="00665948">
        <w:t>associated with periods of flooding, followed by periods of stress and reduced production</w:t>
      </w:r>
      <w:r w:rsidR="009A4D1F">
        <w:t xml:space="preserve"> – </w:t>
      </w:r>
      <w:r w:rsidRPr="00665948">
        <w:t>the bust</w:t>
      </w:r>
      <w:r>
        <w:t xml:space="preserve"> (Balcombe et al. 2006)</w:t>
      </w:r>
      <w:r w:rsidRPr="00665948">
        <w:t>.</w:t>
      </w:r>
    </w:p>
    <w:p w14:paraId="2C3FFBD2" w14:textId="77777777" w:rsidR="009300C5" w:rsidRDefault="00CD0ABA" w:rsidP="00CD0ABA">
      <w:r w:rsidRPr="001C062B">
        <w:t>The Warrego River is largely unregulated,</w:t>
      </w:r>
      <w:r>
        <w:t xml:space="preserve"> other than the State-owned Allan </w:t>
      </w:r>
      <w:proofErr w:type="spellStart"/>
      <w:r>
        <w:t>Tannock</w:t>
      </w:r>
      <w:proofErr w:type="spellEnd"/>
      <w:r>
        <w:t xml:space="preserve"> Weir at Cunnamulla (MDBA 2021a)</w:t>
      </w:r>
      <w:r w:rsidRPr="001C062B">
        <w:t xml:space="preserve">. </w:t>
      </w:r>
      <w:r w:rsidRPr="007929B4">
        <w:t>Only a small volume of surface water in the Warrego catchment is diverted for irrigation and urban use</w:t>
      </w:r>
      <w:r>
        <w:t xml:space="preserve"> (MDBA 2021a). </w:t>
      </w:r>
      <w:r w:rsidRPr="001C062B">
        <w:t xml:space="preserve">Some water is also taken from the river by diversion of flow or overland flows </w:t>
      </w:r>
      <w:r>
        <w:t>into private off-channel storages (MDBA 2021a).</w:t>
      </w:r>
    </w:p>
    <w:p w14:paraId="75E3A266" w14:textId="6F4244AA" w:rsidR="00CD0ABA" w:rsidRDefault="00CD0ABA" w:rsidP="00CD0ABA">
      <w:proofErr w:type="gramStart"/>
      <w:r>
        <w:t>Similar to</w:t>
      </w:r>
      <w:proofErr w:type="gramEnd"/>
      <w:r>
        <w:t xml:space="preserve"> the Warrego, t</w:t>
      </w:r>
      <w:r w:rsidRPr="00481F42">
        <w:t>he Moonie River is a predominantly unregulated system and has no major</w:t>
      </w:r>
      <w:r w:rsidR="001304FF">
        <w:t xml:space="preserve"> water</w:t>
      </w:r>
      <w:r w:rsidRPr="00481F42">
        <w:t xml:space="preserve"> storages. A weir was built over the river at Thallon in 1959 to supply town water</w:t>
      </w:r>
      <w:r>
        <w:t xml:space="preserve"> (MDBA 2021b)</w:t>
      </w:r>
      <w:r w:rsidRPr="00481F42">
        <w:t>. Almost all irrigation in the Moonie depends on surface water. However, these diversions are small</w:t>
      </w:r>
      <w:r w:rsidR="004C19D6">
        <w:t xml:space="preserve"> compared to overall surface water available </w:t>
      </w:r>
      <w:r w:rsidR="000A3139">
        <w:t>(CSIRO 200</w:t>
      </w:r>
      <w:r w:rsidR="001E3E7B">
        <w:t>8)</w:t>
      </w:r>
      <w:r w:rsidR="00201B36">
        <w:t>.</w:t>
      </w:r>
    </w:p>
    <w:p w14:paraId="38DA2A27" w14:textId="77777777" w:rsidR="00CD0ABA" w:rsidRDefault="00CD0ABA" w:rsidP="00CD0ABA">
      <w:pPr>
        <w:pStyle w:val="Heading4"/>
        <w:rPr>
          <w:lang w:eastAsia="ja-JP"/>
        </w:rPr>
      </w:pPr>
      <w:r w:rsidRPr="00780343">
        <w:rPr>
          <w:lang w:eastAsia="ja-JP"/>
        </w:rPr>
        <w:t xml:space="preserve">Traditional </w:t>
      </w:r>
      <w:r w:rsidRPr="000F1303">
        <w:rPr>
          <w:lang w:eastAsia="ja-JP"/>
        </w:rPr>
        <w:t>Owners</w:t>
      </w:r>
    </w:p>
    <w:p w14:paraId="491E7F70" w14:textId="4CCC1E28" w:rsidR="009300C5" w:rsidRDefault="00CD0ABA" w:rsidP="00CD0ABA">
      <w:r w:rsidRPr="00CD3D94">
        <w:t xml:space="preserve">The lands and waters of the </w:t>
      </w:r>
      <w:r>
        <w:t>Warrego and Moonie Valleys</w:t>
      </w:r>
      <w:r w:rsidRPr="00CD3D94">
        <w:t xml:space="preserve"> hold significant spiritual and cultural importance for Aboriginal people. Many Aboriginal nations retain a connection with the </w:t>
      </w:r>
      <w:r>
        <w:t xml:space="preserve">two </w:t>
      </w:r>
      <w:r w:rsidRPr="00CD3D94">
        <w:t>region</w:t>
      </w:r>
      <w:r>
        <w:t>s</w:t>
      </w:r>
      <w:r w:rsidRPr="00CD3D94">
        <w:t xml:space="preserve"> and their history, culture and livelihoods are closely intertwined with </w:t>
      </w:r>
      <w:r>
        <w:t>their</w:t>
      </w:r>
      <w:r w:rsidRPr="00CD3D94">
        <w:t xml:space="preserve"> river systems.</w:t>
      </w:r>
      <w:r w:rsidR="00423BA0" w:rsidRPr="00423BA0">
        <w:t xml:space="preserve"> </w:t>
      </w:r>
      <w:r w:rsidR="00423BA0" w:rsidRPr="00AC4231">
        <w:t>The Commonwealth Environmental Water Office (CEWO) respectfully acknowledge</w:t>
      </w:r>
      <w:r w:rsidR="009F6AA5">
        <w:t>s</w:t>
      </w:r>
      <w:r w:rsidR="00423BA0" w:rsidRPr="00AC4231">
        <w:t xml:space="preserve"> these </w:t>
      </w:r>
      <w:r w:rsidR="00423BA0">
        <w:t>Nations</w:t>
      </w:r>
      <w:r w:rsidR="00423BA0" w:rsidRPr="00AC4231">
        <w:t xml:space="preserve">, their Elders past and present, as the Traditional </w:t>
      </w:r>
      <w:r w:rsidR="00423BA0">
        <w:t xml:space="preserve">Custodians </w:t>
      </w:r>
      <w:r w:rsidR="00423BA0" w:rsidRPr="00AC4231">
        <w:t>of the land</w:t>
      </w:r>
      <w:r w:rsidR="00423BA0">
        <w:t>s</w:t>
      </w:r>
      <w:r w:rsidR="00423BA0" w:rsidRPr="00AC4231">
        <w:t xml:space="preserve"> on which this chapter is focused.</w:t>
      </w:r>
    </w:p>
    <w:p w14:paraId="3EB0E382" w14:textId="3E1BBC95" w:rsidR="00CD0ABA" w:rsidRDefault="00CD0ABA" w:rsidP="00CD0ABA">
      <w:r w:rsidRPr="00CD3D94">
        <w:t xml:space="preserve">The Warrego </w:t>
      </w:r>
      <w:r>
        <w:t>Valley</w:t>
      </w:r>
      <w:r w:rsidRPr="00CD3D94">
        <w:t xml:space="preserve"> takes in (or closely borders) the traditional lands of the </w:t>
      </w:r>
      <w:proofErr w:type="spellStart"/>
      <w:r>
        <w:t>Yuwaalaraay</w:t>
      </w:r>
      <w:proofErr w:type="spellEnd"/>
      <w:r>
        <w:t>/</w:t>
      </w:r>
      <w:r w:rsidRPr="00BD1AA9">
        <w:t xml:space="preserve">Euahlayi, </w:t>
      </w:r>
      <w:proofErr w:type="spellStart"/>
      <w:r w:rsidRPr="00CD3D94">
        <w:t>Bidjara</w:t>
      </w:r>
      <w:proofErr w:type="spellEnd"/>
      <w:r w:rsidRPr="00CD3D94">
        <w:t xml:space="preserve">, </w:t>
      </w:r>
      <w:proofErr w:type="spellStart"/>
      <w:r w:rsidRPr="00CD3D94">
        <w:t>Gwamu</w:t>
      </w:r>
      <w:proofErr w:type="spellEnd"/>
      <w:r w:rsidRPr="00CD3D94">
        <w:t>/</w:t>
      </w:r>
      <w:proofErr w:type="spellStart"/>
      <w:r w:rsidRPr="00CD3D94">
        <w:t>Kooma</w:t>
      </w:r>
      <w:proofErr w:type="spellEnd"/>
      <w:r w:rsidRPr="00CD3D94">
        <w:t xml:space="preserve">, </w:t>
      </w:r>
      <w:proofErr w:type="spellStart"/>
      <w:r w:rsidRPr="00CD3D94">
        <w:t>Gunggari</w:t>
      </w:r>
      <w:proofErr w:type="spellEnd"/>
      <w:r w:rsidRPr="00CD3D94">
        <w:t>/</w:t>
      </w:r>
      <w:proofErr w:type="spellStart"/>
      <w:r w:rsidRPr="00CD3D94">
        <w:t>Kungari</w:t>
      </w:r>
      <w:proofErr w:type="spellEnd"/>
      <w:r w:rsidRPr="00CD3D94">
        <w:t xml:space="preserve">, </w:t>
      </w:r>
      <w:proofErr w:type="spellStart"/>
      <w:r w:rsidRPr="00CD3D94">
        <w:t>Kunja</w:t>
      </w:r>
      <w:proofErr w:type="spellEnd"/>
      <w:r w:rsidRPr="00CD3D94">
        <w:t xml:space="preserve">, </w:t>
      </w:r>
      <w:proofErr w:type="spellStart"/>
      <w:r w:rsidRPr="00CD3D94">
        <w:t>Mandandanji</w:t>
      </w:r>
      <w:proofErr w:type="spellEnd"/>
      <w:r w:rsidRPr="00CD3D94">
        <w:t xml:space="preserve">, </w:t>
      </w:r>
      <w:proofErr w:type="spellStart"/>
      <w:r w:rsidRPr="00CD3D94">
        <w:t>Mardigan</w:t>
      </w:r>
      <w:proofErr w:type="spellEnd"/>
      <w:r>
        <w:t xml:space="preserve">, </w:t>
      </w:r>
      <w:proofErr w:type="spellStart"/>
      <w:r>
        <w:t>Githabul</w:t>
      </w:r>
      <w:proofErr w:type="spellEnd"/>
      <w:r w:rsidRPr="00CD3D94">
        <w:t xml:space="preserve"> and Murrawarri nations</w:t>
      </w:r>
      <w:r>
        <w:t xml:space="preserve"> </w:t>
      </w:r>
      <w:bookmarkStart w:id="5" w:name="_Hlk73629461"/>
      <w:r>
        <w:t>(MDBA 2021a)</w:t>
      </w:r>
      <w:bookmarkEnd w:id="5"/>
      <w:r w:rsidRPr="00CD3D94">
        <w:t>.</w:t>
      </w:r>
    </w:p>
    <w:p w14:paraId="3FEE1B2B" w14:textId="44FB6D60" w:rsidR="00AD7153" w:rsidRPr="00EE4D0F" w:rsidRDefault="00CD0ABA" w:rsidP="00CD0ABA">
      <w:r w:rsidRPr="002B0A53">
        <w:t xml:space="preserve">The Moonie catchment includes the traditional lands of the </w:t>
      </w:r>
      <w:proofErr w:type="spellStart"/>
      <w:r w:rsidRPr="002B0A53">
        <w:t>Bigambul</w:t>
      </w:r>
      <w:proofErr w:type="spellEnd"/>
      <w:r w:rsidRPr="002B0A53">
        <w:t xml:space="preserve">, </w:t>
      </w:r>
      <w:proofErr w:type="spellStart"/>
      <w:r w:rsidRPr="002B0A53">
        <w:t>Gomeroi</w:t>
      </w:r>
      <w:proofErr w:type="spellEnd"/>
      <w:r w:rsidRPr="002B0A53">
        <w:t xml:space="preserve">/Kamilaroi and </w:t>
      </w:r>
      <w:proofErr w:type="spellStart"/>
      <w:r w:rsidRPr="002B0A53">
        <w:t>Mandandanji</w:t>
      </w:r>
      <w:proofErr w:type="spellEnd"/>
      <w:r w:rsidRPr="002B0A53">
        <w:t xml:space="preserve"> nations</w:t>
      </w:r>
      <w:r>
        <w:t xml:space="preserve"> (MDBA 2021b)</w:t>
      </w:r>
      <w:r w:rsidRPr="002B0A53">
        <w:t>.</w:t>
      </w:r>
      <w:r w:rsidR="00423BA0">
        <w:t xml:space="preserve"> </w:t>
      </w:r>
    </w:p>
    <w:p w14:paraId="6CF45BBB" w14:textId="77777777" w:rsidR="00CD0ABA" w:rsidRDefault="00CD0ABA" w:rsidP="00CD0ABA">
      <w:pPr>
        <w:pStyle w:val="Heading4"/>
        <w:rPr>
          <w:lang w:eastAsia="ja-JP"/>
        </w:rPr>
      </w:pPr>
      <w:r>
        <w:rPr>
          <w:lang w:eastAsia="ja-JP"/>
        </w:rPr>
        <w:lastRenderedPageBreak/>
        <w:t>Important sites and values</w:t>
      </w:r>
    </w:p>
    <w:p w14:paraId="756FF3DD" w14:textId="77777777" w:rsidR="00CD0ABA" w:rsidRDefault="00CD0ABA" w:rsidP="00CD0ABA">
      <w:r w:rsidRPr="008F7F2C">
        <w:t xml:space="preserve">There are many environmental assets in the </w:t>
      </w:r>
      <w:r>
        <w:t>Warrego Valley</w:t>
      </w:r>
      <w:r w:rsidRPr="008F7F2C">
        <w:t xml:space="preserve"> includ</w:t>
      </w:r>
      <w:r>
        <w:t>ing</w:t>
      </w:r>
      <w:r w:rsidRPr="008F7F2C">
        <w:t xml:space="preserve"> species and communities of fish, waterbirds and vegetation and important habitats such as wetlands and drought refuges.</w:t>
      </w:r>
    </w:p>
    <w:p w14:paraId="7426141A" w14:textId="77777777" w:rsidR="009300C5" w:rsidRDefault="00CD0ABA" w:rsidP="00CD0ABA">
      <w:r w:rsidRPr="00BD1AA9">
        <w:t xml:space="preserve">The Warrego </w:t>
      </w:r>
      <w:r>
        <w:t>Valley</w:t>
      </w:r>
      <w:r w:rsidRPr="00BD1AA9">
        <w:t xml:space="preserve"> supports large areas of wetlands. The nationally significant </w:t>
      </w:r>
      <w:proofErr w:type="spellStart"/>
      <w:r w:rsidRPr="00BD1AA9">
        <w:t>Cuttaburra</w:t>
      </w:r>
      <w:proofErr w:type="spellEnd"/>
      <w:r w:rsidRPr="00BD1AA9">
        <w:t xml:space="preserve"> Channels and Yantabulla Swamp (a mosaic of channels, </w:t>
      </w:r>
      <w:proofErr w:type="spellStart"/>
      <w:r w:rsidRPr="00BD1AA9">
        <w:t>floodways</w:t>
      </w:r>
      <w:proofErr w:type="spellEnd"/>
      <w:r w:rsidRPr="00BD1AA9">
        <w:t xml:space="preserve"> and wetlands) consistently support large numbers and a high diversity of waterbirds and provides breeding sites for ducks and colonial waterbirds when flooded</w:t>
      </w:r>
      <w:r>
        <w:t xml:space="preserve"> (Kingsford et al. 1997,1999, 2013; Bino et al. 2015; NSW DPIE 2020; MDBA 2021a)</w:t>
      </w:r>
      <w:r w:rsidRPr="00BD1AA9">
        <w:t xml:space="preserve">. </w:t>
      </w:r>
      <w:r w:rsidRPr="004B0024">
        <w:t xml:space="preserve">Waterholes </w:t>
      </w:r>
      <w:r>
        <w:t xml:space="preserve">along the Warrego River </w:t>
      </w:r>
      <w:r w:rsidRPr="004B0024">
        <w:t>near Charleville are an important breeding area for native fish including Murray cod and silver perch</w:t>
      </w:r>
      <w:r>
        <w:t xml:space="preserve"> (MDBA 2021a)</w:t>
      </w:r>
      <w:r w:rsidRPr="004B0024">
        <w:t xml:space="preserve">. </w:t>
      </w:r>
      <w:proofErr w:type="spellStart"/>
      <w:r w:rsidRPr="00BD1AA9">
        <w:t>Toorale’s</w:t>
      </w:r>
      <w:proofErr w:type="spellEnd"/>
      <w:r w:rsidRPr="00BD1AA9">
        <w:t xml:space="preserve"> </w:t>
      </w:r>
      <w:r>
        <w:t>Western Floodplain</w:t>
      </w:r>
      <w:r w:rsidRPr="00BD1AA9">
        <w:t xml:space="preserve"> is also an ecologically important floodplain wetland, providing important feeding and breeding habitat for a range of water dependent species in wet conditions</w:t>
      </w:r>
      <w:r>
        <w:t xml:space="preserve"> (ELA 2019; NSW DPIE 2020; UNE &amp; 2 Rog Consulting 2020</w:t>
      </w:r>
      <w:proofErr w:type="gramStart"/>
      <w:r>
        <w:t>a,b</w:t>
      </w:r>
      <w:proofErr w:type="gramEnd"/>
      <w:r>
        <w:t>, 2021)</w:t>
      </w:r>
      <w:r w:rsidRPr="00BD1AA9">
        <w:t>.</w:t>
      </w:r>
    </w:p>
    <w:p w14:paraId="7C7034D8" w14:textId="2B3A3C3F" w:rsidR="00CD0ABA" w:rsidRPr="00BD1AA9" w:rsidRDefault="00CD0ABA" w:rsidP="00CD0ABA">
      <w:r w:rsidRPr="00BD1AA9">
        <w:t>These ecological populations and habitats are connected to the Barwon–Darling River, providing a critical drought refuge and movement corridor for fish and waterbirds</w:t>
      </w:r>
      <w:r>
        <w:t xml:space="preserve"> (NSW DPIE 2020).</w:t>
      </w:r>
    </w:p>
    <w:p w14:paraId="711D8A65" w14:textId="77777777" w:rsidR="009300C5" w:rsidRDefault="00CD0ABA" w:rsidP="00CD0ABA">
      <w:pPr>
        <w:rPr>
          <w:rFonts w:cstheme="minorHAnsi"/>
        </w:rPr>
      </w:pPr>
      <w:r w:rsidRPr="00D643DE">
        <w:rPr>
          <w:rFonts w:cstheme="minorHAnsi"/>
        </w:rPr>
        <w:t xml:space="preserve">Native vegetation in the </w:t>
      </w:r>
      <w:r>
        <w:rPr>
          <w:rFonts w:cstheme="minorHAnsi"/>
        </w:rPr>
        <w:t xml:space="preserve">Warrego Valley </w:t>
      </w:r>
      <w:r w:rsidRPr="00D643DE">
        <w:rPr>
          <w:rFonts w:cstheme="minorHAnsi"/>
        </w:rPr>
        <w:t xml:space="preserve">includes important riparian and floodplain communities such as lignum, river red gum, river cooba, black box and </w:t>
      </w:r>
      <w:r>
        <w:rPr>
          <w:rFonts w:cstheme="minorHAnsi"/>
        </w:rPr>
        <w:t>coolabah (NSW DPIE 2020)</w:t>
      </w:r>
      <w:r w:rsidRPr="00D643DE">
        <w:rPr>
          <w:rFonts w:cstheme="minorHAnsi"/>
        </w:rPr>
        <w:t xml:space="preserve">. There is a high proportion of remnant vegetation in good condition in some areas including the floodplains of the Warrego, such as stands of </w:t>
      </w:r>
      <w:proofErr w:type="spellStart"/>
      <w:r w:rsidRPr="00D643DE">
        <w:rPr>
          <w:rFonts w:cstheme="minorHAnsi"/>
        </w:rPr>
        <w:t>coolibah</w:t>
      </w:r>
      <w:proofErr w:type="spellEnd"/>
      <w:r w:rsidRPr="00D643DE">
        <w:rPr>
          <w:rFonts w:cstheme="minorHAnsi"/>
        </w:rPr>
        <w:t>, black box and lignum</w:t>
      </w:r>
      <w:r>
        <w:rPr>
          <w:rFonts w:cstheme="minorHAnsi"/>
        </w:rPr>
        <w:t xml:space="preserve"> (NSW DPIE 2020)</w:t>
      </w:r>
      <w:r w:rsidRPr="00D643DE">
        <w:rPr>
          <w:rFonts w:cstheme="minorHAnsi"/>
        </w:rPr>
        <w:t xml:space="preserve">. The </w:t>
      </w:r>
      <w:r>
        <w:rPr>
          <w:rFonts w:cstheme="minorHAnsi"/>
        </w:rPr>
        <w:t>Western Floodplain</w:t>
      </w:r>
      <w:r w:rsidRPr="00D643DE">
        <w:rPr>
          <w:rFonts w:cstheme="minorHAnsi"/>
        </w:rPr>
        <w:t xml:space="preserve"> also supports ‘tiny teeth’ (</w:t>
      </w:r>
      <w:proofErr w:type="spellStart"/>
      <w:r w:rsidRPr="00D643DE">
        <w:rPr>
          <w:rFonts w:cstheme="minorHAnsi"/>
          <w:i/>
          <w:iCs/>
        </w:rPr>
        <w:t>Dentella</w:t>
      </w:r>
      <w:proofErr w:type="spellEnd"/>
      <w:r w:rsidRPr="00D643DE">
        <w:rPr>
          <w:rFonts w:cstheme="minorHAnsi"/>
          <w:i/>
          <w:iCs/>
        </w:rPr>
        <w:t xml:space="preserve"> </w:t>
      </w:r>
      <w:proofErr w:type="spellStart"/>
      <w:r w:rsidRPr="00D643DE">
        <w:rPr>
          <w:rFonts w:cstheme="minorHAnsi"/>
          <w:i/>
          <w:iCs/>
        </w:rPr>
        <w:t>minutissima</w:t>
      </w:r>
      <w:proofErr w:type="spellEnd"/>
      <w:r w:rsidRPr="00D643DE">
        <w:rPr>
          <w:rFonts w:cstheme="minorHAnsi"/>
        </w:rPr>
        <w:t>) a plant species listed as threatened under NSW legislation</w:t>
      </w:r>
      <w:r>
        <w:rPr>
          <w:rFonts w:cstheme="minorHAnsi"/>
        </w:rPr>
        <w:t xml:space="preserve"> (NSW DPIE 2020).</w:t>
      </w:r>
    </w:p>
    <w:p w14:paraId="66E4016D" w14:textId="77777777" w:rsidR="009300C5" w:rsidRDefault="00CD0ABA" w:rsidP="00CD0ABA">
      <w:r w:rsidRPr="00331BC8">
        <w:t>In between boom periods</w:t>
      </w:r>
      <w:r>
        <w:t>,</w:t>
      </w:r>
      <w:r w:rsidRPr="00331BC8">
        <w:t xml:space="preserve"> channels</w:t>
      </w:r>
      <w:r>
        <w:t xml:space="preserve"> in the Warrego</w:t>
      </w:r>
      <w:r w:rsidRPr="00331BC8">
        <w:t xml:space="preserve"> typically dry to a series of disconnected waterholes, which are drought refuges that are reconnected by the next significant flow event</w:t>
      </w:r>
      <w:r>
        <w:t xml:space="preserve"> (Marshall &amp; Lobegeiger 2020)</w:t>
      </w:r>
      <w:r w:rsidRPr="00331BC8">
        <w:t>. Semi-permanent and permanent waterholes in the main river channels and distributary creeks and anabranch systems are critical to ensuring the survival of species between boom periods and their capacity to recolonise the system in subsequent flow periods</w:t>
      </w:r>
      <w:r>
        <w:t xml:space="preserve"> (Marshall &amp; Lobegeiger 2020)</w:t>
      </w:r>
      <w:r w:rsidRPr="00331BC8">
        <w:t>. Much of the riverine fauna (</w:t>
      </w:r>
      <w:proofErr w:type="gramStart"/>
      <w:r w:rsidRPr="00331BC8">
        <w:t>e.g.</w:t>
      </w:r>
      <w:proofErr w:type="gramEnd"/>
      <w:r w:rsidRPr="00331BC8">
        <w:t xml:space="preserve"> fish, turtles, invertebrates) of the </w:t>
      </w:r>
      <w:r>
        <w:rPr>
          <w:rFonts w:cstheme="minorHAnsi"/>
        </w:rPr>
        <w:t xml:space="preserve">Warrego Valley </w:t>
      </w:r>
      <w:r w:rsidRPr="00331BC8">
        <w:t>is dependent upon the persistence of a network of refugial waterholes during frequent and often prolonged no flow periods</w:t>
      </w:r>
      <w:r>
        <w:t xml:space="preserve"> (NSW DPIE 2020; Marshall &amp; Lobegeiger 2020)</w:t>
      </w:r>
      <w:r w:rsidRPr="00331BC8">
        <w:t>.</w:t>
      </w:r>
    </w:p>
    <w:p w14:paraId="1F061756" w14:textId="54F8C680" w:rsidR="00CD0ABA" w:rsidRDefault="00CD0ABA" w:rsidP="00CD0ABA">
      <w:r w:rsidRPr="008F7F2C">
        <w:t xml:space="preserve">The </w:t>
      </w:r>
      <w:r>
        <w:t xml:space="preserve">Warrego and Moonie Valleys </w:t>
      </w:r>
      <w:r w:rsidRPr="008F7F2C">
        <w:t xml:space="preserve">support several species listed as endangered or vulnerable under the </w:t>
      </w:r>
      <w:r w:rsidRPr="008F7F2C">
        <w:rPr>
          <w:i/>
        </w:rPr>
        <w:t>Environment Protection and Biodiversity Conservation Act 1999</w:t>
      </w:r>
      <w:r>
        <w:t>. These include</w:t>
      </w:r>
      <w:r w:rsidRPr="008F7F2C">
        <w:t xml:space="preserve"> Murray cod, silver perch, Australian painted snipe, Australasian bittern, and examples of the threatened ecological community of </w:t>
      </w:r>
      <w:proofErr w:type="spellStart"/>
      <w:r w:rsidRPr="008F7F2C">
        <w:t>coolibah-blackbox</w:t>
      </w:r>
      <w:proofErr w:type="spellEnd"/>
      <w:r w:rsidRPr="008F7F2C">
        <w:t xml:space="preserve"> woodland</w:t>
      </w:r>
      <w:r>
        <w:t xml:space="preserve"> (</w:t>
      </w:r>
      <w:r w:rsidRPr="00B40831">
        <w:t>NSW DPIE 2020</w:t>
      </w:r>
      <w:r>
        <w:t>)</w:t>
      </w:r>
      <w:r w:rsidRPr="008F7F2C">
        <w:t>.</w:t>
      </w:r>
    </w:p>
    <w:p w14:paraId="47BA1203" w14:textId="77777777" w:rsidR="00CD0ABA" w:rsidRDefault="00CD0ABA" w:rsidP="00CD0ABA">
      <w:r w:rsidRPr="00731DAD">
        <w:t xml:space="preserve">Over 100 wetlands exceeding one hectare in area have been mapped in the Moonie, many of which are in the lower catchment below </w:t>
      </w:r>
      <w:proofErr w:type="spellStart"/>
      <w:r w:rsidRPr="00731DAD">
        <w:t>Nindigully</w:t>
      </w:r>
      <w:proofErr w:type="spellEnd"/>
      <w:r w:rsidRPr="00731DAD">
        <w:t xml:space="preserve"> (CSIRO 2008</w:t>
      </w:r>
      <w:r>
        <w:t>; DES 2018</w:t>
      </w:r>
      <w:r w:rsidRPr="00731DAD">
        <w:t>). Thallon waterholes have been observed to support between 10,000 and 20,000 waterbirds (Kingsford et al. 1997). There is past evidence of black swans, grey teal and little black cormorants breeding at the waterholes (</w:t>
      </w:r>
      <w:r>
        <w:t xml:space="preserve">DNR </w:t>
      </w:r>
      <w:r w:rsidRPr="00731DAD">
        <w:t>1999).</w:t>
      </w:r>
      <w:r>
        <w:t xml:space="preserve"> Banded lapwing and wandering whistling-duck have also occurred in high abundance (Bino et al. 2015; DES 2018).</w:t>
      </w:r>
    </w:p>
    <w:p w14:paraId="4BE9EF56" w14:textId="77777777" w:rsidR="009300C5" w:rsidRDefault="00CD0ABA" w:rsidP="00CD0ABA">
      <w:r>
        <w:t>The Moonie flows through the endangered southern Brigalow belt, which contains remnants of Brigalow forests, poplar box, Wilga and white cypress pine (DES 2018).</w:t>
      </w:r>
    </w:p>
    <w:p w14:paraId="4182436C" w14:textId="7F5F9515" w:rsidR="009300C5" w:rsidRDefault="00CD0ABA" w:rsidP="00CD0ABA">
      <w:r w:rsidRPr="00731DAD">
        <w:lastRenderedPageBreak/>
        <w:t xml:space="preserve">The Moonie has relatively long and deep waterholes that have been shown to be critical refugia for sustaining native fish populations in the </w:t>
      </w:r>
      <w:proofErr w:type="gramStart"/>
      <w:r w:rsidRPr="00731DAD">
        <w:t>often long</w:t>
      </w:r>
      <w:proofErr w:type="gramEnd"/>
      <w:r w:rsidRPr="00731DAD">
        <w:t xml:space="preserve"> periods between flows in the system. </w:t>
      </w:r>
      <w:r>
        <w:t xml:space="preserve">Waterhole habitat has been identified </w:t>
      </w:r>
      <w:r w:rsidR="00B44DA5">
        <w:t xml:space="preserve">in </w:t>
      </w:r>
      <w:r>
        <w:t xml:space="preserve">three main spatial areas in the Moonie: upstream of </w:t>
      </w:r>
      <w:proofErr w:type="spellStart"/>
      <w:r>
        <w:t>Flinton</w:t>
      </w:r>
      <w:proofErr w:type="spellEnd"/>
      <w:r>
        <w:t xml:space="preserve">, downstream of the confluence of the Moonie River and </w:t>
      </w:r>
      <w:proofErr w:type="spellStart"/>
      <w:r>
        <w:t>Teelba</w:t>
      </w:r>
      <w:proofErr w:type="spellEnd"/>
      <w:r>
        <w:t xml:space="preserve"> and </w:t>
      </w:r>
      <w:proofErr w:type="spellStart"/>
      <w:r>
        <w:t>Bidgel</w:t>
      </w:r>
      <w:proofErr w:type="spellEnd"/>
      <w:r>
        <w:t xml:space="preserve"> creeks</w:t>
      </w:r>
      <w:r w:rsidR="00D22D60">
        <w:t>,</w:t>
      </w:r>
      <w:r>
        <w:t xml:space="preserve"> and within the </w:t>
      </w:r>
      <w:proofErr w:type="spellStart"/>
      <w:r>
        <w:t>Nindigully</w:t>
      </w:r>
      <w:proofErr w:type="spellEnd"/>
      <w:r>
        <w:t xml:space="preserve"> floodplain assessment reach (DES 2018). </w:t>
      </w:r>
      <w:r w:rsidRPr="00731DAD">
        <w:t>Species including golden perch, bony bream, eel tailed catfish and smelt moved significant distances (up to 70 kilometres) in response to waterhole reconnecting flows, enabling recolonisation of the system and genetic mixing (Marshall et al. 2016).</w:t>
      </w:r>
      <w:r>
        <w:t xml:space="preserve"> Native fish species recorded in the Moonie include the threatened silver perch and freshwater catfish as well as the e</w:t>
      </w:r>
      <w:r w:rsidR="00B40CC2">
        <w:t>nvironmentally</w:t>
      </w:r>
      <w:r>
        <w:t>, socially and economically important golden perch (DRNME 2018).</w:t>
      </w:r>
    </w:p>
    <w:p w14:paraId="393E8106" w14:textId="117E9E0E" w:rsidR="00CD0ABA" w:rsidRDefault="00CD0ABA" w:rsidP="00CD0ABA">
      <w:pPr>
        <w:pStyle w:val="Heading4"/>
        <w:rPr>
          <w:lang w:eastAsia="ja-JP"/>
        </w:rPr>
      </w:pPr>
      <w:r>
        <w:rPr>
          <w:lang w:eastAsia="ja-JP"/>
        </w:rPr>
        <w:t>Stakeholder engagement</w:t>
      </w:r>
    </w:p>
    <w:p w14:paraId="2DE8A5DD" w14:textId="77777777" w:rsidR="00CD0ABA" w:rsidRDefault="00CD0ABA" w:rsidP="00CD0ABA">
      <w:pPr>
        <w:rPr>
          <w:lang w:eastAsia="ja-JP"/>
        </w:rPr>
      </w:pPr>
      <w:r>
        <w:rPr>
          <w:lang w:eastAsia="ja-JP"/>
        </w:rPr>
        <w:t>In the Warrego and Moonie Valleys, planning, management, and delivery of Commonwealth water for the environment is undertaken in conjunction with a range of partners and stakeholder groups. Key stakeholders in the Warrego Valley include the Queensland Departments of Regional Development, Manufacturing and Water (DRDMW), Environment and Science (DES), and Agriculture and Fisheries (DAF), NSW Department of Planning, Industry and Environment (DPIE), NSW Department of Primary Industries (DPI) – Fisheries, NSW National Parks and Wildlife Service (NPWS) and the Toorale Joint Management Committee.</w:t>
      </w:r>
    </w:p>
    <w:p w14:paraId="512FCB3A" w14:textId="7B5F3AAA" w:rsidR="00CD0ABA" w:rsidRPr="00EE4D0F" w:rsidRDefault="00CD0ABA" w:rsidP="00CD0ABA">
      <w:pPr>
        <w:rPr>
          <w:lang w:eastAsia="ja-JP"/>
        </w:rPr>
      </w:pPr>
      <w:r>
        <w:rPr>
          <w:lang w:eastAsia="ja-JP"/>
        </w:rPr>
        <w:t>Local Engagement Officers from the Commonwealth Environmental Water Office (CEWO) also work with different stakeholders as part a broader program of engagement around the management of the Commonwealth’s portfolio of environmental water entitlements. As part of this work, the CEWO’s Local Engagement Officers have been engaging directly with members of the local Aboriginal community. This work has focused on aligning priorities for water use with Aboriginal community objectives for sites, values and species significant to all Nations in the Warrego and Moonie Valleys.</w:t>
      </w:r>
    </w:p>
    <w:p w14:paraId="319455E6" w14:textId="25F1FF20" w:rsidR="00CD0ABA" w:rsidRDefault="00CA6A68" w:rsidP="00CA6A68">
      <w:pPr>
        <w:pStyle w:val="Caption"/>
      </w:pPr>
      <w:bookmarkStart w:id="6" w:name="_Ref76107376"/>
      <w:bookmarkStart w:id="7" w:name="_Toc80294604"/>
      <w:r>
        <w:lastRenderedPageBreak/>
        <w:t>Map WMV</w:t>
      </w:r>
      <w:fldSimple w:instr=" SEQ Map_WMV \* ARABIC ">
        <w:r w:rsidR="0044215C">
          <w:rPr>
            <w:noProof/>
          </w:rPr>
          <w:t>1</w:t>
        </w:r>
      </w:fldSimple>
      <w:bookmarkEnd w:id="6"/>
      <w:r>
        <w:t xml:space="preserve"> </w:t>
      </w:r>
      <w:r w:rsidR="00CD0ABA" w:rsidRPr="00AF38F9">
        <w:t xml:space="preserve">Warrego </w:t>
      </w:r>
      <w:r w:rsidR="00CD0ABA">
        <w:t xml:space="preserve">and Moonie </w:t>
      </w:r>
      <w:r w:rsidR="00CD0ABA" w:rsidRPr="00AF38F9">
        <w:t>River Valley</w:t>
      </w:r>
      <w:r w:rsidR="00CD0ABA">
        <w:t>s</w:t>
      </w:r>
      <w:bookmarkEnd w:id="7"/>
      <w:r w:rsidR="00CD0ABA" w:rsidRPr="00AF38F9">
        <w:t xml:space="preserve"> </w:t>
      </w:r>
    </w:p>
    <w:p w14:paraId="22B02CA0" w14:textId="77777777" w:rsidR="00CD0ABA" w:rsidRPr="00017A6F" w:rsidRDefault="00CD0ABA" w:rsidP="00CD0ABA">
      <w:pPr>
        <w:rPr>
          <w:lang w:eastAsia="ja-JP"/>
        </w:rPr>
      </w:pPr>
      <w:r w:rsidRPr="00B27BEC">
        <w:rPr>
          <w:noProof/>
        </w:rPr>
        <w:drawing>
          <wp:inline distT="0" distB="0" distL="0" distR="0" wp14:anchorId="4E635B96" wp14:editId="1B5B1A4A">
            <wp:extent cx="4829175" cy="3613150"/>
            <wp:effectExtent l="0" t="0" r="9525" b="6350"/>
            <wp:docPr id="24" name="Picture 12" descr="The map shows the Warrego River and Moonie River Valleys including locating the Warrego and Moonie Rivers within the Murray-Darling Basin and major towns and environmental assets.&#10;&#10;"/>
            <wp:cNvGraphicFramePr/>
            <a:graphic xmlns:a="http://schemas.openxmlformats.org/drawingml/2006/main">
              <a:graphicData uri="http://schemas.openxmlformats.org/drawingml/2006/picture">
                <pic:pic xmlns:pic="http://schemas.openxmlformats.org/drawingml/2006/picture">
                  <pic:nvPicPr>
                    <pic:cNvPr id="24" name="Picture 12" descr="The map shows the Warrego River and Moonie River Valleys including locating the Warrego and Moonie Rivers within the Murray-Darling Basin and major towns and environmental assets.&#10;&#10;"/>
                    <pic:cNvPicPr/>
                  </pic:nvPicPr>
                  <pic:blipFill>
                    <a:blip r:embed="rId23">
                      <a:extLst>
                        <a:ext uri="{28A0092B-C50C-407E-A947-70E740481C1C}">
                          <a14:useLocalDpi xmlns:a14="http://schemas.microsoft.com/office/drawing/2010/main" val="0"/>
                        </a:ext>
                      </a:extLst>
                    </a:blip>
                    <a:stretch>
                      <a:fillRect/>
                    </a:stretch>
                  </pic:blipFill>
                  <pic:spPr bwMode="auto">
                    <a:xfrm>
                      <a:off x="0" y="0"/>
                      <a:ext cx="4829919" cy="3613707"/>
                    </a:xfrm>
                    <a:prstGeom prst="rect">
                      <a:avLst/>
                    </a:prstGeom>
                    <a:noFill/>
                    <a:ln>
                      <a:noFill/>
                    </a:ln>
                  </pic:spPr>
                </pic:pic>
              </a:graphicData>
            </a:graphic>
          </wp:inline>
        </w:drawing>
      </w:r>
    </w:p>
    <w:p w14:paraId="5BACC852" w14:textId="77777777" w:rsidR="00CD0ABA" w:rsidRDefault="00CD0ABA" w:rsidP="00CD0ABA">
      <w:pPr>
        <w:pStyle w:val="FigureTableNoteSource"/>
        <w:rPr>
          <w:lang w:eastAsia="ja-JP"/>
        </w:rPr>
      </w:pPr>
      <w:bookmarkStart w:id="8" w:name="_Hlk62586859"/>
      <w:r w:rsidRPr="00064C48">
        <w:rPr>
          <w:lang w:eastAsia="ja-JP"/>
        </w:rPr>
        <w:t>Source: Department of Agriculture, Water and the Environment (n.d.)</w:t>
      </w:r>
    </w:p>
    <w:p w14:paraId="0E8DD599" w14:textId="77777777" w:rsidR="00CD0ABA" w:rsidRDefault="00CD0ABA" w:rsidP="00CD0ABA">
      <w:pPr>
        <w:pStyle w:val="Heading3"/>
        <w:rPr>
          <w:lang w:eastAsia="ja-JP"/>
        </w:rPr>
      </w:pPr>
      <w:bookmarkStart w:id="9" w:name="_Toc61430050"/>
      <w:bookmarkStart w:id="10" w:name="_Toc80294614"/>
      <w:bookmarkEnd w:id="8"/>
      <w:r>
        <w:rPr>
          <w:lang w:eastAsia="ja-JP"/>
        </w:rPr>
        <w:t>Environmental objectives</w:t>
      </w:r>
      <w:bookmarkEnd w:id="9"/>
      <w:bookmarkEnd w:id="10"/>
    </w:p>
    <w:p w14:paraId="4F334EBE" w14:textId="77777777" w:rsidR="00CD0ABA" w:rsidRPr="00365FE2" w:rsidRDefault="00CD0ABA" w:rsidP="00CD0ABA">
      <w:r w:rsidRPr="00365FE2">
        <w:t xml:space="preserve">Based on long-term environmental objectives in the Basin Plan, state long-term watering plans, </w:t>
      </w:r>
      <w:r>
        <w:t xml:space="preserve">site management plans, </w:t>
      </w:r>
      <w:r w:rsidRPr="00365FE2">
        <w:t xml:space="preserve">and best available knowledge, the following objectives are relevant for environmental watering in the </w:t>
      </w:r>
      <w:r>
        <w:t>Warrego Valley</w:t>
      </w:r>
      <w:r w:rsidRPr="00365FE2">
        <w:t>.</w:t>
      </w:r>
      <w:r>
        <w:t xml:space="preserve"> T</w:t>
      </w:r>
      <w:r w:rsidRPr="00365FE2">
        <w:t xml:space="preserve">hese objectives will continue to be revised as part of the </w:t>
      </w:r>
      <w:r>
        <w:t>CEWO’s</w:t>
      </w:r>
      <w:r w:rsidRPr="00365FE2">
        <w:t xml:space="preserve"> commitment to adaptive management.</w:t>
      </w:r>
    </w:p>
    <w:p w14:paraId="7E60A8DC" w14:textId="3326EDF6" w:rsidR="00CD0ABA" w:rsidRPr="005F786E" w:rsidRDefault="00CD0ABA" w:rsidP="005F786E">
      <w:pPr>
        <w:pStyle w:val="ListBullet"/>
      </w:pPr>
      <w:r w:rsidRPr="005F786E">
        <w:t>Vegetation</w:t>
      </w:r>
      <w:r w:rsidR="008F2924">
        <w:t xml:space="preserve"> –</w:t>
      </w:r>
      <w:r w:rsidRPr="005F786E">
        <w:t xml:space="preserve"> Maintain and improve the condition, growth and survival of riparian, in-channel, floodplain and wetland vegetation.</w:t>
      </w:r>
    </w:p>
    <w:p w14:paraId="5D3AF7F5" w14:textId="6A0D6E08" w:rsidR="00CD0ABA" w:rsidRPr="005F786E" w:rsidRDefault="00CD0ABA" w:rsidP="005F786E">
      <w:pPr>
        <w:pStyle w:val="ListBullet"/>
      </w:pPr>
      <w:r w:rsidRPr="005F786E">
        <w:t>Waterbirds</w:t>
      </w:r>
      <w:r w:rsidR="008F2924">
        <w:t xml:space="preserve"> –</w:t>
      </w:r>
      <w:r w:rsidRPr="005F786E">
        <w:t xml:space="preserve"> Maintain foraging, roosting and breeding habitats at targeted sites on the floodplain to support waterbirds.</w:t>
      </w:r>
    </w:p>
    <w:p w14:paraId="3A474B8B" w14:textId="613411DC" w:rsidR="00CD0ABA" w:rsidRPr="005F786E" w:rsidRDefault="00CD0ABA" w:rsidP="005F786E">
      <w:pPr>
        <w:pStyle w:val="ListBullet"/>
      </w:pPr>
      <w:r w:rsidRPr="005F786E">
        <w:t>Native fish</w:t>
      </w:r>
      <w:r w:rsidR="008F2924">
        <w:t xml:space="preserve"> –</w:t>
      </w:r>
      <w:r w:rsidR="008F2924" w:rsidRPr="005F786E">
        <w:t xml:space="preserve"> </w:t>
      </w:r>
      <w:r w:rsidRPr="005F786E">
        <w:t>Improve habitat condition, and support different life stages (migration, spawning, recruitment and refuge), natural flow variability, and connectivity between river channels, wetlands, anabranches and floodplains.</w:t>
      </w:r>
    </w:p>
    <w:p w14:paraId="5C29EFA8" w14:textId="5080C5A0" w:rsidR="00CD0ABA" w:rsidRPr="005F786E" w:rsidRDefault="00CD0ABA" w:rsidP="005F786E">
      <w:pPr>
        <w:pStyle w:val="ListBullet"/>
      </w:pPr>
      <w:r w:rsidRPr="005F786E">
        <w:t>Invertebrates</w:t>
      </w:r>
      <w:r w:rsidR="008F2924">
        <w:t xml:space="preserve"> –</w:t>
      </w:r>
      <w:r w:rsidR="008F2924" w:rsidRPr="005F786E">
        <w:t xml:space="preserve"> </w:t>
      </w:r>
      <w:r w:rsidRPr="005F786E">
        <w:t>Maintain and improve the micro</w:t>
      </w:r>
      <w:r w:rsidR="00DB5A9A" w:rsidRPr="005F786E">
        <w:t>-</w:t>
      </w:r>
      <w:r w:rsidRPr="005F786E">
        <w:t xml:space="preserve"> and macro</w:t>
      </w:r>
      <w:r w:rsidR="00DB5A9A" w:rsidRPr="005F786E">
        <w:t>-</w:t>
      </w:r>
      <w:r w:rsidRPr="005F786E">
        <w:t>invertebrate communities by providing a variety of habitat and flow conditions.</w:t>
      </w:r>
    </w:p>
    <w:p w14:paraId="4FDBE9E7" w14:textId="3255F38C" w:rsidR="00CD0ABA" w:rsidRPr="005F786E" w:rsidRDefault="00CD0ABA" w:rsidP="005F786E">
      <w:pPr>
        <w:pStyle w:val="ListBullet"/>
      </w:pPr>
      <w:r w:rsidRPr="005F786E">
        <w:t xml:space="preserve">Other vertebrates </w:t>
      </w:r>
      <w:r w:rsidR="008F2924">
        <w:t>–</w:t>
      </w:r>
      <w:r w:rsidR="008F2924" w:rsidRPr="005F786E">
        <w:t xml:space="preserve"> </w:t>
      </w:r>
      <w:r w:rsidRPr="005F786E">
        <w:t>Support survival and recruitment of other native aquatic species, including frogs and turtles.</w:t>
      </w:r>
    </w:p>
    <w:p w14:paraId="42A93602" w14:textId="0964B49B" w:rsidR="00CD0ABA" w:rsidRPr="005F786E" w:rsidRDefault="00CD0ABA" w:rsidP="005F786E">
      <w:pPr>
        <w:pStyle w:val="ListBullet"/>
      </w:pPr>
      <w:r w:rsidRPr="005F786E">
        <w:t xml:space="preserve">Connectivity </w:t>
      </w:r>
      <w:r w:rsidR="008F2924">
        <w:t>–</w:t>
      </w:r>
      <w:r w:rsidR="008F2924" w:rsidRPr="005F786E">
        <w:t xml:space="preserve"> </w:t>
      </w:r>
      <w:r w:rsidRPr="005F786E">
        <w:t>Support longitudinal connectivity, including with the Barwon River, and lateral connectivity between the river(s), wetlands and floodplain.</w:t>
      </w:r>
    </w:p>
    <w:p w14:paraId="7089C490" w14:textId="3CBB7A18" w:rsidR="00CD0ABA" w:rsidRPr="005F786E" w:rsidRDefault="00CD0ABA" w:rsidP="005F786E">
      <w:pPr>
        <w:pStyle w:val="ListBullet"/>
      </w:pPr>
      <w:r w:rsidRPr="005F786E">
        <w:lastRenderedPageBreak/>
        <w:t>Processes/water quality/resilience</w:t>
      </w:r>
      <w:r w:rsidR="008F2924">
        <w:t xml:space="preserve"> –</w:t>
      </w:r>
      <w:r w:rsidR="00422203">
        <w:t xml:space="preserve"> </w:t>
      </w:r>
      <w:r w:rsidRPr="005F786E">
        <w:t>Support key ecosystem functions, biotic dispersal, and promote productivity; maintain water quality in channels and pools</w:t>
      </w:r>
      <w:r w:rsidR="000A3139" w:rsidRPr="005F786E">
        <w:t xml:space="preserve">; </w:t>
      </w:r>
      <w:r w:rsidRPr="005F786E">
        <w:t>and maintain drought refuge habitat.</w:t>
      </w:r>
    </w:p>
    <w:p w14:paraId="7046C058" w14:textId="77777777" w:rsidR="00CD0ABA" w:rsidRDefault="00CD0ABA" w:rsidP="00CD0ABA">
      <w:pPr>
        <w:pStyle w:val="Heading3"/>
        <w:rPr>
          <w:lang w:eastAsia="ja-JP"/>
        </w:rPr>
      </w:pPr>
      <w:bookmarkStart w:id="11" w:name="_Toc61430051"/>
      <w:bookmarkStart w:id="12" w:name="_Toc80294615"/>
      <w:r>
        <w:rPr>
          <w:lang w:eastAsia="ja-JP"/>
        </w:rPr>
        <w:t>First Nations environmental watering objectives</w:t>
      </w:r>
      <w:bookmarkEnd w:id="11"/>
      <w:bookmarkEnd w:id="12"/>
    </w:p>
    <w:p w14:paraId="654DEFDF" w14:textId="45EEF978" w:rsidR="00CD0ABA" w:rsidRDefault="00CD0ABA" w:rsidP="00CD0ABA">
      <w:pPr>
        <w:rPr>
          <w:lang w:eastAsia="ja-JP"/>
        </w:rPr>
      </w:pPr>
      <w:bookmarkStart w:id="13" w:name="_Toc61430052"/>
      <w:r w:rsidRPr="00695E4E">
        <w:rPr>
          <w:lang w:eastAsia="ja-JP"/>
        </w:rPr>
        <w:t>The CEWO is committed to working with First Nations groups to better understand their objectives. The CEWO will use environmental flows to contribute to these objectives where possible and where this is consistent with the Commonwealth Environmental Water Holder’s statutory responsibility of protecting and restoring environmental assets in the Basin</w:t>
      </w:r>
      <w:r>
        <w:rPr>
          <w:lang w:eastAsia="ja-JP"/>
        </w:rPr>
        <w:t xml:space="preserve"> </w:t>
      </w:r>
      <w:r>
        <w:t xml:space="preserve">(see </w:t>
      </w:r>
      <w:hyperlink r:id="rId24" w:history="1">
        <w:r w:rsidRPr="00025615">
          <w:rPr>
            <w:rStyle w:val="Hyperlink"/>
          </w:rPr>
          <w:t>Chapter 2</w:t>
        </w:r>
      </w:hyperlink>
      <w:r>
        <w:t>)</w:t>
      </w:r>
      <w:r w:rsidRPr="00695E4E">
        <w:rPr>
          <w:lang w:eastAsia="ja-JP"/>
        </w:rPr>
        <w:t>.</w:t>
      </w:r>
      <w:bookmarkStart w:id="14" w:name="_Toc61429620"/>
      <w:bookmarkStart w:id="15" w:name="_Toc71892804"/>
    </w:p>
    <w:p w14:paraId="3C787729" w14:textId="34F1D21E" w:rsidR="00437861" w:rsidRDefault="00CD0ABA" w:rsidP="00CD0ABA">
      <w:r w:rsidRPr="003C27D5">
        <w:t xml:space="preserve">As the next steps, </w:t>
      </w:r>
      <w:r w:rsidR="00B40CC2">
        <w:t xml:space="preserve">the </w:t>
      </w:r>
      <w:r w:rsidRPr="003C27D5">
        <w:t>CEWO will develop and implement a work program to work with First Nations groups in the northern Basin. This work program will be developed in collaboration with First Nations groups and will be integral in continuing to build relationships and our capacity with First Nations groups. It will also ensure First Nations groups actively participate in the planning and management of environmental flows.</w:t>
      </w:r>
    </w:p>
    <w:p w14:paraId="3E13D3BB" w14:textId="77777777" w:rsidR="00CD0ABA" w:rsidRDefault="00CD0ABA" w:rsidP="00CD0ABA">
      <w:pPr>
        <w:pStyle w:val="Heading3"/>
      </w:pPr>
      <w:bookmarkStart w:id="16" w:name="_Toc80294616"/>
      <w:bookmarkEnd w:id="14"/>
      <w:bookmarkEnd w:id="15"/>
      <w:r>
        <w:t>Recent conditions and seasonal outlook</w:t>
      </w:r>
      <w:bookmarkEnd w:id="13"/>
      <w:bookmarkEnd w:id="16"/>
    </w:p>
    <w:p w14:paraId="19AE75B1" w14:textId="77777777" w:rsidR="00CD0ABA" w:rsidRDefault="00CD0ABA" w:rsidP="00CD0ABA">
      <w:pPr>
        <w:pStyle w:val="Heading4"/>
      </w:pPr>
      <w:r>
        <w:t>Recent conditions and environmental water use</w:t>
      </w:r>
    </w:p>
    <w:p w14:paraId="6B54D048" w14:textId="17A6B1DA" w:rsidR="009300C5" w:rsidRDefault="00CD0ABA" w:rsidP="00D97BA3">
      <w:r>
        <w:t>During the first half of the 2020</w:t>
      </w:r>
      <w:r w:rsidR="00B40CC2">
        <w:t>–</w:t>
      </w:r>
      <w:r>
        <w:t xml:space="preserve">21 water year, the Moonie catchment experienced largely average to drier than average </w:t>
      </w:r>
      <w:r w:rsidR="009E0BD1">
        <w:t xml:space="preserve">rainfall conditions </w:t>
      </w:r>
      <w:r>
        <w:t xml:space="preserve">and warmer than average </w:t>
      </w:r>
      <w:r w:rsidR="009E0BD1">
        <w:t>temperature</w:t>
      </w:r>
      <w:r>
        <w:t>s (BOM 2021f-k). Wetter conditions occurred in summer and autumn 2020</w:t>
      </w:r>
      <w:r w:rsidR="00B40CC2">
        <w:t>–</w:t>
      </w:r>
      <w:r>
        <w:t xml:space="preserve">21, particularly in January to March 2021 (BOM 20211f-k). There was around 450 mm of rainfall recorded at the </w:t>
      </w:r>
      <w:proofErr w:type="spellStart"/>
      <w:r>
        <w:t>Flinton</w:t>
      </w:r>
      <w:proofErr w:type="spellEnd"/>
      <w:r>
        <w:t xml:space="preserve"> gauge in the upper Moonie catchment in 2020</w:t>
      </w:r>
      <w:r w:rsidR="00B40CC2">
        <w:t>–</w:t>
      </w:r>
      <w:r>
        <w:t xml:space="preserve">21 (with minimal rainfall in April and May 2021), and around 400 millimetres of rainfall at the </w:t>
      </w:r>
      <w:proofErr w:type="spellStart"/>
      <w:r>
        <w:t>Nindigully</w:t>
      </w:r>
      <w:proofErr w:type="spellEnd"/>
      <w:r>
        <w:t xml:space="preserve"> gauge over the same period (</w:t>
      </w:r>
      <w:r w:rsidRPr="003B246B">
        <w:t>DRDMW 2021b</w:t>
      </w:r>
      <w:r>
        <w:t xml:space="preserve">). There were flood warnings issued for the Moonie river at </w:t>
      </w:r>
      <w:proofErr w:type="spellStart"/>
      <w:r>
        <w:t>Flinton</w:t>
      </w:r>
      <w:proofErr w:type="spellEnd"/>
      <w:r>
        <w:t xml:space="preserve"> and </w:t>
      </w:r>
      <w:proofErr w:type="spellStart"/>
      <w:r>
        <w:t>Nindigully</w:t>
      </w:r>
      <w:proofErr w:type="spellEnd"/>
      <w:r>
        <w:t xml:space="preserve"> in January-April 2021.</w:t>
      </w:r>
    </w:p>
    <w:p w14:paraId="7D487922" w14:textId="77777777" w:rsidR="009300C5" w:rsidRDefault="00CD0ABA" w:rsidP="00D97BA3">
      <w:r>
        <w:t xml:space="preserve">The Commonwealth’s unregulated Queensland licenses in the Moonie were triggered in January through to April 2021, with an estimated total contribution of </w:t>
      </w:r>
      <w:r w:rsidR="00596E15">
        <w:t xml:space="preserve">around </w:t>
      </w:r>
      <w:r>
        <w:t>5</w:t>
      </w:r>
      <w:r w:rsidR="00596E15">
        <w:t>.7</w:t>
      </w:r>
      <w:r>
        <w:t xml:space="preserve"> </w:t>
      </w:r>
      <w:r w:rsidR="00596E15">
        <w:t>gigalitre</w:t>
      </w:r>
      <w:r>
        <w:t xml:space="preserve"> and all licence volumes exhausted by </w:t>
      </w:r>
      <w:proofErr w:type="spellStart"/>
      <w:r>
        <w:t>mid April</w:t>
      </w:r>
      <w:proofErr w:type="spellEnd"/>
      <w:r>
        <w:t xml:space="preserve"> 2021. Around 114 gigalitres flowed past the most downstream gauge at </w:t>
      </w:r>
      <w:proofErr w:type="spellStart"/>
      <w:r>
        <w:t>Gundablouie</w:t>
      </w:r>
      <w:proofErr w:type="spellEnd"/>
      <w:r>
        <w:t xml:space="preserve"> from 1 January 2021 to the end of May 2021, contributing an estimated 100 gigalitres of inflows to the Barwon-Darling (</w:t>
      </w:r>
      <w:r w:rsidRPr="002D3509">
        <w:t>WaterNSW 2021c</w:t>
      </w:r>
      <w:r>
        <w:t>).</w:t>
      </w:r>
    </w:p>
    <w:p w14:paraId="047052D1" w14:textId="77777777" w:rsidR="009300C5" w:rsidRDefault="00CD0ABA" w:rsidP="00CD0ABA">
      <w:pPr>
        <w:rPr>
          <w:lang w:eastAsia="ja-JP"/>
        </w:rPr>
      </w:pPr>
      <w:r>
        <w:rPr>
          <w:lang w:eastAsia="ja-JP"/>
        </w:rPr>
        <w:t xml:space="preserve">There was periodic rainfall across the </w:t>
      </w:r>
      <w:r>
        <w:t xml:space="preserve">Warrego </w:t>
      </w:r>
      <w:r>
        <w:rPr>
          <w:lang w:eastAsia="ja-JP"/>
        </w:rPr>
        <w:t>Valley throughout the water year (BOM 2021a). Most rainfall occurred in March 2021 with the upper and lower Warrego catchment receiving 100 to 200 mm and central areas around Charleville, Wyandra and Cunnamulla receiving up to 100 mm (BOM 2021</w:t>
      </w:r>
      <w:proofErr w:type="gramStart"/>
      <w:r>
        <w:rPr>
          <w:lang w:eastAsia="ja-JP"/>
        </w:rPr>
        <w:t>b,c</w:t>
      </w:r>
      <w:proofErr w:type="gramEnd"/>
      <w:r>
        <w:rPr>
          <w:lang w:eastAsia="ja-JP"/>
        </w:rPr>
        <w:t>).</w:t>
      </w:r>
    </w:p>
    <w:p w14:paraId="348A3037" w14:textId="1DBA0576" w:rsidR="00CD0ABA" w:rsidRDefault="00CD0ABA" w:rsidP="00CD0ABA">
      <w:pPr>
        <w:rPr>
          <w:lang w:eastAsia="ja-JP"/>
        </w:rPr>
      </w:pPr>
      <w:r>
        <w:rPr>
          <w:lang w:eastAsia="ja-JP"/>
        </w:rPr>
        <w:t>Unregulated licences in the Queensland portion of the Warrego Valley were triggered in March and April 2021, with an estimated environmental contribution of</w:t>
      </w:r>
      <w:r w:rsidRPr="00A63FFE">
        <w:rPr>
          <w:lang w:eastAsia="ja-JP"/>
        </w:rPr>
        <w:t xml:space="preserve"> 5.2 gigalitres in the Lower Queensland Warrego (gauged at Cunnamulla weir) and 198 megalitres in the upper Warrego (gauged at Augathella).</w:t>
      </w:r>
    </w:p>
    <w:p w14:paraId="34688BA4" w14:textId="7101B748" w:rsidR="00CD0ABA" w:rsidRDefault="00CD0ABA" w:rsidP="00CD0ABA">
      <w:pPr>
        <w:rPr>
          <w:lang w:eastAsia="ja-JP"/>
        </w:rPr>
      </w:pPr>
      <w:r>
        <w:rPr>
          <w:lang w:eastAsia="ja-JP"/>
        </w:rPr>
        <w:t xml:space="preserve">Commonwealth environmental water in combination with natural flows </w:t>
      </w:r>
      <w:r w:rsidR="006C0D24">
        <w:rPr>
          <w:lang w:eastAsia="ja-JP"/>
        </w:rPr>
        <w:t>entered</w:t>
      </w:r>
      <w:r>
        <w:rPr>
          <w:lang w:eastAsia="ja-JP"/>
        </w:rPr>
        <w:t xml:space="preserve"> the nationally significant </w:t>
      </w:r>
      <w:proofErr w:type="spellStart"/>
      <w:r>
        <w:rPr>
          <w:lang w:eastAsia="ja-JP"/>
        </w:rPr>
        <w:t>Cuttaburra</w:t>
      </w:r>
      <w:proofErr w:type="spellEnd"/>
      <w:r>
        <w:rPr>
          <w:lang w:eastAsia="ja-JP"/>
        </w:rPr>
        <w:t xml:space="preserve"> and Yantabulla wetland areas downstream of Cunnamulla, with around 27 gigalitres flowing past the </w:t>
      </w:r>
      <w:proofErr w:type="spellStart"/>
      <w:r>
        <w:rPr>
          <w:lang w:eastAsia="ja-JP"/>
        </w:rPr>
        <w:t>Turra</w:t>
      </w:r>
      <w:proofErr w:type="spellEnd"/>
      <w:r>
        <w:rPr>
          <w:lang w:eastAsia="ja-JP"/>
        </w:rPr>
        <w:t xml:space="preserve"> gauge (</w:t>
      </w:r>
      <w:proofErr w:type="spellStart"/>
      <w:r>
        <w:rPr>
          <w:lang w:eastAsia="ja-JP"/>
        </w:rPr>
        <w:t>WaterNSW</w:t>
      </w:r>
      <w:proofErr w:type="spellEnd"/>
      <w:r>
        <w:rPr>
          <w:lang w:eastAsia="ja-JP"/>
        </w:rPr>
        <w:t xml:space="preserve"> 2021a). This was a much smaller event </w:t>
      </w:r>
      <w:r>
        <w:rPr>
          <w:lang w:eastAsia="ja-JP"/>
        </w:rPr>
        <w:lastRenderedPageBreak/>
        <w:t>compared to 2019–20, for example around 95 gigalitres total volume past the Cunnamulla gauge in 2020–21, compared to around 1,000 gigalitres in 2019–20 (DRDMW 2021a).</w:t>
      </w:r>
    </w:p>
    <w:p w14:paraId="29C1EE5E" w14:textId="77777777" w:rsidR="00CD0ABA" w:rsidRDefault="00CD0ABA" w:rsidP="00CD0ABA">
      <w:pPr>
        <w:rPr>
          <w:lang w:eastAsia="ja-JP"/>
        </w:rPr>
      </w:pPr>
      <w:r>
        <w:rPr>
          <w:lang w:eastAsia="ja-JP"/>
        </w:rPr>
        <w:t>The Commonwealth’s Toorale licences on the Warrego River were not activated in 2020–21, as the multi-year account limit was reached last year. The high flow licence at Toorale was also not triggered in 2020–21. Around five gigalitres flowed from the Warrego River into the Darling River between March and April 2021, helping meet downstream environmental demands (WaterNSW 2021b). While the Western Floodplain at and around Toorale National Park received local rainfall in March 2021, there was no flow from the Warrego River onto the Western Floodplain in 2020–21 (Paul Frazier [2 Rog Consulting] 2021, pers. comm. 11 May).</w:t>
      </w:r>
    </w:p>
    <w:p w14:paraId="18B7497F" w14:textId="69E1431C" w:rsidR="009300C5" w:rsidRDefault="00CD0ABA" w:rsidP="00CD0ABA">
      <w:pPr>
        <w:rPr>
          <w:lang w:eastAsia="ja-JP"/>
        </w:rPr>
      </w:pPr>
      <w:r w:rsidRPr="00EC63D9">
        <w:rPr>
          <w:lang w:eastAsia="ja-JP"/>
        </w:rPr>
        <w:t>Native fish in the upper Warrego have responded well to flows over the last two years, with refuge pools near Charleville supporting abundant golden perch and some Murray cod, with a relatively low carp presence</w:t>
      </w:r>
      <w:r>
        <w:rPr>
          <w:lang w:eastAsia="ja-JP"/>
        </w:rPr>
        <w:t xml:space="preserve"> (Marshall &amp; Lobegeiger 2020)</w:t>
      </w:r>
      <w:r w:rsidRPr="00EC63D9">
        <w:rPr>
          <w:lang w:eastAsia="ja-JP"/>
        </w:rPr>
        <w:t xml:space="preserve">. Waterbirds in the </w:t>
      </w:r>
      <w:proofErr w:type="spellStart"/>
      <w:r w:rsidRPr="00EC63D9">
        <w:rPr>
          <w:lang w:eastAsia="ja-JP"/>
        </w:rPr>
        <w:t>Cuttaburra</w:t>
      </w:r>
      <w:proofErr w:type="spellEnd"/>
      <w:r w:rsidRPr="00EC63D9">
        <w:rPr>
          <w:lang w:eastAsia="ja-JP"/>
        </w:rPr>
        <w:t xml:space="preserve"> and Yantabulla area have also benefited from flows to the area</w:t>
      </w:r>
      <w:r>
        <w:rPr>
          <w:lang w:eastAsia="ja-JP"/>
        </w:rPr>
        <w:t xml:space="preserve"> (Kingsford &amp; Wainwright 2020; Thorburn 2020).</w:t>
      </w:r>
    </w:p>
    <w:p w14:paraId="1794A14D" w14:textId="68937A19" w:rsidR="001F1BE4" w:rsidRDefault="00CD0ABA" w:rsidP="00CD0ABA">
      <w:pPr>
        <w:rPr>
          <w:lang w:eastAsia="ja-JP"/>
        </w:rPr>
      </w:pPr>
      <w:r w:rsidRPr="00EC63D9">
        <w:rPr>
          <w:lang w:eastAsia="ja-JP"/>
        </w:rPr>
        <w:t xml:space="preserve">Vegetation on the </w:t>
      </w:r>
      <w:r>
        <w:rPr>
          <w:lang w:eastAsia="ja-JP"/>
        </w:rPr>
        <w:t>Western Floodplain</w:t>
      </w:r>
      <w:r w:rsidRPr="00EC63D9">
        <w:rPr>
          <w:lang w:eastAsia="ja-JP"/>
        </w:rPr>
        <w:t xml:space="preserve"> at Toorale near the junction of the Warrego and Darling rivers dried back during the first half of 2020</w:t>
      </w:r>
      <w:r>
        <w:rPr>
          <w:lang w:eastAsia="ja-JP"/>
        </w:rPr>
        <w:t>–</w:t>
      </w:r>
      <w:r w:rsidRPr="00EC63D9">
        <w:rPr>
          <w:lang w:eastAsia="ja-JP"/>
        </w:rPr>
        <w:t>21, with lignum showing a decrease in condition</w:t>
      </w:r>
      <w:r>
        <w:rPr>
          <w:lang w:eastAsia="ja-JP"/>
        </w:rPr>
        <w:t xml:space="preserve"> (UNE &amp; 2 Rog Consulting 2020b)</w:t>
      </w:r>
      <w:r w:rsidRPr="00EC63D9">
        <w:rPr>
          <w:lang w:eastAsia="ja-JP"/>
        </w:rPr>
        <w:t>. However, plant height and size increased, showing longer term benefits of flows to the area</w:t>
      </w:r>
      <w:r>
        <w:rPr>
          <w:lang w:eastAsia="ja-JP"/>
        </w:rPr>
        <w:t xml:space="preserve"> (UNE &amp; 2 Rog Consulting 2020b)</w:t>
      </w:r>
      <w:r w:rsidRPr="00EC63D9">
        <w:rPr>
          <w:lang w:eastAsia="ja-JP"/>
        </w:rPr>
        <w:t>.</w:t>
      </w:r>
    </w:p>
    <w:p w14:paraId="789DED0A" w14:textId="4A4B82D0" w:rsidR="00CD0ABA" w:rsidRDefault="00CD0ABA" w:rsidP="00CD0ABA">
      <w:pPr>
        <w:rPr>
          <w:lang w:eastAsia="ja-JP"/>
        </w:rPr>
      </w:pPr>
      <w:r w:rsidRPr="00EC63D9">
        <w:rPr>
          <w:lang w:eastAsia="ja-JP"/>
        </w:rPr>
        <w:t>Drier conditions in the first half of 2020</w:t>
      </w:r>
      <w:r>
        <w:rPr>
          <w:lang w:eastAsia="ja-JP"/>
        </w:rPr>
        <w:t>–</w:t>
      </w:r>
      <w:r w:rsidRPr="00EC63D9">
        <w:rPr>
          <w:lang w:eastAsia="ja-JP"/>
        </w:rPr>
        <w:t>21 may have confined native fish to refuge pools along the system</w:t>
      </w:r>
      <w:r>
        <w:rPr>
          <w:lang w:eastAsia="ja-JP"/>
        </w:rPr>
        <w:t xml:space="preserve"> (UNE &amp; 2 Rog Consulting 2020b)</w:t>
      </w:r>
      <w:r w:rsidRPr="00EC63D9">
        <w:rPr>
          <w:lang w:eastAsia="ja-JP"/>
        </w:rPr>
        <w:t xml:space="preserve">. However, the flow events in March and April 2021 improved conditions for golden perch and other native fish </w:t>
      </w:r>
      <w:proofErr w:type="gramStart"/>
      <w:r w:rsidRPr="00EC63D9">
        <w:rPr>
          <w:lang w:eastAsia="ja-JP"/>
        </w:rPr>
        <w:t>species, and</w:t>
      </w:r>
      <w:proofErr w:type="gramEnd"/>
      <w:r w:rsidRPr="00EC63D9">
        <w:rPr>
          <w:lang w:eastAsia="ja-JP"/>
        </w:rPr>
        <w:t xml:space="preserve"> wou</w:t>
      </w:r>
      <w:r w:rsidR="00E409A2">
        <w:rPr>
          <w:lang w:eastAsia="ja-JP"/>
        </w:rPr>
        <w:t>l</w:t>
      </w:r>
      <w:r w:rsidRPr="00EC63D9">
        <w:rPr>
          <w:lang w:eastAsia="ja-JP"/>
        </w:rPr>
        <w:t>d likely have provided spawning and recruitment opportunities and connectivity with the Barwon-Darling</w:t>
      </w:r>
      <w:r>
        <w:rPr>
          <w:lang w:eastAsia="ja-JP"/>
        </w:rPr>
        <w:t xml:space="preserve"> river system (UNE &amp; 2 Rog Consulting 2021)</w:t>
      </w:r>
      <w:r w:rsidRPr="00EC63D9">
        <w:rPr>
          <w:lang w:eastAsia="ja-JP"/>
        </w:rPr>
        <w:t>.</w:t>
      </w:r>
    </w:p>
    <w:p w14:paraId="5D9B96F6" w14:textId="77777777" w:rsidR="00CD0ABA" w:rsidRDefault="00CD0ABA" w:rsidP="00CD0ABA">
      <w:pPr>
        <w:rPr>
          <w:lang w:eastAsia="ja-JP"/>
        </w:rPr>
      </w:pPr>
      <w:r w:rsidRPr="00EC63D9">
        <w:rPr>
          <w:lang w:eastAsia="ja-JP"/>
        </w:rPr>
        <w:t>A return to dry conditions before flows in early 2021 also limited the abundance and diversity of waterbirds and frogs, although the longer-term productivity and food web benefits of flows are apparent in resident bird species including sea eagles</w:t>
      </w:r>
      <w:r>
        <w:rPr>
          <w:lang w:eastAsia="ja-JP"/>
        </w:rPr>
        <w:t xml:space="preserve"> (UNE &amp; 2 Rog Consulting 2020b)</w:t>
      </w:r>
      <w:r w:rsidRPr="00EC63D9">
        <w:rPr>
          <w:lang w:eastAsia="ja-JP"/>
        </w:rPr>
        <w:t>. These species are expected to respond positively to the most recent flows. Yabbies and turtles are also doing well in the Toorale area, showing the benefits of both environmental water and natural flows</w:t>
      </w:r>
      <w:r>
        <w:rPr>
          <w:lang w:eastAsia="ja-JP"/>
        </w:rPr>
        <w:t xml:space="preserve"> (UNE &amp; 2 Rog Consulting, 2021).</w:t>
      </w:r>
    </w:p>
    <w:p w14:paraId="34FB3ECC" w14:textId="258C32B7" w:rsidR="00CD0ABA" w:rsidRDefault="00CD0ABA" w:rsidP="00CD0ABA">
      <w:pPr>
        <w:rPr>
          <w:rStyle w:val="Hyperlink"/>
          <w:color w:val="auto"/>
          <w:u w:val="none"/>
          <w:lang w:eastAsia="ja-JP"/>
        </w:rPr>
      </w:pPr>
      <w:r>
        <w:rPr>
          <w:lang w:eastAsia="ja-JP"/>
        </w:rPr>
        <w:t xml:space="preserve">Learn more about Learn more about </w:t>
      </w:r>
      <w:hyperlink r:id="rId25" w:history="1">
        <w:r w:rsidRPr="001346A2">
          <w:rPr>
            <w:rStyle w:val="Hyperlink"/>
            <w:lang w:eastAsia="ja-JP"/>
          </w:rPr>
          <w:t>previous Commonwealth environmental water use in the Warrego</w:t>
        </w:r>
        <w:r>
          <w:rPr>
            <w:rStyle w:val="Hyperlink"/>
            <w:lang w:eastAsia="ja-JP"/>
          </w:rPr>
          <w:t xml:space="preserve"> and Moonie</w:t>
        </w:r>
        <w:r w:rsidRPr="001346A2">
          <w:rPr>
            <w:rStyle w:val="Hyperlink"/>
            <w:lang w:eastAsia="ja-JP"/>
          </w:rPr>
          <w:t xml:space="preserve"> </w:t>
        </w:r>
        <w:r w:rsidR="00596E15">
          <w:rPr>
            <w:rStyle w:val="Hyperlink"/>
            <w:lang w:eastAsia="ja-JP"/>
          </w:rPr>
          <w:t>v</w:t>
        </w:r>
        <w:r>
          <w:rPr>
            <w:rStyle w:val="Hyperlink"/>
            <w:lang w:eastAsia="ja-JP"/>
          </w:rPr>
          <w:t>alleys</w:t>
        </w:r>
        <w:r w:rsidRPr="001346A2">
          <w:rPr>
            <w:rStyle w:val="Hyperlink"/>
          </w:rPr>
          <w:t>.</w:t>
        </w:r>
      </w:hyperlink>
    </w:p>
    <w:p w14:paraId="25A4F360" w14:textId="77777777" w:rsidR="00CD0ABA" w:rsidRDefault="00CD0ABA" w:rsidP="00CD0ABA">
      <w:pPr>
        <w:pStyle w:val="Heading4"/>
      </w:pPr>
      <w:r>
        <w:t>Seasonal outlook</w:t>
      </w:r>
    </w:p>
    <w:p w14:paraId="154595AF" w14:textId="77777777" w:rsidR="009300C5" w:rsidRDefault="00CD0ABA" w:rsidP="00CD0ABA">
      <w:r>
        <w:t xml:space="preserve">According to the Bureau of Meteorology’s outlook issued on 3 June 2021, there is some chance of above average rainfall across the Warrego and Moonie Valleys from June to September 2021 (BOM 2021c). </w:t>
      </w:r>
      <w:r w:rsidRPr="00E00123">
        <w:t>Maxim</w:t>
      </w:r>
      <w:r w:rsidRPr="00776AC6">
        <w:t>um</w:t>
      </w:r>
      <w:r w:rsidRPr="00F463F6">
        <w:t xml:space="preserve"> temperatures are also forecast to remain </w:t>
      </w:r>
      <w:r>
        <w:t xml:space="preserve">average or </w:t>
      </w:r>
      <w:r w:rsidRPr="00F463F6">
        <w:t>above average ove</w:t>
      </w:r>
      <w:r w:rsidRPr="00776AC6">
        <w:t>r the coming mon</w:t>
      </w:r>
      <w:r w:rsidRPr="00E00123">
        <w:t>ths</w:t>
      </w:r>
      <w:r>
        <w:t xml:space="preserve"> (BOM 2021</w:t>
      </w:r>
      <w:proofErr w:type="gramStart"/>
      <w:r>
        <w:t>d,e</w:t>
      </w:r>
      <w:proofErr w:type="gramEnd"/>
      <w:r>
        <w:t>).</w:t>
      </w:r>
    </w:p>
    <w:p w14:paraId="452511C2" w14:textId="674F6542" w:rsidR="009300C5" w:rsidRDefault="00CD0ABA" w:rsidP="00CD0ABA">
      <w:r w:rsidRPr="002D3509">
        <w:t xml:space="preserve">This forecast suggests weather patterns may further improve the condition of rivers and wetlands across the </w:t>
      </w:r>
      <w:r>
        <w:t xml:space="preserve">Warrego and </w:t>
      </w:r>
      <w:r w:rsidRPr="002D3509">
        <w:t xml:space="preserve">Moonie </w:t>
      </w:r>
      <w:r>
        <w:t xml:space="preserve">Valleys </w:t>
      </w:r>
      <w:r w:rsidRPr="002D3509">
        <w:t>(and other Northern Basin systems). However, it is also possible that dry conditions may re</w:t>
      </w:r>
      <w:r w:rsidR="00834C9B">
        <w:t>-</w:t>
      </w:r>
      <w:r w:rsidRPr="002D3509">
        <w:t xml:space="preserve">eventuate over coming months, which </w:t>
      </w:r>
      <w:r w:rsidR="00BD055B">
        <w:t>would</w:t>
      </w:r>
      <w:r w:rsidRPr="002D3509">
        <w:t xml:space="preserve"> hinder recovery.</w:t>
      </w:r>
    </w:p>
    <w:p w14:paraId="7D5EC132" w14:textId="45D2DAEA" w:rsidR="00CD0ABA" w:rsidRDefault="00CD0ABA" w:rsidP="00CD0ABA">
      <w:pPr>
        <w:pStyle w:val="Heading4"/>
      </w:pPr>
      <w:r>
        <w:lastRenderedPageBreak/>
        <w:t>Water availability</w:t>
      </w:r>
    </w:p>
    <w:p w14:paraId="37269719" w14:textId="6BEC7A34" w:rsidR="00CD0ABA" w:rsidRDefault="00CD0ABA" w:rsidP="00CD0ABA">
      <w:r w:rsidRPr="00C24880">
        <w:t xml:space="preserve">The </w:t>
      </w:r>
      <w:r>
        <w:t xml:space="preserve">Warrego and Moonie Valleys </w:t>
      </w:r>
      <w:r w:rsidRPr="00C24880">
        <w:t xml:space="preserve">have fewer regulating structures than other areas of the Murray–Darling Basin, which limits options for the managed delivery of water for the environment at a predetermined volume and time. </w:t>
      </w:r>
      <w:r w:rsidR="006D7166">
        <w:t>Instead</w:t>
      </w:r>
      <w:r w:rsidRPr="00C24880">
        <w:t>, Commonwealth water for the environment in the</w:t>
      </w:r>
      <w:r w:rsidR="006D7166">
        <w:t>se</w:t>
      </w:r>
      <w:r w:rsidRPr="00C24880">
        <w:t xml:space="preserve"> </w:t>
      </w:r>
      <w:r>
        <w:t xml:space="preserve">two river systems </w:t>
      </w:r>
      <w:r w:rsidRPr="00C24880">
        <w:t xml:space="preserve">can generally only be sourced as a share of an unregulated flow event or </w:t>
      </w:r>
      <w:r>
        <w:t xml:space="preserve">in some cases </w:t>
      </w:r>
      <w:r w:rsidRPr="00C24880">
        <w:t>targeted management within an event. Most Commonwealth unregulated entitlements are left in-stream to provide environmental benefits by restoring flows that were formerly extracted</w:t>
      </w:r>
      <w:r>
        <w:t xml:space="preserve">, which </w:t>
      </w:r>
      <w:r w:rsidRPr="00C24880">
        <w:t>improv</w:t>
      </w:r>
      <w:r>
        <w:t xml:space="preserve">es </w:t>
      </w:r>
      <w:r w:rsidRPr="00C24880">
        <w:t>flow variability.</w:t>
      </w:r>
    </w:p>
    <w:p w14:paraId="5E7F5E57" w14:textId="4DE631C4" w:rsidR="00CD0ABA" w:rsidRDefault="00CD0ABA" w:rsidP="00CD0ABA">
      <w:r w:rsidRPr="00C24880">
        <w:t xml:space="preserve">Water availability depends on the flow events that occur. Unregulated entitlements provide opportunistic access to river flows when </w:t>
      </w:r>
      <w:r w:rsidR="007F6493">
        <w:t>water</w:t>
      </w:r>
      <w:r w:rsidRPr="00C24880">
        <w:t xml:space="preserve"> levels </w:t>
      </w:r>
      <w:r w:rsidR="007F6493">
        <w:t xml:space="preserve">exceed trigger values at certain locations, as </w:t>
      </w:r>
      <w:r w:rsidRPr="00C24880">
        <w:t xml:space="preserve">specified in entitlement </w:t>
      </w:r>
      <w:r w:rsidRPr="00FF0CD7">
        <w:t>conditions</w:t>
      </w:r>
      <w:r w:rsidR="007F6493">
        <w:t>.</w:t>
      </w:r>
      <w:r w:rsidRPr="00FF0CD7">
        <w:t xml:space="preserve"> </w:t>
      </w:r>
      <w:r w:rsidR="001A05F9">
        <w:t xml:space="preserve">Each triggered Commonwealth environmental water entitlement leaves water in the river which could otherwise be extracted. This </w:t>
      </w:r>
      <w:proofErr w:type="gramStart"/>
      <w:r w:rsidR="001A05F9">
        <w:t>makes a</w:t>
      </w:r>
      <w:r w:rsidRPr="00FF0CD7">
        <w:t xml:space="preserve"> contribut</w:t>
      </w:r>
      <w:r w:rsidR="00A0518F">
        <w:t>ion</w:t>
      </w:r>
      <w:proofErr w:type="gramEnd"/>
      <w:r w:rsidRPr="00FF0CD7">
        <w:t xml:space="preserve"> to restoring </w:t>
      </w:r>
      <w:r w:rsidR="00A0518F">
        <w:t xml:space="preserve">natural </w:t>
      </w:r>
      <w:r w:rsidRPr="00FF0CD7">
        <w:t>flows</w:t>
      </w:r>
      <w:r w:rsidR="00A0518F">
        <w:t>,</w:t>
      </w:r>
      <w:r w:rsidRPr="00FF0CD7">
        <w:t xml:space="preserve"> reflecting its particular flow access windows, take rates and location. Daily, instantaneous, annual or multi-year limits cap overall diversions in any given year or flow event, and likewise the in-stream contributions that can be attributed to unregulated Commonwealth entitlements.</w:t>
      </w:r>
    </w:p>
    <w:p w14:paraId="57531BA7" w14:textId="77777777" w:rsidR="00CD0ABA" w:rsidRDefault="00CD0ABA" w:rsidP="00CD0ABA">
      <w:r w:rsidRPr="00C24880">
        <w:t xml:space="preserve">There is some capacity to direct flows at the junction of the Warrego and Darling rivers through infrastructure on the Toorale site (managed by the NSW National Parks and Wildlife Service in consultation with the Toorale Joint Management Committee). However, this is limited by the nature of the Commonwealth’s entitlements in the Warrego and Darling </w:t>
      </w:r>
      <w:r>
        <w:t>r</w:t>
      </w:r>
      <w:r w:rsidRPr="00C24880">
        <w:t>ivers and day to day operations of the Toorale infrastructure. Upgrades and changed management of the Toorale structures is underway through the Toorale Infrastructure Project</w:t>
      </w:r>
      <w:r>
        <w:t xml:space="preserve"> (NSW DPIE 2021).</w:t>
      </w:r>
    </w:p>
    <w:p w14:paraId="2A58ACA9" w14:textId="77777777" w:rsidR="00CD0ABA" w:rsidRDefault="00CD0ABA" w:rsidP="00CD0ABA">
      <w:pPr>
        <w:pStyle w:val="Heading4"/>
      </w:pPr>
      <w:r>
        <w:t>Environmental demands</w:t>
      </w:r>
    </w:p>
    <w:p w14:paraId="35D8516F" w14:textId="68E67A02" w:rsidR="00CD0ABA" w:rsidRDefault="00CD0ABA" w:rsidP="0068665B">
      <w:pPr>
        <w:sectPr w:rsidR="00CD0ABA" w:rsidSect="005B4973">
          <w:type w:val="continuous"/>
          <w:pgSz w:w="11906" w:h="16838"/>
          <w:pgMar w:top="1418" w:right="1418" w:bottom="1418" w:left="1418" w:header="567" w:footer="283" w:gutter="0"/>
          <w:pgNumType w:start="1"/>
          <w:cols w:space="708"/>
          <w:docGrid w:linePitch="360"/>
        </w:sectPr>
      </w:pPr>
      <w:r>
        <w:t xml:space="preserve">For the environmental water demands for assets in the Warrego and Moonie Valleys in 2021–22, see </w:t>
      </w:r>
      <w:r w:rsidR="00FF5ACD">
        <w:fldChar w:fldCharType="begin"/>
      </w:r>
      <w:r w:rsidR="00FF5ACD">
        <w:instrText xml:space="preserve"> REF _Ref76042837 \h </w:instrText>
      </w:r>
      <w:r w:rsidR="00FF5ACD">
        <w:fldChar w:fldCharType="separate"/>
      </w:r>
      <w:r w:rsidR="0044215C">
        <w:t>Table WMV</w:t>
      </w:r>
      <w:r w:rsidR="0044215C">
        <w:rPr>
          <w:noProof/>
        </w:rPr>
        <w:t>1</w:t>
      </w:r>
      <w:r w:rsidR="00FF5ACD">
        <w:fldChar w:fldCharType="end"/>
      </w:r>
      <w:r w:rsidR="00FF5ACD">
        <w:t xml:space="preserve"> </w:t>
      </w:r>
      <w:r>
        <w:t xml:space="preserve">(Moonie Valley) and </w:t>
      </w:r>
      <w:r w:rsidR="0068665B">
        <w:fldChar w:fldCharType="begin"/>
      </w:r>
      <w:r w:rsidR="0068665B">
        <w:instrText xml:space="preserve"> REF _Ref76107446 \h </w:instrText>
      </w:r>
      <w:r w:rsidR="0068665B">
        <w:fldChar w:fldCharType="separate"/>
      </w:r>
      <w:r w:rsidR="0044215C" w:rsidRPr="00463324">
        <w:t>Table WMV</w:t>
      </w:r>
      <w:r w:rsidR="0044215C">
        <w:rPr>
          <w:noProof/>
        </w:rPr>
        <w:t>2</w:t>
      </w:r>
      <w:r w:rsidR="0068665B">
        <w:fldChar w:fldCharType="end"/>
      </w:r>
      <w:r w:rsidR="0068665B">
        <w:t xml:space="preserve"> </w:t>
      </w:r>
      <w:r w:rsidRPr="00AC46CB">
        <w:t>(Warrego Valley)</w:t>
      </w:r>
      <w:r w:rsidRPr="00566E2E">
        <w:t>.</w:t>
      </w:r>
      <w:r>
        <w:t xml:space="preserve"> The capacity to contribute to these environmental demands is contingent on the Commonwealth licences being triggered by natural flow events.</w:t>
      </w:r>
    </w:p>
    <w:p w14:paraId="3F87F9E9" w14:textId="0C1C5E23" w:rsidR="00CD0ABA" w:rsidRDefault="00FF5ACD" w:rsidP="00FF5ACD">
      <w:pPr>
        <w:pStyle w:val="Caption"/>
      </w:pPr>
      <w:bookmarkStart w:id="17" w:name="_Ref76042837"/>
      <w:bookmarkStart w:id="18" w:name="_Toc80294620"/>
      <w:r>
        <w:lastRenderedPageBreak/>
        <w:t>Table WMV</w:t>
      </w:r>
      <w:fldSimple w:instr=" SEQ Table_WMV \* ARABIC ">
        <w:r w:rsidR="0044215C">
          <w:rPr>
            <w:noProof/>
          </w:rPr>
          <w:t>1</w:t>
        </w:r>
      </w:fldSimple>
      <w:bookmarkEnd w:id="17"/>
      <w:r>
        <w:t xml:space="preserve"> </w:t>
      </w:r>
      <w:r w:rsidR="00CD0ABA" w:rsidRPr="00E00123">
        <w:t>Environmental demands in 2021–22</w:t>
      </w:r>
      <w:r w:rsidR="008724FC">
        <w:t xml:space="preserve"> for the </w:t>
      </w:r>
      <w:r w:rsidR="00CD0ABA">
        <w:t>Moonie Valley</w:t>
      </w:r>
      <w:bookmarkEnd w:id="18"/>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Table WMV1 environmental demands, watering priorities and in 2021-22, Moonie Valley "/>
        <w:tblDescription w:val="Table identifying environmental assets for the Moonie Valley including, target values, indicative demand (for all sources of water in the system) (flow/volume, required frequency/maximum dry interval), watering history (from all sources of water), environmental demands for water (all sources) in 2021-22 "/>
      </w:tblPr>
      <w:tblGrid>
        <w:gridCol w:w="2055"/>
        <w:gridCol w:w="2184"/>
        <w:gridCol w:w="4614"/>
        <w:gridCol w:w="2798"/>
        <w:gridCol w:w="8903"/>
        <w:gridCol w:w="1814"/>
      </w:tblGrid>
      <w:tr w:rsidR="00D270D8" w:rsidRPr="000D4BCF" w14:paraId="3B2C76ED" w14:textId="507929CB" w:rsidTr="00FB7C79">
        <w:trPr>
          <w:cantSplit/>
          <w:tblHeader/>
        </w:trPr>
        <w:tc>
          <w:tcPr>
            <w:tcW w:w="0" w:type="auto"/>
            <w:vMerge w:val="restart"/>
            <w:shd w:val="clear" w:color="auto" w:fill="FFFFFF" w:themeFill="background1"/>
            <w:vAlign w:val="center"/>
            <w:hideMark/>
          </w:tcPr>
          <w:p w14:paraId="5E8B4612" w14:textId="77777777" w:rsidR="00D270D8" w:rsidRPr="00463324" w:rsidRDefault="00D270D8" w:rsidP="00463324">
            <w:pPr>
              <w:pStyle w:val="TableHeading"/>
            </w:pPr>
            <w:bookmarkStart w:id="19" w:name="Table_WMV1"/>
            <w:bookmarkStart w:id="20" w:name="Title_WMV1"/>
            <w:bookmarkStart w:id="21" w:name="_Ref61429502"/>
            <w:bookmarkStart w:id="22" w:name="_Ref61364737"/>
            <w:bookmarkStart w:id="23" w:name="_Toc61429621"/>
            <w:bookmarkStart w:id="24" w:name="_Toc72920242"/>
            <w:bookmarkStart w:id="25" w:name="_Hlk62588152"/>
            <w:bookmarkEnd w:id="19"/>
            <w:bookmarkEnd w:id="20"/>
            <w:r w:rsidRPr="00463324">
              <w:t>Environmental assets</w:t>
            </w:r>
          </w:p>
        </w:tc>
        <w:tc>
          <w:tcPr>
            <w:tcW w:w="0" w:type="auto"/>
            <w:vMerge w:val="restart"/>
            <w:shd w:val="clear" w:color="auto" w:fill="FFFFFF" w:themeFill="background1"/>
            <w:vAlign w:val="center"/>
          </w:tcPr>
          <w:p w14:paraId="200C05FF" w14:textId="77777777" w:rsidR="00D270D8" w:rsidRPr="00463324" w:rsidRDefault="00D270D8" w:rsidP="00463324">
            <w:pPr>
              <w:pStyle w:val="TableHeading"/>
            </w:pPr>
            <w:r w:rsidRPr="00463324">
              <w:t>Target values</w:t>
            </w:r>
          </w:p>
        </w:tc>
        <w:tc>
          <w:tcPr>
            <w:tcW w:w="0" w:type="auto"/>
            <w:gridSpan w:val="2"/>
            <w:shd w:val="clear" w:color="auto" w:fill="FFFFFF" w:themeFill="background1"/>
            <w:hideMark/>
          </w:tcPr>
          <w:p w14:paraId="084EB8DE" w14:textId="77777777" w:rsidR="00D270D8" w:rsidRPr="00463324" w:rsidRDefault="00D270D8" w:rsidP="00463324">
            <w:pPr>
              <w:pStyle w:val="TableHeading"/>
            </w:pPr>
            <w:r w:rsidRPr="00463324">
              <w:t>Indicative demand (for all sources of water in the system)</w:t>
            </w:r>
          </w:p>
        </w:tc>
        <w:tc>
          <w:tcPr>
            <w:tcW w:w="8903" w:type="dxa"/>
            <w:vMerge w:val="restart"/>
            <w:shd w:val="clear" w:color="auto" w:fill="FFFFFF" w:themeFill="background1"/>
            <w:vAlign w:val="center"/>
            <w:hideMark/>
          </w:tcPr>
          <w:p w14:paraId="4F16DD16" w14:textId="77777777" w:rsidR="00D270D8" w:rsidRPr="00463324" w:rsidRDefault="00D270D8" w:rsidP="00463324">
            <w:pPr>
              <w:pStyle w:val="TableHeading"/>
            </w:pPr>
            <w:r w:rsidRPr="00463324">
              <w:t>Watering history (from all sources of water)</w:t>
            </w:r>
          </w:p>
        </w:tc>
        <w:tc>
          <w:tcPr>
            <w:tcW w:w="1814" w:type="dxa"/>
            <w:vMerge w:val="restart"/>
            <w:shd w:val="clear" w:color="auto" w:fill="FFFFFF" w:themeFill="background1"/>
          </w:tcPr>
          <w:p w14:paraId="53451E85" w14:textId="1592B025" w:rsidR="00D270D8" w:rsidRPr="00463324" w:rsidRDefault="00D270D8" w:rsidP="00463324">
            <w:pPr>
              <w:pStyle w:val="TableHeading"/>
            </w:pPr>
            <w:r w:rsidRPr="00463324">
              <w:t>Environmental demands for water (all sources) in 2021-22</w:t>
            </w:r>
          </w:p>
        </w:tc>
      </w:tr>
      <w:tr w:rsidR="00D270D8" w:rsidRPr="008C3972" w14:paraId="0B2C5D78" w14:textId="77777777" w:rsidTr="00FB7C79">
        <w:trPr>
          <w:tblHeader/>
        </w:trPr>
        <w:tc>
          <w:tcPr>
            <w:tcW w:w="0" w:type="auto"/>
            <w:vMerge/>
            <w:shd w:val="clear" w:color="auto" w:fill="FFFFFF" w:themeFill="background1"/>
            <w:vAlign w:val="center"/>
            <w:hideMark/>
          </w:tcPr>
          <w:p w14:paraId="33DB2516" w14:textId="77777777" w:rsidR="00D270D8" w:rsidRPr="000D4BCF" w:rsidRDefault="00D270D8" w:rsidP="00D270D8">
            <w:pPr>
              <w:pStyle w:val="TableHeading"/>
              <w:rPr>
                <w:rFonts w:asciiTheme="minorHAnsi" w:hAnsiTheme="minorHAnsi"/>
              </w:rPr>
            </w:pPr>
          </w:p>
        </w:tc>
        <w:tc>
          <w:tcPr>
            <w:tcW w:w="0" w:type="auto"/>
            <w:vMerge/>
            <w:shd w:val="clear" w:color="auto" w:fill="FFFFFF" w:themeFill="background1"/>
            <w:vAlign w:val="center"/>
          </w:tcPr>
          <w:p w14:paraId="792A7F4D" w14:textId="77777777" w:rsidR="00D270D8" w:rsidRPr="000D4BCF" w:rsidRDefault="00D270D8" w:rsidP="00D270D8">
            <w:pPr>
              <w:pStyle w:val="TableHeading"/>
              <w:rPr>
                <w:rFonts w:asciiTheme="minorHAnsi" w:hAnsiTheme="minorHAnsi"/>
              </w:rPr>
            </w:pPr>
          </w:p>
        </w:tc>
        <w:tc>
          <w:tcPr>
            <w:tcW w:w="0" w:type="auto"/>
            <w:shd w:val="clear" w:color="auto" w:fill="FFFFFF" w:themeFill="background1"/>
            <w:hideMark/>
          </w:tcPr>
          <w:p w14:paraId="6E62A3A8" w14:textId="77777777" w:rsidR="00D270D8" w:rsidRPr="00463324" w:rsidRDefault="00D270D8" w:rsidP="00463324">
            <w:pPr>
              <w:pStyle w:val="TableHeading"/>
            </w:pPr>
            <w:r w:rsidRPr="00463324">
              <w:t>Flow/volume</w:t>
            </w:r>
          </w:p>
        </w:tc>
        <w:tc>
          <w:tcPr>
            <w:tcW w:w="0" w:type="auto"/>
            <w:shd w:val="clear" w:color="auto" w:fill="FFFFFF" w:themeFill="background1"/>
            <w:hideMark/>
          </w:tcPr>
          <w:p w14:paraId="592D5971" w14:textId="77777777" w:rsidR="00D270D8" w:rsidRPr="00463324" w:rsidRDefault="00D270D8" w:rsidP="00463324">
            <w:pPr>
              <w:pStyle w:val="TableHeading"/>
            </w:pPr>
            <w:r w:rsidRPr="00463324">
              <w:t>Required frequency (maximum dry interval)</w:t>
            </w:r>
          </w:p>
        </w:tc>
        <w:tc>
          <w:tcPr>
            <w:tcW w:w="8903" w:type="dxa"/>
            <w:vMerge/>
            <w:shd w:val="clear" w:color="auto" w:fill="FFFFFF" w:themeFill="background1"/>
            <w:hideMark/>
          </w:tcPr>
          <w:p w14:paraId="3BCD362B" w14:textId="77777777" w:rsidR="00D270D8" w:rsidRPr="000D4BCF" w:rsidRDefault="00D270D8" w:rsidP="00D270D8">
            <w:pPr>
              <w:pStyle w:val="TableHeading"/>
              <w:rPr>
                <w:rFonts w:asciiTheme="minorHAnsi" w:hAnsiTheme="minorHAnsi"/>
              </w:rPr>
            </w:pPr>
          </w:p>
        </w:tc>
        <w:tc>
          <w:tcPr>
            <w:tcW w:w="1814" w:type="dxa"/>
            <w:vMerge/>
            <w:shd w:val="clear" w:color="auto" w:fill="FFFFFF" w:themeFill="background1"/>
          </w:tcPr>
          <w:p w14:paraId="7286FABF" w14:textId="55C43947" w:rsidR="00D270D8" w:rsidRPr="000D4BCF" w:rsidRDefault="00D270D8" w:rsidP="00D270D8">
            <w:pPr>
              <w:pStyle w:val="TableHeading"/>
              <w:rPr>
                <w:rFonts w:asciiTheme="minorHAnsi" w:hAnsiTheme="minorHAnsi"/>
              </w:rPr>
            </w:pPr>
          </w:p>
        </w:tc>
      </w:tr>
      <w:tr w:rsidR="00321C6C" w:rsidRPr="008C3972" w14:paraId="0CF46AD8" w14:textId="77777777" w:rsidTr="00FB7C79">
        <w:trPr>
          <w:trHeight w:val="638"/>
        </w:trPr>
        <w:tc>
          <w:tcPr>
            <w:tcW w:w="0" w:type="auto"/>
            <w:vMerge w:val="restart"/>
            <w:shd w:val="clear" w:color="auto" w:fill="auto"/>
          </w:tcPr>
          <w:p w14:paraId="400A72C0" w14:textId="77777777" w:rsidR="00321C6C" w:rsidRPr="00B23775" w:rsidRDefault="00321C6C" w:rsidP="00B23775">
            <w:pPr>
              <w:pStyle w:val="TableText"/>
            </w:pPr>
            <w:r w:rsidRPr="00B23775">
              <w:t xml:space="preserve">Moonie River (at </w:t>
            </w:r>
            <w:proofErr w:type="spellStart"/>
            <w:r w:rsidRPr="00B23775">
              <w:t>Gundablouie</w:t>
            </w:r>
            <w:proofErr w:type="spellEnd"/>
            <w:r w:rsidRPr="00B23775">
              <w:t xml:space="preserve">) </w:t>
            </w:r>
          </w:p>
        </w:tc>
        <w:tc>
          <w:tcPr>
            <w:tcW w:w="0" w:type="auto"/>
            <w:vMerge w:val="restart"/>
          </w:tcPr>
          <w:p w14:paraId="6BE10564" w14:textId="77777777" w:rsidR="00321C6C" w:rsidRPr="00B23775" w:rsidRDefault="00321C6C" w:rsidP="00B23775">
            <w:pPr>
              <w:pStyle w:val="TableText"/>
            </w:pPr>
            <w:r w:rsidRPr="00B23775">
              <w:t>Native fish dispersal and condition</w:t>
            </w:r>
          </w:p>
          <w:p w14:paraId="3298BEC5" w14:textId="77777777" w:rsidR="00321C6C" w:rsidRPr="00B23775" w:rsidRDefault="00321C6C" w:rsidP="00B23775">
            <w:pPr>
              <w:pStyle w:val="TableText"/>
            </w:pPr>
            <w:r w:rsidRPr="00B23775">
              <w:t>Native fish spawning and recruitment</w:t>
            </w:r>
          </w:p>
          <w:p w14:paraId="28DB65B5" w14:textId="77777777" w:rsidR="00321C6C" w:rsidRPr="00B23775" w:rsidRDefault="00321C6C" w:rsidP="00B23775">
            <w:pPr>
              <w:pStyle w:val="TableText"/>
            </w:pPr>
            <w:r w:rsidRPr="00B23775">
              <w:t>Native vegetation</w:t>
            </w:r>
          </w:p>
          <w:p w14:paraId="4DA69B18" w14:textId="6848B9E9" w:rsidR="00321C6C" w:rsidRPr="00B23775" w:rsidRDefault="00321C6C" w:rsidP="00B23775">
            <w:pPr>
              <w:pStyle w:val="TableText"/>
            </w:pPr>
            <w:r w:rsidRPr="00B23775">
              <w:t>Aquatic ecosystem function</w:t>
            </w:r>
          </w:p>
        </w:tc>
        <w:tc>
          <w:tcPr>
            <w:tcW w:w="0" w:type="auto"/>
            <w:shd w:val="clear" w:color="auto" w:fill="auto"/>
          </w:tcPr>
          <w:p w14:paraId="0B98B772" w14:textId="77777777" w:rsidR="00321C6C" w:rsidRPr="00B23775" w:rsidRDefault="00321C6C" w:rsidP="00B23775">
            <w:pPr>
              <w:pStyle w:val="TableText"/>
            </w:pPr>
            <w:r w:rsidRPr="00B23775">
              <w:t>Very low flow (VLF) (&gt;30 ML/day) Timing in line with natural (anytime).</w:t>
            </w:r>
          </w:p>
          <w:p w14:paraId="7CC24E14" w14:textId="77777777" w:rsidR="00321C6C" w:rsidRPr="00B23775" w:rsidRDefault="00321C6C" w:rsidP="00B23775">
            <w:pPr>
              <w:pStyle w:val="TableText"/>
            </w:pPr>
            <w:r w:rsidRPr="00B23775">
              <w:t xml:space="preserve">Minimum duration: </w:t>
            </w:r>
            <w:proofErr w:type="gramStart"/>
            <w:r w:rsidRPr="00B23775">
              <w:t>typically</w:t>
            </w:r>
            <w:proofErr w:type="gramEnd"/>
            <w:r w:rsidRPr="00B23775">
              <w:t xml:space="preserve"> 60 days/year exceed VLF threshold but not less than nine days/yr.</w:t>
            </w:r>
          </w:p>
        </w:tc>
        <w:tc>
          <w:tcPr>
            <w:tcW w:w="0" w:type="auto"/>
            <w:shd w:val="clear" w:color="auto" w:fill="auto"/>
          </w:tcPr>
          <w:p w14:paraId="453A41E9" w14:textId="77777777" w:rsidR="00321C6C" w:rsidRPr="00B23775" w:rsidRDefault="00321C6C" w:rsidP="00B23775">
            <w:pPr>
              <w:pStyle w:val="TableText"/>
            </w:pPr>
            <w:r w:rsidRPr="00B23775">
              <w:t>At least 96% of years.</w:t>
            </w:r>
          </w:p>
          <w:p w14:paraId="66FF702B" w14:textId="77777777" w:rsidR="00321C6C" w:rsidRPr="00B23775" w:rsidRDefault="00321C6C" w:rsidP="00B23775">
            <w:pPr>
              <w:pStyle w:val="TableText"/>
            </w:pPr>
            <w:r w:rsidRPr="00B23775">
              <w:t>(Max. interval 70 days (but not more than 283 days))</w:t>
            </w:r>
          </w:p>
        </w:tc>
        <w:tc>
          <w:tcPr>
            <w:tcW w:w="8903" w:type="dxa"/>
            <w:shd w:val="clear" w:color="auto" w:fill="auto"/>
          </w:tcPr>
          <w:p w14:paraId="707F0A5E" w14:textId="693AEFCC" w:rsidR="00321C6C" w:rsidRPr="00B23775" w:rsidRDefault="00321C6C" w:rsidP="00B23775">
            <w:pPr>
              <w:pStyle w:val="TableText"/>
            </w:pPr>
            <w:r w:rsidRPr="00B23775">
              <w:t xml:space="preserve">Met in all years since 2010–11 excluding 2018–19. Required annually therefore a high demand for water in 2021–22, remaining high in 2022–23 if watering occurs. </w:t>
            </w:r>
          </w:p>
        </w:tc>
        <w:tc>
          <w:tcPr>
            <w:tcW w:w="1814" w:type="dxa"/>
            <w:shd w:val="clear" w:color="auto" w:fill="E5B8B7" w:themeFill="accent2" w:themeFillTint="66"/>
            <w:vAlign w:val="center"/>
          </w:tcPr>
          <w:p w14:paraId="3C790133" w14:textId="56FA936E" w:rsidR="00321C6C" w:rsidRPr="00321C6C" w:rsidRDefault="00321C6C" w:rsidP="007704D9">
            <w:pPr>
              <w:pStyle w:val="TableText"/>
              <w:jc w:val="center"/>
            </w:pPr>
            <w:r w:rsidRPr="00321C6C">
              <w:t>High</w:t>
            </w:r>
          </w:p>
        </w:tc>
      </w:tr>
      <w:tr w:rsidR="00321C6C" w:rsidRPr="008C3972" w14:paraId="460CD688" w14:textId="77777777" w:rsidTr="00FB7C79">
        <w:trPr>
          <w:trHeight w:val="636"/>
        </w:trPr>
        <w:tc>
          <w:tcPr>
            <w:tcW w:w="0" w:type="auto"/>
            <w:vMerge/>
            <w:shd w:val="clear" w:color="auto" w:fill="auto"/>
          </w:tcPr>
          <w:p w14:paraId="17B38D21" w14:textId="77777777" w:rsidR="00321C6C" w:rsidRPr="00B23775" w:rsidRDefault="00321C6C" w:rsidP="00B23775">
            <w:pPr>
              <w:pStyle w:val="TableText"/>
            </w:pPr>
          </w:p>
        </w:tc>
        <w:tc>
          <w:tcPr>
            <w:tcW w:w="0" w:type="auto"/>
            <w:vMerge/>
          </w:tcPr>
          <w:p w14:paraId="5E39E85A" w14:textId="77777777" w:rsidR="00321C6C" w:rsidRPr="00B23775" w:rsidRDefault="00321C6C" w:rsidP="00B23775">
            <w:pPr>
              <w:pStyle w:val="TableText"/>
            </w:pPr>
          </w:p>
        </w:tc>
        <w:tc>
          <w:tcPr>
            <w:tcW w:w="0" w:type="auto"/>
            <w:shd w:val="clear" w:color="auto" w:fill="auto"/>
          </w:tcPr>
          <w:p w14:paraId="6E93BBD4" w14:textId="68BB5925" w:rsidR="00321C6C" w:rsidRPr="00B23775" w:rsidRDefault="00321C6C" w:rsidP="00B23775">
            <w:pPr>
              <w:pStyle w:val="TableText"/>
            </w:pPr>
            <w:r w:rsidRPr="00B23775">
              <w:t>Small fresh 1: &gt;300 ML/day any time (ideally October to April). Minimum duration ten days</w:t>
            </w:r>
          </w:p>
        </w:tc>
        <w:tc>
          <w:tcPr>
            <w:tcW w:w="0" w:type="auto"/>
            <w:shd w:val="clear" w:color="auto" w:fill="auto"/>
          </w:tcPr>
          <w:p w14:paraId="3499ACE0" w14:textId="77777777" w:rsidR="00321C6C" w:rsidRPr="00B23775" w:rsidRDefault="00321C6C" w:rsidP="00B23775">
            <w:pPr>
              <w:pStyle w:val="TableText"/>
            </w:pPr>
            <w:r w:rsidRPr="00B23775">
              <w:t>3 to 8 years in 10 (55%).</w:t>
            </w:r>
          </w:p>
          <w:p w14:paraId="0689E6C5" w14:textId="77777777" w:rsidR="00321C6C" w:rsidRPr="00B23775" w:rsidRDefault="00321C6C" w:rsidP="00B23775">
            <w:pPr>
              <w:pStyle w:val="TableText"/>
            </w:pPr>
            <w:r w:rsidRPr="00B23775">
              <w:t>(Max. interval four and a half years)</w:t>
            </w:r>
          </w:p>
        </w:tc>
        <w:tc>
          <w:tcPr>
            <w:tcW w:w="8903" w:type="dxa"/>
            <w:shd w:val="clear" w:color="auto" w:fill="auto"/>
          </w:tcPr>
          <w:p w14:paraId="7366BB6D" w14:textId="09469CD9" w:rsidR="00321C6C" w:rsidRPr="00B23775" w:rsidRDefault="00321C6C" w:rsidP="00B23775">
            <w:pPr>
              <w:pStyle w:val="TableText"/>
            </w:pPr>
            <w:r w:rsidRPr="00B23775">
              <w:t xml:space="preserve">Met or partially met in seven of the last ten years, including in 2019–20 and 2020-21. Low environmental demand in 2021–22, remaining low in 2022–23 if watering occurs. </w:t>
            </w:r>
          </w:p>
        </w:tc>
        <w:tc>
          <w:tcPr>
            <w:tcW w:w="1814" w:type="dxa"/>
            <w:shd w:val="clear" w:color="auto" w:fill="DEF0C2"/>
            <w:vAlign w:val="center"/>
          </w:tcPr>
          <w:p w14:paraId="378F057D" w14:textId="360FDCC9" w:rsidR="00321C6C" w:rsidRPr="00321C6C" w:rsidRDefault="00321C6C" w:rsidP="007704D9">
            <w:pPr>
              <w:pStyle w:val="TableText"/>
              <w:jc w:val="center"/>
            </w:pPr>
            <w:r w:rsidRPr="00321C6C">
              <w:t>Low</w:t>
            </w:r>
          </w:p>
        </w:tc>
      </w:tr>
      <w:tr w:rsidR="00321C6C" w:rsidRPr="008C3972" w14:paraId="70EEA42C" w14:textId="77777777" w:rsidTr="00FB7C79">
        <w:trPr>
          <w:trHeight w:val="636"/>
        </w:trPr>
        <w:tc>
          <w:tcPr>
            <w:tcW w:w="0" w:type="auto"/>
            <w:vMerge/>
            <w:shd w:val="clear" w:color="auto" w:fill="auto"/>
          </w:tcPr>
          <w:p w14:paraId="758F0741" w14:textId="77777777" w:rsidR="00321C6C" w:rsidRPr="00B23775" w:rsidRDefault="00321C6C" w:rsidP="00B23775">
            <w:pPr>
              <w:pStyle w:val="TableText"/>
            </w:pPr>
          </w:p>
        </w:tc>
        <w:tc>
          <w:tcPr>
            <w:tcW w:w="0" w:type="auto"/>
            <w:vMerge/>
          </w:tcPr>
          <w:p w14:paraId="0B163F61" w14:textId="77777777" w:rsidR="00321C6C" w:rsidRPr="00B23775" w:rsidRDefault="00321C6C" w:rsidP="00B23775">
            <w:pPr>
              <w:pStyle w:val="TableText"/>
            </w:pPr>
          </w:p>
        </w:tc>
        <w:tc>
          <w:tcPr>
            <w:tcW w:w="0" w:type="auto"/>
            <w:shd w:val="clear" w:color="auto" w:fill="auto"/>
          </w:tcPr>
          <w:p w14:paraId="6F8A1BF7" w14:textId="7657DC72" w:rsidR="00321C6C" w:rsidRPr="00B23775" w:rsidRDefault="00321C6C" w:rsidP="00B23775">
            <w:pPr>
              <w:pStyle w:val="TableText"/>
            </w:pPr>
            <w:r w:rsidRPr="00B23775">
              <w:t>Small fresh 2: &gt;314 ML/day (September to April) Minimum duration 14 days</w:t>
            </w:r>
          </w:p>
        </w:tc>
        <w:tc>
          <w:tcPr>
            <w:tcW w:w="0" w:type="auto"/>
            <w:shd w:val="clear" w:color="auto" w:fill="auto"/>
          </w:tcPr>
          <w:p w14:paraId="205FC79F" w14:textId="77777777" w:rsidR="00321C6C" w:rsidRPr="00B23775" w:rsidRDefault="00321C6C" w:rsidP="00B23775">
            <w:pPr>
              <w:pStyle w:val="TableText"/>
            </w:pPr>
            <w:r w:rsidRPr="00B23775">
              <w:t>1 to 5 years in 10 (30%)</w:t>
            </w:r>
          </w:p>
          <w:p w14:paraId="1579E007" w14:textId="77777777" w:rsidR="00321C6C" w:rsidRPr="00B23775" w:rsidRDefault="00321C6C" w:rsidP="00B23775">
            <w:pPr>
              <w:pStyle w:val="TableText"/>
            </w:pPr>
            <w:r w:rsidRPr="00B23775">
              <w:t>(Max. interval seven years)</w:t>
            </w:r>
          </w:p>
        </w:tc>
        <w:tc>
          <w:tcPr>
            <w:tcW w:w="8903" w:type="dxa"/>
            <w:shd w:val="clear" w:color="auto" w:fill="auto"/>
          </w:tcPr>
          <w:p w14:paraId="7F942808" w14:textId="7E641D04" w:rsidR="00321C6C" w:rsidRPr="00B23775" w:rsidRDefault="00321C6C" w:rsidP="00B23775">
            <w:pPr>
              <w:pStyle w:val="TableText"/>
            </w:pPr>
            <w:r w:rsidRPr="00B23775">
              <w:t xml:space="preserve">Met or partially met in six of the last 10 years, including in 2019–20 and 2020–21. Low environmental demand in 2021–22, remaining low in 2022–23 if watering occurs. </w:t>
            </w:r>
          </w:p>
        </w:tc>
        <w:tc>
          <w:tcPr>
            <w:tcW w:w="1814" w:type="dxa"/>
            <w:shd w:val="clear" w:color="auto" w:fill="DEF0C2"/>
            <w:vAlign w:val="center"/>
          </w:tcPr>
          <w:p w14:paraId="678A4895" w14:textId="76ED7887" w:rsidR="00321C6C" w:rsidRPr="00321C6C" w:rsidRDefault="00321C6C" w:rsidP="007704D9">
            <w:pPr>
              <w:pStyle w:val="TableText"/>
              <w:jc w:val="center"/>
            </w:pPr>
            <w:r w:rsidRPr="00321C6C">
              <w:t>Low</w:t>
            </w:r>
          </w:p>
        </w:tc>
      </w:tr>
      <w:tr w:rsidR="00321C6C" w:rsidRPr="008C3972" w14:paraId="250502A0" w14:textId="77777777" w:rsidTr="00FB7C79">
        <w:trPr>
          <w:trHeight w:val="636"/>
        </w:trPr>
        <w:tc>
          <w:tcPr>
            <w:tcW w:w="0" w:type="auto"/>
            <w:vMerge/>
            <w:shd w:val="clear" w:color="auto" w:fill="auto"/>
          </w:tcPr>
          <w:p w14:paraId="0E1D2958" w14:textId="77777777" w:rsidR="00321C6C" w:rsidRPr="00B23775" w:rsidRDefault="00321C6C" w:rsidP="00B23775">
            <w:pPr>
              <w:pStyle w:val="TableText"/>
            </w:pPr>
          </w:p>
        </w:tc>
        <w:tc>
          <w:tcPr>
            <w:tcW w:w="0" w:type="auto"/>
            <w:vMerge/>
          </w:tcPr>
          <w:p w14:paraId="0FC7C41A" w14:textId="77777777" w:rsidR="00321C6C" w:rsidRPr="00B23775" w:rsidRDefault="00321C6C" w:rsidP="00B23775">
            <w:pPr>
              <w:pStyle w:val="TableText"/>
            </w:pPr>
          </w:p>
        </w:tc>
        <w:tc>
          <w:tcPr>
            <w:tcW w:w="0" w:type="auto"/>
            <w:shd w:val="clear" w:color="auto" w:fill="auto"/>
          </w:tcPr>
          <w:p w14:paraId="7DBAD695" w14:textId="23B0F2DC" w:rsidR="00321C6C" w:rsidRPr="00B23775" w:rsidRDefault="00321C6C" w:rsidP="00B23775">
            <w:pPr>
              <w:pStyle w:val="TableText"/>
            </w:pPr>
            <w:r w:rsidRPr="00B23775">
              <w:t>Large fresh 1: &gt;3,900 ML/day (any time) duration five days</w:t>
            </w:r>
          </w:p>
        </w:tc>
        <w:tc>
          <w:tcPr>
            <w:tcW w:w="0" w:type="auto"/>
            <w:shd w:val="clear" w:color="auto" w:fill="auto"/>
          </w:tcPr>
          <w:p w14:paraId="03C71ABA" w14:textId="77777777" w:rsidR="00321C6C" w:rsidRPr="00B23775" w:rsidRDefault="00321C6C" w:rsidP="00B23775">
            <w:pPr>
              <w:pStyle w:val="TableText"/>
            </w:pPr>
            <w:r w:rsidRPr="00B23775">
              <w:t>2 to 6 years in 10 (45%).</w:t>
            </w:r>
          </w:p>
          <w:p w14:paraId="08590A25" w14:textId="77777777" w:rsidR="00321C6C" w:rsidRPr="00B23775" w:rsidRDefault="00321C6C" w:rsidP="00B23775">
            <w:pPr>
              <w:pStyle w:val="TableText"/>
            </w:pPr>
            <w:r w:rsidRPr="00B23775">
              <w:t>(Max. interval 6.5 years)</w:t>
            </w:r>
          </w:p>
        </w:tc>
        <w:tc>
          <w:tcPr>
            <w:tcW w:w="8903" w:type="dxa"/>
            <w:shd w:val="clear" w:color="auto" w:fill="auto"/>
          </w:tcPr>
          <w:p w14:paraId="5AE6E63C" w14:textId="6DBA7B49" w:rsidR="00321C6C" w:rsidRPr="00B23775" w:rsidRDefault="00321C6C" w:rsidP="00B23775">
            <w:pPr>
              <w:pStyle w:val="TableText"/>
            </w:pPr>
            <w:r w:rsidRPr="00B23775">
              <w:t xml:space="preserve">Met or partially met in six of the last 10 years, including being partially met in 2019-20 and fully met in 2020–21. Low environmental demand in 2021–22, remaining low in 2022–23 if watering occurs. </w:t>
            </w:r>
          </w:p>
        </w:tc>
        <w:tc>
          <w:tcPr>
            <w:tcW w:w="1814" w:type="dxa"/>
            <w:shd w:val="clear" w:color="auto" w:fill="DEF0C2"/>
            <w:vAlign w:val="center"/>
          </w:tcPr>
          <w:p w14:paraId="7F6728A6" w14:textId="10E1C491" w:rsidR="00321C6C" w:rsidRPr="00321C6C" w:rsidRDefault="00321C6C" w:rsidP="007704D9">
            <w:pPr>
              <w:pStyle w:val="TableText"/>
              <w:jc w:val="center"/>
            </w:pPr>
            <w:r w:rsidRPr="00321C6C">
              <w:t>Low</w:t>
            </w:r>
          </w:p>
        </w:tc>
      </w:tr>
      <w:tr w:rsidR="00321C6C" w:rsidRPr="008C3972" w14:paraId="34A00B67" w14:textId="77777777" w:rsidTr="00FB7C79">
        <w:trPr>
          <w:trHeight w:val="636"/>
        </w:trPr>
        <w:tc>
          <w:tcPr>
            <w:tcW w:w="0" w:type="auto"/>
            <w:vMerge/>
            <w:shd w:val="clear" w:color="auto" w:fill="auto"/>
          </w:tcPr>
          <w:p w14:paraId="4C427696" w14:textId="77777777" w:rsidR="00321C6C" w:rsidRPr="00B23775" w:rsidRDefault="00321C6C" w:rsidP="00B23775">
            <w:pPr>
              <w:pStyle w:val="TableText"/>
            </w:pPr>
          </w:p>
        </w:tc>
        <w:tc>
          <w:tcPr>
            <w:tcW w:w="0" w:type="auto"/>
            <w:vMerge/>
          </w:tcPr>
          <w:p w14:paraId="2CCC36C1" w14:textId="77777777" w:rsidR="00321C6C" w:rsidRPr="00B23775" w:rsidRDefault="00321C6C" w:rsidP="00B23775">
            <w:pPr>
              <w:pStyle w:val="TableText"/>
            </w:pPr>
          </w:p>
        </w:tc>
        <w:tc>
          <w:tcPr>
            <w:tcW w:w="0" w:type="auto"/>
            <w:shd w:val="clear" w:color="auto" w:fill="auto"/>
          </w:tcPr>
          <w:p w14:paraId="315D50EC" w14:textId="768080FE" w:rsidR="00321C6C" w:rsidRPr="00B23775" w:rsidRDefault="00321C6C" w:rsidP="00B23775">
            <w:pPr>
              <w:pStyle w:val="TableText"/>
            </w:pPr>
            <w:r w:rsidRPr="00B23775">
              <w:t>Large fresh 2: &gt;3,900 ML/day (October to April) duration five days.</w:t>
            </w:r>
          </w:p>
        </w:tc>
        <w:tc>
          <w:tcPr>
            <w:tcW w:w="0" w:type="auto"/>
            <w:shd w:val="clear" w:color="auto" w:fill="auto"/>
          </w:tcPr>
          <w:p w14:paraId="63F63A29" w14:textId="77777777" w:rsidR="00321C6C" w:rsidRPr="00B23775" w:rsidRDefault="00321C6C" w:rsidP="00B23775">
            <w:pPr>
              <w:pStyle w:val="TableText"/>
            </w:pPr>
            <w:r w:rsidRPr="00B23775">
              <w:t>2 to 5 years in 10 (35%) (Max interval 6.5 years)</w:t>
            </w:r>
          </w:p>
          <w:p w14:paraId="78221B38" w14:textId="77777777" w:rsidR="00321C6C" w:rsidRPr="00B23775" w:rsidRDefault="00321C6C" w:rsidP="00B23775">
            <w:pPr>
              <w:pStyle w:val="TableText"/>
            </w:pPr>
          </w:p>
        </w:tc>
        <w:tc>
          <w:tcPr>
            <w:tcW w:w="8903" w:type="dxa"/>
            <w:shd w:val="clear" w:color="auto" w:fill="auto"/>
          </w:tcPr>
          <w:p w14:paraId="4F7B3BDD" w14:textId="3A18B813" w:rsidR="00321C6C" w:rsidRPr="00B23775" w:rsidRDefault="00321C6C" w:rsidP="00B23775">
            <w:pPr>
              <w:pStyle w:val="TableText"/>
            </w:pPr>
            <w:r w:rsidRPr="00B23775">
              <w:t xml:space="preserve">Met or partially met in six of the past 10 years, including being partially met in 2019–20 and met in 2020–21. Low environmental demand in 2021–22, remaining low in 2022–23 if watering occurs. </w:t>
            </w:r>
          </w:p>
        </w:tc>
        <w:tc>
          <w:tcPr>
            <w:tcW w:w="1814" w:type="dxa"/>
            <w:shd w:val="clear" w:color="auto" w:fill="DEF0C2"/>
            <w:vAlign w:val="center"/>
          </w:tcPr>
          <w:p w14:paraId="64E42613" w14:textId="7CC93659" w:rsidR="00321C6C" w:rsidRPr="00321C6C" w:rsidRDefault="00321C6C" w:rsidP="007704D9">
            <w:pPr>
              <w:pStyle w:val="TableText"/>
              <w:jc w:val="center"/>
            </w:pPr>
            <w:r w:rsidRPr="00321C6C">
              <w:t>Low</w:t>
            </w:r>
          </w:p>
        </w:tc>
      </w:tr>
      <w:tr w:rsidR="00321C6C" w:rsidRPr="008C3972" w14:paraId="64CD244B" w14:textId="77777777" w:rsidTr="00FB7C79">
        <w:trPr>
          <w:trHeight w:val="636"/>
        </w:trPr>
        <w:tc>
          <w:tcPr>
            <w:tcW w:w="0" w:type="auto"/>
            <w:vMerge/>
            <w:shd w:val="clear" w:color="auto" w:fill="auto"/>
          </w:tcPr>
          <w:p w14:paraId="7AE2379F" w14:textId="77777777" w:rsidR="00321C6C" w:rsidRPr="00B23775" w:rsidRDefault="00321C6C" w:rsidP="00B23775">
            <w:pPr>
              <w:pStyle w:val="TableText"/>
            </w:pPr>
          </w:p>
        </w:tc>
        <w:tc>
          <w:tcPr>
            <w:tcW w:w="0" w:type="auto"/>
            <w:vMerge/>
          </w:tcPr>
          <w:p w14:paraId="537CBA5C" w14:textId="77777777" w:rsidR="00321C6C" w:rsidRPr="00B23775" w:rsidRDefault="00321C6C" w:rsidP="00B23775">
            <w:pPr>
              <w:pStyle w:val="TableText"/>
            </w:pPr>
          </w:p>
        </w:tc>
        <w:tc>
          <w:tcPr>
            <w:tcW w:w="0" w:type="auto"/>
            <w:shd w:val="clear" w:color="auto" w:fill="auto"/>
          </w:tcPr>
          <w:p w14:paraId="73062EF7" w14:textId="566195B2" w:rsidR="00321C6C" w:rsidRPr="00B23775" w:rsidRDefault="00321C6C" w:rsidP="00B23775">
            <w:pPr>
              <w:pStyle w:val="TableText"/>
            </w:pPr>
            <w:r w:rsidRPr="00B23775">
              <w:t>Large fresh 3: 5,100–18,800 ML/day (any time) duration three days</w:t>
            </w:r>
          </w:p>
        </w:tc>
        <w:tc>
          <w:tcPr>
            <w:tcW w:w="0" w:type="auto"/>
            <w:shd w:val="clear" w:color="auto" w:fill="auto"/>
          </w:tcPr>
          <w:p w14:paraId="4F44A7E0" w14:textId="77777777" w:rsidR="00321C6C" w:rsidRPr="00B23775" w:rsidRDefault="00321C6C" w:rsidP="00B23775">
            <w:pPr>
              <w:pStyle w:val="TableText"/>
            </w:pPr>
            <w:r w:rsidRPr="00B23775">
              <w:t>2 to 7 years in 10 (45%).</w:t>
            </w:r>
          </w:p>
          <w:p w14:paraId="17E916D1" w14:textId="77777777" w:rsidR="00321C6C" w:rsidRPr="00B23775" w:rsidRDefault="00321C6C" w:rsidP="00B23775">
            <w:pPr>
              <w:pStyle w:val="TableText"/>
            </w:pPr>
            <w:r w:rsidRPr="00B23775">
              <w:t>(Max. interval 5 years)</w:t>
            </w:r>
          </w:p>
        </w:tc>
        <w:tc>
          <w:tcPr>
            <w:tcW w:w="8903" w:type="dxa"/>
            <w:shd w:val="clear" w:color="auto" w:fill="auto"/>
          </w:tcPr>
          <w:p w14:paraId="641D0C9E" w14:textId="6A7DC1B3" w:rsidR="00321C6C" w:rsidRPr="00B23775" w:rsidRDefault="00321C6C" w:rsidP="00B23775">
            <w:pPr>
              <w:pStyle w:val="TableText"/>
            </w:pPr>
            <w:r w:rsidRPr="00B23775">
              <w:t xml:space="preserve">Met or partially met in five of the last 10 years, including in 2020–21. Moderate environmental demand in 2021–22, moving to low in 2022–23 if watering occurs. </w:t>
            </w:r>
          </w:p>
        </w:tc>
        <w:tc>
          <w:tcPr>
            <w:tcW w:w="1814" w:type="dxa"/>
            <w:shd w:val="clear" w:color="auto" w:fill="FDF4C7"/>
            <w:vAlign w:val="center"/>
          </w:tcPr>
          <w:p w14:paraId="5C322811" w14:textId="4A803A2C" w:rsidR="00321C6C" w:rsidRPr="00321C6C" w:rsidRDefault="00321C6C" w:rsidP="007704D9">
            <w:pPr>
              <w:pStyle w:val="TableText"/>
              <w:jc w:val="center"/>
            </w:pPr>
            <w:r w:rsidRPr="00321C6C">
              <w:t>Moderate</w:t>
            </w:r>
          </w:p>
        </w:tc>
      </w:tr>
      <w:tr w:rsidR="00321C6C" w:rsidRPr="008C3972" w14:paraId="4C9109F4" w14:textId="77777777" w:rsidTr="00FB7C79">
        <w:trPr>
          <w:trHeight w:val="636"/>
        </w:trPr>
        <w:tc>
          <w:tcPr>
            <w:tcW w:w="0" w:type="auto"/>
            <w:vMerge/>
            <w:shd w:val="clear" w:color="auto" w:fill="auto"/>
          </w:tcPr>
          <w:p w14:paraId="2CF64D8E" w14:textId="77777777" w:rsidR="00321C6C" w:rsidRPr="00B23775" w:rsidRDefault="00321C6C" w:rsidP="00B23775">
            <w:pPr>
              <w:pStyle w:val="TableText"/>
            </w:pPr>
          </w:p>
        </w:tc>
        <w:tc>
          <w:tcPr>
            <w:tcW w:w="0" w:type="auto"/>
            <w:vMerge/>
          </w:tcPr>
          <w:p w14:paraId="000A012E" w14:textId="77777777" w:rsidR="00321C6C" w:rsidRPr="00B23775" w:rsidRDefault="00321C6C" w:rsidP="00B23775">
            <w:pPr>
              <w:pStyle w:val="TableText"/>
            </w:pPr>
          </w:p>
        </w:tc>
        <w:tc>
          <w:tcPr>
            <w:tcW w:w="0" w:type="auto"/>
            <w:shd w:val="clear" w:color="auto" w:fill="auto"/>
          </w:tcPr>
          <w:p w14:paraId="1ADBE4DB" w14:textId="77777777" w:rsidR="00321C6C" w:rsidRPr="00B23775" w:rsidRDefault="00321C6C" w:rsidP="00B23775">
            <w:pPr>
              <w:pStyle w:val="TableText"/>
            </w:pPr>
            <w:r w:rsidRPr="00B23775">
              <w:t>Overbank: &gt;18,800 ML/day (any time) duration three days.</w:t>
            </w:r>
          </w:p>
        </w:tc>
        <w:tc>
          <w:tcPr>
            <w:tcW w:w="0" w:type="auto"/>
            <w:shd w:val="clear" w:color="auto" w:fill="auto"/>
          </w:tcPr>
          <w:p w14:paraId="00E7604F" w14:textId="77777777" w:rsidR="00321C6C" w:rsidRPr="00B23775" w:rsidRDefault="00321C6C" w:rsidP="00B23775">
            <w:pPr>
              <w:pStyle w:val="TableText"/>
            </w:pPr>
            <w:r w:rsidRPr="00B23775">
              <w:t>0 to 3 years in 10 (10%).</w:t>
            </w:r>
          </w:p>
          <w:p w14:paraId="47666109" w14:textId="77777777" w:rsidR="00321C6C" w:rsidRPr="00B23775" w:rsidRDefault="00321C6C" w:rsidP="00B23775">
            <w:pPr>
              <w:pStyle w:val="TableText"/>
            </w:pPr>
            <w:r w:rsidRPr="00B23775">
              <w:t>(Max. interval 20 years)</w:t>
            </w:r>
          </w:p>
        </w:tc>
        <w:tc>
          <w:tcPr>
            <w:tcW w:w="8903" w:type="dxa"/>
            <w:shd w:val="clear" w:color="auto" w:fill="auto"/>
          </w:tcPr>
          <w:p w14:paraId="3DA561CD" w14:textId="78420599" w:rsidR="00321C6C" w:rsidRPr="00B23775" w:rsidRDefault="00321C6C" w:rsidP="00B23775">
            <w:pPr>
              <w:pStyle w:val="TableText"/>
            </w:pPr>
            <w:r w:rsidRPr="00B23775">
              <w:t xml:space="preserve">Met in three years in the last 10 years, but not met since 2013–14. High environmental demand, moving to moderate in 2022–23 if watering occurs. </w:t>
            </w:r>
          </w:p>
        </w:tc>
        <w:tc>
          <w:tcPr>
            <w:tcW w:w="1814" w:type="dxa"/>
            <w:shd w:val="clear" w:color="auto" w:fill="E5B8B7" w:themeFill="accent2" w:themeFillTint="66"/>
            <w:vAlign w:val="center"/>
          </w:tcPr>
          <w:p w14:paraId="503D24AF" w14:textId="41C14019" w:rsidR="00321C6C" w:rsidRPr="00321C6C" w:rsidRDefault="00321C6C" w:rsidP="007704D9">
            <w:pPr>
              <w:pStyle w:val="TableText"/>
              <w:jc w:val="center"/>
            </w:pPr>
            <w:r w:rsidRPr="00321C6C">
              <w:t>High</w:t>
            </w:r>
          </w:p>
        </w:tc>
      </w:tr>
    </w:tbl>
    <w:p w14:paraId="7337BEB0" w14:textId="3706E049" w:rsidR="00CD0ABA" w:rsidRPr="00463324" w:rsidRDefault="00CD0ABA" w:rsidP="00EF5BB9">
      <w:pPr>
        <w:pStyle w:val="FigureTableNoteSource"/>
        <w:spacing w:after="0"/>
      </w:pPr>
      <w:r w:rsidRPr="00463324">
        <w:t xml:space="preserve">Note: All watering history sourced from NSW Department of Planning, Industry and Environment, </w:t>
      </w:r>
      <w:proofErr w:type="spellStart"/>
      <w:r w:rsidRPr="00463324">
        <w:t>WaterNSW</w:t>
      </w:r>
      <w:proofErr w:type="spellEnd"/>
      <w:r w:rsidRPr="00463324">
        <w:t xml:space="preserve"> Water Balance Reports, and data from the following gauge (</w:t>
      </w:r>
      <w:proofErr w:type="spellStart"/>
      <w:r w:rsidRPr="00463324">
        <w:t>WaterNSW</w:t>
      </w:r>
      <w:proofErr w:type="spellEnd"/>
      <w:r w:rsidRPr="00463324">
        <w:t xml:space="preserve"> 2021a): 417001 – Moonie River at </w:t>
      </w:r>
      <w:proofErr w:type="spellStart"/>
      <w:r w:rsidRPr="00463324">
        <w:t>Gundablouie</w:t>
      </w:r>
      <w:proofErr w:type="spellEnd"/>
      <w:r w:rsidRPr="00463324">
        <w:t>.</w:t>
      </w:r>
    </w:p>
    <w:p w14:paraId="2756CB57" w14:textId="77777777" w:rsidR="000837DA" w:rsidRPr="00463324" w:rsidRDefault="000837DA" w:rsidP="00EF5BB9">
      <w:pPr>
        <w:pStyle w:val="FigureTableNoteSource"/>
        <w:spacing w:after="0"/>
        <w:rPr>
          <w:rStyle w:val="Strong"/>
        </w:rPr>
      </w:pPr>
      <w:r w:rsidRPr="00463324">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0837DA" w14:paraId="329E563D" w14:textId="77777777" w:rsidTr="006842D3">
        <w:tc>
          <w:tcPr>
            <w:tcW w:w="5000" w:type="pct"/>
            <w:gridSpan w:val="2"/>
            <w:tcBorders>
              <w:top w:val="nil"/>
              <w:left w:val="nil"/>
              <w:bottom w:val="nil"/>
            </w:tcBorders>
            <w:shd w:val="clear" w:color="auto" w:fill="FFFFFF" w:themeFill="background1"/>
          </w:tcPr>
          <w:p w14:paraId="47C383A6" w14:textId="77777777" w:rsidR="000837DA" w:rsidRDefault="000837DA" w:rsidP="006842D3">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321C6C" w14:paraId="006E0731" w14:textId="77777777" w:rsidTr="00E247EF">
        <w:tc>
          <w:tcPr>
            <w:tcW w:w="1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F5F4151" w14:textId="77777777" w:rsidR="00321C6C" w:rsidRDefault="00321C6C" w:rsidP="00321C6C">
            <w:pPr>
              <w:pStyle w:val="TableText"/>
            </w:pPr>
          </w:p>
        </w:tc>
        <w:tc>
          <w:tcPr>
            <w:tcW w:w="4877" w:type="pct"/>
            <w:tcBorders>
              <w:top w:val="nil"/>
              <w:left w:val="single" w:sz="4" w:space="0" w:color="auto"/>
              <w:bottom w:val="nil"/>
            </w:tcBorders>
          </w:tcPr>
          <w:p w14:paraId="0459B47E" w14:textId="685878E9" w:rsidR="00321C6C" w:rsidRDefault="00321C6C" w:rsidP="00321C6C">
            <w:pPr>
              <w:pStyle w:val="TableText"/>
            </w:pPr>
            <w:r>
              <w:t>High to critical demand for water (needed in that particular year or urgent in that particular year to manage risk of irretrievable loss or damage)</w:t>
            </w:r>
          </w:p>
        </w:tc>
      </w:tr>
      <w:tr w:rsidR="00321C6C" w14:paraId="183F6B12" w14:textId="77777777" w:rsidTr="007C4C85">
        <w:tc>
          <w:tcPr>
            <w:tcW w:w="123" w:type="pct"/>
            <w:tcBorders>
              <w:top w:val="single" w:sz="4" w:space="0" w:color="auto"/>
              <w:left w:val="single" w:sz="4" w:space="0" w:color="auto"/>
              <w:bottom w:val="single" w:sz="4" w:space="0" w:color="auto"/>
              <w:right w:val="single" w:sz="4" w:space="0" w:color="auto"/>
            </w:tcBorders>
            <w:shd w:val="clear" w:color="auto" w:fill="FDF4C7"/>
          </w:tcPr>
          <w:p w14:paraId="181685DF" w14:textId="77777777" w:rsidR="00321C6C" w:rsidRDefault="00321C6C" w:rsidP="00321C6C">
            <w:pPr>
              <w:pStyle w:val="TableText"/>
            </w:pPr>
          </w:p>
        </w:tc>
        <w:tc>
          <w:tcPr>
            <w:tcW w:w="4877" w:type="pct"/>
            <w:tcBorders>
              <w:top w:val="nil"/>
              <w:left w:val="single" w:sz="4" w:space="0" w:color="auto"/>
              <w:bottom w:val="nil"/>
            </w:tcBorders>
          </w:tcPr>
          <w:p w14:paraId="331A6FCA" w14:textId="77777777" w:rsidR="00321C6C" w:rsidRDefault="00321C6C" w:rsidP="00321C6C">
            <w:pPr>
              <w:pStyle w:val="TableText"/>
            </w:pPr>
            <w:r>
              <w:t>Moderate demand for water (water needed in that particular year, the next year, or both)</w:t>
            </w:r>
          </w:p>
        </w:tc>
      </w:tr>
      <w:tr w:rsidR="00321C6C" w14:paraId="36AA1350" w14:textId="77777777" w:rsidTr="007C4C85">
        <w:tc>
          <w:tcPr>
            <w:tcW w:w="123" w:type="pct"/>
            <w:tcBorders>
              <w:top w:val="single" w:sz="4" w:space="0" w:color="auto"/>
              <w:left w:val="single" w:sz="4" w:space="0" w:color="auto"/>
              <w:bottom w:val="single" w:sz="4" w:space="0" w:color="auto"/>
              <w:right w:val="single" w:sz="4" w:space="0" w:color="auto"/>
            </w:tcBorders>
            <w:shd w:val="clear" w:color="auto" w:fill="DEF0C2"/>
          </w:tcPr>
          <w:p w14:paraId="53FB42BB" w14:textId="77777777" w:rsidR="00321C6C" w:rsidRDefault="00321C6C" w:rsidP="00321C6C">
            <w:pPr>
              <w:pStyle w:val="TableText"/>
            </w:pPr>
          </w:p>
        </w:tc>
        <w:tc>
          <w:tcPr>
            <w:tcW w:w="4877" w:type="pct"/>
            <w:tcBorders>
              <w:top w:val="nil"/>
              <w:left w:val="single" w:sz="4" w:space="0" w:color="auto"/>
              <w:bottom w:val="nil"/>
            </w:tcBorders>
          </w:tcPr>
          <w:p w14:paraId="693BD011" w14:textId="77777777" w:rsidR="00321C6C" w:rsidRDefault="00321C6C" w:rsidP="00321C6C">
            <w:pPr>
              <w:pStyle w:val="TableText"/>
            </w:pPr>
            <w:r>
              <w:t>Low demand for water (water generally not needed in that particular year)</w:t>
            </w:r>
          </w:p>
        </w:tc>
      </w:tr>
    </w:tbl>
    <w:p w14:paraId="59AA78CA" w14:textId="7772E9BA" w:rsidR="00CD0ABA" w:rsidRPr="00463324" w:rsidRDefault="00CA6A68" w:rsidP="00463324">
      <w:pPr>
        <w:pStyle w:val="Caption"/>
      </w:pPr>
      <w:bookmarkStart w:id="26" w:name="_Ref76107446"/>
      <w:bookmarkStart w:id="27" w:name="_Toc80294621"/>
      <w:r w:rsidRPr="00463324">
        <w:t>Table WMV</w:t>
      </w:r>
      <w:fldSimple w:instr=" SEQ Table_WMV \* ARABIC ">
        <w:r w:rsidR="0044215C">
          <w:rPr>
            <w:noProof/>
          </w:rPr>
          <w:t>2</w:t>
        </w:r>
      </w:fldSimple>
      <w:bookmarkEnd w:id="26"/>
      <w:r w:rsidRPr="00463324">
        <w:t xml:space="preserve"> </w:t>
      </w:r>
      <w:r w:rsidR="00CD0ABA" w:rsidRPr="00463324">
        <w:t xml:space="preserve">Environmental demands in 2021–22 for </w:t>
      </w:r>
      <w:r w:rsidR="008724FC" w:rsidRPr="00463324">
        <w:t>the</w:t>
      </w:r>
      <w:r w:rsidR="00CD0ABA" w:rsidRPr="00463324">
        <w:t xml:space="preserve"> Warrego Valley</w:t>
      </w:r>
      <w:bookmarkEnd w:id="21"/>
      <w:bookmarkEnd w:id="22"/>
      <w:bookmarkEnd w:id="23"/>
      <w:bookmarkEnd w:id="24"/>
      <w:bookmarkEnd w:id="27"/>
    </w:p>
    <w:tbl>
      <w:tblPr>
        <w:tblW w:w="5038" w:type="pct"/>
        <w:tblBorders>
          <w:top w:val="single" w:sz="4" w:space="0" w:color="auto"/>
          <w:bottom w:val="single" w:sz="4" w:space="0" w:color="auto"/>
          <w:insideH w:val="single" w:sz="4" w:space="0" w:color="auto"/>
        </w:tblBorders>
        <w:tblLook w:val="04A0" w:firstRow="1" w:lastRow="0" w:firstColumn="1" w:lastColumn="0" w:noHBand="0" w:noVBand="1"/>
        <w:tblCaption w:val="Table WMV2 Environmental demands, watering priorities in 2021–22 and outlook for coming year, Warrego Valley"/>
        <w:tblDescription w:val="Table showing environmental assets, targets values, indicative demands (for all sources of water in the system) (flow volume and requirements frequency (maximum dry interval), watering history (from all sources of water), environmental demands for water (all sources) in 2021-22. "/>
      </w:tblPr>
      <w:tblGrid>
        <w:gridCol w:w="1457"/>
        <w:gridCol w:w="1738"/>
        <w:gridCol w:w="3276"/>
        <w:gridCol w:w="1496"/>
        <w:gridCol w:w="12620"/>
        <w:gridCol w:w="1951"/>
      </w:tblGrid>
      <w:tr w:rsidR="00C376A6" w:rsidRPr="006424A3" w14:paraId="775192D2" w14:textId="31CF04CC" w:rsidTr="00FB7C79">
        <w:trPr>
          <w:trHeight w:val="60"/>
          <w:tblHeader/>
        </w:trPr>
        <w:tc>
          <w:tcPr>
            <w:tcW w:w="292" w:type="pct"/>
            <w:vMerge w:val="restart"/>
            <w:shd w:val="clear" w:color="auto" w:fill="FFFFFF" w:themeFill="background1"/>
            <w:vAlign w:val="center"/>
            <w:hideMark/>
          </w:tcPr>
          <w:p w14:paraId="7BE8B99E" w14:textId="77777777" w:rsidR="00C376A6" w:rsidRPr="006C0042" w:rsidRDefault="00C376A6" w:rsidP="006C0042">
            <w:pPr>
              <w:pStyle w:val="TableHeading"/>
            </w:pPr>
            <w:bookmarkStart w:id="28" w:name="Title_WMV2"/>
            <w:bookmarkEnd w:id="25"/>
            <w:bookmarkEnd w:id="28"/>
            <w:r w:rsidRPr="006C0042">
              <w:t>Environmental assets</w:t>
            </w:r>
          </w:p>
        </w:tc>
        <w:tc>
          <w:tcPr>
            <w:tcW w:w="392" w:type="pct"/>
            <w:vMerge w:val="restart"/>
            <w:shd w:val="clear" w:color="auto" w:fill="FFFFFF" w:themeFill="background1"/>
            <w:vAlign w:val="center"/>
          </w:tcPr>
          <w:p w14:paraId="2A25D33E" w14:textId="77777777" w:rsidR="00C376A6" w:rsidRPr="006C0042" w:rsidRDefault="00C376A6" w:rsidP="006C0042">
            <w:pPr>
              <w:pStyle w:val="TableHeading"/>
            </w:pPr>
            <w:r w:rsidRPr="006C0042">
              <w:t>Target values</w:t>
            </w:r>
          </w:p>
        </w:tc>
        <w:tc>
          <w:tcPr>
            <w:tcW w:w="1071" w:type="pct"/>
            <w:gridSpan w:val="2"/>
            <w:shd w:val="clear" w:color="auto" w:fill="FFFFFF" w:themeFill="background1"/>
            <w:hideMark/>
          </w:tcPr>
          <w:p w14:paraId="0825BA48" w14:textId="77777777" w:rsidR="00C376A6" w:rsidRPr="006C0042" w:rsidRDefault="00C376A6" w:rsidP="006C0042">
            <w:pPr>
              <w:pStyle w:val="TableHeading"/>
            </w:pPr>
            <w:r w:rsidRPr="006C0042">
              <w:t>Indicative demand (for all sources of water in the system)</w:t>
            </w:r>
          </w:p>
        </w:tc>
        <w:tc>
          <w:tcPr>
            <w:tcW w:w="2806" w:type="pct"/>
            <w:vMerge w:val="restart"/>
            <w:shd w:val="clear" w:color="auto" w:fill="FFFFFF" w:themeFill="background1"/>
            <w:vAlign w:val="center"/>
            <w:hideMark/>
          </w:tcPr>
          <w:p w14:paraId="2A681DF2" w14:textId="77777777" w:rsidR="00C376A6" w:rsidRPr="006C0042" w:rsidRDefault="00C376A6" w:rsidP="006C0042">
            <w:pPr>
              <w:pStyle w:val="TableHeading"/>
            </w:pPr>
            <w:r w:rsidRPr="006C0042">
              <w:t>Watering history (from all sources of water)</w:t>
            </w:r>
          </w:p>
        </w:tc>
        <w:tc>
          <w:tcPr>
            <w:tcW w:w="439" w:type="pct"/>
            <w:vMerge w:val="restart"/>
            <w:shd w:val="clear" w:color="auto" w:fill="FFFFFF" w:themeFill="background1"/>
          </w:tcPr>
          <w:p w14:paraId="6DF7D0F6" w14:textId="12308B66" w:rsidR="00C376A6" w:rsidRPr="006C0042" w:rsidRDefault="00C376A6" w:rsidP="006C0042">
            <w:pPr>
              <w:pStyle w:val="TableHeading"/>
            </w:pPr>
            <w:r w:rsidRPr="006C0042">
              <w:t>Environmental demands for water (all sources) in 2021-22</w:t>
            </w:r>
          </w:p>
        </w:tc>
      </w:tr>
      <w:tr w:rsidR="00C376A6" w:rsidRPr="006424A3" w14:paraId="214EBCB2" w14:textId="77777777" w:rsidTr="00FB7C79">
        <w:trPr>
          <w:tblHeader/>
        </w:trPr>
        <w:tc>
          <w:tcPr>
            <w:tcW w:w="292" w:type="pct"/>
            <w:vMerge/>
            <w:shd w:val="clear" w:color="auto" w:fill="FFFFFF" w:themeFill="background1"/>
            <w:vAlign w:val="center"/>
            <w:hideMark/>
          </w:tcPr>
          <w:p w14:paraId="0F7A6E30" w14:textId="77777777" w:rsidR="00C376A6" w:rsidRPr="005926C0" w:rsidRDefault="00C376A6" w:rsidP="00C376A6">
            <w:pPr>
              <w:pStyle w:val="TableHeading"/>
              <w:rPr>
                <w:rFonts w:asciiTheme="minorHAnsi" w:hAnsiTheme="minorHAnsi" w:cstheme="minorHAnsi"/>
              </w:rPr>
            </w:pPr>
          </w:p>
        </w:tc>
        <w:tc>
          <w:tcPr>
            <w:tcW w:w="392" w:type="pct"/>
            <w:vMerge/>
            <w:shd w:val="clear" w:color="auto" w:fill="FFFFFF" w:themeFill="background1"/>
            <w:vAlign w:val="center"/>
          </w:tcPr>
          <w:p w14:paraId="66E1F07E" w14:textId="77777777" w:rsidR="00C376A6" w:rsidRPr="005926C0" w:rsidRDefault="00C376A6" w:rsidP="00C376A6">
            <w:pPr>
              <w:pStyle w:val="TableHeading"/>
              <w:rPr>
                <w:rFonts w:asciiTheme="minorHAnsi" w:hAnsiTheme="minorHAnsi" w:cstheme="minorHAnsi"/>
              </w:rPr>
            </w:pPr>
          </w:p>
        </w:tc>
        <w:tc>
          <w:tcPr>
            <w:tcW w:w="733" w:type="pct"/>
            <w:shd w:val="clear" w:color="auto" w:fill="FFFFFF" w:themeFill="background1"/>
            <w:hideMark/>
          </w:tcPr>
          <w:p w14:paraId="04D3EF70" w14:textId="77777777" w:rsidR="00C376A6" w:rsidRPr="006C0042" w:rsidRDefault="00C376A6" w:rsidP="006C0042">
            <w:pPr>
              <w:pStyle w:val="TableHeading"/>
            </w:pPr>
            <w:r w:rsidRPr="006C0042">
              <w:t>Flow/volume</w:t>
            </w:r>
          </w:p>
        </w:tc>
        <w:tc>
          <w:tcPr>
            <w:tcW w:w="338" w:type="pct"/>
            <w:shd w:val="clear" w:color="auto" w:fill="FFFFFF" w:themeFill="background1"/>
            <w:hideMark/>
          </w:tcPr>
          <w:p w14:paraId="5195511C" w14:textId="77777777" w:rsidR="00C376A6" w:rsidRPr="006C0042" w:rsidRDefault="00C376A6" w:rsidP="006C0042">
            <w:pPr>
              <w:pStyle w:val="TableHeading"/>
            </w:pPr>
            <w:r w:rsidRPr="006C0042">
              <w:t>Required frequency (maximum dry interval)</w:t>
            </w:r>
          </w:p>
        </w:tc>
        <w:tc>
          <w:tcPr>
            <w:tcW w:w="2806" w:type="pct"/>
            <w:vMerge/>
            <w:shd w:val="clear" w:color="auto" w:fill="FFFFFF" w:themeFill="background1"/>
            <w:hideMark/>
          </w:tcPr>
          <w:p w14:paraId="68558C91" w14:textId="77777777" w:rsidR="00C376A6" w:rsidRPr="005926C0" w:rsidRDefault="00C376A6" w:rsidP="00C376A6">
            <w:pPr>
              <w:pStyle w:val="TableHeading"/>
              <w:rPr>
                <w:rFonts w:asciiTheme="minorHAnsi" w:hAnsiTheme="minorHAnsi" w:cstheme="minorHAnsi"/>
              </w:rPr>
            </w:pPr>
          </w:p>
        </w:tc>
        <w:tc>
          <w:tcPr>
            <w:tcW w:w="439" w:type="pct"/>
            <w:vMerge/>
            <w:shd w:val="clear" w:color="auto" w:fill="FFFFFF" w:themeFill="background1"/>
          </w:tcPr>
          <w:p w14:paraId="11917B12" w14:textId="2EAED497" w:rsidR="00C376A6" w:rsidRPr="005926C0" w:rsidRDefault="00C376A6" w:rsidP="00C376A6">
            <w:pPr>
              <w:pStyle w:val="TableHeading"/>
              <w:rPr>
                <w:rFonts w:asciiTheme="minorHAnsi" w:hAnsiTheme="minorHAnsi" w:cstheme="minorHAnsi"/>
              </w:rPr>
            </w:pPr>
          </w:p>
        </w:tc>
      </w:tr>
      <w:tr w:rsidR="00321C6C" w:rsidRPr="006424A3" w14:paraId="4DBB7DE6" w14:textId="77777777" w:rsidTr="00FB7C79">
        <w:tc>
          <w:tcPr>
            <w:tcW w:w="292" w:type="pct"/>
            <w:vMerge w:val="restart"/>
            <w:shd w:val="clear" w:color="auto" w:fill="auto"/>
          </w:tcPr>
          <w:p w14:paraId="64A9B594" w14:textId="77777777" w:rsidR="00321C6C" w:rsidRPr="00463324" w:rsidRDefault="00321C6C" w:rsidP="00463324">
            <w:pPr>
              <w:pStyle w:val="TableText"/>
              <w:rPr>
                <w:rStyle w:val="Strong"/>
              </w:rPr>
            </w:pPr>
            <w:proofErr w:type="spellStart"/>
            <w:r w:rsidRPr="00463324">
              <w:rPr>
                <w:rStyle w:val="Strong"/>
              </w:rPr>
              <w:t>Cuttaburra</w:t>
            </w:r>
            <w:proofErr w:type="spellEnd"/>
            <w:r w:rsidRPr="00463324">
              <w:rPr>
                <w:rStyle w:val="Strong"/>
              </w:rPr>
              <w:t xml:space="preserve"> Creek (at </w:t>
            </w:r>
            <w:proofErr w:type="spellStart"/>
            <w:r w:rsidRPr="00463324">
              <w:rPr>
                <w:rStyle w:val="Strong"/>
              </w:rPr>
              <w:t>Turra</w:t>
            </w:r>
            <w:proofErr w:type="spellEnd"/>
            <w:r w:rsidRPr="00463324">
              <w:rPr>
                <w:rStyle w:val="Strong"/>
              </w:rPr>
              <w:t>)</w:t>
            </w:r>
          </w:p>
        </w:tc>
        <w:tc>
          <w:tcPr>
            <w:tcW w:w="392" w:type="pct"/>
            <w:vMerge w:val="restart"/>
          </w:tcPr>
          <w:p w14:paraId="5DA7E274" w14:textId="77777777" w:rsidR="00321C6C" w:rsidRPr="00463324" w:rsidRDefault="00321C6C" w:rsidP="00463324">
            <w:pPr>
              <w:pStyle w:val="TableText"/>
            </w:pPr>
            <w:r w:rsidRPr="00463324">
              <w:t>Native fish dispersal and condition</w:t>
            </w:r>
          </w:p>
          <w:p w14:paraId="0CA7675E" w14:textId="77777777" w:rsidR="00321C6C" w:rsidRPr="00463324" w:rsidRDefault="00321C6C" w:rsidP="00463324">
            <w:pPr>
              <w:pStyle w:val="TableText"/>
            </w:pPr>
            <w:r w:rsidRPr="00463324">
              <w:t>Native fish spawning and recruitment</w:t>
            </w:r>
          </w:p>
          <w:p w14:paraId="0D3531DB" w14:textId="77777777" w:rsidR="00321C6C" w:rsidRPr="00463324" w:rsidRDefault="00321C6C" w:rsidP="00463324">
            <w:pPr>
              <w:pStyle w:val="TableText"/>
            </w:pPr>
            <w:r w:rsidRPr="00463324">
              <w:t>Native vegetation</w:t>
            </w:r>
          </w:p>
          <w:p w14:paraId="4CC65495" w14:textId="77777777" w:rsidR="00321C6C" w:rsidRPr="00463324" w:rsidRDefault="00321C6C" w:rsidP="00463324">
            <w:pPr>
              <w:pStyle w:val="TableText"/>
            </w:pPr>
            <w:r w:rsidRPr="00463324">
              <w:t>Aquatic ecosystem function</w:t>
            </w:r>
          </w:p>
          <w:p w14:paraId="6FA7B08B" w14:textId="77777777" w:rsidR="00321C6C" w:rsidRPr="00463324" w:rsidRDefault="00321C6C" w:rsidP="00463324">
            <w:pPr>
              <w:pStyle w:val="TableText"/>
            </w:pPr>
            <w:r w:rsidRPr="00463324">
              <w:t>Wetland inundation</w:t>
            </w:r>
          </w:p>
          <w:p w14:paraId="0F2CAB3A" w14:textId="77777777" w:rsidR="00321C6C" w:rsidRPr="00463324" w:rsidRDefault="00321C6C" w:rsidP="00463324">
            <w:pPr>
              <w:pStyle w:val="TableText"/>
            </w:pPr>
            <w:r w:rsidRPr="00463324">
              <w:t>Waterbird breeding</w:t>
            </w:r>
          </w:p>
        </w:tc>
        <w:tc>
          <w:tcPr>
            <w:tcW w:w="733" w:type="pct"/>
            <w:shd w:val="clear" w:color="auto" w:fill="auto"/>
          </w:tcPr>
          <w:p w14:paraId="3FB184BF" w14:textId="77777777" w:rsidR="00321C6C" w:rsidRPr="00463324" w:rsidRDefault="00321C6C" w:rsidP="00463324">
            <w:pPr>
              <w:pStyle w:val="TableText"/>
            </w:pPr>
            <w:r w:rsidRPr="00463324">
              <w:t>Small fresh 1: &lt;1,000 ML/d for 23 days (anytime)</w:t>
            </w:r>
          </w:p>
        </w:tc>
        <w:tc>
          <w:tcPr>
            <w:tcW w:w="338" w:type="pct"/>
            <w:shd w:val="clear" w:color="auto" w:fill="auto"/>
          </w:tcPr>
          <w:p w14:paraId="183E6177" w14:textId="77777777" w:rsidR="00321C6C" w:rsidRPr="00463324" w:rsidRDefault="00321C6C" w:rsidP="00463324">
            <w:pPr>
              <w:pStyle w:val="TableText"/>
            </w:pPr>
            <w:r w:rsidRPr="00463324">
              <w:t>4 years in 10</w:t>
            </w:r>
          </w:p>
        </w:tc>
        <w:tc>
          <w:tcPr>
            <w:tcW w:w="2806" w:type="pct"/>
            <w:shd w:val="clear" w:color="auto" w:fill="auto"/>
          </w:tcPr>
          <w:p w14:paraId="2C2DD00C" w14:textId="60A45094" w:rsidR="00321C6C" w:rsidRPr="00463324" w:rsidRDefault="00321C6C" w:rsidP="00463324">
            <w:pPr>
              <w:pStyle w:val="TableText"/>
            </w:pPr>
            <w:r w:rsidRPr="00463324">
              <w:t>Met or partially met in nine out of the last 10 years, including in 2019–20 and 2020–21. Low environmental demand in 2021–22, remaining low in 2022–23 if watering occurs.</w:t>
            </w:r>
          </w:p>
        </w:tc>
        <w:tc>
          <w:tcPr>
            <w:tcW w:w="439" w:type="pct"/>
            <w:shd w:val="clear" w:color="auto" w:fill="DEF0C2"/>
            <w:vAlign w:val="center"/>
          </w:tcPr>
          <w:p w14:paraId="71F49CFD" w14:textId="0174E9A6" w:rsidR="00321C6C" w:rsidRPr="00321C6C" w:rsidRDefault="00321C6C" w:rsidP="007704D9">
            <w:pPr>
              <w:pStyle w:val="TableText"/>
              <w:jc w:val="center"/>
            </w:pPr>
            <w:r w:rsidRPr="00321C6C">
              <w:t>Low</w:t>
            </w:r>
          </w:p>
        </w:tc>
      </w:tr>
      <w:tr w:rsidR="00321C6C" w:rsidRPr="006424A3" w14:paraId="081D4B26" w14:textId="77777777" w:rsidTr="00FB7C79">
        <w:tc>
          <w:tcPr>
            <w:tcW w:w="292" w:type="pct"/>
            <w:vMerge/>
            <w:shd w:val="clear" w:color="auto" w:fill="auto"/>
          </w:tcPr>
          <w:p w14:paraId="0F93229C" w14:textId="77777777" w:rsidR="00321C6C" w:rsidRPr="00463324" w:rsidRDefault="00321C6C" w:rsidP="00463324">
            <w:pPr>
              <w:pStyle w:val="TableText"/>
              <w:rPr>
                <w:rStyle w:val="Strong"/>
              </w:rPr>
            </w:pPr>
          </w:p>
        </w:tc>
        <w:tc>
          <w:tcPr>
            <w:tcW w:w="392" w:type="pct"/>
            <w:vMerge/>
          </w:tcPr>
          <w:p w14:paraId="1AA37B30" w14:textId="77777777" w:rsidR="00321C6C" w:rsidRPr="00463324" w:rsidRDefault="00321C6C" w:rsidP="00463324">
            <w:pPr>
              <w:pStyle w:val="TableText"/>
            </w:pPr>
          </w:p>
        </w:tc>
        <w:tc>
          <w:tcPr>
            <w:tcW w:w="733" w:type="pct"/>
            <w:shd w:val="clear" w:color="auto" w:fill="auto"/>
          </w:tcPr>
          <w:p w14:paraId="0CB9A2FA" w14:textId="1786A8F0" w:rsidR="00321C6C" w:rsidRPr="00463324" w:rsidRDefault="00321C6C" w:rsidP="00463324">
            <w:pPr>
              <w:pStyle w:val="TableText"/>
            </w:pPr>
            <w:r w:rsidRPr="00463324">
              <w:t>&lt;20% wetland inundation – foraging and feeding habitat, small breeding of non–colonial species</w:t>
            </w:r>
          </w:p>
          <w:p w14:paraId="48AE0FAF" w14:textId="77777777" w:rsidR="00321C6C" w:rsidRPr="00463324" w:rsidRDefault="00321C6C" w:rsidP="00463324">
            <w:pPr>
              <w:pStyle w:val="TableText"/>
            </w:pPr>
            <w:r w:rsidRPr="00463324">
              <w:t>82,000 ML in 60 days (anytime)</w:t>
            </w:r>
          </w:p>
        </w:tc>
        <w:tc>
          <w:tcPr>
            <w:tcW w:w="338" w:type="pct"/>
            <w:shd w:val="clear" w:color="auto" w:fill="auto"/>
          </w:tcPr>
          <w:p w14:paraId="589C959F" w14:textId="77777777" w:rsidR="00321C6C" w:rsidRPr="00463324" w:rsidRDefault="00321C6C" w:rsidP="00463324">
            <w:pPr>
              <w:pStyle w:val="TableText"/>
            </w:pPr>
            <w:r w:rsidRPr="00463324">
              <w:t>1 to 2 years in 10</w:t>
            </w:r>
          </w:p>
          <w:p w14:paraId="0A24E7EE" w14:textId="47D0EEF6" w:rsidR="00321C6C" w:rsidRPr="00463324" w:rsidRDefault="00321C6C" w:rsidP="00463324">
            <w:pPr>
              <w:pStyle w:val="TableText"/>
            </w:pPr>
            <w:r w:rsidRPr="00463324">
              <w:t>(Maximum dry interval three years)</w:t>
            </w:r>
          </w:p>
        </w:tc>
        <w:tc>
          <w:tcPr>
            <w:tcW w:w="2806" w:type="pct"/>
            <w:shd w:val="clear" w:color="auto" w:fill="auto"/>
          </w:tcPr>
          <w:p w14:paraId="57DA4933" w14:textId="77777777" w:rsidR="00321C6C" w:rsidRPr="00463324" w:rsidRDefault="00321C6C" w:rsidP="00463324">
            <w:pPr>
              <w:pStyle w:val="TableText"/>
            </w:pPr>
            <w:r w:rsidRPr="00463324">
              <w:t>Met in 5 out of the last 10 years including 2019–20, but not met in 2020–21.</w:t>
            </w:r>
          </w:p>
          <w:p w14:paraId="392044D5" w14:textId="677392F9" w:rsidR="00321C6C" w:rsidRPr="00463324" w:rsidRDefault="00321C6C" w:rsidP="00463324">
            <w:pPr>
              <w:pStyle w:val="TableText"/>
            </w:pPr>
            <w:r w:rsidRPr="00463324">
              <w:t>Low environmental demand in 2021–22, remaining low in 2022–23 if watering occurs.</w:t>
            </w:r>
          </w:p>
        </w:tc>
        <w:tc>
          <w:tcPr>
            <w:tcW w:w="439" w:type="pct"/>
            <w:shd w:val="clear" w:color="auto" w:fill="DEF0C2"/>
            <w:vAlign w:val="center"/>
          </w:tcPr>
          <w:p w14:paraId="3179DDAD" w14:textId="14FFD670" w:rsidR="00321C6C" w:rsidRPr="00463324" w:rsidRDefault="00321C6C" w:rsidP="00463324">
            <w:pPr>
              <w:pStyle w:val="TableText"/>
              <w:jc w:val="center"/>
            </w:pPr>
            <w:r w:rsidRPr="00463324">
              <w:t>Low</w:t>
            </w:r>
          </w:p>
        </w:tc>
      </w:tr>
      <w:tr w:rsidR="00321C6C" w:rsidRPr="006424A3" w14:paraId="31DA70EB" w14:textId="77777777" w:rsidTr="00FB7C79">
        <w:trPr>
          <w:trHeight w:val="338"/>
        </w:trPr>
        <w:tc>
          <w:tcPr>
            <w:tcW w:w="292" w:type="pct"/>
            <w:vMerge/>
            <w:shd w:val="clear" w:color="auto" w:fill="auto"/>
          </w:tcPr>
          <w:p w14:paraId="66D8A7F3" w14:textId="77777777" w:rsidR="00321C6C" w:rsidRPr="00463324" w:rsidRDefault="00321C6C" w:rsidP="00463324">
            <w:pPr>
              <w:pStyle w:val="TableText"/>
              <w:rPr>
                <w:rStyle w:val="Strong"/>
              </w:rPr>
            </w:pPr>
          </w:p>
        </w:tc>
        <w:tc>
          <w:tcPr>
            <w:tcW w:w="392" w:type="pct"/>
            <w:vMerge/>
          </w:tcPr>
          <w:p w14:paraId="20B0097E" w14:textId="77777777" w:rsidR="00321C6C" w:rsidRPr="00463324" w:rsidRDefault="00321C6C" w:rsidP="00463324">
            <w:pPr>
              <w:pStyle w:val="TableText"/>
            </w:pPr>
          </w:p>
        </w:tc>
        <w:tc>
          <w:tcPr>
            <w:tcW w:w="733" w:type="pct"/>
            <w:shd w:val="clear" w:color="auto" w:fill="auto"/>
          </w:tcPr>
          <w:p w14:paraId="1C68F60D" w14:textId="77777777" w:rsidR="00321C6C" w:rsidRPr="00463324" w:rsidRDefault="00321C6C" w:rsidP="00463324">
            <w:pPr>
              <w:pStyle w:val="TableText"/>
            </w:pPr>
            <w:r w:rsidRPr="00463324">
              <w:t>50% wetland inundation – small waterbird breeding events may occur</w:t>
            </w:r>
          </w:p>
          <w:p w14:paraId="01B40AF2" w14:textId="77777777" w:rsidR="00321C6C" w:rsidRPr="00463324" w:rsidRDefault="00321C6C" w:rsidP="00463324">
            <w:pPr>
              <w:pStyle w:val="TableText"/>
            </w:pPr>
            <w:r w:rsidRPr="00463324">
              <w:t>166,000 ML in 90 days</w:t>
            </w:r>
          </w:p>
        </w:tc>
        <w:tc>
          <w:tcPr>
            <w:tcW w:w="338" w:type="pct"/>
            <w:shd w:val="clear" w:color="auto" w:fill="auto"/>
          </w:tcPr>
          <w:p w14:paraId="73149E8F" w14:textId="77777777" w:rsidR="00321C6C" w:rsidRPr="00463324" w:rsidRDefault="00321C6C" w:rsidP="00463324">
            <w:pPr>
              <w:pStyle w:val="TableText"/>
            </w:pPr>
            <w:r w:rsidRPr="00463324">
              <w:t>1 to 2 years in 10</w:t>
            </w:r>
          </w:p>
        </w:tc>
        <w:tc>
          <w:tcPr>
            <w:tcW w:w="2806" w:type="pct"/>
            <w:shd w:val="clear" w:color="auto" w:fill="auto"/>
          </w:tcPr>
          <w:p w14:paraId="7913BA13" w14:textId="5B4D01F6" w:rsidR="00321C6C" w:rsidRPr="00463324" w:rsidRDefault="00321C6C" w:rsidP="00463324">
            <w:pPr>
              <w:pStyle w:val="TableText"/>
            </w:pPr>
            <w:r w:rsidRPr="00463324">
              <w:t>Met in 3 out of the last 10 years, including in 2019–20. Not met in 2020–21. Low environmental demand in 2021–22, remaining low in 2022–23 if watering occurs.</w:t>
            </w:r>
          </w:p>
        </w:tc>
        <w:tc>
          <w:tcPr>
            <w:tcW w:w="439" w:type="pct"/>
            <w:shd w:val="clear" w:color="auto" w:fill="DEF0C2"/>
            <w:vAlign w:val="center"/>
          </w:tcPr>
          <w:p w14:paraId="0F2C9FE2" w14:textId="4B89BC11" w:rsidR="00321C6C" w:rsidRPr="00463324" w:rsidRDefault="00321C6C" w:rsidP="00463324">
            <w:pPr>
              <w:pStyle w:val="TableText"/>
              <w:jc w:val="center"/>
            </w:pPr>
            <w:r w:rsidRPr="00463324">
              <w:t>Low</w:t>
            </w:r>
          </w:p>
        </w:tc>
      </w:tr>
      <w:tr w:rsidR="00321C6C" w:rsidRPr="006424A3" w14:paraId="6E9480BD" w14:textId="77777777" w:rsidTr="00FB7C79">
        <w:trPr>
          <w:trHeight w:val="622"/>
        </w:trPr>
        <w:tc>
          <w:tcPr>
            <w:tcW w:w="292" w:type="pct"/>
            <w:vMerge w:val="restart"/>
            <w:shd w:val="clear" w:color="auto" w:fill="auto"/>
          </w:tcPr>
          <w:p w14:paraId="3130F0F1" w14:textId="77777777" w:rsidR="00321C6C" w:rsidRPr="00463324" w:rsidRDefault="00321C6C" w:rsidP="00463324">
            <w:pPr>
              <w:pStyle w:val="TableText"/>
              <w:rPr>
                <w:rStyle w:val="Strong"/>
              </w:rPr>
            </w:pPr>
            <w:r w:rsidRPr="00463324">
              <w:rPr>
                <w:rStyle w:val="Strong"/>
              </w:rPr>
              <w:t>Warrego River at Barringun</w:t>
            </w:r>
          </w:p>
        </w:tc>
        <w:tc>
          <w:tcPr>
            <w:tcW w:w="392" w:type="pct"/>
            <w:vMerge w:val="restart"/>
          </w:tcPr>
          <w:p w14:paraId="3D980ED0" w14:textId="77777777" w:rsidR="00321C6C" w:rsidRPr="00463324" w:rsidRDefault="00321C6C" w:rsidP="00463324">
            <w:pPr>
              <w:pStyle w:val="TableText"/>
            </w:pPr>
            <w:r w:rsidRPr="00463324">
              <w:t>Native fish dispersal and condition</w:t>
            </w:r>
          </w:p>
          <w:p w14:paraId="0D7D236C" w14:textId="77777777" w:rsidR="00321C6C" w:rsidRPr="00463324" w:rsidRDefault="00321C6C" w:rsidP="00463324">
            <w:pPr>
              <w:pStyle w:val="TableText"/>
            </w:pPr>
            <w:r w:rsidRPr="00463324">
              <w:lastRenderedPageBreak/>
              <w:t>Native fish spawning and recruitment</w:t>
            </w:r>
          </w:p>
          <w:p w14:paraId="14C4A241" w14:textId="77777777" w:rsidR="00321C6C" w:rsidRPr="00463324" w:rsidRDefault="00321C6C" w:rsidP="00463324">
            <w:pPr>
              <w:pStyle w:val="TableText"/>
            </w:pPr>
            <w:r w:rsidRPr="00463324">
              <w:t>Native vegetation</w:t>
            </w:r>
          </w:p>
          <w:p w14:paraId="56915E0B" w14:textId="77777777" w:rsidR="00321C6C" w:rsidRPr="00463324" w:rsidRDefault="00321C6C" w:rsidP="00463324">
            <w:pPr>
              <w:pStyle w:val="TableText"/>
            </w:pPr>
            <w:r w:rsidRPr="00463324">
              <w:t>Support refuge habitat (frogs, fish, waterbirds)</w:t>
            </w:r>
          </w:p>
          <w:p w14:paraId="07182346" w14:textId="7DBBE5F2" w:rsidR="00321C6C" w:rsidRPr="00463324" w:rsidRDefault="00321C6C" w:rsidP="00463324">
            <w:pPr>
              <w:pStyle w:val="TableText"/>
            </w:pPr>
            <w:r w:rsidRPr="00463324">
              <w:t>Aquatic ecosystem function</w:t>
            </w:r>
          </w:p>
        </w:tc>
        <w:tc>
          <w:tcPr>
            <w:tcW w:w="733" w:type="pct"/>
            <w:shd w:val="clear" w:color="auto" w:fill="auto"/>
          </w:tcPr>
          <w:p w14:paraId="440DEE59" w14:textId="792907AB" w:rsidR="00321C6C" w:rsidRPr="00463324" w:rsidRDefault="00321C6C" w:rsidP="00463324">
            <w:pPr>
              <w:pStyle w:val="TableText"/>
            </w:pPr>
            <w:r w:rsidRPr="00463324">
              <w:lastRenderedPageBreak/>
              <w:t>Small fresh 1: &gt;220 ML/day anytime (ideally October to April) for 10 days (native fish dispersal and condition</w:t>
            </w:r>
          </w:p>
        </w:tc>
        <w:tc>
          <w:tcPr>
            <w:tcW w:w="338" w:type="pct"/>
            <w:shd w:val="clear" w:color="auto" w:fill="auto"/>
          </w:tcPr>
          <w:p w14:paraId="657DB5D4" w14:textId="77777777" w:rsidR="00321C6C" w:rsidRPr="00463324" w:rsidRDefault="00321C6C" w:rsidP="00463324">
            <w:pPr>
              <w:pStyle w:val="TableText"/>
            </w:pPr>
            <w:r w:rsidRPr="00463324">
              <w:t>Annual</w:t>
            </w:r>
          </w:p>
          <w:p w14:paraId="22B57CA1" w14:textId="77777777" w:rsidR="00321C6C" w:rsidRPr="00463324" w:rsidRDefault="00321C6C" w:rsidP="00463324">
            <w:pPr>
              <w:pStyle w:val="TableText"/>
            </w:pPr>
            <w:r w:rsidRPr="00463324">
              <w:t>(Maximum dry interval one and a half years)</w:t>
            </w:r>
          </w:p>
        </w:tc>
        <w:tc>
          <w:tcPr>
            <w:tcW w:w="2806" w:type="pct"/>
            <w:shd w:val="clear" w:color="auto" w:fill="auto"/>
          </w:tcPr>
          <w:p w14:paraId="277AF492" w14:textId="25235E95" w:rsidR="00321C6C" w:rsidRPr="00463324" w:rsidRDefault="00321C6C" w:rsidP="00463324">
            <w:pPr>
              <w:pStyle w:val="TableText"/>
            </w:pPr>
            <w:r w:rsidRPr="00463324">
              <w:t>Met or partially met in 9 of the last 10 years, including in 2019–20 and 2020–21. These flows are required annually, therefore the environmental demand is high in both 2021–22 and 2022–23.</w:t>
            </w:r>
          </w:p>
        </w:tc>
        <w:tc>
          <w:tcPr>
            <w:tcW w:w="439" w:type="pct"/>
            <w:shd w:val="clear" w:color="auto" w:fill="E5B8B7" w:themeFill="accent2" w:themeFillTint="66"/>
            <w:vAlign w:val="center"/>
          </w:tcPr>
          <w:p w14:paraId="2D143E11" w14:textId="58FD2FC3" w:rsidR="00321C6C" w:rsidRPr="00463324" w:rsidRDefault="00321C6C" w:rsidP="00463324">
            <w:pPr>
              <w:pStyle w:val="TableText"/>
              <w:jc w:val="center"/>
            </w:pPr>
            <w:r w:rsidRPr="00463324">
              <w:t>High</w:t>
            </w:r>
          </w:p>
        </w:tc>
      </w:tr>
      <w:tr w:rsidR="00321C6C" w:rsidRPr="006424A3" w14:paraId="4F7841ED" w14:textId="77777777" w:rsidTr="00FB7C79">
        <w:trPr>
          <w:trHeight w:val="682"/>
        </w:trPr>
        <w:tc>
          <w:tcPr>
            <w:tcW w:w="292" w:type="pct"/>
            <w:vMerge/>
            <w:shd w:val="clear" w:color="auto" w:fill="auto"/>
          </w:tcPr>
          <w:p w14:paraId="521BBB2F" w14:textId="77777777" w:rsidR="00321C6C" w:rsidRPr="00463324" w:rsidRDefault="00321C6C" w:rsidP="00463324">
            <w:pPr>
              <w:pStyle w:val="TableText"/>
              <w:rPr>
                <w:rStyle w:val="Strong"/>
              </w:rPr>
            </w:pPr>
          </w:p>
        </w:tc>
        <w:tc>
          <w:tcPr>
            <w:tcW w:w="392" w:type="pct"/>
            <w:vMerge/>
          </w:tcPr>
          <w:p w14:paraId="0CE8E2E7" w14:textId="77777777" w:rsidR="00321C6C" w:rsidRPr="00463324" w:rsidRDefault="00321C6C" w:rsidP="00463324">
            <w:pPr>
              <w:pStyle w:val="TableText"/>
            </w:pPr>
          </w:p>
        </w:tc>
        <w:tc>
          <w:tcPr>
            <w:tcW w:w="733" w:type="pct"/>
            <w:shd w:val="clear" w:color="auto" w:fill="auto"/>
          </w:tcPr>
          <w:p w14:paraId="5D556FD0" w14:textId="4A340A47" w:rsidR="00321C6C" w:rsidRPr="00463324" w:rsidRDefault="00321C6C" w:rsidP="00463324">
            <w:pPr>
              <w:pStyle w:val="TableText"/>
            </w:pPr>
            <w:r w:rsidRPr="00463324">
              <w:t>Small fresh 2: 220 to 2,200 ML/day (September to April) for 14 days (spawning of in–channel specialists and generalists)</w:t>
            </w:r>
          </w:p>
        </w:tc>
        <w:tc>
          <w:tcPr>
            <w:tcW w:w="338" w:type="pct"/>
            <w:shd w:val="clear" w:color="auto" w:fill="auto"/>
          </w:tcPr>
          <w:p w14:paraId="31AF6BBC" w14:textId="77777777" w:rsidR="00321C6C" w:rsidRPr="00463324" w:rsidRDefault="00321C6C" w:rsidP="00463324">
            <w:pPr>
              <w:pStyle w:val="TableText"/>
            </w:pPr>
            <w:r w:rsidRPr="00463324">
              <w:t>5 to 10 years in 10 (75% of years). (Maximum dry interval five years)</w:t>
            </w:r>
          </w:p>
        </w:tc>
        <w:tc>
          <w:tcPr>
            <w:tcW w:w="2806" w:type="pct"/>
            <w:shd w:val="clear" w:color="auto" w:fill="auto"/>
          </w:tcPr>
          <w:p w14:paraId="31C4D7BA" w14:textId="470BDC51" w:rsidR="00321C6C" w:rsidRPr="00463324" w:rsidRDefault="00321C6C" w:rsidP="00463324">
            <w:pPr>
              <w:pStyle w:val="TableText"/>
            </w:pPr>
            <w:r w:rsidRPr="00463324">
              <w:t>Met or partially met in 9 out of the last 10 years, including 2019–20 and 2020–21. Low environmental demand in 2021–22, remaining low in 2022–23 if watering occurs.</w:t>
            </w:r>
          </w:p>
        </w:tc>
        <w:tc>
          <w:tcPr>
            <w:tcW w:w="439" w:type="pct"/>
            <w:shd w:val="clear" w:color="auto" w:fill="DEF0C2"/>
            <w:vAlign w:val="center"/>
          </w:tcPr>
          <w:p w14:paraId="66F74210" w14:textId="32951BA5" w:rsidR="00321C6C" w:rsidRPr="00463324" w:rsidRDefault="00321C6C" w:rsidP="00463324">
            <w:pPr>
              <w:pStyle w:val="TableText"/>
              <w:jc w:val="center"/>
            </w:pPr>
            <w:r w:rsidRPr="00463324">
              <w:t>Low</w:t>
            </w:r>
          </w:p>
        </w:tc>
      </w:tr>
      <w:tr w:rsidR="00321C6C" w:rsidRPr="006424A3" w14:paraId="4E6005AB" w14:textId="77777777" w:rsidTr="00FB7C79">
        <w:trPr>
          <w:trHeight w:val="720"/>
        </w:trPr>
        <w:tc>
          <w:tcPr>
            <w:tcW w:w="292" w:type="pct"/>
            <w:vMerge/>
            <w:shd w:val="clear" w:color="auto" w:fill="auto"/>
          </w:tcPr>
          <w:p w14:paraId="5385F8FD" w14:textId="77777777" w:rsidR="00321C6C" w:rsidRPr="00463324" w:rsidRDefault="00321C6C" w:rsidP="00463324">
            <w:pPr>
              <w:pStyle w:val="TableText"/>
              <w:rPr>
                <w:rStyle w:val="Strong"/>
              </w:rPr>
            </w:pPr>
          </w:p>
        </w:tc>
        <w:tc>
          <w:tcPr>
            <w:tcW w:w="392" w:type="pct"/>
            <w:vMerge/>
          </w:tcPr>
          <w:p w14:paraId="55ADDE39" w14:textId="77777777" w:rsidR="00321C6C" w:rsidRPr="00463324" w:rsidRDefault="00321C6C" w:rsidP="00463324">
            <w:pPr>
              <w:pStyle w:val="TableText"/>
            </w:pPr>
          </w:p>
        </w:tc>
        <w:tc>
          <w:tcPr>
            <w:tcW w:w="733" w:type="pct"/>
            <w:shd w:val="clear" w:color="auto" w:fill="auto"/>
          </w:tcPr>
          <w:p w14:paraId="0A330228" w14:textId="77777777" w:rsidR="00321C6C" w:rsidRPr="00463324" w:rsidRDefault="00321C6C" w:rsidP="00463324">
            <w:pPr>
              <w:pStyle w:val="TableText"/>
            </w:pPr>
            <w:r w:rsidRPr="00463324">
              <w:t>Large fresh 1: &gt;2,200 ML/day any time for 5 days</w:t>
            </w:r>
          </w:p>
        </w:tc>
        <w:tc>
          <w:tcPr>
            <w:tcW w:w="338" w:type="pct"/>
            <w:shd w:val="clear" w:color="auto" w:fill="auto"/>
          </w:tcPr>
          <w:p w14:paraId="61E67D04" w14:textId="77777777" w:rsidR="00321C6C" w:rsidRPr="00463324" w:rsidRDefault="00321C6C" w:rsidP="00463324">
            <w:pPr>
              <w:pStyle w:val="TableText"/>
            </w:pPr>
            <w:r w:rsidRPr="00463324">
              <w:t>5 to 10 years in 10 (75% of years) (Maximum dry interval four years)</w:t>
            </w:r>
          </w:p>
        </w:tc>
        <w:tc>
          <w:tcPr>
            <w:tcW w:w="2806" w:type="pct"/>
            <w:shd w:val="clear" w:color="auto" w:fill="auto"/>
          </w:tcPr>
          <w:p w14:paraId="6256DD0A" w14:textId="23CF345F" w:rsidR="00321C6C" w:rsidRPr="00463324" w:rsidRDefault="00321C6C" w:rsidP="00463324">
            <w:pPr>
              <w:pStyle w:val="TableText"/>
            </w:pPr>
            <w:r w:rsidRPr="00463324">
              <w:t>Met or partially met in 6 out of the last 10 years, including being fully met in 2019–20 and partly met in 2020–21. Moderate demand in 2021–22, remaining moderate in 2022–23 if watering occurs.</w:t>
            </w:r>
          </w:p>
        </w:tc>
        <w:tc>
          <w:tcPr>
            <w:tcW w:w="439" w:type="pct"/>
            <w:shd w:val="clear" w:color="auto" w:fill="FDF4C7"/>
            <w:vAlign w:val="center"/>
          </w:tcPr>
          <w:p w14:paraId="62459320" w14:textId="27502642" w:rsidR="00321C6C" w:rsidRPr="00463324" w:rsidRDefault="00321C6C" w:rsidP="00463324">
            <w:pPr>
              <w:pStyle w:val="TableText"/>
              <w:jc w:val="center"/>
            </w:pPr>
            <w:r w:rsidRPr="00463324">
              <w:t>Moderate</w:t>
            </w:r>
          </w:p>
        </w:tc>
      </w:tr>
      <w:tr w:rsidR="00321C6C" w:rsidRPr="006424A3" w14:paraId="16E850AA" w14:textId="77777777" w:rsidTr="00FB7C79">
        <w:trPr>
          <w:trHeight w:val="720"/>
        </w:trPr>
        <w:tc>
          <w:tcPr>
            <w:tcW w:w="292" w:type="pct"/>
            <w:vMerge/>
            <w:shd w:val="clear" w:color="auto" w:fill="auto"/>
          </w:tcPr>
          <w:p w14:paraId="54C64317" w14:textId="77777777" w:rsidR="00321C6C" w:rsidRPr="00463324" w:rsidRDefault="00321C6C" w:rsidP="00463324">
            <w:pPr>
              <w:pStyle w:val="TableText"/>
              <w:rPr>
                <w:rStyle w:val="Strong"/>
              </w:rPr>
            </w:pPr>
          </w:p>
        </w:tc>
        <w:tc>
          <w:tcPr>
            <w:tcW w:w="392" w:type="pct"/>
            <w:vMerge/>
          </w:tcPr>
          <w:p w14:paraId="5508BE9E" w14:textId="77777777" w:rsidR="00321C6C" w:rsidRPr="00463324" w:rsidRDefault="00321C6C" w:rsidP="00463324">
            <w:pPr>
              <w:pStyle w:val="TableText"/>
            </w:pPr>
          </w:p>
        </w:tc>
        <w:tc>
          <w:tcPr>
            <w:tcW w:w="733" w:type="pct"/>
            <w:shd w:val="clear" w:color="auto" w:fill="auto"/>
          </w:tcPr>
          <w:p w14:paraId="4B859781" w14:textId="623367BA" w:rsidR="00321C6C" w:rsidRPr="00463324" w:rsidRDefault="00321C6C" w:rsidP="00463324">
            <w:pPr>
              <w:pStyle w:val="TableText"/>
            </w:pPr>
            <w:r w:rsidRPr="00463324">
              <w:t>Large fresh 2: &gt;2,200 ML/day (October to April) for 5 days</w:t>
            </w:r>
          </w:p>
        </w:tc>
        <w:tc>
          <w:tcPr>
            <w:tcW w:w="338" w:type="pct"/>
            <w:shd w:val="clear" w:color="auto" w:fill="auto"/>
          </w:tcPr>
          <w:p w14:paraId="5F11FD1D" w14:textId="77777777" w:rsidR="00321C6C" w:rsidRPr="00463324" w:rsidRDefault="00321C6C" w:rsidP="00463324">
            <w:pPr>
              <w:pStyle w:val="TableText"/>
            </w:pPr>
            <w:r w:rsidRPr="00463324">
              <w:t>4 to 5 years in 10 (40%)</w:t>
            </w:r>
          </w:p>
          <w:p w14:paraId="502825CA" w14:textId="77777777" w:rsidR="00321C6C" w:rsidRPr="00463324" w:rsidRDefault="00321C6C" w:rsidP="00463324">
            <w:pPr>
              <w:pStyle w:val="TableText"/>
            </w:pPr>
            <w:r w:rsidRPr="00463324">
              <w:t>(Maximum dry interval five years)</w:t>
            </w:r>
          </w:p>
        </w:tc>
        <w:tc>
          <w:tcPr>
            <w:tcW w:w="2806" w:type="pct"/>
            <w:shd w:val="clear" w:color="auto" w:fill="auto"/>
          </w:tcPr>
          <w:p w14:paraId="2F3E9192" w14:textId="6763242B" w:rsidR="00321C6C" w:rsidRPr="00463324" w:rsidRDefault="00321C6C" w:rsidP="00463324">
            <w:pPr>
              <w:pStyle w:val="TableText"/>
              <w:rPr>
                <w:rStyle w:val="Strong"/>
                <w:b w:val="0"/>
                <w:bCs w:val="0"/>
              </w:rPr>
            </w:pPr>
            <w:r w:rsidRPr="00463324">
              <w:t xml:space="preserve">Met or partially met in 6 out of the last 10 years, including being fully met in 2019–20 and partially met in 2020–21 (duration not met). </w:t>
            </w:r>
            <w:proofErr w:type="gramStart"/>
            <w:r w:rsidRPr="00463324">
              <w:t>Therefore</w:t>
            </w:r>
            <w:proofErr w:type="gramEnd"/>
            <w:r w:rsidRPr="00463324">
              <w:t xml:space="preserve"> there is a low demand in 2021–22, remaining low in 2022–23 if watering occurs.</w:t>
            </w:r>
          </w:p>
        </w:tc>
        <w:tc>
          <w:tcPr>
            <w:tcW w:w="439" w:type="pct"/>
            <w:shd w:val="clear" w:color="auto" w:fill="DEF0C2"/>
            <w:vAlign w:val="center"/>
          </w:tcPr>
          <w:p w14:paraId="27A0311D" w14:textId="39B2B07E" w:rsidR="00321C6C" w:rsidRPr="00463324" w:rsidRDefault="00321C6C" w:rsidP="00463324">
            <w:pPr>
              <w:pStyle w:val="TableText"/>
              <w:jc w:val="center"/>
            </w:pPr>
            <w:r w:rsidRPr="00463324">
              <w:t>Low</w:t>
            </w:r>
          </w:p>
        </w:tc>
      </w:tr>
      <w:tr w:rsidR="00321C6C" w:rsidRPr="006424A3" w14:paraId="42A6CF53" w14:textId="77777777" w:rsidTr="00FB7C79">
        <w:trPr>
          <w:trHeight w:val="867"/>
        </w:trPr>
        <w:tc>
          <w:tcPr>
            <w:tcW w:w="292" w:type="pct"/>
            <w:vMerge/>
            <w:shd w:val="clear" w:color="auto" w:fill="auto"/>
          </w:tcPr>
          <w:p w14:paraId="696B385C" w14:textId="77777777" w:rsidR="00321C6C" w:rsidRPr="00463324" w:rsidRDefault="00321C6C" w:rsidP="00463324">
            <w:pPr>
              <w:pStyle w:val="TableText"/>
              <w:rPr>
                <w:rStyle w:val="Strong"/>
              </w:rPr>
            </w:pPr>
          </w:p>
        </w:tc>
        <w:tc>
          <w:tcPr>
            <w:tcW w:w="392" w:type="pct"/>
            <w:vMerge/>
          </w:tcPr>
          <w:p w14:paraId="515E20E0" w14:textId="77777777" w:rsidR="00321C6C" w:rsidRPr="00463324" w:rsidRDefault="00321C6C" w:rsidP="00463324">
            <w:pPr>
              <w:pStyle w:val="TableText"/>
            </w:pPr>
          </w:p>
        </w:tc>
        <w:tc>
          <w:tcPr>
            <w:tcW w:w="733" w:type="pct"/>
            <w:shd w:val="clear" w:color="auto" w:fill="auto"/>
          </w:tcPr>
          <w:p w14:paraId="23200A18" w14:textId="77777777" w:rsidR="00321C6C" w:rsidRPr="00463324" w:rsidRDefault="00321C6C" w:rsidP="00463324">
            <w:pPr>
              <w:pStyle w:val="TableText"/>
            </w:pPr>
            <w:r w:rsidRPr="00463324">
              <w:t xml:space="preserve">Overbank flows: &gt;5,400 ML/day any time for 2 days </w:t>
            </w:r>
          </w:p>
        </w:tc>
        <w:tc>
          <w:tcPr>
            <w:tcW w:w="338" w:type="pct"/>
            <w:shd w:val="clear" w:color="auto" w:fill="auto"/>
          </w:tcPr>
          <w:p w14:paraId="1F2FF098" w14:textId="77777777" w:rsidR="00321C6C" w:rsidRPr="00463324" w:rsidRDefault="00321C6C" w:rsidP="00463324">
            <w:pPr>
              <w:pStyle w:val="TableText"/>
            </w:pPr>
            <w:r w:rsidRPr="00463324">
              <w:t>4 to 5 years in 10</w:t>
            </w:r>
          </w:p>
          <w:p w14:paraId="0D2DC1B3" w14:textId="77777777" w:rsidR="00321C6C" w:rsidRPr="00463324" w:rsidRDefault="00321C6C" w:rsidP="00463324">
            <w:pPr>
              <w:pStyle w:val="TableText"/>
            </w:pPr>
            <w:r w:rsidRPr="00463324">
              <w:t>(Maximum dry interval nine years)</w:t>
            </w:r>
          </w:p>
        </w:tc>
        <w:tc>
          <w:tcPr>
            <w:tcW w:w="2806" w:type="pct"/>
            <w:shd w:val="clear" w:color="auto" w:fill="auto"/>
          </w:tcPr>
          <w:p w14:paraId="2F6CB8A2" w14:textId="03896869" w:rsidR="00321C6C" w:rsidRPr="00463324" w:rsidRDefault="00321C6C" w:rsidP="00463324">
            <w:pPr>
              <w:pStyle w:val="TableText"/>
            </w:pPr>
            <w:r w:rsidRPr="00463324">
              <w:t>Met in 4 out of the last 10 years, including 2019–20 but not met in 2020–21. Moderate demand in 2021–22 reducing to low in 2022–23 if watering occurs.</w:t>
            </w:r>
          </w:p>
        </w:tc>
        <w:tc>
          <w:tcPr>
            <w:tcW w:w="439" w:type="pct"/>
            <w:shd w:val="clear" w:color="auto" w:fill="FDF4C7"/>
            <w:vAlign w:val="center"/>
          </w:tcPr>
          <w:p w14:paraId="3F7D388D" w14:textId="4A4877E5" w:rsidR="00321C6C" w:rsidRPr="00463324" w:rsidRDefault="00321C6C" w:rsidP="00463324">
            <w:pPr>
              <w:pStyle w:val="TableText"/>
              <w:jc w:val="center"/>
            </w:pPr>
            <w:r w:rsidRPr="00463324">
              <w:t>Moderate</w:t>
            </w:r>
          </w:p>
        </w:tc>
      </w:tr>
      <w:tr w:rsidR="00321C6C" w:rsidRPr="006424A3" w14:paraId="07F5BFAE" w14:textId="77777777" w:rsidTr="00FB7C79">
        <w:trPr>
          <w:trHeight w:val="1251"/>
        </w:trPr>
        <w:tc>
          <w:tcPr>
            <w:tcW w:w="292" w:type="pct"/>
            <w:vMerge w:val="restart"/>
            <w:shd w:val="clear" w:color="auto" w:fill="auto"/>
          </w:tcPr>
          <w:p w14:paraId="239ECFF2" w14:textId="72531AD5" w:rsidR="00321C6C" w:rsidRPr="00463324" w:rsidRDefault="00321C6C" w:rsidP="00463324">
            <w:pPr>
              <w:pStyle w:val="TableText"/>
              <w:rPr>
                <w:rStyle w:val="Strong"/>
              </w:rPr>
            </w:pPr>
            <w:r w:rsidRPr="00463324">
              <w:rPr>
                <w:rStyle w:val="Strong"/>
              </w:rPr>
              <w:t>Warrego River (</w:t>
            </w:r>
            <w:proofErr w:type="spellStart"/>
            <w:r w:rsidRPr="00463324">
              <w:rPr>
                <w:rStyle w:val="Strong"/>
              </w:rPr>
              <w:t>Boera</w:t>
            </w:r>
            <w:proofErr w:type="spellEnd"/>
            <w:r w:rsidRPr="00463324">
              <w:rPr>
                <w:rStyle w:val="Strong"/>
              </w:rPr>
              <w:t xml:space="preserve"> Dam to Darling)</w:t>
            </w:r>
          </w:p>
        </w:tc>
        <w:tc>
          <w:tcPr>
            <w:tcW w:w="392" w:type="pct"/>
            <w:vMerge w:val="restart"/>
          </w:tcPr>
          <w:p w14:paraId="1E9C2CF1" w14:textId="77777777" w:rsidR="00321C6C" w:rsidRPr="00463324" w:rsidRDefault="00321C6C" w:rsidP="00463324">
            <w:pPr>
              <w:pStyle w:val="TableText"/>
            </w:pPr>
            <w:r w:rsidRPr="00463324">
              <w:t>Refuge habitat (waterbirds, frogs, fish)</w:t>
            </w:r>
          </w:p>
          <w:p w14:paraId="6874CB9A" w14:textId="77777777" w:rsidR="00321C6C" w:rsidRPr="00463324" w:rsidRDefault="00321C6C" w:rsidP="00463324">
            <w:pPr>
              <w:pStyle w:val="TableText"/>
            </w:pPr>
            <w:r w:rsidRPr="00463324">
              <w:t>Instream aquatic ecosystems</w:t>
            </w:r>
          </w:p>
          <w:p w14:paraId="63B3B9AC" w14:textId="77777777" w:rsidR="00321C6C" w:rsidRPr="00463324" w:rsidRDefault="00321C6C" w:rsidP="00463324">
            <w:pPr>
              <w:pStyle w:val="TableText"/>
            </w:pPr>
            <w:r w:rsidRPr="00463324">
              <w:t>Riparian vegetation</w:t>
            </w:r>
          </w:p>
          <w:p w14:paraId="00E6D674" w14:textId="77777777" w:rsidR="00321C6C" w:rsidRPr="00463324" w:rsidRDefault="00321C6C" w:rsidP="00463324">
            <w:pPr>
              <w:pStyle w:val="TableText"/>
            </w:pPr>
            <w:r w:rsidRPr="00463324">
              <w:t>In-stream aquatic ecosystems</w:t>
            </w:r>
          </w:p>
          <w:p w14:paraId="32BDC0E3" w14:textId="77777777" w:rsidR="00321C6C" w:rsidRPr="00463324" w:rsidRDefault="00321C6C" w:rsidP="00463324">
            <w:pPr>
              <w:pStyle w:val="TableText"/>
            </w:pPr>
            <w:r w:rsidRPr="00463324">
              <w:t>Fish connectivity and movement</w:t>
            </w:r>
          </w:p>
          <w:p w14:paraId="349D8667" w14:textId="77777777" w:rsidR="00321C6C" w:rsidRPr="00463324" w:rsidRDefault="00321C6C" w:rsidP="00463324">
            <w:pPr>
              <w:pStyle w:val="TableText"/>
            </w:pPr>
            <w:r w:rsidRPr="00463324">
              <w:t>Riparian vegetation</w:t>
            </w:r>
          </w:p>
        </w:tc>
        <w:tc>
          <w:tcPr>
            <w:tcW w:w="733" w:type="pct"/>
            <w:shd w:val="clear" w:color="auto" w:fill="auto"/>
          </w:tcPr>
          <w:p w14:paraId="1A39FCC4" w14:textId="77777777" w:rsidR="00321C6C" w:rsidRPr="00463324" w:rsidRDefault="00321C6C" w:rsidP="00463324">
            <w:pPr>
              <w:pStyle w:val="TableText"/>
            </w:pPr>
            <w:r w:rsidRPr="00463324">
              <w:t>Flows to replenish refuges and connect to the Darling River.</w:t>
            </w:r>
          </w:p>
        </w:tc>
        <w:tc>
          <w:tcPr>
            <w:tcW w:w="338" w:type="pct"/>
            <w:shd w:val="clear" w:color="auto" w:fill="auto"/>
          </w:tcPr>
          <w:p w14:paraId="3DA2B725" w14:textId="77777777" w:rsidR="00321C6C" w:rsidRPr="00463324" w:rsidRDefault="00321C6C" w:rsidP="00463324">
            <w:pPr>
              <w:pStyle w:val="TableText"/>
            </w:pPr>
            <w:r w:rsidRPr="00463324">
              <w:t>Annually</w:t>
            </w:r>
          </w:p>
          <w:p w14:paraId="2658D0A9" w14:textId="77777777" w:rsidR="00321C6C" w:rsidRPr="00463324" w:rsidRDefault="00321C6C" w:rsidP="00463324">
            <w:pPr>
              <w:pStyle w:val="TableText"/>
            </w:pPr>
            <w:r w:rsidRPr="00463324">
              <w:t>(Maximum dry interval one year)</w:t>
            </w:r>
          </w:p>
        </w:tc>
        <w:tc>
          <w:tcPr>
            <w:tcW w:w="2806" w:type="pct"/>
            <w:shd w:val="clear" w:color="auto" w:fill="auto"/>
          </w:tcPr>
          <w:p w14:paraId="3849A6D5" w14:textId="06D626F2" w:rsidR="00321C6C" w:rsidRPr="00463324" w:rsidRDefault="00321C6C" w:rsidP="00463324">
            <w:pPr>
              <w:pStyle w:val="TableText"/>
            </w:pPr>
            <w:r w:rsidRPr="00463324">
              <w:t>Met every year except 2012–13. Required annually, therefore high demand in 2021–22, remaining high in 2022–23 if watering occurs.</w:t>
            </w:r>
          </w:p>
        </w:tc>
        <w:tc>
          <w:tcPr>
            <w:tcW w:w="439" w:type="pct"/>
            <w:shd w:val="clear" w:color="auto" w:fill="E5B8B7" w:themeFill="accent2" w:themeFillTint="66"/>
            <w:vAlign w:val="center"/>
          </w:tcPr>
          <w:p w14:paraId="159C97A7" w14:textId="460112F1" w:rsidR="00321C6C" w:rsidRPr="00463324" w:rsidRDefault="00321C6C" w:rsidP="00463324">
            <w:pPr>
              <w:pStyle w:val="TableText"/>
              <w:jc w:val="center"/>
            </w:pPr>
            <w:r w:rsidRPr="00463324">
              <w:t>High</w:t>
            </w:r>
          </w:p>
        </w:tc>
      </w:tr>
      <w:tr w:rsidR="00321C6C" w:rsidRPr="006424A3" w14:paraId="7D5B3128" w14:textId="77777777" w:rsidTr="00FB7C79">
        <w:trPr>
          <w:trHeight w:val="961"/>
        </w:trPr>
        <w:tc>
          <w:tcPr>
            <w:tcW w:w="292" w:type="pct"/>
            <w:vMerge/>
            <w:shd w:val="clear" w:color="auto" w:fill="auto"/>
          </w:tcPr>
          <w:p w14:paraId="79C7214B" w14:textId="77777777" w:rsidR="00321C6C" w:rsidRPr="00463324" w:rsidRDefault="00321C6C" w:rsidP="00463324">
            <w:pPr>
              <w:pStyle w:val="TableText"/>
              <w:rPr>
                <w:rStyle w:val="Strong"/>
              </w:rPr>
            </w:pPr>
          </w:p>
        </w:tc>
        <w:tc>
          <w:tcPr>
            <w:tcW w:w="392" w:type="pct"/>
            <w:vMerge/>
          </w:tcPr>
          <w:p w14:paraId="67552517" w14:textId="77777777" w:rsidR="00321C6C" w:rsidRPr="00463324" w:rsidRDefault="00321C6C" w:rsidP="00463324">
            <w:pPr>
              <w:pStyle w:val="TableText"/>
            </w:pPr>
          </w:p>
        </w:tc>
        <w:tc>
          <w:tcPr>
            <w:tcW w:w="733" w:type="pct"/>
            <w:shd w:val="clear" w:color="auto" w:fill="auto"/>
          </w:tcPr>
          <w:p w14:paraId="487CE475" w14:textId="77777777" w:rsidR="00321C6C" w:rsidRPr="00463324" w:rsidRDefault="00321C6C" w:rsidP="00463324">
            <w:pPr>
              <w:pStyle w:val="TableText"/>
            </w:pPr>
            <w:r w:rsidRPr="00463324">
              <w:t>In-channel flows: Up to 600 ML/day for minimum 10 days to enable fish passage and movement</w:t>
            </w:r>
          </w:p>
        </w:tc>
        <w:tc>
          <w:tcPr>
            <w:tcW w:w="338" w:type="pct"/>
            <w:shd w:val="clear" w:color="auto" w:fill="auto"/>
          </w:tcPr>
          <w:p w14:paraId="7A553511" w14:textId="77777777" w:rsidR="00321C6C" w:rsidRPr="00463324" w:rsidRDefault="00321C6C" w:rsidP="00463324">
            <w:pPr>
              <w:pStyle w:val="TableText"/>
            </w:pPr>
            <w:r w:rsidRPr="00463324">
              <w:t>Ideally: 5 to 10 in 10 years</w:t>
            </w:r>
          </w:p>
          <w:p w14:paraId="31E1C1D7" w14:textId="77777777" w:rsidR="00321C6C" w:rsidRPr="00463324" w:rsidRDefault="00321C6C" w:rsidP="00463324">
            <w:pPr>
              <w:pStyle w:val="TableText"/>
            </w:pPr>
            <w:r w:rsidRPr="00463324">
              <w:t>(Maximum dry interval two years)</w:t>
            </w:r>
          </w:p>
        </w:tc>
        <w:tc>
          <w:tcPr>
            <w:tcW w:w="2806" w:type="pct"/>
            <w:shd w:val="clear" w:color="auto" w:fill="auto"/>
          </w:tcPr>
          <w:p w14:paraId="3CD627E7" w14:textId="58F04F19" w:rsidR="00321C6C" w:rsidRPr="00463324" w:rsidRDefault="00321C6C" w:rsidP="00463324">
            <w:pPr>
              <w:pStyle w:val="TableText"/>
            </w:pPr>
            <w:r w:rsidRPr="00463324">
              <w:t>Met every year except 2012–13. Moderate environmental demand in 2021–22, moving to low in 2022–23 if watering occurs.</w:t>
            </w:r>
          </w:p>
        </w:tc>
        <w:tc>
          <w:tcPr>
            <w:tcW w:w="439" w:type="pct"/>
            <w:shd w:val="clear" w:color="auto" w:fill="FDF4C7"/>
            <w:vAlign w:val="center"/>
          </w:tcPr>
          <w:p w14:paraId="5A62C206" w14:textId="1C0E82A2" w:rsidR="00321C6C" w:rsidRPr="00463324" w:rsidRDefault="00321C6C" w:rsidP="00463324">
            <w:pPr>
              <w:pStyle w:val="TableText"/>
              <w:jc w:val="center"/>
            </w:pPr>
            <w:r w:rsidRPr="00463324">
              <w:t>Moderate</w:t>
            </w:r>
          </w:p>
        </w:tc>
      </w:tr>
      <w:tr w:rsidR="00321C6C" w:rsidRPr="006424A3" w14:paraId="1CB9C022" w14:textId="77777777" w:rsidTr="00FB7C79">
        <w:trPr>
          <w:trHeight w:val="651"/>
        </w:trPr>
        <w:tc>
          <w:tcPr>
            <w:tcW w:w="292" w:type="pct"/>
            <w:vMerge w:val="restart"/>
            <w:shd w:val="clear" w:color="auto" w:fill="auto"/>
          </w:tcPr>
          <w:p w14:paraId="2E79C358" w14:textId="77777777" w:rsidR="00321C6C" w:rsidRPr="00463324" w:rsidRDefault="00321C6C" w:rsidP="00463324">
            <w:pPr>
              <w:pStyle w:val="TableText"/>
              <w:rPr>
                <w:rStyle w:val="Strong"/>
              </w:rPr>
            </w:pPr>
            <w:proofErr w:type="spellStart"/>
            <w:r w:rsidRPr="00463324">
              <w:rPr>
                <w:rStyle w:val="Strong"/>
              </w:rPr>
              <w:t>Toorale</w:t>
            </w:r>
            <w:proofErr w:type="spellEnd"/>
            <w:r w:rsidRPr="00463324">
              <w:rPr>
                <w:rStyle w:val="Strong"/>
              </w:rPr>
              <w:t xml:space="preserve"> Western Floodplain</w:t>
            </w:r>
          </w:p>
        </w:tc>
        <w:tc>
          <w:tcPr>
            <w:tcW w:w="392" w:type="pct"/>
            <w:vMerge w:val="restart"/>
          </w:tcPr>
          <w:p w14:paraId="1047CB88" w14:textId="77777777" w:rsidR="00321C6C" w:rsidRPr="00463324" w:rsidRDefault="00321C6C" w:rsidP="00463324">
            <w:pPr>
              <w:pStyle w:val="TableText"/>
            </w:pPr>
            <w:r w:rsidRPr="00463324">
              <w:t>Wetland and floodplain vegetation</w:t>
            </w:r>
          </w:p>
          <w:p w14:paraId="2D57DB9A" w14:textId="77777777" w:rsidR="00321C6C" w:rsidRPr="00463324" w:rsidRDefault="00321C6C" w:rsidP="00463324">
            <w:pPr>
              <w:pStyle w:val="TableText"/>
            </w:pPr>
            <w:r w:rsidRPr="00463324">
              <w:t xml:space="preserve">Threatened species (Atriplex </w:t>
            </w:r>
            <w:proofErr w:type="spellStart"/>
            <w:r w:rsidRPr="00463324">
              <w:t>infrequens</w:t>
            </w:r>
            <w:proofErr w:type="spellEnd"/>
            <w:r w:rsidRPr="00463324">
              <w:t xml:space="preserve">, </w:t>
            </w:r>
            <w:proofErr w:type="spellStart"/>
            <w:r w:rsidRPr="00463324">
              <w:t>Dentella</w:t>
            </w:r>
            <w:proofErr w:type="spellEnd"/>
            <w:r w:rsidRPr="00463324">
              <w:t xml:space="preserve"> </w:t>
            </w:r>
            <w:proofErr w:type="spellStart"/>
            <w:r w:rsidRPr="00463324">
              <w:t>minutissima</w:t>
            </w:r>
            <w:proofErr w:type="spellEnd"/>
            <w:r w:rsidRPr="00463324">
              <w:t xml:space="preserve">, and </w:t>
            </w:r>
            <w:proofErr w:type="spellStart"/>
            <w:r w:rsidRPr="00463324">
              <w:t>Osteocarpum</w:t>
            </w:r>
            <w:proofErr w:type="spellEnd"/>
            <w:r w:rsidRPr="00463324">
              <w:t xml:space="preserve"> </w:t>
            </w:r>
            <w:proofErr w:type="spellStart"/>
            <w:r w:rsidRPr="00463324">
              <w:t>scleropterum</w:t>
            </w:r>
            <w:proofErr w:type="spellEnd"/>
            <w:r w:rsidRPr="00463324">
              <w:t xml:space="preserve">) and ecological communities such as </w:t>
            </w:r>
            <w:proofErr w:type="spellStart"/>
            <w:r w:rsidRPr="00463324">
              <w:t>coolibah-blackbox</w:t>
            </w:r>
            <w:proofErr w:type="spellEnd"/>
            <w:r w:rsidRPr="00463324">
              <w:t xml:space="preserve"> woodland</w:t>
            </w:r>
          </w:p>
          <w:p w14:paraId="1E906975" w14:textId="77777777" w:rsidR="00321C6C" w:rsidRPr="00463324" w:rsidRDefault="00321C6C" w:rsidP="00463324">
            <w:pPr>
              <w:pStyle w:val="TableText"/>
            </w:pPr>
            <w:r w:rsidRPr="00463324">
              <w:t>Migratory birds (</w:t>
            </w:r>
            <w:proofErr w:type="gramStart"/>
            <w:r w:rsidRPr="00463324">
              <w:t>e.g.</w:t>
            </w:r>
            <w:proofErr w:type="gramEnd"/>
            <w:r w:rsidRPr="00463324">
              <w:t xml:space="preserve"> Eastern great egret; glossy ibis; oriental </w:t>
            </w:r>
            <w:proofErr w:type="spellStart"/>
            <w:r w:rsidRPr="00463324">
              <w:t>pranticole</w:t>
            </w:r>
            <w:proofErr w:type="spellEnd"/>
            <w:r w:rsidRPr="00463324">
              <w:t>; rainbow bee-eater)</w:t>
            </w:r>
          </w:p>
          <w:p w14:paraId="252A5E0F" w14:textId="77777777" w:rsidR="00321C6C" w:rsidRPr="00463324" w:rsidRDefault="00321C6C" w:rsidP="00463324">
            <w:pPr>
              <w:pStyle w:val="TableText"/>
              <w:rPr>
                <w:rStyle w:val="Strong"/>
                <w:b w:val="0"/>
                <w:bCs w:val="0"/>
              </w:rPr>
            </w:pPr>
            <w:r w:rsidRPr="00463324">
              <w:t>Native fish nursery and frog habitat</w:t>
            </w:r>
          </w:p>
        </w:tc>
        <w:tc>
          <w:tcPr>
            <w:tcW w:w="733" w:type="pct"/>
            <w:shd w:val="clear" w:color="auto" w:fill="auto"/>
          </w:tcPr>
          <w:p w14:paraId="656733E6" w14:textId="77777777" w:rsidR="00321C6C" w:rsidRPr="00463324" w:rsidRDefault="00321C6C" w:rsidP="00463324">
            <w:pPr>
              <w:pStyle w:val="TableText"/>
            </w:pPr>
            <w:r w:rsidRPr="00463324">
              <w:t xml:space="preserve">Wetland inundating </w:t>
            </w:r>
            <w:proofErr w:type="gramStart"/>
            <w:r w:rsidRPr="00463324">
              <w:t>flow(</w:t>
            </w:r>
            <w:proofErr w:type="gramEnd"/>
            <w:r w:rsidRPr="00463324">
              <w:t xml:space="preserve">WL1) Minor inundation: Cumulative volume 7,000 ML past Fords Bridge (combined) over 30 days (anytime). Minor inundation to inundate vegetation such as lignum, </w:t>
            </w:r>
            <w:proofErr w:type="spellStart"/>
            <w:r w:rsidRPr="00463324">
              <w:t>coolibah</w:t>
            </w:r>
            <w:proofErr w:type="spellEnd"/>
            <w:r w:rsidRPr="00463324">
              <w:t>, river cooba, chenopod, forbs</w:t>
            </w:r>
            <w:r w:rsidRPr="00463324">
              <w:rPr>
                <w:rStyle w:val="CommentReference"/>
                <w:sz w:val="18"/>
                <w:szCs w:val="22"/>
              </w:rPr>
              <w:t>.</w:t>
            </w:r>
          </w:p>
          <w:p w14:paraId="433EDF36" w14:textId="77777777" w:rsidR="00321C6C" w:rsidRPr="00463324" w:rsidRDefault="00321C6C" w:rsidP="00463324">
            <w:pPr>
              <w:pStyle w:val="TableText"/>
            </w:pPr>
            <w:r w:rsidRPr="00463324">
              <w:t>Northern and Central parts of the floodplain</w:t>
            </w:r>
          </w:p>
          <w:p w14:paraId="5E060098" w14:textId="77777777" w:rsidR="00321C6C" w:rsidRPr="00463324" w:rsidRDefault="00321C6C" w:rsidP="00463324">
            <w:pPr>
              <w:pStyle w:val="TableText"/>
              <w:rPr>
                <w:rStyle w:val="Strong"/>
                <w:b w:val="0"/>
                <w:bCs w:val="0"/>
              </w:rPr>
            </w:pPr>
            <w:r w:rsidRPr="00463324">
              <w:t>(2,420 ha)</w:t>
            </w:r>
          </w:p>
        </w:tc>
        <w:tc>
          <w:tcPr>
            <w:tcW w:w="338" w:type="pct"/>
            <w:shd w:val="clear" w:color="auto" w:fill="auto"/>
          </w:tcPr>
          <w:p w14:paraId="2D4E4CB2" w14:textId="77777777" w:rsidR="00321C6C" w:rsidRPr="00463324" w:rsidRDefault="00321C6C" w:rsidP="00463324">
            <w:pPr>
              <w:pStyle w:val="TableText"/>
            </w:pPr>
            <w:r w:rsidRPr="00463324">
              <w:t>Preferably: 1 to 1.5 years (lignum); One to three years (river cooba, river red gum, black box);</w:t>
            </w:r>
          </w:p>
          <w:p w14:paraId="02D5E007" w14:textId="491B09A8" w:rsidR="00321C6C" w:rsidRPr="00463324" w:rsidRDefault="00321C6C" w:rsidP="00463324">
            <w:pPr>
              <w:pStyle w:val="TableText"/>
            </w:pPr>
            <w:r w:rsidRPr="00463324">
              <w:t>7 to 15 years (</w:t>
            </w:r>
            <w:proofErr w:type="spellStart"/>
            <w:r w:rsidRPr="00463324">
              <w:t>Coolibah</w:t>
            </w:r>
            <w:proofErr w:type="spellEnd"/>
            <w:r w:rsidRPr="00463324">
              <w:t>).</w:t>
            </w:r>
          </w:p>
          <w:p w14:paraId="62002ABB" w14:textId="10E9E91F" w:rsidR="00321C6C" w:rsidRPr="00463324" w:rsidRDefault="00321C6C" w:rsidP="00463324">
            <w:pPr>
              <w:pStyle w:val="TableText"/>
            </w:pPr>
            <w:r w:rsidRPr="00463324">
              <w:t>5 to 10 years in 10</w:t>
            </w:r>
          </w:p>
          <w:p w14:paraId="3B743EFF" w14:textId="77777777" w:rsidR="00321C6C" w:rsidRPr="00463324" w:rsidRDefault="00321C6C" w:rsidP="00463324">
            <w:pPr>
              <w:pStyle w:val="TableText"/>
              <w:rPr>
                <w:rStyle w:val="Strong"/>
                <w:b w:val="0"/>
                <w:bCs w:val="0"/>
              </w:rPr>
            </w:pPr>
            <w:r w:rsidRPr="00463324">
              <w:t>(Maximum dry interval 2 years)</w:t>
            </w:r>
          </w:p>
        </w:tc>
        <w:tc>
          <w:tcPr>
            <w:tcW w:w="2806" w:type="pct"/>
            <w:shd w:val="clear" w:color="auto" w:fill="auto"/>
          </w:tcPr>
          <w:p w14:paraId="75A19F2A" w14:textId="1335B316" w:rsidR="00321C6C" w:rsidRPr="00463324" w:rsidRDefault="00321C6C" w:rsidP="00463324">
            <w:pPr>
              <w:pStyle w:val="TableText"/>
              <w:rPr>
                <w:rStyle w:val="Strong"/>
                <w:b w:val="0"/>
                <w:bCs w:val="0"/>
              </w:rPr>
            </w:pPr>
            <w:r w:rsidRPr="00463324">
              <w:t xml:space="preserve">Met in 5 out of the last 10 years, including 2018–19 and 2019–20. Not met in 2020–21. Cumulative volume past Fords Bridge combined between 3 April and 3 May 2021 was almost 12 gigalitres, however </w:t>
            </w:r>
            <w:proofErr w:type="gramStart"/>
            <w:r w:rsidRPr="00463324">
              <w:t>all of</w:t>
            </w:r>
            <w:proofErr w:type="gramEnd"/>
            <w:r w:rsidRPr="00463324">
              <w:t xml:space="preserve"> this water was passed through </w:t>
            </w:r>
            <w:proofErr w:type="spellStart"/>
            <w:r w:rsidRPr="00463324">
              <w:t>Boera</w:t>
            </w:r>
            <w:proofErr w:type="spellEnd"/>
            <w:r w:rsidRPr="00463324">
              <w:t xml:space="preserve"> Dam, meaning minimal wetland inundation occurred (Paul Frazier [2 Rog Consulting] 2021, pers. comm. 11 May). High environmental demand in 2021–22, moving to moderate in 2022–23 if watering occurs.</w:t>
            </w:r>
          </w:p>
        </w:tc>
        <w:tc>
          <w:tcPr>
            <w:tcW w:w="439" w:type="pct"/>
            <w:shd w:val="clear" w:color="auto" w:fill="E5B8B7" w:themeFill="accent2" w:themeFillTint="66"/>
            <w:vAlign w:val="center"/>
          </w:tcPr>
          <w:p w14:paraId="7FF21785" w14:textId="44E885EB" w:rsidR="00321C6C" w:rsidRPr="00463324" w:rsidRDefault="00321C6C" w:rsidP="00463324">
            <w:pPr>
              <w:pStyle w:val="TableText"/>
              <w:jc w:val="center"/>
              <w:rPr>
                <w:rStyle w:val="Strong"/>
                <w:b w:val="0"/>
                <w:bCs w:val="0"/>
              </w:rPr>
            </w:pPr>
            <w:r w:rsidRPr="00463324">
              <w:t>High</w:t>
            </w:r>
          </w:p>
        </w:tc>
      </w:tr>
      <w:tr w:rsidR="00321C6C" w:rsidRPr="006424A3" w14:paraId="6A3E5ADB" w14:textId="77777777" w:rsidTr="00FB7C79">
        <w:trPr>
          <w:trHeight w:val="648"/>
        </w:trPr>
        <w:tc>
          <w:tcPr>
            <w:tcW w:w="292" w:type="pct"/>
            <w:vMerge/>
            <w:shd w:val="clear" w:color="auto" w:fill="auto"/>
          </w:tcPr>
          <w:p w14:paraId="1D0C933F" w14:textId="77777777" w:rsidR="00321C6C" w:rsidRPr="00463324" w:rsidRDefault="00321C6C" w:rsidP="00463324">
            <w:pPr>
              <w:pStyle w:val="TableText"/>
              <w:rPr>
                <w:rStyle w:val="Strong"/>
              </w:rPr>
            </w:pPr>
          </w:p>
        </w:tc>
        <w:tc>
          <w:tcPr>
            <w:tcW w:w="392" w:type="pct"/>
            <w:vMerge/>
          </w:tcPr>
          <w:p w14:paraId="0679A8E3" w14:textId="77777777" w:rsidR="00321C6C" w:rsidRPr="00463324" w:rsidRDefault="00321C6C" w:rsidP="00463324">
            <w:pPr>
              <w:pStyle w:val="TableText"/>
              <w:rPr>
                <w:rStyle w:val="Strong"/>
                <w:b w:val="0"/>
                <w:bCs w:val="0"/>
              </w:rPr>
            </w:pPr>
          </w:p>
        </w:tc>
        <w:tc>
          <w:tcPr>
            <w:tcW w:w="733" w:type="pct"/>
            <w:shd w:val="clear" w:color="auto" w:fill="auto"/>
          </w:tcPr>
          <w:p w14:paraId="0450CD82" w14:textId="77777777" w:rsidR="00321C6C" w:rsidRPr="00463324" w:rsidRDefault="00321C6C" w:rsidP="00463324">
            <w:pPr>
              <w:pStyle w:val="TableText"/>
            </w:pPr>
            <w:r w:rsidRPr="00463324">
              <w:t>Wetland inundating flow (WL2) – half inundation: Cumulative volume 16,000 ML past Fords Bridge combined over 30 days.</w:t>
            </w:r>
          </w:p>
          <w:p w14:paraId="2AE89AD1" w14:textId="77777777" w:rsidR="00321C6C" w:rsidRPr="00463324" w:rsidRDefault="00321C6C" w:rsidP="00463324">
            <w:pPr>
              <w:pStyle w:val="TableText"/>
            </w:pPr>
            <w:r w:rsidRPr="00463324">
              <w:t xml:space="preserve">Inundation of around half the floodplain to inundate vegetation such as lignum, </w:t>
            </w:r>
            <w:proofErr w:type="spellStart"/>
            <w:r w:rsidRPr="00463324">
              <w:t>coolibah</w:t>
            </w:r>
            <w:proofErr w:type="spellEnd"/>
            <w:r w:rsidRPr="00463324">
              <w:t>, river cooba, chenopod, forbs.</w:t>
            </w:r>
          </w:p>
          <w:p w14:paraId="38880C4F" w14:textId="77777777" w:rsidR="00321C6C" w:rsidRPr="00463324" w:rsidRDefault="00321C6C" w:rsidP="00463324">
            <w:pPr>
              <w:pStyle w:val="TableText"/>
              <w:rPr>
                <w:rStyle w:val="Strong"/>
                <w:b w:val="0"/>
                <w:bCs w:val="0"/>
              </w:rPr>
            </w:pPr>
            <w:r w:rsidRPr="00463324">
              <w:t>(4,459</w:t>
            </w:r>
            <w:r w:rsidRPr="00463324">
              <w:rPr>
                <w:rFonts w:ascii="Times New Roman" w:hAnsi="Times New Roman" w:cs="Times New Roman"/>
              </w:rPr>
              <w:t>‬</w:t>
            </w:r>
            <w:r w:rsidRPr="00463324">
              <w:t xml:space="preserve"> ha)</w:t>
            </w:r>
          </w:p>
        </w:tc>
        <w:tc>
          <w:tcPr>
            <w:tcW w:w="338" w:type="pct"/>
            <w:shd w:val="clear" w:color="auto" w:fill="auto"/>
          </w:tcPr>
          <w:p w14:paraId="564CF802" w14:textId="77777777" w:rsidR="00321C6C" w:rsidRPr="00463324" w:rsidRDefault="00321C6C" w:rsidP="00463324">
            <w:pPr>
              <w:pStyle w:val="TableText"/>
            </w:pPr>
            <w:r w:rsidRPr="00463324">
              <w:t>Anytime</w:t>
            </w:r>
          </w:p>
          <w:p w14:paraId="61D33F3D" w14:textId="77777777" w:rsidR="00321C6C" w:rsidRPr="00463324" w:rsidRDefault="00321C6C" w:rsidP="00463324">
            <w:pPr>
              <w:pStyle w:val="TableText"/>
            </w:pPr>
            <w:r w:rsidRPr="00463324">
              <w:t>Ideally: 4 to 8 in 10 years</w:t>
            </w:r>
          </w:p>
          <w:p w14:paraId="002DF130" w14:textId="77777777" w:rsidR="00321C6C" w:rsidRPr="00463324" w:rsidRDefault="00321C6C" w:rsidP="00463324">
            <w:pPr>
              <w:pStyle w:val="TableText"/>
              <w:rPr>
                <w:rStyle w:val="Strong"/>
                <w:b w:val="0"/>
                <w:bCs w:val="0"/>
              </w:rPr>
            </w:pPr>
            <w:r w:rsidRPr="00463324">
              <w:t>(Maximum dry interval 3 years)</w:t>
            </w:r>
          </w:p>
        </w:tc>
        <w:tc>
          <w:tcPr>
            <w:tcW w:w="2806" w:type="pct"/>
            <w:shd w:val="clear" w:color="auto" w:fill="auto"/>
          </w:tcPr>
          <w:p w14:paraId="7D8A72BC" w14:textId="389FC9DC" w:rsidR="00321C6C" w:rsidRPr="00463324" w:rsidRDefault="00321C6C" w:rsidP="00463324">
            <w:pPr>
              <w:pStyle w:val="TableText"/>
              <w:rPr>
                <w:rStyle w:val="Strong"/>
                <w:b w:val="0"/>
                <w:bCs w:val="0"/>
              </w:rPr>
            </w:pPr>
            <w:r w:rsidRPr="00463324">
              <w:t>Met or partially met in five out of the last 10 years, including in 2018–19 and 2019–20. Not met in 2020–21. Moderate environmental demand in 2021–22.</w:t>
            </w:r>
          </w:p>
        </w:tc>
        <w:tc>
          <w:tcPr>
            <w:tcW w:w="439" w:type="pct"/>
            <w:shd w:val="clear" w:color="auto" w:fill="FDF4C7"/>
            <w:vAlign w:val="center"/>
          </w:tcPr>
          <w:p w14:paraId="612B8F1F" w14:textId="54AD4208" w:rsidR="00321C6C" w:rsidRPr="00463324" w:rsidRDefault="00321C6C" w:rsidP="00463324">
            <w:pPr>
              <w:pStyle w:val="TableText"/>
              <w:jc w:val="center"/>
            </w:pPr>
            <w:r w:rsidRPr="00463324">
              <w:t>Moderate</w:t>
            </w:r>
          </w:p>
        </w:tc>
      </w:tr>
      <w:tr w:rsidR="00321C6C" w:rsidRPr="006424A3" w14:paraId="630BD3F3" w14:textId="77777777" w:rsidTr="00FB7C79">
        <w:trPr>
          <w:trHeight w:val="648"/>
        </w:trPr>
        <w:tc>
          <w:tcPr>
            <w:tcW w:w="292" w:type="pct"/>
            <w:vMerge/>
            <w:shd w:val="clear" w:color="auto" w:fill="auto"/>
          </w:tcPr>
          <w:p w14:paraId="75307E70" w14:textId="77777777" w:rsidR="00321C6C" w:rsidRPr="00463324" w:rsidRDefault="00321C6C" w:rsidP="00463324">
            <w:pPr>
              <w:pStyle w:val="TableText"/>
              <w:rPr>
                <w:rStyle w:val="Strong"/>
              </w:rPr>
            </w:pPr>
          </w:p>
        </w:tc>
        <w:tc>
          <w:tcPr>
            <w:tcW w:w="392" w:type="pct"/>
            <w:vMerge/>
          </w:tcPr>
          <w:p w14:paraId="606F8AB1" w14:textId="77777777" w:rsidR="00321C6C" w:rsidRPr="005926C0" w:rsidRDefault="00321C6C" w:rsidP="00D83EC9">
            <w:pPr>
              <w:pStyle w:val="TableText"/>
              <w:rPr>
                <w:rStyle w:val="Strong"/>
                <w:rFonts w:asciiTheme="minorHAnsi" w:hAnsiTheme="minorHAnsi" w:cstheme="minorHAnsi"/>
                <w:b w:val="0"/>
                <w:bCs w:val="0"/>
              </w:rPr>
            </w:pPr>
          </w:p>
        </w:tc>
        <w:tc>
          <w:tcPr>
            <w:tcW w:w="733" w:type="pct"/>
            <w:shd w:val="clear" w:color="auto" w:fill="auto"/>
          </w:tcPr>
          <w:p w14:paraId="322899D1" w14:textId="77777777" w:rsidR="00321C6C" w:rsidRPr="005926C0" w:rsidRDefault="00321C6C" w:rsidP="00463324">
            <w:pPr>
              <w:pStyle w:val="TableText"/>
              <w:rPr>
                <w:lang w:eastAsia="en-AU"/>
              </w:rPr>
            </w:pPr>
            <w:r w:rsidRPr="005926C0">
              <w:rPr>
                <w:lang w:eastAsia="en-AU"/>
              </w:rPr>
              <w:t>Wetland inundating flow (WL3) – full inundation: Cumulative volume of 33</w:t>
            </w:r>
            <w:r>
              <w:rPr>
                <w:lang w:eastAsia="en-AU"/>
              </w:rPr>
              <w:t>,</w:t>
            </w:r>
            <w:r w:rsidRPr="005926C0">
              <w:rPr>
                <w:lang w:eastAsia="en-AU"/>
              </w:rPr>
              <w:t xml:space="preserve">000 ML past Fords Bridge combined over 30 days. Inundation of around the full floodplain to inundate vegetation such as lignum, </w:t>
            </w:r>
            <w:proofErr w:type="spellStart"/>
            <w:r w:rsidRPr="005926C0">
              <w:rPr>
                <w:lang w:eastAsia="en-AU"/>
              </w:rPr>
              <w:t>coolibah</w:t>
            </w:r>
            <w:proofErr w:type="spellEnd"/>
            <w:r w:rsidRPr="005926C0">
              <w:rPr>
                <w:lang w:eastAsia="en-AU"/>
              </w:rPr>
              <w:t>, river cooba, chenopod, forbs.</w:t>
            </w:r>
          </w:p>
          <w:p w14:paraId="5AA1C7E2" w14:textId="77777777" w:rsidR="00321C6C" w:rsidRPr="005926C0" w:rsidRDefault="00321C6C" w:rsidP="00463324">
            <w:pPr>
              <w:pStyle w:val="TableText"/>
              <w:rPr>
                <w:lang w:eastAsia="en-AU"/>
              </w:rPr>
            </w:pPr>
            <w:r w:rsidRPr="005926C0">
              <w:rPr>
                <w:lang w:eastAsia="en-AU"/>
              </w:rPr>
              <w:t>(7</w:t>
            </w:r>
            <w:r>
              <w:rPr>
                <w:lang w:eastAsia="en-AU"/>
              </w:rPr>
              <w:t>,</w:t>
            </w:r>
            <w:r w:rsidRPr="005926C0">
              <w:rPr>
                <w:lang w:eastAsia="en-AU"/>
              </w:rPr>
              <w:t>104 ha)</w:t>
            </w:r>
          </w:p>
        </w:tc>
        <w:tc>
          <w:tcPr>
            <w:tcW w:w="338" w:type="pct"/>
            <w:shd w:val="clear" w:color="auto" w:fill="auto"/>
          </w:tcPr>
          <w:p w14:paraId="0B7E0498" w14:textId="77777777" w:rsidR="00321C6C" w:rsidRPr="005926C0" w:rsidRDefault="00321C6C" w:rsidP="00463324">
            <w:pPr>
              <w:pStyle w:val="TableText"/>
              <w:rPr>
                <w:lang w:eastAsia="en-AU"/>
              </w:rPr>
            </w:pPr>
            <w:r w:rsidRPr="005926C0">
              <w:rPr>
                <w:lang w:eastAsia="en-AU"/>
              </w:rPr>
              <w:t>Any time</w:t>
            </w:r>
          </w:p>
          <w:p w14:paraId="7C82E660" w14:textId="77777777" w:rsidR="00321C6C" w:rsidRPr="005926C0" w:rsidRDefault="00321C6C" w:rsidP="00463324">
            <w:pPr>
              <w:pStyle w:val="TableText"/>
              <w:rPr>
                <w:lang w:eastAsia="en-AU"/>
              </w:rPr>
            </w:pPr>
            <w:r w:rsidRPr="005926C0">
              <w:rPr>
                <w:lang w:eastAsia="en-AU"/>
              </w:rPr>
              <w:t xml:space="preserve">Ideally: </w:t>
            </w:r>
            <w:r>
              <w:rPr>
                <w:lang w:eastAsia="en-AU"/>
              </w:rPr>
              <w:t>3</w:t>
            </w:r>
            <w:r w:rsidRPr="005926C0">
              <w:rPr>
                <w:lang w:eastAsia="en-AU"/>
              </w:rPr>
              <w:t xml:space="preserve"> to </w:t>
            </w:r>
            <w:r>
              <w:rPr>
                <w:lang w:eastAsia="en-AU"/>
              </w:rPr>
              <w:t>6</w:t>
            </w:r>
            <w:r w:rsidRPr="005926C0">
              <w:rPr>
                <w:lang w:eastAsia="en-AU"/>
              </w:rPr>
              <w:t xml:space="preserve"> years in 10</w:t>
            </w:r>
          </w:p>
          <w:p w14:paraId="44CCE2B1" w14:textId="77777777" w:rsidR="00321C6C" w:rsidRPr="005926C0" w:rsidRDefault="00321C6C" w:rsidP="00463324">
            <w:pPr>
              <w:pStyle w:val="TableText"/>
              <w:rPr>
                <w:rStyle w:val="Strong"/>
                <w:rFonts w:asciiTheme="minorHAnsi" w:hAnsiTheme="minorHAnsi" w:cstheme="minorHAnsi"/>
                <w:b w:val="0"/>
                <w:bCs w:val="0"/>
              </w:rPr>
            </w:pPr>
            <w:r w:rsidRPr="005926C0">
              <w:rPr>
                <w:lang w:eastAsia="en-AU"/>
              </w:rPr>
              <w:t xml:space="preserve">(Maximum dry interval </w:t>
            </w:r>
            <w:r>
              <w:rPr>
                <w:lang w:eastAsia="en-AU"/>
              </w:rPr>
              <w:t>six</w:t>
            </w:r>
            <w:r w:rsidRPr="005926C0">
              <w:rPr>
                <w:lang w:eastAsia="en-AU"/>
              </w:rPr>
              <w:t xml:space="preserve"> years)</w:t>
            </w:r>
          </w:p>
        </w:tc>
        <w:tc>
          <w:tcPr>
            <w:tcW w:w="2806" w:type="pct"/>
            <w:shd w:val="clear" w:color="auto" w:fill="auto"/>
          </w:tcPr>
          <w:p w14:paraId="032176D9" w14:textId="08A2D86D" w:rsidR="00321C6C" w:rsidRPr="005926C0" w:rsidRDefault="00321C6C" w:rsidP="00463324">
            <w:pPr>
              <w:pStyle w:val="TableText"/>
              <w:rPr>
                <w:rStyle w:val="Strong"/>
                <w:rFonts w:asciiTheme="minorHAnsi" w:hAnsiTheme="minorHAnsi" w:cstheme="minorHAnsi"/>
                <w:b w:val="0"/>
                <w:bCs w:val="0"/>
              </w:rPr>
            </w:pPr>
            <w:r>
              <w:rPr>
                <w:bCs/>
                <w:szCs w:val="18"/>
              </w:rPr>
              <w:t xml:space="preserve">Met in 3 out of the last 10 years, including in 2019–20. Not met in 2020–21. </w:t>
            </w:r>
            <w:r w:rsidRPr="005926C0">
              <w:rPr>
                <w:bCs/>
                <w:szCs w:val="18"/>
              </w:rPr>
              <w:t>Moderate environmental demand</w:t>
            </w:r>
            <w:r>
              <w:rPr>
                <w:bCs/>
                <w:szCs w:val="18"/>
              </w:rPr>
              <w:t xml:space="preserve"> in 2021–22</w:t>
            </w:r>
            <w:r w:rsidRPr="005926C0">
              <w:rPr>
                <w:bCs/>
                <w:szCs w:val="18"/>
              </w:rPr>
              <w:t>.</w:t>
            </w:r>
          </w:p>
        </w:tc>
        <w:tc>
          <w:tcPr>
            <w:tcW w:w="439" w:type="pct"/>
            <w:shd w:val="clear" w:color="auto" w:fill="FDF4C7"/>
            <w:vAlign w:val="center"/>
          </w:tcPr>
          <w:p w14:paraId="02A3B123" w14:textId="6D4FD155" w:rsidR="00321C6C" w:rsidRPr="00463324" w:rsidRDefault="00321C6C" w:rsidP="00463324">
            <w:pPr>
              <w:pStyle w:val="TableText"/>
              <w:jc w:val="center"/>
            </w:pPr>
            <w:r w:rsidRPr="00463324">
              <w:t>Moderate</w:t>
            </w:r>
          </w:p>
        </w:tc>
      </w:tr>
      <w:tr w:rsidR="00321C6C" w:rsidRPr="006424A3" w14:paraId="529072BD" w14:textId="77777777" w:rsidTr="00FB7C79">
        <w:trPr>
          <w:trHeight w:val="648"/>
        </w:trPr>
        <w:tc>
          <w:tcPr>
            <w:tcW w:w="292" w:type="pct"/>
            <w:vMerge/>
            <w:shd w:val="clear" w:color="auto" w:fill="auto"/>
          </w:tcPr>
          <w:p w14:paraId="57CF0C62" w14:textId="77777777" w:rsidR="00321C6C" w:rsidRPr="00463324" w:rsidRDefault="00321C6C" w:rsidP="00463324">
            <w:pPr>
              <w:pStyle w:val="TableText"/>
              <w:rPr>
                <w:rStyle w:val="Strong"/>
              </w:rPr>
            </w:pPr>
          </w:p>
        </w:tc>
        <w:tc>
          <w:tcPr>
            <w:tcW w:w="392" w:type="pct"/>
            <w:vMerge/>
          </w:tcPr>
          <w:p w14:paraId="3D1AF626" w14:textId="77777777" w:rsidR="00321C6C" w:rsidRPr="005926C0" w:rsidRDefault="00321C6C" w:rsidP="00321C6C">
            <w:pPr>
              <w:pStyle w:val="TableText"/>
              <w:rPr>
                <w:rStyle w:val="Strong"/>
                <w:rFonts w:asciiTheme="minorHAnsi" w:hAnsiTheme="minorHAnsi" w:cstheme="minorHAnsi"/>
                <w:b w:val="0"/>
                <w:bCs w:val="0"/>
              </w:rPr>
            </w:pPr>
          </w:p>
        </w:tc>
        <w:tc>
          <w:tcPr>
            <w:tcW w:w="733" w:type="pct"/>
            <w:shd w:val="clear" w:color="auto" w:fill="auto"/>
          </w:tcPr>
          <w:p w14:paraId="4E61F4E2" w14:textId="77777777" w:rsidR="00321C6C" w:rsidRPr="005926C0" w:rsidRDefault="00321C6C" w:rsidP="00463324">
            <w:pPr>
              <w:pStyle w:val="TableText"/>
              <w:rPr>
                <w:lang w:eastAsia="en-AU"/>
              </w:rPr>
            </w:pPr>
            <w:r w:rsidRPr="005926C0">
              <w:rPr>
                <w:lang w:eastAsia="en-AU"/>
              </w:rPr>
              <w:t xml:space="preserve">Boom inundation of more than entire Western Floodplain, </w:t>
            </w:r>
            <w:proofErr w:type="spellStart"/>
            <w:r w:rsidRPr="005926C0">
              <w:rPr>
                <w:lang w:eastAsia="en-AU"/>
              </w:rPr>
              <w:t>Uteara</w:t>
            </w:r>
            <w:proofErr w:type="spellEnd"/>
            <w:r w:rsidRPr="005926C0">
              <w:rPr>
                <w:lang w:eastAsia="en-AU"/>
              </w:rPr>
              <w:t xml:space="preserve"> lake, reconnections to Darling and return flows to the Warrego. Darling may backup to provide greater inundation.</w:t>
            </w:r>
          </w:p>
          <w:p w14:paraId="1EFC5D37" w14:textId="77777777" w:rsidR="00321C6C" w:rsidRPr="005926C0" w:rsidRDefault="00321C6C" w:rsidP="00463324">
            <w:pPr>
              <w:pStyle w:val="TableText"/>
              <w:rPr>
                <w:lang w:eastAsia="en-AU"/>
              </w:rPr>
            </w:pPr>
            <w:r w:rsidRPr="005926C0">
              <w:rPr>
                <w:lang w:eastAsia="en-AU"/>
              </w:rPr>
              <w:t>(11</w:t>
            </w:r>
            <w:r>
              <w:rPr>
                <w:lang w:eastAsia="en-AU"/>
              </w:rPr>
              <w:t>,</w:t>
            </w:r>
            <w:r w:rsidRPr="005926C0">
              <w:rPr>
                <w:lang w:eastAsia="en-AU"/>
              </w:rPr>
              <w:t>847 ha)</w:t>
            </w:r>
          </w:p>
          <w:p w14:paraId="5290DC06" w14:textId="77777777" w:rsidR="00321C6C" w:rsidRPr="005926C0" w:rsidRDefault="00321C6C" w:rsidP="00463324">
            <w:pPr>
              <w:pStyle w:val="TableText"/>
              <w:rPr>
                <w:lang w:eastAsia="en-AU"/>
              </w:rPr>
            </w:pPr>
            <w:r w:rsidRPr="005926C0">
              <w:rPr>
                <w:lang w:eastAsia="en-AU"/>
              </w:rPr>
              <w:t>75</w:t>
            </w:r>
            <w:r>
              <w:rPr>
                <w:lang w:eastAsia="en-AU"/>
              </w:rPr>
              <w:t>,000 ML</w:t>
            </w:r>
            <w:r w:rsidRPr="005926C0">
              <w:rPr>
                <w:lang w:eastAsia="en-AU"/>
              </w:rPr>
              <w:t xml:space="preserve">/year to the Western Floodplain to inundate vegetation such as lignum, </w:t>
            </w:r>
            <w:proofErr w:type="spellStart"/>
            <w:r w:rsidRPr="005926C0">
              <w:rPr>
                <w:lang w:eastAsia="en-AU"/>
              </w:rPr>
              <w:t>coolibah</w:t>
            </w:r>
            <w:proofErr w:type="spellEnd"/>
            <w:r w:rsidRPr="005926C0">
              <w:rPr>
                <w:lang w:eastAsia="en-AU"/>
              </w:rPr>
              <w:t>, river cooba, chenopod and forbs.</w:t>
            </w:r>
          </w:p>
        </w:tc>
        <w:tc>
          <w:tcPr>
            <w:tcW w:w="338" w:type="pct"/>
            <w:shd w:val="clear" w:color="auto" w:fill="auto"/>
          </w:tcPr>
          <w:p w14:paraId="1A55B23E" w14:textId="77777777" w:rsidR="00321C6C" w:rsidRPr="005926C0" w:rsidRDefault="00321C6C" w:rsidP="00463324">
            <w:pPr>
              <w:pStyle w:val="TableText"/>
              <w:rPr>
                <w:rFonts w:eastAsia="Century Gothic"/>
                <w:spacing w:val="-1"/>
                <w:szCs w:val="18"/>
              </w:rPr>
            </w:pPr>
            <w:r w:rsidRPr="005926C0">
              <w:rPr>
                <w:rFonts w:eastAsia="Century Gothic"/>
                <w:spacing w:val="-1"/>
                <w:szCs w:val="18"/>
              </w:rPr>
              <w:t>Any time</w:t>
            </w:r>
          </w:p>
          <w:p w14:paraId="64A3A2C1" w14:textId="77777777" w:rsidR="00321C6C" w:rsidRPr="005926C0" w:rsidRDefault="00321C6C" w:rsidP="00463324">
            <w:pPr>
              <w:pStyle w:val="TableText"/>
              <w:rPr>
                <w:rFonts w:eastAsia="Century Gothic"/>
                <w:spacing w:val="-1"/>
                <w:szCs w:val="18"/>
              </w:rPr>
            </w:pPr>
            <w:r w:rsidRPr="005926C0">
              <w:rPr>
                <w:rFonts w:eastAsia="Century Gothic"/>
                <w:spacing w:val="-1"/>
                <w:szCs w:val="18"/>
              </w:rPr>
              <w:t xml:space="preserve">Ideally: </w:t>
            </w:r>
            <w:r>
              <w:rPr>
                <w:rFonts w:eastAsia="Century Gothic"/>
                <w:spacing w:val="-1"/>
                <w:szCs w:val="18"/>
              </w:rPr>
              <w:t>1</w:t>
            </w:r>
            <w:r w:rsidRPr="005926C0">
              <w:rPr>
                <w:rFonts w:eastAsia="Century Gothic"/>
                <w:spacing w:val="-1"/>
                <w:szCs w:val="18"/>
              </w:rPr>
              <w:t xml:space="preserve"> to </w:t>
            </w:r>
            <w:r>
              <w:rPr>
                <w:rFonts w:eastAsia="Century Gothic"/>
                <w:spacing w:val="-1"/>
                <w:szCs w:val="18"/>
              </w:rPr>
              <w:t>3</w:t>
            </w:r>
            <w:r w:rsidRPr="005926C0">
              <w:rPr>
                <w:rFonts w:eastAsia="Century Gothic"/>
                <w:spacing w:val="-1"/>
                <w:szCs w:val="18"/>
              </w:rPr>
              <w:t xml:space="preserve"> years in 10</w:t>
            </w:r>
          </w:p>
          <w:p w14:paraId="74A7A2B9" w14:textId="77777777" w:rsidR="00321C6C" w:rsidRPr="005926C0" w:rsidRDefault="00321C6C" w:rsidP="00463324">
            <w:pPr>
              <w:pStyle w:val="TableText"/>
              <w:rPr>
                <w:rStyle w:val="Strong"/>
                <w:rFonts w:asciiTheme="minorHAnsi" w:hAnsiTheme="minorHAnsi" w:cstheme="minorHAnsi"/>
                <w:b w:val="0"/>
                <w:bCs w:val="0"/>
              </w:rPr>
            </w:pPr>
            <w:r w:rsidRPr="005926C0">
              <w:rPr>
                <w:rFonts w:eastAsia="Century Gothic"/>
                <w:spacing w:val="-1"/>
                <w:szCs w:val="18"/>
              </w:rPr>
              <w:t>(Maximum dry interval 10 years)</w:t>
            </w:r>
          </w:p>
        </w:tc>
        <w:tc>
          <w:tcPr>
            <w:tcW w:w="2806" w:type="pct"/>
            <w:shd w:val="clear" w:color="auto" w:fill="auto"/>
          </w:tcPr>
          <w:p w14:paraId="5E1A8087" w14:textId="7A0E1906" w:rsidR="00321C6C" w:rsidRPr="005926C0" w:rsidRDefault="00321C6C" w:rsidP="00463324">
            <w:pPr>
              <w:pStyle w:val="TableText"/>
              <w:rPr>
                <w:rStyle w:val="Strong"/>
                <w:rFonts w:asciiTheme="minorHAnsi" w:hAnsiTheme="minorHAnsi" w:cstheme="minorHAnsi"/>
                <w:b w:val="0"/>
                <w:bCs w:val="0"/>
              </w:rPr>
            </w:pPr>
            <w:r>
              <w:rPr>
                <w:bCs/>
                <w:szCs w:val="18"/>
              </w:rPr>
              <w:t>Met in two of the last 10 years, including in 2019–20, not met in 2020–21. Low</w:t>
            </w:r>
            <w:r w:rsidRPr="005926C0">
              <w:rPr>
                <w:bCs/>
                <w:szCs w:val="18"/>
              </w:rPr>
              <w:t xml:space="preserve"> environmental demand</w:t>
            </w:r>
            <w:r>
              <w:rPr>
                <w:bCs/>
                <w:szCs w:val="18"/>
              </w:rPr>
              <w:t xml:space="preserve"> in 2021–22</w:t>
            </w:r>
            <w:r w:rsidRPr="005926C0">
              <w:rPr>
                <w:bCs/>
                <w:szCs w:val="18"/>
              </w:rPr>
              <w:t>.</w:t>
            </w:r>
          </w:p>
        </w:tc>
        <w:tc>
          <w:tcPr>
            <w:tcW w:w="439" w:type="pct"/>
            <w:shd w:val="clear" w:color="auto" w:fill="DEF0C2"/>
            <w:vAlign w:val="center"/>
          </w:tcPr>
          <w:p w14:paraId="43BFF562" w14:textId="0D5DC95D" w:rsidR="00321C6C" w:rsidRPr="00463324" w:rsidRDefault="00321C6C" w:rsidP="00463324">
            <w:pPr>
              <w:pStyle w:val="TableText"/>
              <w:jc w:val="center"/>
              <w:rPr>
                <w:rStyle w:val="Strong"/>
                <w:b w:val="0"/>
                <w:bCs w:val="0"/>
              </w:rPr>
            </w:pPr>
            <w:r w:rsidRPr="00463324">
              <w:t>Low</w:t>
            </w:r>
          </w:p>
        </w:tc>
      </w:tr>
      <w:tr w:rsidR="00321C6C" w:rsidRPr="006424A3" w14:paraId="7A3AFFA6" w14:textId="77777777" w:rsidTr="00FB7C79">
        <w:trPr>
          <w:trHeight w:val="2988"/>
        </w:trPr>
        <w:tc>
          <w:tcPr>
            <w:tcW w:w="292" w:type="pct"/>
            <w:shd w:val="clear" w:color="auto" w:fill="auto"/>
          </w:tcPr>
          <w:p w14:paraId="0A8E9B73" w14:textId="77777777" w:rsidR="00321C6C" w:rsidRPr="00463324" w:rsidRDefault="00321C6C" w:rsidP="00463324">
            <w:pPr>
              <w:pStyle w:val="TableText"/>
              <w:rPr>
                <w:rStyle w:val="Strong"/>
              </w:rPr>
            </w:pPr>
            <w:r w:rsidRPr="00463324">
              <w:rPr>
                <w:rStyle w:val="Strong"/>
              </w:rPr>
              <w:t>Darling River (downstream of the junction with the Warrego)</w:t>
            </w:r>
          </w:p>
        </w:tc>
        <w:tc>
          <w:tcPr>
            <w:tcW w:w="392" w:type="pct"/>
          </w:tcPr>
          <w:p w14:paraId="1BEE35A4" w14:textId="77777777" w:rsidR="00321C6C" w:rsidRPr="00463324" w:rsidRDefault="00321C6C" w:rsidP="00463324">
            <w:pPr>
              <w:pStyle w:val="TableText"/>
            </w:pPr>
            <w:r w:rsidRPr="00463324">
              <w:t>Native fish habitat, movement, refuge and spawning</w:t>
            </w:r>
          </w:p>
          <w:p w14:paraId="1C8C8429" w14:textId="51BD3834" w:rsidR="00321C6C" w:rsidRPr="00463324" w:rsidRDefault="00321C6C" w:rsidP="00463324">
            <w:pPr>
              <w:pStyle w:val="TableText"/>
            </w:pPr>
            <w:r w:rsidRPr="00463324">
              <w:t>In–stream aquatic ecosystems and riparian vegetation</w:t>
            </w:r>
          </w:p>
          <w:p w14:paraId="55B6D97B" w14:textId="77777777" w:rsidR="00321C6C" w:rsidRPr="00463324" w:rsidRDefault="00321C6C" w:rsidP="00463324">
            <w:pPr>
              <w:pStyle w:val="TableText"/>
            </w:pPr>
            <w:r w:rsidRPr="00463324">
              <w:t>Provides connectivity and movement between Darling and Warrego catchments</w:t>
            </w:r>
          </w:p>
          <w:p w14:paraId="62C2338D" w14:textId="77777777" w:rsidR="00321C6C" w:rsidRPr="00463324" w:rsidRDefault="00321C6C" w:rsidP="00463324">
            <w:pPr>
              <w:pStyle w:val="TableText"/>
            </w:pPr>
            <w:r w:rsidRPr="00463324">
              <w:t>Support refuge habitat</w:t>
            </w:r>
          </w:p>
          <w:p w14:paraId="4F408954" w14:textId="77777777" w:rsidR="00321C6C" w:rsidRPr="00463324" w:rsidRDefault="00321C6C" w:rsidP="00463324">
            <w:pPr>
              <w:pStyle w:val="TableText"/>
            </w:pPr>
            <w:r w:rsidRPr="00463324">
              <w:t>Frog and waterbird habitat and refuge</w:t>
            </w:r>
          </w:p>
          <w:p w14:paraId="79E144F0" w14:textId="77777777" w:rsidR="00321C6C" w:rsidRPr="005926C0" w:rsidRDefault="00321C6C" w:rsidP="00463324">
            <w:pPr>
              <w:pStyle w:val="TableText"/>
              <w:rPr>
                <w:lang w:eastAsia="en-AU"/>
              </w:rPr>
            </w:pPr>
            <w:r w:rsidRPr="00463324">
              <w:t>Improve water quality</w:t>
            </w:r>
          </w:p>
        </w:tc>
        <w:tc>
          <w:tcPr>
            <w:tcW w:w="733" w:type="pct"/>
            <w:shd w:val="clear" w:color="auto" w:fill="auto"/>
          </w:tcPr>
          <w:p w14:paraId="521E9AD4" w14:textId="77777777" w:rsidR="00321C6C" w:rsidRPr="005926C0" w:rsidRDefault="00321C6C" w:rsidP="00463324">
            <w:pPr>
              <w:pStyle w:val="TableText"/>
              <w:rPr>
                <w:lang w:eastAsia="en-AU"/>
              </w:rPr>
            </w:pPr>
            <w:r w:rsidRPr="005926C0">
              <w:rPr>
                <w:lang w:eastAsia="en-AU"/>
              </w:rPr>
              <w:t>Darling River is considered a priority (above all other priorities) when conditions in the Darling River at Louth exceed one or more environmental water requirements from the Barwon Darling Long -Term Water Plan:</w:t>
            </w:r>
          </w:p>
          <w:p w14:paraId="7B26A9BA" w14:textId="77777777" w:rsidR="00321C6C" w:rsidRPr="005926C0" w:rsidRDefault="00321C6C" w:rsidP="00463324">
            <w:pPr>
              <w:pStyle w:val="TableText"/>
            </w:pPr>
            <w:r w:rsidRPr="005926C0">
              <w:t>When cease to flow conditions have occurred for more than 110 days;</w:t>
            </w:r>
          </w:p>
          <w:p w14:paraId="154A484C" w14:textId="77777777" w:rsidR="00321C6C" w:rsidRPr="005926C0" w:rsidRDefault="00321C6C" w:rsidP="00463324">
            <w:pPr>
              <w:pStyle w:val="TableText"/>
            </w:pPr>
            <w:r w:rsidRPr="005926C0">
              <w:t>There has been more than 135 days of flow less than 450 ML/day, or;</w:t>
            </w:r>
          </w:p>
          <w:p w14:paraId="5DC44BAC" w14:textId="77777777" w:rsidR="00321C6C" w:rsidRPr="005926C0" w:rsidRDefault="00321C6C" w:rsidP="00463324">
            <w:pPr>
              <w:pStyle w:val="TableText"/>
            </w:pPr>
            <w:r w:rsidRPr="005926C0">
              <w:t>It has been more than one year since a small fresh of at least 1</w:t>
            </w:r>
            <w:r>
              <w:t>,</w:t>
            </w:r>
            <w:r w:rsidRPr="005926C0">
              <w:t>500 ML/day occurred for at least 10 days as measures at the Louth gauge.</w:t>
            </w:r>
          </w:p>
        </w:tc>
        <w:tc>
          <w:tcPr>
            <w:tcW w:w="338" w:type="pct"/>
            <w:shd w:val="clear" w:color="auto" w:fill="auto"/>
          </w:tcPr>
          <w:p w14:paraId="4E97EAF0" w14:textId="77777777" w:rsidR="00321C6C" w:rsidRPr="005926C0" w:rsidRDefault="00321C6C" w:rsidP="00463324">
            <w:pPr>
              <w:pStyle w:val="TableText"/>
              <w:rPr>
                <w:lang w:eastAsia="en-AU"/>
              </w:rPr>
            </w:pPr>
            <w:r w:rsidRPr="005926C0">
              <w:rPr>
                <w:color w:val="000000" w:themeColor="text1"/>
                <w:szCs w:val="18"/>
              </w:rPr>
              <w:t>Annually</w:t>
            </w:r>
          </w:p>
        </w:tc>
        <w:tc>
          <w:tcPr>
            <w:tcW w:w="2806" w:type="pct"/>
            <w:shd w:val="clear" w:color="auto" w:fill="auto"/>
          </w:tcPr>
          <w:p w14:paraId="351CD0C8" w14:textId="3351584E" w:rsidR="00321C6C" w:rsidRPr="005926C0" w:rsidRDefault="00321C6C" w:rsidP="00463324">
            <w:pPr>
              <w:pStyle w:val="TableText"/>
              <w:rPr>
                <w:lang w:eastAsia="en-AU"/>
              </w:rPr>
            </w:pPr>
            <w:r w:rsidRPr="005926C0">
              <w:rPr>
                <w:bCs/>
                <w:szCs w:val="18"/>
              </w:rPr>
              <w:t xml:space="preserve">Refer to Barwon–Darling Plan 2021–22 for a detailed watering history. As of </w:t>
            </w:r>
            <w:proofErr w:type="gramStart"/>
            <w:r w:rsidRPr="005926C0">
              <w:rPr>
                <w:bCs/>
                <w:szCs w:val="18"/>
              </w:rPr>
              <w:t>27 May 2021</w:t>
            </w:r>
            <w:proofErr w:type="gramEnd"/>
            <w:r w:rsidRPr="005926C0">
              <w:rPr>
                <w:bCs/>
                <w:szCs w:val="18"/>
              </w:rPr>
              <w:t xml:space="preserve"> nearly 1</w:t>
            </w:r>
            <w:r>
              <w:rPr>
                <w:bCs/>
                <w:szCs w:val="18"/>
              </w:rPr>
              <w:t>,</w:t>
            </w:r>
            <w:r w:rsidRPr="005926C0">
              <w:rPr>
                <w:bCs/>
                <w:szCs w:val="18"/>
              </w:rPr>
              <w:t>255 GL had passed the Louth gauge with flows receding to a rate of 1</w:t>
            </w:r>
            <w:r>
              <w:rPr>
                <w:bCs/>
                <w:szCs w:val="18"/>
              </w:rPr>
              <w:t>,</w:t>
            </w:r>
            <w:r w:rsidRPr="005926C0">
              <w:rPr>
                <w:bCs/>
                <w:szCs w:val="18"/>
              </w:rPr>
              <w:t xml:space="preserve">619 ML/day. </w:t>
            </w:r>
            <w:proofErr w:type="gramStart"/>
            <w:r w:rsidRPr="005926C0">
              <w:rPr>
                <w:bCs/>
                <w:szCs w:val="18"/>
              </w:rPr>
              <w:t>Therefore</w:t>
            </w:r>
            <w:proofErr w:type="gramEnd"/>
            <w:r w:rsidRPr="005926C0">
              <w:rPr>
                <w:bCs/>
                <w:szCs w:val="18"/>
              </w:rPr>
              <w:t xml:space="preserve"> this demand has been assessed as moderate</w:t>
            </w:r>
            <w:r>
              <w:rPr>
                <w:bCs/>
                <w:szCs w:val="18"/>
              </w:rPr>
              <w:t xml:space="preserve"> in 2021–22, remaining moderate in 2022–23 if watering occurs</w:t>
            </w:r>
            <w:r w:rsidRPr="005926C0">
              <w:rPr>
                <w:bCs/>
                <w:szCs w:val="18"/>
              </w:rPr>
              <w:t>.</w:t>
            </w:r>
          </w:p>
        </w:tc>
        <w:tc>
          <w:tcPr>
            <w:tcW w:w="439" w:type="pct"/>
            <w:shd w:val="clear" w:color="auto" w:fill="FDF4C7"/>
            <w:vAlign w:val="center"/>
          </w:tcPr>
          <w:p w14:paraId="5729E2C6" w14:textId="0E008D3E" w:rsidR="00321C6C" w:rsidRPr="00463324" w:rsidRDefault="00321C6C" w:rsidP="00463324">
            <w:pPr>
              <w:pStyle w:val="TableText"/>
              <w:jc w:val="center"/>
            </w:pPr>
            <w:r w:rsidRPr="00463324">
              <w:t>Moderate</w:t>
            </w:r>
          </w:p>
        </w:tc>
      </w:tr>
    </w:tbl>
    <w:p w14:paraId="4A6646A8" w14:textId="14725F84" w:rsidR="005F786E" w:rsidRPr="003E71A7" w:rsidRDefault="00CD0ABA" w:rsidP="003E71A7">
      <w:pPr>
        <w:pStyle w:val="FigureTableNoteSource"/>
        <w:rPr>
          <w:rStyle w:val="Strong"/>
          <w:b w:val="0"/>
          <w:bCs w:val="0"/>
        </w:rPr>
      </w:pPr>
      <w:r>
        <w:t xml:space="preserve">Note: </w:t>
      </w:r>
      <w:r w:rsidRPr="008B4B7B">
        <w:t>All watering history sourced from NSW Department of Planning, Industry and Environment and Queensland partner agencies, WaterNSW Water Balance Reports, and data from the following gauges (WaterNSW 202</w:t>
      </w:r>
      <w:r>
        <w:t>1a</w:t>
      </w:r>
      <w:r w:rsidRPr="008B4B7B">
        <w:t xml:space="preserve"> and </w:t>
      </w:r>
      <w:r>
        <w:t>DRDMW</w:t>
      </w:r>
      <w:r w:rsidRPr="008B4B7B">
        <w:t xml:space="preserve"> 202</w:t>
      </w:r>
      <w:r>
        <w:t>1</w:t>
      </w:r>
      <w:proofErr w:type="gramStart"/>
      <w:r>
        <w:t>a,b</w:t>
      </w:r>
      <w:proofErr w:type="gramEnd"/>
      <w:r w:rsidRPr="008B4B7B">
        <w:t xml:space="preserve">): 423005 – </w:t>
      </w:r>
      <w:proofErr w:type="spellStart"/>
      <w:r w:rsidRPr="008B4B7B">
        <w:t>Cuttaburra</w:t>
      </w:r>
      <w:proofErr w:type="spellEnd"/>
      <w:r w:rsidRPr="008B4B7B">
        <w:t xml:space="preserve"> Channel at </w:t>
      </w:r>
      <w:proofErr w:type="spellStart"/>
      <w:r w:rsidRPr="008B4B7B">
        <w:t>Turra</w:t>
      </w:r>
      <w:proofErr w:type="spellEnd"/>
      <w:r w:rsidRPr="008B4B7B">
        <w:t xml:space="preserve">, 423004 – Warrego River at Barringun, 423001 Warrego River at Fords Bridge, 423002 Warrego River at Fords Bridge </w:t>
      </w:r>
      <w:proofErr w:type="spellStart"/>
      <w:r w:rsidRPr="008B4B7B">
        <w:t>Bywash</w:t>
      </w:r>
      <w:proofErr w:type="spellEnd"/>
      <w:r w:rsidRPr="008B4B7B">
        <w:t xml:space="preserve"> and</w:t>
      </w:r>
      <w:r w:rsidRPr="008B4B7B">
        <w:rPr>
          <w:rFonts w:ascii="Verdana" w:hAnsi="Verdana"/>
          <w:color w:val="003366"/>
          <w:sz w:val="19"/>
          <w:szCs w:val="19"/>
          <w:shd w:val="clear" w:color="auto" w:fill="EEEEEE"/>
        </w:rPr>
        <w:t xml:space="preserve"> </w:t>
      </w:r>
      <w:r w:rsidRPr="008B4B7B">
        <w:t>425004 – Darling River at Louth.</w:t>
      </w:r>
    </w:p>
    <w:p w14:paraId="6DD05F08" w14:textId="2F18183A" w:rsidR="00CD0ABA" w:rsidRPr="00627AD2" w:rsidRDefault="00CD0ABA" w:rsidP="00CD0ABA">
      <w:pPr>
        <w:pStyle w:val="FigureTableNoteSource"/>
        <w:spacing w:after="60" w:line="240" w:lineRule="auto"/>
        <w:rPr>
          <w:rStyle w:val="Strong"/>
        </w:rPr>
      </w:pPr>
      <w:r w:rsidRPr="00627AD2">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CD0ABA" w14:paraId="77AF02C4" w14:textId="77777777" w:rsidTr="00D270D8">
        <w:tc>
          <w:tcPr>
            <w:tcW w:w="5000" w:type="pct"/>
            <w:gridSpan w:val="2"/>
            <w:tcBorders>
              <w:top w:val="nil"/>
              <w:left w:val="nil"/>
              <w:bottom w:val="nil"/>
            </w:tcBorders>
            <w:shd w:val="clear" w:color="auto" w:fill="FFFFFF" w:themeFill="background1"/>
          </w:tcPr>
          <w:p w14:paraId="6DDAA313" w14:textId="77777777" w:rsidR="00CD0ABA" w:rsidRDefault="00CD0ABA" w:rsidP="00D270D8">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321C6C" w14:paraId="1EA829CC" w14:textId="77777777" w:rsidTr="00E247EF">
        <w:tc>
          <w:tcPr>
            <w:tcW w:w="1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00A0494" w14:textId="77777777" w:rsidR="00321C6C" w:rsidRDefault="00321C6C" w:rsidP="00321C6C">
            <w:pPr>
              <w:pStyle w:val="TableText"/>
            </w:pPr>
          </w:p>
        </w:tc>
        <w:tc>
          <w:tcPr>
            <w:tcW w:w="4877" w:type="pct"/>
            <w:tcBorders>
              <w:top w:val="nil"/>
              <w:left w:val="single" w:sz="4" w:space="0" w:color="auto"/>
              <w:bottom w:val="nil"/>
            </w:tcBorders>
          </w:tcPr>
          <w:p w14:paraId="6B5E607A" w14:textId="40DC8E21" w:rsidR="00321C6C" w:rsidRDefault="00321C6C" w:rsidP="00321C6C">
            <w:pPr>
              <w:pStyle w:val="TableText"/>
            </w:pPr>
            <w:r>
              <w:t xml:space="preserve">High to critical demand for water (needed in that particular year or urgent in that particular year to manage risk of </w:t>
            </w:r>
            <w:r w:rsidR="005F491E">
              <w:t xml:space="preserve">irretrievable </w:t>
            </w:r>
            <w:r>
              <w:t>loss or damage)</w:t>
            </w:r>
          </w:p>
        </w:tc>
      </w:tr>
      <w:tr w:rsidR="00321C6C" w14:paraId="35A209AA" w14:textId="77777777" w:rsidTr="002A3DCE">
        <w:tc>
          <w:tcPr>
            <w:tcW w:w="123" w:type="pct"/>
            <w:tcBorders>
              <w:top w:val="single" w:sz="4" w:space="0" w:color="auto"/>
              <w:left w:val="single" w:sz="4" w:space="0" w:color="auto"/>
              <w:bottom w:val="single" w:sz="4" w:space="0" w:color="auto"/>
              <w:right w:val="single" w:sz="4" w:space="0" w:color="auto"/>
            </w:tcBorders>
            <w:shd w:val="clear" w:color="auto" w:fill="FDF4C7"/>
          </w:tcPr>
          <w:p w14:paraId="34584C27" w14:textId="77777777" w:rsidR="00321C6C" w:rsidRDefault="00321C6C" w:rsidP="00321C6C">
            <w:pPr>
              <w:pStyle w:val="TableText"/>
            </w:pPr>
            <w:bookmarkStart w:id="29" w:name="_Hlk77245187"/>
          </w:p>
        </w:tc>
        <w:tc>
          <w:tcPr>
            <w:tcW w:w="4877" w:type="pct"/>
            <w:tcBorders>
              <w:top w:val="nil"/>
              <w:left w:val="single" w:sz="4" w:space="0" w:color="auto"/>
              <w:bottom w:val="nil"/>
            </w:tcBorders>
          </w:tcPr>
          <w:p w14:paraId="3A6E543A" w14:textId="77777777" w:rsidR="00321C6C" w:rsidRDefault="00321C6C" w:rsidP="00321C6C">
            <w:pPr>
              <w:pStyle w:val="TableText"/>
            </w:pPr>
            <w:r>
              <w:t>Moderate demand for water (water needed in that particular year, the next year, or both)</w:t>
            </w:r>
          </w:p>
        </w:tc>
      </w:tr>
      <w:bookmarkEnd w:id="29"/>
      <w:tr w:rsidR="00321C6C" w14:paraId="4D2A9FF5" w14:textId="77777777" w:rsidTr="002A3DCE">
        <w:tc>
          <w:tcPr>
            <w:tcW w:w="123" w:type="pct"/>
            <w:tcBorders>
              <w:top w:val="single" w:sz="4" w:space="0" w:color="auto"/>
              <w:left w:val="single" w:sz="4" w:space="0" w:color="auto"/>
              <w:bottom w:val="single" w:sz="4" w:space="0" w:color="auto"/>
              <w:right w:val="single" w:sz="4" w:space="0" w:color="auto"/>
            </w:tcBorders>
            <w:shd w:val="clear" w:color="auto" w:fill="DEF0C2"/>
          </w:tcPr>
          <w:p w14:paraId="24599B5F" w14:textId="77777777" w:rsidR="00321C6C" w:rsidRDefault="00321C6C" w:rsidP="00321C6C">
            <w:pPr>
              <w:pStyle w:val="TableText"/>
            </w:pPr>
          </w:p>
        </w:tc>
        <w:tc>
          <w:tcPr>
            <w:tcW w:w="4877" w:type="pct"/>
            <w:tcBorders>
              <w:top w:val="nil"/>
              <w:left w:val="single" w:sz="4" w:space="0" w:color="auto"/>
              <w:bottom w:val="nil"/>
            </w:tcBorders>
          </w:tcPr>
          <w:p w14:paraId="1CAA5279" w14:textId="77777777" w:rsidR="00321C6C" w:rsidRDefault="00321C6C" w:rsidP="00321C6C">
            <w:pPr>
              <w:pStyle w:val="TableText"/>
            </w:pPr>
            <w:r>
              <w:t>Low demand for water (water generally not needed in that particular year)</w:t>
            </w:r>
          </w:p>
        </w:tc>
      </w:tr>
    </w:tbl>
    <w:p w14:paraId="06BE9344" w14:textId="77777777" w:rsidR="00CD0ABA" w:rsidRPr="00566801" w:rsidRDefault="00CD0ABA" w:rsidP="00CD0ABA">
      <w:pPr>
        <w:sectPr w:rsidR="00CD0ABA" w:rsidRPr="00566801" w:rsidSect="002218C6">
          <w:pgSz w:w="23808" w:h="16840" w:orient="landscape" w:code="8"/>
          <w:pgMar w:top="720" w:right="720" w:bottom="720" w:left="720" w:header="567" w:footer="284" w:gutter="0"/>
          <w:cols w:space="708"/>
          <w:docGrid w:linePitch="360"/>
        </w:sectPr>
      </w:pPr>
    </w:p>
    <w:p w14:paraId="58244230" w14:textId="77777777" w:rsidR="00CD0ABA" w:rsidRDefault="00CD0ABA" w:rsidP="00CD0ABA">
      <w:pPr>
        <w:pStyle w:val="Heading3"/>
      </w:pPr>
      <w:bookmarkStart w:id="30" w:name="_Toc61430053"/>
      <w:bookmarkStart w:id="31" w:name="_Toc80294617"/>
      <w:r>
        <w:lastRenderedPageBreak/>
        <w:t>Water delivery in 2021–2</w:t>
      </w:r>
      <w:bookmarkEnd w:id="30"/>
      <w:r>
        <w:t>2</w:t>
      </w:r>
      <w:bookmarkEnd w:id="31"/>
    </w:p>
    <w:p w14:paraId="3A1039D1" w14:textId="16ABAFB4" w:rsidR="009300C5" w:rsidRDefault="00CD0ABA" w:rsidP="00CD0ABA">
      <w:bookmarkStart w:id="32" w:name="_Toc61430054"/>
      <w:r>
        <w:t>Commonwealth environmental water entitlements in the Warrego and Moonie are unregulated (or ‘</w:t>
      </w:r>
      <w:proofErr w:type="spellStart"/>
      <w:r>
        <w:t>unsupplemented</w:t>
      </w:r>
      <w:proofErr w:type="spellEnd"/>
      <w:r>
        <w:t>’ in the Queensland portion of each Valley) and are left instream to contribute to environmental outcomes.</w:t>
      </w:r>
      <w:r w:rsidR="008B38E3">
        <w:t xml:space="preserve"> In 2021-22, the</w:t>
      </w:r>
      <w:r w:rsidR="007D60F0">
        <w:t xml:space="preserve"> </w:t>
      </w:r>
      <w:r w:rsidR="008B38E3">
        <w:t xml:space="preserve">volumes </w:t>
      </w:r>
      <w:r w:rsidR="007D60F0">
        <w:t xml:space="preserve">of Commonwealth environmental water </w:t>
      </w:r>
      <w:r w:rsidR="008B104B">
        <w:t xml:space="preserve">that reach the NSW border </w:t>
      </w:r>
      <w:r w:rsidR="008B38E3">
        <w:t>will be</w:t>
      </w:r>
      <w:r w:rsidR="008B104B">
        <w:t xml:space="preserve"> recorded by</w:t>
      </w:r>
      <w:r w:rsidR="009B417D">
        <w:t xml:space="preserve"> Queensland </w:t>
      </w:r>
      <w:r w:rsidR="00E12BED">
        <w:rPr>
          <w:lang w:eastAsia="ja-JP"/>
        </w:rPr>
        <w:t>DRDMW</w:t>
      </w:r>
      <w:r w:rsidR="009B417D">
        <w:t xml:space="preserve"> </w:t>
      </w:r>
      <w:proofErr w:type="gramStart"/>
      <w:r w:rsidR="009B417D">
        <w:t>on a daily basis</w:t>
      </w:r>
      <w:proofErr w:type="gramEnd"/>
      <w:r w:rsidR="00E409A2">
        <w:t>.</w:t>
      </w:r>
      <w:r w:rsidR="009B417D">
        <w:t xml:space="preserve"> It is expected that</w:t>
      </w:r>
      <w:r w:rsidR="009569E5">
        <w:t xml:space="preserve"> the portion </w:t>
      </w:r>
      <w:r w:rsidR="0042144B">
        <w:t xml:space="preserve">of these flows </w:t>
      </w:r>
      <w:r w:rsidR="009569E5">
        <w:t xml:space="preserve">that reaches the Barwon-Darling River will </w:t>
      </w:r>
      <w:r w:rsidR="00A25079">
        <w:t xml:space="preserve">then </w:t>
      </w:r>
      <w:r w:rsidR="009569E5">
        <w:t xml:space="preserve">be protected from extraction </w:t>
      </w:r>
      <w:r w:rsidR="00E12BED">
        <w:t xml:space="preserve">by WaterNSW </w:t>
      </w:r>
      <w:r w:rsidR="009569E5">
        <w:t>using active management.</w:t>
      </w:r>
    </w:p>
    <w:p w14:paraId="6861E95E" w14:textId="2D999026" w:rsidR="009300C5" w:rsidRDefault="00B440BB" w:rsidP="00CD0ABA">
      <w:r>
        <w:t>T</w:t>
      </w:r>
      <w:r w:rsidR="00CD0ABA" w:rsidRPr="00E850E1">
        <w:t xml:space="preserve">he Commonwealth’s unregulated holdings on the Warrego River at Toorale </w:t>
      </w:r>
      <w:r w:rsidR="00CD0ABA">
        <w:t>are managed in accordance with</w:t>
      </w:r>
      <w:r w:rsidR="00CD0ABA" w:rsidRPr="00E850E1">
        <w:t xml:space="preserve"> the management strategy for use of these </w:t>
      </w:r>
      <w:r w:rsidR="00CD0ABA">
        <w:t>licences</w:t>
      </w:r>
      <w:r w:rsidR="00CD0ABA" w:rsidRPr="00E850E1">
        <w:t xml:space="preserve"> at </w:t>
      </w:r>
      <w:proofErr w:type="spellStart"/>
      <w:r w:rsidR="00CD0ABA" w:rsidRPr="00E850E1">
        <w:t>Boera</w:t>
      </w:r>
      <w:proofErr w:type="spellEnd"/>
      <w:r w:rsidR="00CD0ABA" w:rsidRPr="00E850E1">
        <w:t xml:space="preserve"> Dam </w:t>
      </w:r>
      <w:r w:rsidR="00CD0ABA" w:rsidRPr="007B4440">
        <w:t>(</w:t>
      </w:r>
      <w:r w:rsidR="00DC2E2D">
        <w:fldChar w:fldCharType="begin"/>
      </w:r>
      <w:r w:rsidR="00DC2E2D">
        <w:instrText xml:space="preserve"> REF _Ref76042506 \h </w:instrText>
      </w:r>
      <w:r w:rsidR="00DC2E2D">
        <w:fldChar w:fldCharType="separate"/>
      </w:r>
      <w:r w:rsidR="0044215C">
        <w:t>Figure WMV</w:t>
      </w:r>
      <w:r w:rsidR="0044215C">
        <w:rPr>
          <w:noProof/>
        </w:rPr>
        <w:t>1</w:t>
      </w:r>
      <w:r w:rsidR="00DC2E2D">
        <w:fldChar w:fldCharType="end"/>
      </w:r>
      <w:r w:rsidR="005F491E">
        <w:t xml:space="preserve">) </w:t>
      </w:r>
      <w:r w:rsidR="00CD0ABA" w:rsidRPr="00727E39">
        <w:t>to meet environmental demands outlined in</w:t>
      </w:r>
      <w:r w:rsidR="00CA6A68">
        <w:t xml:space="preserve"> </w:t>
      </w:r>
      <w:r w:rsidR="00CA6A68">
        <w:fldChar w:fldCharType="begin"/>
      </w:r>
      <w:r w:rsidR="00CA6A68">
        <w:instrText xml:space="preserve"> REF _Ref76107446 \h </w:instrText>
      </w:r>
      <w:r w:rsidR="00CA6A68">
        <w:fldChar w:fldCharType="separate"/>
      </w:r>
      <w:r w:rsidR="0044215C" w:rsidRPr="00463324">
        <w:t>Table WMV</w:t>
      </w:r>
      <w:r w:rsidR="0044215C">
        <w:rPr>
          <w:noProof/>
        </w:rPr>
        <w:t>2</w:t>
      </w:r>
      <w:r w:rsidR="00CA6A68">
        <w:fldChar w:fldCharType="end"/>
      </w:r>
      <w:r w:rsidR="00CD0ABA" w:rsidRPr="00E850E1">
        <w:t xml:space="preserve">. </w:t>
      </w:r>
      <w:r w:rsidR="00CD0ABA">
        <w:t xml:space="preserve">The CEWO will have access to the Toorale Warrego River licences in 2021–22. Operation of the Toorale infrastructure will continue to be managed by the NSW National Parks and Wildlife Service and DPIE, in consultation with the Toorale Joint Management Committee and the CEWO. The management strategy will be revised in 2022 upon completion of the </w:t>
      </w:r>
      <w:r w:rsidR="00CD0ABA" w:rsidRPr="00AC46CB">
        <w:t>Toorale Water Infrastructure project</w:t>
      </w:r>
      <w:r w:rsidR="00CD0ABA">
        <w:t xml:space="preserve"> (NSW DPIE 2021).</w:t>
      </w:r>
    </w:p>
    <w:p w14:paraId="7CC30B2A" w14:textId="77777777" w:rsidR="00CD0ABA" w:rsidRDefault="00CD0ABA" w:rsidP="00CD0ABA">
      <w:pPr>
        <w:sectPr w:rsidR="00CD0ABA">
          <w:pgSz w:w="11906" w:h="16838"/>
          <w:pgMar w:top="1418" w:right="1418" w:bottom="1418" w:left="1418" w:header="567" w:footer="283" w:gutter="0"/>
          <w:cols w:space="708"/>
          <w:docGrid w:linePitch="360"/>
        </w:sectPr>
      </w:pPr>
      <w:bookmarkStart w:id="33" w:name="_Hlk74061435"/>
      <w:r w:rsidRPr="001C062B">
        <w:t xml:space="preserve">Further information on environmental demands in the Barwon–Darling is provided in the </w:t>
      </w:r>
      <w:hyperlink r:id="rId26" w:history="1">
        <w:r w:rsidRPr="00E868C2">
          <w:rPr>
            <w:rStyle w:val="Hyperlink"/>
          </w:rPr>
          <w:t>CEWO Water Management Plan 2021–22: Chapter 9 Barwon–Darling</w:t>
        </w:r>
      </w:hyperlink>
      <w:r w:rsidRPr="00F3074F">
        <w:t>.</w:t>
      </w:r>
    </w:p>
    <w:p w14:paraId="619053F9" w14:textId="6DE20AA5" w:rsidR="00CD0ABA" w:rsidRDefault="00DC2E2D" w:rsidP="00DC2E2D">
      <w:pPr>
        <w:pStyle w:val="Caption"/>
      </w:pPr>
      <w:bookmarkStart w:id="34" w:name="_Ref76042506"/>
      <w:bookmarkStart w:id="35" w:name="_Ref73454709"/>
      <w:bookmarkStart w:id="36" w:name="_Toc80117091"/>
      <w:bookmarkEnd w:id="33"/>
      <w:r>
        <w:lastRenderedPageBreak/>
        <w:t>Figure WMV</w:t>
      </w:r>
      <w:fldSimple w:instr=" SEQ Figure_WMV \* ARABIC ">
        <w:r w:rsidR="0044215C">
          <w:rPr>
            <w:noProof/>
          </w:rPr>
          <w:t>1</w:t>
        </w:r>
      </w:fldSimple>
      <w:bookmarkEnd w:id="34"/>
      <w:r>
        <w:t xml:space="preserve"> </w:t>
      </w:r>
      <w:r w:rsidR="00CD0ABA" w:rsidRPr="001469DF">
        <w:t xml:space="preserve">Management strategy for Commonwealth environmental water at </w:t>
      </w:r>
      <w:proofErr w:type="spellStart"/>
      <w:r w:rsidR="00CD0ABA" w:rsidRPr="001469DF">
        <w:t>Toorale</w:t>
      </w:r>
      <w:bookmarkEnd w:id="35"/>
      <w:bookmarkEnd w:id="36"/>
      <w:proofErr w:type="spellEnd"/>
    </w:p>
    <w:p w14:paraId="78F27243" w14:textId="77777777" w:rsidR="00CD0ABA" w:rsidRDefault="00CD0ABA" w:rsidP="00CD0ABA">
      <w:pPr>
        <w:sectPr w:rsidR="00CD0ABA" w:rsidSect="009D7A4F">
          <w:pgSz w:w="16838" w:h="11906" w:orient="landscape"/>
          <w:pgMar w:top="1418" w:right="1418" w:bottom="1418" w:left="1418" w:header="567" w:footer="283" w:gutter="0"/>
          <w:cols w:space="708"/>
          <w:docGrid w:linePitch="360"/>
        </w:sectPr>
      </w:pPr>
      <w:r>
        <w:rPr>
          <w:rFonts w:ascii="Century Gothic" w:hAnsi="Century Gothic" w:cs="Times New Roman"/>
          <w:noProof/>
          <w:sz w:val="20"/>
          <w:lang w:val="en-US"/>
        </w:rPr>
        <w:drawing>
          <wp:inline distT="0" distB="0" distL="0" distR="0" wp14:anchorId="7F0BD765" wp14:editId="7A7AF52E">
            <wp:extent cx="8891270" cy="5395497"/>
            <wp:effectExtent l="19050" t="19050" r="24130" b="15240"/>
            <wp:docPr id="1" name="Picture 1" descr="Flow chart of the management strategy for Commonwealth environmental water at the Toorale site, including considerations, downstream environmental demands, Western floodplain environmental demands. The flow chart supports decisions about whether water is directed to the Western floodplain, downstream to the Darling or shared between the two sites. For further explanation of the flowchart, please contact the Commonwealth Environmental Water Office at ewater@environment.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chart of the management strategy for Commonwealth environmental water at the Toorale site, including considerations, downstream environmental demands, Western floodplain environmental demands. The flow chart supports decisions about whether water is directed to the Western floodplain, downstream to the Darling or shared between the two sites. For further explanation of the flowchart, please contact the Commonwealth Environmental Water Office at ewater@environment.gov.au. "/>
                    <pic:cNvPicPr>
                      <a:picLocks noChangeAspect="1" noChangeArrowheads="1"/>
                    </pic:cNvPicPr>
                  </pic:nvPicPr>
                  <pic:blipFill rotWithShape="1">
                    <a:blip r:embed="rId27">
                      <a:extLst>
                        <a:ext uri="{28A0092B-C50C-407E-A947-70E740481C1C}">
                          <a14:useLocalDpi xmlns:a14="http://schemas.microsoft.com/office/drawing/2010/main" val="0"/>
                        </a:ext>
                      </a:extLst>
                    </a:blip>
                    <a:srcRect r="4462"/>
                    <a:stretch/>
                  </pic:blipFill>
                  <pic:spPr bwMode="auto">
                    <a:xfrm>
                      <a:off x="0" y="0"/>
                      <a:ext cx="8891270" cy="5395497"/>
                    </a:xfrm>
                    <a:prstGeom prst="rect">
                      <a:avLst/>
                    </a:prstGeom>
                    <a:noFill/>
                    <a:ln>
                      <a:solidFill>
                        <a:srgbClr val="4F81BD"/>
                      </a:solidFill>
                    </a:ln>
                    <a:extLst>
                      <a:ext uri="{53640926-AAD7-44D8-BBD7-CCE9431645EC}">
                        <a14:shadowObscured xmlns:a14="http://schemas.microsoft.com/office/drawing/2010/main"/>
                      </a:ext>
                    </a:extLst>
                  </pic:spPr>
                </pic:pic>
              </a:graphicData>
            </a:graphic>
          </wp:inline>
        </w:drawing>
      </w:r>
    </w:p>
    <w:p w14:paraId="08166962" w14:textId="3588E35F" w:rsidR="00CD0ABA" w:rsidRDefault="00CD0ABA" w:rsidP="00CD0ABA">
      <w:pPr>
        <w:pStyle w:val="Heading3"/>
      </w:pPr>
      <w:bookmarkStart w:id="37" w:name="_Toc80294618"/>
      <w:r>
        <w:lastRenderedPageBreak/>
        <w:t>Monitoring and lessons learned</w:t>
      </w:r>
      <w:bookmarkEnd w:id="32"/>
      <w:bookmarkEnd w:id="37"/>
    </w:p>
    <w:p w14:paraId="5ED57D96" w14:textId="77777777" w:rsidR="00CD0ABA" w:rsidRDefault="00CD0ABA" w:rsidP="00CD0ABA">
      <w:pPr>
        <w:pStyle w:val="Heading4"/>
      </w:pPr>
      <w:r>
        <w:t>Monitoring</w:t>
      </w:r>
    </w:p>
    <w:p w14:paraId="3F3FCB0B" w14:textId="77777777" w:rsidR="00CD0ABA" w:rsidRPr="00A41540" w:rsidRDefault="00CD0ABA" w:rsidP="00CD0ABA">
      <w:r w:rsidRPr="00A41540">
        <w:t xml:space="preserve">Operational monitoring is undertaken for all Commonwealth environmental watering actions and involves collecting on-ground data about </w:t>
      </w:r>
      <w:r>
        <w:t xml:space="preserve">Commonwealth </w:t>
      </w:r>
      <w:r w:rsidRPr="00A41540">
        <w:t>environmental water</w:t>
      </w:r>
      <w:r>
        <w:t>ing</w:t>
      </w:r>
      <w:r w:rsidRPr="00A41540">
        <w:t xml:space="preserve"> such as volumes </w:t>
      </w:r>
      <w:r>
        <w:t>used</w:t>
      </w:r>
      <w:r w:rsidRPr="00A41540">
        <w:t>, impact on the river systems hydrograph, area of inundation and river levels. It can also include observations of environmental outcomes.</w:t>
      </w:r>
    </w:p>
    <w:p w14:paraId="0D5D3FE3" w14:textId="77777777" w:rsidR="00CD0ABA" w:rsidRDefault="00CD0ABA" w:rsidP="00CD0ABA">
      <w:r w:rsidRPr="00C036FF">
        <w:t>In the Warrego Valley, the five-year Long-Term Intervention Monitoring (LTIM) Project (2013</w:t>
      </w:r>
      <w:r>
        <w:t>–</w:t>
      </w:r>
      <w:r w:rsidRPr="00C036FF">
        <w:t>2014 to 2018</w:t>
      </w:r>
      <w:r>
        <w:t>–</w:t>
      </w:r>
      <w:r w:rsidRPr="00C036FF">
        <w:t xml:space="preserve">19) </w:t>
      </w:r>
      <w:r>
        <w:t>included</w:t>
      </w:r>
      <w:r w:rsidRPr="00C036FF">
        <w:t xml:space="preserve"> the junction of the Warrego and Darling Rivers as a focus area. It aimed to understand the environmental response from Commonwealth environmental watering with respect to the targeted objectives by carrying out monitoring of site condition over many years.</w:t>
      </w:r>
    </w:p>
    <w:p w14:paraId="4D68A79A" w14:textId="21626C3D" w:rsidR="00CD0ABA" w:rsidRDefault="00CD0ABA" w:rsidP="00CD0ABA">
      <w:r w:rsidRPr="00D04380">
        <w:t xml:space="preserve">This monitoring </w:t>
      </w:r>
      <w:r>
        <w:t>is being</w:t>
      </w:r>
      <w:r w:rsidRPr="00D04380">
        <w:t xml:space="preserve"> continued under the </w:t>
      </w:r>
      <w:r>
        <w:t>CEWO Monitoring, Evaluation and Research</w:t>
      </w:r>
      <w:r w:rsidRPr="00D04380">
        <w:t xml:space="preserve"> </w:t>
      </w:r>
      <w:r>
        <w:t>three</w:t>
      </w:r>
      <w:r w:rsidR="00F24797">
        <w:t>-</w:t>
      </w:r>
      <w:r w:rsidRPr="00D04380">
        <w:t>year program from 2019</w:t>
      </w:r>
      <w:r>
        <w:t>–</w:t>
      </w:r>
      <w:r w:rsidRPr="00D04380">
        <w:t xml:space="preserve">20 </w:t>
      </w:r>
      <w:r>
        <w:t>to mid-2022.</w:t>
      </w:r>
    </w:p>
    <w:p w14:paraId="3F5E3AC6" w14:textId="77777777" w:rsidR="009300C5" w:rsidRDefault="00CD0ABA" w:rsidP="00CD0ABA">
      <w:r>
        <w:t>The CEWO has also co-</w:t>
      </w:r>
      <w:proofErr w:type="spellStart"/>
      <w:r>
        <w:t>funded</w:t>
      </w:r>
      <w:proofErr w:type="spellEnd"/>
      <w:r>
        <w:t xml:space="preserve"> a short-term intervention monitoring project with Queensland DES to better understand native fish resilience following severe drought in the Northern Murray-Darling Basin, including the upper Warrego. Results from this project will be available in early 2022. The CEWO does not currently fund any monitoring in the Moonie Valley.</w:t>
      </w:r>
    </w:p>
    <w:p w14:paraId="72A5089E" w14:textId="49939F97" w:rsidR="00CD0ABA" w:rsidRDefault="00CD0ABA" w:rsidP="00CD0ABA">
      <w:r>
        <w:t xml:space="preserve">Learn more about </w:t>
      </w:r>
      <w:hyperlink r:id="rId28" w:history="1">
        <w:r w:rsidRPr="000933C1">
          <w:rPr>
            <w:rStyle w:val="Hyperlink"/>
          </w:rPr>
          <w:t>monitoring and research funded by the CEWO in the Warrego and Moonie Valleys</w:t>
        </w:r>
      </w:hyperlink>
      <w:r w:rsidRPr="00AC46CB">
        <w:t>.</w:t>
      </w:r>
    </w:p>
    <w:p w14:paraId="40487C93" w14:textId="77777777" w:rsidR="00CD0ABA" w:rsidRDefault="00CD0ABA" w:rsidP="00CD0ABA">
      <w:pPr>
        <w:pStyle w:val="Heading4"/>
      </w:pPr>
      <w:r>
        <w:t>Lessons learned</w:t>
      </w:r>
    </w:p>
    <w:p w14:paraId="37DFF1E3" w14:textId="77777777" w:rsidR="00CD0ABA" w:rsidRDefault="00CD0ABA" w:rsidP="00CD0ABA">
      <w:bookmarkStart w:id="38" w:name="_Hlk65102665"/>
      <w:r>
        <w:t>Outcomes from monitoring and lessons learned in previous years are a critical component for the effective and efficient use of Commonwealth water for the environment. These learnings are incorporated into the way environmental water is managed.</w:t>
      </w:r>
    </w:p>
    <w:p w14:paraId="0CDFA840" w14:textId="2777EB60" w:rsidR="009300C5" w:rsidRDefault="00CD0ABA" w:rsidP="00CD0ABA">
      <w:bookmarkStart w:id="39" w:name="_Ref61429548"/>
      <w:bookmarkStart w:id="40" w:name="_Toc61429622"/>
      <w:bookmarkEnd w:id="38"/>
      <w:r w:rsidRPr="008447DC">
        <w:t>Key findings from fish, aquatic habitat and flow monitoring in the Warrego</w:t>
      </w:r>
      <w:r>
        <w:t xml:space="preserve"> and Moonie</w:t>
      </w:r>
      <w:r w:rsidRPr="008447DC">
        <w:t xml:space="preserve"> </w:t>
      </w:r>
      <w:r>
        <w:t>Valleys</w:t>
      </w:r>
      <w:r w:rsidRPr="008447DC">
        <w:t xml:space="preserve"> are summarised in</w:t>
      </w:r>
      <w:r w:rsidR="00CA6A68">
        <w:t xml:space="preserve"> </w:t>
      </w:r>
      <w:r w:rsidR="00CA6A68">
        <w:fldChar w:fldCharType="begin"/>
      </w:r>
      <w:r w:rsidR="00CA6A68">
        <w:instrText xml:space="preserve"> REF _Ref76107470 \h </w:instrText>
      </w:r>
      <w:r w:rsidR="00CA6A68">
        <w:fldChar w:fldCharType="separate"/>
      </w:r>
      <w:r w:rsidR="0044215C">
        <w:t>Table WMV</w:t>
      </w:r>
      <w:r w:rsidR="0044215C">
        <w:rPr>
          <w:noProof/>
        </w:rPr>
        <w:t>3</w:t>
      </w:r>
      <w:r w:rsidR="00CA6A68">
        <w:fldChar w:fldCharType="end"/>
      </w:r>
      <w:r>
        <w:t>.</w:t>
      </w:r>
    </w:p>
    <w:p w14:paraId="731C3DC6" w14:textId="73B8E975" w:rsidR="00CD0ABA" w:rsidRPr="005926C0" w:rsidRDefault="00CA6A68" w:rsidP="00CA6A68">
      <w:pPr>
        <w:pStyle w:val="Caption"/>
        <w:rPr>
          <w:b w:val="0"/>
          <w:bCs w:val="0"/>
        </w:rPr>
      </w:pPr>
      <w:bookmarkStart w:id="41" w:name="_Ref76107470"/>
      <w:bookmarkStart w:id="42" w:name="_Toc72920243"/>
      <w:bookmarkStart w:id="43" w:name="_Toc80294622"/>
      <w:r>
        <w:t>Table WMV</w:t>
      </w:r>
      <w:fldSimple w:instr=" SEQ Table_WMV \* ARABIC ">
        <w:r w:rsidR="0044215C">
          <w:rPr>
            <w:noProof/>
          </w:rPr>
          <w:t>3</w:t>
        </w:r>
      </w:fldSimple>
      <w:bookmarkEnd w:id="41"/>
      <w:r>
        <w:t xml:space="preserve"> </w:t>
      </w:r>
      <w:r w:rsidR="00CD0ABA" w:rsidRPr="001A6515">
        <w:t xml:space="preserve">Key lessons learned in the Warrego </w:t>
      </w:r>
      <w:r w:rsidR="00CD0ABA">
        <w:t xml:space="preserve">and Moonie </w:t>
      </w:r>
      <w:r w:rsidR="00CD0ABA" w:rsidRPr="001A6515">
        <w:t>Valley</w:t>
      </w:r>
      <w:bookmarkEnd w:id="39"/>
      <w:bookmarkEnd w:id="40"/>
      <w:bookmarkEnd w:id="42"/>
      <w:r w:rsidR="00CD0ABA">
        <w:t>s</w:t>
      </w:r>
      <w:bookmarkEnd w:id="43"/>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Table WMV3 Key lessons learned in the Warrego and Moonie Valleys"/>
        <w:tblDescription w:val="Table WV3 Key lessons learned in the Warrego and Moonie Valleys Table identifies themes (native fish and aquatic invertebrates, waterbirds, water quality, connectivity, food webs/connectivity, vegetation, refuges and other) and lessons learnt. "/>
      </w:tblPr>
      <w:tblGrid>
        <w:gridCol w:w="1701"/>
        <w:gridCol w:w="7371"/>
      </w:tblGrid>
      <w:tr w:rsidR="00CD0ABA" w14:paraId="10D21359" w14:textId="77777777" w:rsidTr="00646597">
        <w:trPr>
          <w:tblHeader/>
        </w:trPr>
        <w:tc>
          <w:tcPr>
            <w:tcW w:w="1701" w:type="dxa"/>
          </w:tcPr>
          <w:p w14:paraId="1D7ABA63" w14:textId="77777777" w:rsidR="00CD0ABA" w:rsidRDefault="00CD0ABA" w:rsidP="00D270D8">
            <w:pPr>
              <w:pStyle w:val="TableHeading"/>
            </w:pPr>
            <w:bookmarkStart w:id="44" w:name="Title_WMV3"/>
            <w:bookmarkEnd w:id="44"/>
            <w:r>
              <w:t>Theme</w:t>
            </w:r>
          </w:p>
        </w:tc>
        <w:tc>
          <w:tcPr>
            <w:tcW w:w="7371" w:type="dxa"/>
          </w:tcPr>
          <w:p w14:paraId="084D1959" w14:textId="77777777" w:rsidR="00CD0ABA" w:rsidRDefault="00CD0ABA" w:rsidP="00D270D8">
            <w:pPr>
              <w:pStyle w:val="TableHeading"/>
            </w:pPr>
            <w:r>
              <w:t>Lessons learned</w:t>
            </w:r>
          </w:p>
        </w:tc>
      </w:tr>
      <w:tr w:rsidR="00CD0ABA" w14:paraId="0A3ED5C4" w14:textId="77777777" w:rsidTr="00646597">
        <w:tc>
          <w:tcPr>
            <w:tcW w:w="1701" w:type="dxa"/>
          </w:tcPr>
          <w:p w14:paraId="663CF0A8" w14:textId="77777777" w:rsidR="00CD0ABA" w:rsidRPr="00022511" w:rsidRDefault="00CD0ABA" w:rsidP="00022511">
            <w:pPr>
              <w:pStyle w:val="TableText"/>
              <w:rPr>
                <w:rStyle w:val="Strong"/>
              </w:rPr>
            </w:pPr>
            <w:r w:rsidRPr="00022511">
              <w:rPr>
                <w:rStyle w:val="Strong"/>
              </w:rPr>
              <w:t>Native fish and aquatic invertebrates</w:t>
            </w:r>
          </w:p>
        </w:tc>
        <w:tc>
          <w:tcPr>
            <w:tcW w:w="7371" w:type="dxa"/>
          </w:tcPr>
          <w:p w14:paraId="4AE94721" w14:textId="77777777" w:rsidR="00CD0ABA" w:rsidRPr="00646597" w:rsidRDefault="00CD0ABA" w:rsidP="00646597">
            <w:pPr>
              <w:pStyle w:val="TableBullet1"/>
            </w:pPr>
            <w:r w:rsidRPr="00646597">
              <w:t xml:space="preserve">Flows in the Warrego River, including environmental water, support breeding and recruitment of many fish species. During ‘wetter’ times, multiple species have been observed to breed, recruit and maintain their population structure, </w:t>
            </w:r>
            <w:proofErr w:type="gramStart"/>
            <w:r w:rsidRPr="00646597">
              <w:t>e.g.</w:t>
            </w:r>
            <w:proofErr w:type="gramEnd"/>
            <w:r w:rsidRPr="00646597">
              <w:t xml:space="preserve"> golden perch, spangled perch, bony herring, </w:t>
            </w:r>
            <w:proofErr w:type="spellStart"/>
            <w:r w:rsidRPr="00646597">
              <w:t>Hyrtl’s</w:t>
            </w:r>
            <w:proofErr w:type="spellEnd"/>
            <w:r w:rsidRPr="00646597">
              <w:t xml:space="preserve"> tandan (ELA 2019; UNE &amp; 2 Rog Consulting 2020a; Marshall &amp; </w:t>
            </w:r>
            <w:proofErr w:type="spellStart"/>
            <w:r w:rsidRPr="00646597">
              <w:t>Lobegeiger</w:t>
            </w:r>
            <w:proofErr w:type="spellEnd"/>
            <w:r w:rsidRPr="00646597">
              <w:t xml:space="preserve"> 2021).</w:t>
            </w:r>
          </w:p>
          <w:p w14:paraId="725A9E9E" w14:textId="09CFBE53" w:rsidR="00CD0ABA" w:rsidRPr="00646597" w:rsidRDefault="00CD0ABA" w:rsidP="00646597">
            <w:pPr>
              <w:pStyle w:val="TableBullet1"/>
            </w:pPr>
            <w:r w:rsidRPr="00646597">
              <w:t xml:space="preserve">Golden perch spawn on river rises in the Warrego River, and recruits from </w:t>
            </w:r>
            <w:r w:rsidR="00C8273F" w:rsidRPr="00646597">
              <w:t>within this river system</w:t>
            </w:r>
            <w:r w:rsidRPr="00646597">
              <w:t xml:space="preserve"> are likely to be contributing to the wider Murray</w:t>
            </w:r>
            <w:r w:rsidR="00D270D8" w:rsidRPr="00646597">
              <w:t>–</w:t>
            </w:r>
            <w:r w:rsidRPr="00646597">
              <w:t xml:space="preserve">Darling Basin golden perch population (UNE &amp; 2 Rog Consulting 2020a). The upper Warrego River supports a strong golden perch population, supported by natural spawning and recruitment events. Murray cod are also present in the upper Warrego River, with relatively low carp presence (Marshall &amp; </w:t>
            </w:r>
            <w:proofErr w:type="spellStart"/>
            <w:r w:rsidRPr="00646597">
              <w:t>Lobegeiger</w:t>
            </w:r>
            <w:proofErr w:type="spellEnd"/>
            <w:r w:rsidRPr="00646597">
              <w:t xml:space="preserve"> 2020).</w:t>
            </w:r>
          </w:p>
          <w:p w14:paraId="1984073E" w14:textId="77777777" w:rsidR="00CD0ABA" w:rsidRPr="00646597" w:rsidRDefault="00CD0ABA" w:rsidP="00646597">
            <w:pPr>
              <w:pStyle w:val="TableBullet1"/>
            </w:pPr>
            <w:r w:rsidRPr="00646597">
              <w:t xml:space="preserve">The fish community in the Warrego River are highly resilient and can survive highly variable flow conditions, including drying down. Fish communities were able to recolonise and recruit following larger flow events. Golden perch, spangled perch and bony herring have demonstrated an ability to move, colonise and opportunistically recruit in the Warrego River in response to increased flows (ELA 2019; Marshall &amp; </w:t>
            </w:r>
            <w:proofErr w:type="spellStart"/>
            <w:r w:rsidRPr="00646597">
              <w:t>Lobegeiger</w:t>
            </w:r>
            <w:proofErr w:type="spellEnd"/>
            <w:r w:rsidRPr="00646597">
              <w:t xml:space="preserve"> 2021).</w:t>
            </w:r>
          </w:p>
          <w:p w14:paraId="7916821A" w14:textId="5A1CD4AE" w:rsidR="00CD0ABA" w:rsidRPr="00646597" w:rsidRDefault="00CD0ABA" w:rsidP="00646597">
            <w:pPr>
              <w:pStyle w:val="TableBullet1"/>
            </w:pPr>
            <w:proofErr w:type="gramStart"/>
            <w:r w:rsidRPr="00646597">
              <w:lastRenderedPageBreak/>
              <w:t>Retaining water at all times</w:t>
            </w:r>
            <w:proofErr w:type="gramEnd"/>
            <w:r w:rsidRPr="00646597">
              <w:t xml:space="preserve"> in at least some of the five main waterholes on the Warrego River will ensure that when the system is reconnected, there are</w:t>
            </w:r>
            <w:r w:rsidR="00E409A2" w:rsidRPr="00646597">
              <w:t xml:space="preserve"> </w:t>
            </w:r>
            <w:r w:rsidRPr="00646597">
              <w:t xml:space="preserve">populations present that can distribute and recolonise across the lower sections of the Warrego. This helps prepare native fish populations for the next drying phase (ELA 2019; Marshall &amp; </w:t>
            </w:r>
            <w:proofErr w:type="spellStart"/>
            <w:r w:rsidRPr="00646597">
              <w:t>Lobegeiger</w:t>
            </w:r>
            <w:proofErr w:type="spellEnd"/>
            <w:r w:rsidRPr="00646597">
              <w:t xml:space="preserve"> 2021).</w:t>
            </w:r>
          </w:p>
          <w:p w14:paraId="6F8A2291" w14:textId="77777777" w:rsidR="00CD0ABA" w:rsidRPr="00646597" w:rsidRDefault="00CD0ABA" w:rsidP="00646597">
            <w:pPr>
              <w:pStyle w:val="TableBullet1"/>
            </w:pPr>
            <w:r w:rsidRPr="00646597">
              <w:t>The Moonie has relatively long and deep waterholes that have been shown to be critical refugia for sustaining native fish populations in the often-long periods between flows in the system. Species including golden perch, bony bream, eel tailed catfish and smelt moved significant distances (up to 70 kilometres) in response to waterhole reconnecting flows, enabling recolonisation of the system and genetic mixing (Marshall et al. 2016).</w:t>
            </w:r>
          </w:p>
          <w:p w14:paraId="215D1016" w14:textId="4CEA4E23" w:rsidR="00CD0ABA" w:rsidRPr="00646597" w:rsidRDefault="00CD0ABA" w:rsidP="00646597">
            <w:pPr>
              <w:pStyle w:val="TableBullet1"/>
            </w:pPr>
            <w:r w:rsidRPr="00646597">
              <w:t>The Moonie has also been identified as a source population for golden perch in the Northern Murray</w:t>
            </w:r>
            <w:r w:rsidR="00D270D8" w:rsidRPr="00646597">
              <w:t>–</w:t>
            </w:r>
            <w:r w:rsidRPr="00646597">
              <w:t>Darling Basin (along with the Condamine</w:t>
            </w:r>
            <w:r w:rsidR="00D270D8" w:rsidRPr="00646597">
              <w:t>–</w:t>
            </w:r>
            <w:r w:rsidRPr="00646597">
              <w:t>Balonne and Border Rivers) with consistent recruitment over the past decade (Price et al. 2019; Greg Ringwood [Murray</w:t>
            </w:r>
            <w:r w:rsidR="00D270D8" w:rsidRPr="00646597">
              <w:t>–</w:t>
            </w:r>
            <w:r w:rsidRPr="00646597">
              <w:t>Darling Basin Authority] 2021, pers. comm., 20 May).</w:t>
            </w:r>
          </w:p>
        </w:tc>
      </w:tr>
      <w:tr w:rsidR="00CD0ABA" w14:paraId="00ADD7F1" w14:textId="77777777" w:rsidTr="00646597">
        <w:tc>
          <w:tcPr>
            <w:tcW w:w="1701" w:type="dxa"/>
          </w:tcPr>
          <w:p w14:paraId="279B7567" w14:textId="77777777" w:rsidR="00CD0ABA" w:rsidRPr="00022511" w:rsidRDefault="00CD0ABA" w:rsidP="00022511">
            <w:pPr>
              <w:pStyle w:val="TableText"/>
              <w:rPr>
                <w:rStyle w:val="Strong"/>
              </w:rPr>
            </w:pPr>
            <w:r w:rsidRPr="00022511">
              <w:rPr>
                <w:rStyle w:val="Strong"/>
              </w:rPr>
              <w:lastRenderedPageBreak/>
              <w:t>Waterbirds</w:t>
            </w:r>
          </w:p>
        </w:tc>
        <w:tc>
          <w:tcPr>
            <w:tcW w:w="7371" w:type="dxa"/>
          </w:tcPr>
          <w:p w14:paraId="11F3C8E9" w14:textId="310BB82F" w:rsidR="00CD0ABA" w:rsidRPr="00646597" w:rsidRDefault="00CD0ABA" w:rsidP="00646597">
            <w:pPr>
              <w:pStyle w:val="TableBullet1"/>
            </w:pPr>
            <w:r w:rsidRPr="00646597">
              <w:t xml:space="preserve">In the Queensland Warrego River, the </w:t>
            </w:r>
            <w:proofErr w:type="spellStart"/>
            <w:r w:rsidRPr="00646597">
              <w:t>Cuttaburra</w:t>
            </w:r>
            <w:proofErr w:type="spellEnd"/>
            <w:r w:rsidRPr="00646597">
              <w:t xml:space="preserve"> channels represent 10% abundance of each species (one of only four wetlands in the Murray</w:t>
            </w:r>
            <w:r w:rsidR="00D270D8" w:rsidRPr="00646597">
              <w:t>–</w:t>
            </w:r>
            <w:r w:rsidRPr="00646597">
              <w:t xml:space="preserve">Darling Basin, with the others being the </w:t>
            </w:r>
            <w:proofErr w:type="spellStart"/>
            <w:r w:rsidRPr="00646597">
              <w:t>Lowbidgee</w:t>
            </w:r>
            <w:proofErr w:type="spellEnd"/>
            <w:r w:rsidRPr="00646597">
              <w:t xml:space="preserve">, Lower Coorong and Thallon wetlands). The </w:t>
            </w:r>
            <w:proofErr w:type="spellStart"/>
            <w:r w:rsidRPr="00646597">
              <w:t>Cuttaburra</w:t>
            </w:r>
            <w:proofErr w:type="spellEnd"/>
            <w:r w:rsidRPr="00646597">
              <w:t xml:space="preserve"> has been identified as important for waterbirds at a whole-of-Basin scale during wet times (Bino et al. 2015).</w:t>
            </w:r>
          </w:p>
          <w:p w14:paraId="506F59FA" w14:textId="77777777" w:rsidR="00CD0ABA" w:rsidRPr="00646597" w:rsidRDefault="00CD0ABA" w:rsidP="00646597">
            <w:pPr>
              <w:pStyle w:val="TableBullet1"/>
            </w:pPr>
            <w:r w:rsidRPr="00646597">
              <w:t xml:space="preserve">Surveys in March 2021 found waterbirds at all sites at </w:t>
            </w:r>
            <w:proofErr w:type="spellStart"/>
            <w:r w:rsidRPr="00646597">
              <w:t>Toorale</w:t>
            </w:r>
            <w:proofErr w:type="spellEnd"/>
            <w:r w:rsidRPr="00646597">
              <w:t xml:space="preserve">, with the highest bird count at </w:t>
            </w:r>
            <w:proofErr w:type="spellStart"/>
            <w:r w:rsidRPr="00646597">
              <w:t>Boera</w:t>
            </w:r>
            <w:proofErr w:type="spellEnd"/>
            <w:r w:rsidRPr="00646597">
              <w:t xml:space="preserve"> Dam and lower waterbird numbers on the Western Floodplain (UNE &amp; 2 Rog Consulting 2021). Birds detected at </w:t>
            </w:r>
            <w:proofErr w:type="spellStart"/>
            <w:r w:rsidRPr="00646597">
              <w:t>Boera</w:t>
            </w:r>
            <w:proofErr w:type="spellEnd"/>
            <w:r w:rsidRPr="00646597">
              <w:t xml:space="preserve"> included brolgas and the listed migratory species sharp-tailed sandpiper (UNE &amp; 2 Rog Consulting, 2021). Sea eagles were also recorded breeding at </w:t>
            </w:r>
            <w:proofErr w:type="spellStart"/>
            <w:r w:rsidRPr="00646597">
              <w:t>Boera</w:t>
            </w:r>
            <w:proofErr w:type="spellEnd"/>
            <w:r w:rsidRPr="00646597">
              <w:t xml:space="preserve"> Dam in early 2021, unusual in an inland area (UNE &amp; 2 Rog Consulting 2021).</w:t>
            </w:r>
          </w:p>
          <w:p w14:paraId="1718BF42" w14:textId="0A4267EB" w:rsidR="009300C5" w:rsidRPr="00646597" w:rsidRDefault="00CD0ABA" w:rsidP="00646597">
            <w:pPr>
              <w:pStyle w:val="TableBullet1"/>
            </w:pPr>
            <w:r w:rsidRPr="00646597">
              <w:t>While not recognised as nationally or internationally significant, the Thallon waterholes on the Moonie are important for waterbirds, with representation of 10% abundance for each species between 1983</w:t>
            </w:r>
            <w:r w:rsidR="00D270D8" w:rsidRPr="00646597">
              <w:t>–</w:t>
            </w:r>
            <w:r w:rsidRPr="00646597">
              <w:t xml:space="preserve">2012 (only four other wetlands achieved this including the </w:t>
            </w:r>
            <w:proofErr w:type="spellStart"/>
            <w:r w:rsidRPr="00646597">
              <w:t>Cuttaburra</w:t>
            </w:r>
            <w:proofErr w:type="spellEnd"/>
            <w:r w:rsidRPr="00646597">
              <w:t xml:space="preserve"> channels, </w:t>
            </w:r>
            <w:proofErr w:type="spellStart"/>
            <w:r w:rsidRPr="00646597">
              <w:t>Lowbidgee</w:t>
            </w:r>
            <w:proofErr w:type="spellEnd"/>
            <w:r w:rsidRPr="00646597">
              <w:t xml:space="preserve"> and Lower Coorong) (Bino et al. 2015)</w:t>
            </w:r>
            <w:r w:rsidR="00D97BA3" w:rsidRPr="00646597">
              <w:t>.</w:t>
            </w:r>
          </w:p>
          <w:p w14:paraId="36FC1B3E" w14:textId="0D51D303" w:rsidR="00CD0ABA" w:rsidRPr="00646597" w:rsidRDefault="00CD0ABA" w:rsidP="00646597">
            <w:pPr>
              <w:pStyle w:val="TableBullet1"/>
            </w:pPr>
            <w:r w:rsidRPr="00646597">
              <w:t>Waterbirds tracked by CSIRO Land &amp; Water have been recorded visiting the Moonie Valley in 2020</w:t>
            </w:r>
            <w:r w:rsidR="00D270D8" w:rsidRPr="00646597">
              <w:t>–</w:t>
            </w:r>
            <w:r w:rsidRPr="00646597">
              <w:t>21 including straw</w:t>
            </w:r>
            <w:r w:rsidR="00D270D8" w:rsidRPr="00646597">
              <w:t>-</w:t>
            </w:r>
            <w:r w:rsidRPr="00646597">
              <w:t>necked ibis ‘Elf’ and ‘Dani’ (CSIRO 2021).</w:t>
            </w:r>
          </w:p>
        </w:tc>
      </w:tr>
      <w:tr w:rsidR="00CD0ABA" w14:paraId="605964AC" w14:textId="77777777" w:rsidTr="00646597">
        <w:tc>
          <w:tcPr>
            <w:tcW w:w="1701" w:type="dxa"/>
          </w:tcPr>
          <w:p w14:paraId="2841F7CB" w14:textId="77777777" w:rsidR="00CD0ABA" w:rsidRPr="00022511" w:rsidRDefault="00CD0ABA" w:rsidP="00022511">
            <w:pPr>
              <w:pStyle w:val="TableText"/>
              <w:rPr>
                <w:rStyle w:val="Strong"/>
              </w:rPr>
            </w:pPr>
            <w:r w:rsidRPr="00022511">
              <w:rPr>
                <w:rStyle w:val="Strong"/>
              </w:rPr>
              <w:t>Connectivity</w:t>
            </w:r>
          </w:p>
        </w:tc>
        <w:tc>
          <w:tcPr>
            <w:tcW w:w="7371" w:type="dxa"/>
          </w:tcPr>
          <w:p w14:paraId="05CBE5EA" w14:textId="77777777" w:rsidR="00CD0ABA" w:rsidRPr="00646597" w:rsidRDefault="00CD0ABA" w:rsidP="00646597">
            <w:pPr>
              <w:pStyle w:val="TableBullet1"/>
            </w:pPr>
            <w:r w:rsidRPr="00646597">
              <w:t>Environmental water has been observed to successfully increase longitudinal connectivity between the Warrego and Darling rivers, and laterally, with parts of the Western Floodplain (ELA 2019). By increasing connectivity, water for the environment improves water quality, increases available habitat and productivity, and supports native fish movement between rivers (ELA 2019). The resulting productivity booms can also generate an increase in the abundance and diversity of invertebrates, frogs and waterbirds on the floodplain (ELA 2019).</w:t>
            </w:r>
          </w:p>
          <w:p w14:paraId="7A4005B4" w14:textId="467EA6A0" w:rsidR="00CD0ABA" w:rsidRPr="00646597" w:rsidRDefault="00CD0ABA" w:rsidP="00646597">
            <w:pPr>
              <w:pStyle w:val="TableBullet1"/>
            </w:pPr>
            <w:r w:rsidRPr="00646597">
              <w:t xml:space="preserve">Environmental water can successfully increase the size of flows through the Warrego system, increasing connectivity between the Warrego and Darling rivers (ELA 2019). This is important for improving water quality, increasing productivity and allowing the movement of native fish between rivers for spawning, dispersal and recruitment (ELA 2019). Around </w:t>
            </w:r>
            <w:r w:rsidR="009300C5" w:rsidRPr="00646597">
              <w:t>5</w:t>
            </w:r>
            <w:r w:rsidRPr="00646597">
              <w:t xml:space="preserve"> gigalitres of water from the Warrego is estimated to have contributed to flows in the downstream Darling in 2020–21 (</w:t>
            </w:r>
            <w:proofErr w:type="spellStart"/>
            <w:r w:rsidRPr="00646597">
              <w:t>WaterNSW</w:t>
            </w:r>
            <w:proofErr w:type="spellEnd"/>
            <w:r w:rsidRPr="00646597">
              <w:t xml:space="preserve"> 2021b).</w:t>
            </w:r>
          </w:p>
          <w:p w14:paraId="0527BBB9" w14:textId="37DBEA8F" w:rsidR="00CD0ABA" w:rsidRPr="00646597" w:rsidRDefault="00CD0ABA" w:rsidP="00646597">
            <w:pPr>
              <w:pStyle w:val="TableBullet1"/>
            </w:pPr>
            <w:r w:rsidRPr="00646597">
              <w:t>The Moonie can provide important tributary inflows to the Barwon</w:t>
            </w:r>
            <w:r w:rsidR="00D270D8" w:rsidRPr="00646597">
              <w:t>–</w:t>
            </w:r>
            <w:r w:rsidRPr="00646597">
              <w:t>Darling during unregulated flow events (around 100 gigalitres in 2020</w:t>
            </w:r>
            <w:r w:rsidR="00D270D8" w:rsidRPr="00646597">
              <w:t>–</w:t>
            </w:r>
            <w:r w:rsidRPr="00646597">
              <w:t>21) (</w:t>
            </w:r>
            <w:proofErr w:type="spellStart"/>
            <w:r w:rsidRPr="00646597">
              <w:t>WaterNSW</w:t>
            </w:r>
            <w:proofErr w:type="spellEnd"/>
            <w:r w:rsidRPr="00646597">
              <w:t xml:space="preserve"> 2021d). While the Commonwealth’s environmental water entitlements in the Moonie are a relatively small proportion of these natural flows, better cross</w:t>
            </w:r>
            <w:r w:rsidR="00D270D8" w:rsidRPr="00646597">
              <w:t>-</w:t>
            </w:r>
            <w:r w:rsidRPr="00646597">
              <w:t>border accounting arrangements being worked out between Queensland and NSW with input from the Commonwealth will help us track environmental water from the Queensland Moonie into the NSW catchment and downstream to the Barwon</w:t>
            </w:r>
            <w:r w:rsidR="00D270D8" w:rsidRPr="00646597">
              <w:t>–</w:t>
            </w:r>
            <w:r w:rsidRPr="00646597">
              <w:t>Darling. Active management arrangements in NSW will also provide better protection of the Commonwealth’s environmental water in the Moonie and other unregulated Barwon</w:t>
            </w:r>
            <w:r w:rsidR="00D270D8" w:rsidRPr="00646597">
              <w:t>–</w:t>
            </w:r>
            <w:r w:rsidRPr="00646597">
              <w:t>Darling tributaries.</w:t>
            </w:r>
          </w:p>
        </w:tc>
      </w:tr>
      <w:tr w:rsidR="00CD0ABA" w14:paraId="588F5659" w14:textId="77777777" w:rsidTr="00646597">
        <w:tc>
          <w:tcPr>
            <w:tcW w:w="1701" w:type="dxa"/>
          </w:tcPr>
          <w:p w14:paraId="60780ABA" w14:textId="77777777" w:rsidR="00CD0ABA" w:rsidRPr="00022511" w:rsidRDefault="00CD0ABA" w:rsidP="00022511">
            <w:pPr>
              <w:pStyle w:val="TableText"/>
              <w:rPr>
                <w:rStyle w:val="Strong"/>
              </w:rPr>
            </w:pPr>
            <w:r w:rsidRPr="00022511">
              <w:rPr>
                <w:rStyle w:val="Strong"/>
              </w:rPr>
              <w:t>Water quality</w:t>
            </w:r>
          </w:p>
        </w:tc>
        <w:tc>
          <w:tcPr>
            <w:tcW w:w="7371" w:type="dxa"/>
          </w:tcPr>
          <w:p w14:paraId="78405F27" w14:textId="77777777" w:rsidR="00CD0ABA" w:rsidRPr="00646597" w:rsidRDefault="00CD0ABA" w:rsidP="00646597">
            <w:pPr>
              <w:pStyle w:val="TableBullet1"/>
            </w:pPr>
            <w:r w:rsidRPr="00646597">
              <w:t xml:space="preserve">Water for the environment delivered through the Warrego River consistently helps improve the quality of Darling River water downstream of the confluence (ELA 2019; UNE &amp; 2 Rog Consulting 2020a). Observed improvements include reduced </w:t>
            </w:r>
            <w:r w:rsidRPr="00646597">
              <w:lastRenderedPageBreak/>
              <w:t>pH, conductivity, turbidity and algal productivity, and increased nutrient cycling and habitat when compared with periods without environmental water (ELA 2019; UNE &amp; 2 Rog Consulting 2020a).</w:t>
            </w:r>
          </w:p>
        </w:tc>
      </w:tr>
      <w:tr w:rsidR="00CD0ABA" w14:paraId="41FCDA2D" w14:textId="77777777" w:rsidTr="00646597">
        <w:tc>
          <w:tcPr>
            <w:tcW w:w="1701" w:type="dxa"/>
          </w:tcPr>
          <w:p w14:paraId="0DF085DA" w14:textId="77777777" w:rsidR="00CD0ABA" w:rsidRPr="00022511" w:rsidRDefault="00CD0ABA" w:rsidP="00022511">
            <w:pPr>
              <w:pStyle w:val="TableText"/>
              <w:rPr>
                <w:rStyle w:val="Strong"/>
              </w:rPr>
            </w:pPr>
            <w:r w:rsidRPr="00022511">
              <w:rPr>
                <w:rStyle w:val="Strong"/>
              </w:rPr>
              <w:lastRenderedPageBreak/>
              <w:t>Food webs/</w:t>
            </w:r>
          </w:p>
          <w:p w14:paraId="5F4BB6CA" w14:textId="77777777" w:rsidR="00CD0ABA" w:rsidRPr="00022511" w:rsidRDefault="00CD0ABA" w:rsidP="00022511">
            <w:pPr>
              <w:pStyle w:val="TableText"/>
              <w:rPr>
                <w:rStyle w:val="Strong"/>
              </w:rPr>
            </w:pPr>
            <w:r w:rsidRPr="00022511">
              <w:rPr>
                <w:rStyle w:val="Strong"/>
              </w:rPr>
              <w:t xml:space="preserve">productivity </w:t>
            </w:r>
          </w:p>
        </w:tc>
        <w:tc>
          <w:tcPr>
            <w:tcW w:w="7371" w:type="dxa"/>
          </w:tcPr>
          <w:p w14:paraId="76B03EDE" w14:textId="0395DA45" w:rsidR="00CD0ABA" w:rsidRPr="00646597" w:rsidRDefault="00CD0ABA" w:rsidP="00646597">
            <w:pPr>
              <w:pStyle w:val="TableBullet1"/>
            </w:pPr>
            <w:r w:rsidRPr="00646597">
              <w:t>Environmental water that contributes to connection with the floodplain for a long duration (more than six months) stimulates a boom in productivity, which provides food for higher order predators such as waterbirds (ELA 2019; UNE &amp; 2 Rog Consulting 2020a).</w:t>
            </w:r>
          </w:p>
          <w:p w14:paraId="6268C288" w14:textId="77777777" w:rsidR="00CD0ABA" w:rsidRPr="00646597" w:rsidRDefault="00CD0ABA" w:rsidP="00646597">
            <w:pPr>
              <w:pStyle w:val="TableBullet1"/>
            </w:pPr>
            <w:r w:rsidRPr="00646597">
              <w:t>The Western Floodplain is important for highly dense and species rich invertebrate communities. More diverse macroinvertebrate communities may offer a wider range of feeding opportunities for higher level consumers such as frogs, fish, waterbirds and other aquatic vertebrates (ELA 2019; UNE &amp; 2 Rog Consulting 2020a).</w:t>
            </w:r>
          </w:p>
          <w:p w14:paraId="67FBCD38" w14:textId="77777777" w:rsidR="00CD0ABA" w:rsidRPr="00646597" w:rsidRDefault="00CD0ABA" w:rsidP="00646597">
            <w:pPr>
              <w:pStyle w:val="TableBullet1"/>
            </w:pPr>
            <w:r w:rsidRPr="00646597">
              <w:t xml:space="preserve">The Warrego and Western Floodplain are productive systems, species such as shrimps and tadpoles responded quickly to inundation (ELA 2019, UNE &amp; 2 Rog consulting 2020a). Species such as fairy and shield shrimps are known to rely on an egg bank that is desiccation resistant, which may help survival and responsiveness (ELA 2019; UNE &amp; 2 Rog Consulting 2020a; UNE &amp; 2 Rog Consulting 2021). </w:t>
            </w:r>
          </w:p>
        </w:tc>
      </w:tr>
      <w:tr w:rsidR="00CD0ABA" w14:paraId="0E58FCB3" w14:textId="77777777" w:rsidTr="00646597">
        <w:tc>
          <w:tcPr>
            <w:tcW w:w="1701" w:type="dxa"/>
          </w:tcPr>
          <w:p w14:paraId="1C4ABB5A" w14:textId="77777777" w:rsidR="00CD0ABA" w:rsidRPr="00022511" w:rsidRDefault="00CD0ABA" w:rsidP="00022511">
            <w:pPr>
              <w:pStyle w:val="TableText"/>
              <w:rPr>
                <w:rStyle w:val="Strong"/>
              </w:rPr>
            </w:pPr>
            <w:r w:rsidRPr="00022511">
              <w:rPr>
                <w:rStyle w:val="Strong"/>
              </w:rPr>
              <w:t xml:space="preserve">Vegetation </w:t>
            </w:r>
          </w:p>
        </w:tc>
        <w:tc>
          <w:tcPr>
            <w:tcW w:w="7371" w:type="dxa"/>
          </w:tcPr>
          <w:p w14:paraId="7A023EB6" w14:textId="77777777" w:rsidR="00CD0ABA" w:rsidRPr="00646597" w:rsidRDefault="00CD0ABA" w:rsidP="00646597">
            <w:pPr>
              <w:pStyle w:val="TableBullet1"/>
            </w:pPr>
            <w:r w:rsidRPr="00646597">
              <w:t xml:space="preserve">The condition of vegetation communities on the Western Floodplain is driven by inundation, which has been enhanced by Commonwealth environmental water (ELA 2019; UNE &amp; 2 Rog Consulting 2020a). Flooding of the Western Floodplain increased the cover and richness of vegetation communities, including annual herbaceous ground cover species (ELA 2019; UNE &amp; 2 Rog Consulting 2020a). Vegetation surveys in early 2021 found groundcover percentage remained low, but most sites had groundcover persistence and relatively high diversity (UNE &amp; 2 Rog Consulting 2021). Floodplain trees were looking healthy in February 2021, with </w:t>
            </w:r>
            <w:proofErr w:type="gramStart"/>
            <w:r w:rsidRPr="00646597">
              <w:t>a number of</w:t>
            </w:r>
            <w:proofErr w:type="gramEnd"/>
            <w:r w:rsidRPr="00646597">
              <w:t xml:space="preserve"> mature river cooba in flower observed along the Western Floodplain (UNE &amp; 2 Rog Consulting 2021).</w:t>
            </w:r>
          </w:p>
          <w:p w14:paraId="432CD636" w14:textId="77777777" w:rsidR="00CD0ABA" w:rsidRPr="00646597" w:rsidRDefault="00CD0ABA" w:rsidP="00646597">
            <w:pPr>
              <w:pStyle w:val="TableBullet1"/>
            </w:pPr>
            <w:r w:rsidRPr="00646597">
              <w:t>Lignum condition improved when inundated more frequently. Extended dry periods (greater than two and a half years) on the floodplain resulted in declines in vegetation cover and condition (ELA 2019; UNE &amp; 2 Rog Consulting 2020a), However, lignum condition improved again in response to inundation in 2019 and early 2020 (ELA 2019; UNE &amp; 2 Rog Consulting 2020a). Monitoring of lignum in early 2021 suggested that plant condition decreased as the area dried back following the 2020 flows, however average height and size of plants increased (UNE &amp; 2 Rog Consulting 2021).</w:t>
            </w:r>
          </w:p>
          <w:p w14:paraId="2A22A677" w14:textId="77777777" w:rsidR="00CD0ABA" w:rsidRPr="00646597" w:rsidRDefault="00CD0ABA" w:rsidP="00646597">
            <w:pPr>
              <w:pStyle w:val="TableBullet1"/>
            </w:pPr>
            <w:r w:rsidRPr="00646597">
              <w:t xml:space="preserve">Grazing and competition for resources are likely to impact on tree recruitment more than inundation alone (ELA 2019; UNE &amp; 2 Rog Consulting 2020a). </w:t>
            </w:r>
          </w:p>
        </w:tc>
      </w:tr>
      <w:tr w:rsidR="00CD0ABA" w14:paraId="4B14A9B2" w14:textId="77777777" w:rsidTr="00646597">
        <w:tc>
          <w:tcPr>
            <w:tcW w:w="1701" w:type="dxa"/>
          </w:tcPr>
          <w:p w14:paraId="06E30DDD" w14:textId="77777777" w:rsidR="00CD0ABA" w:rsidRPr="00022511" w:rsidRDefault="00CD0ABA" w:rsidP="00022511">
            <w:pPr>
              <w:pStyle w:val="TableText"/>
              <w:rPr>
                <w:rStyle w:val="Strong"/>
              </w:rPr>
            </w:pPr>
            <w:r w:rsidRPr="00022511">
              <w:rPr>
                <w:rStyle w:val="Strong"/>
              </w:rPr>
              <w:t xml:space="preserve">Refuges </w:t>
            </w:r>
          </w:p>
        </w:tc>
        <w:tc>
          <w:tcPr>
            <w:tcW w:w="7371" w:type="dxa"/>
          </w:tcPr>
          <w:p w14:paraId="4F97788D" w14:textId="77777777" w:rsidR="00CD0ABA" w:rsidRPr="00646597" w:rsidRDefault="00CD0ABA" w:rsidP="00646597">
            <w:pPr>
              <w:pStyle w:val="TableBullet1"/>
            </w:pPr>
            <w:r w:rsidRPr="00646597">
              <w:t xml:space="preserve">Around 8% of river channels in the Warrego River are estimated as remaining ‘wet’ during the peak drought of 2018–2020 (Marshall &amp; </w:t>
            </w:r>
            <w:proofErr w:type="spellStart"/>
            <w:r w:rsidRPr="00646597">
              <w:t>Lobegeiger</w:t>
            </w:r>
            <w:proofErr w:type="spellEnd"/>
            <w:r w:rsidRPr="00646597">
              <w:t xml:space="preserve"> 2020). In relation to loss of connectivity, much of the upper Warrego is classed as at ‘extreme risk’ (100% loss of connectivity flows), with much of the lower part of the catchment at high risk (&gt;70% risk of loss of connectivity flows). Reconnection of these refuge habitats following flows in 2020 and 2021 is likely to allow for movement of native fish (Marshall &amp; </w:t>
            </w:r>
            <w:proofErr w:type="spellStart"/>
            <w:r w:rsidRPr="00646597">
              <w:t>Lobegeiger</w:t>
            </w:r>
            <w:proofErr w:type="spellEnd"/>
            <w:r w:rsidRPr="00646597">
              <w:t xml:space="preserve"> 2020).</w:t>
            </w:r>
          </w:p>
          <w:p w14:paraId="00F8ABF1" w14:textId="7498909E" w:rsidR="00CD0ABA" w:rsidRPr="00646597" w:rsidRDefault="00CD0ABA" w:rsidP="00646597">
            <w:pPr>
              <w:pStyle w:val="TableBullet1"/>
            </w:pPr>
            <w:r w:rsidRPr="00646597">
              <w:t>Warrego River waterholes act as longer</w:t>
            </w:r>
            <w:r w:rsidR="00E409A2" w:rsidRPr="00646597">
              <w:t>-</w:t>
            </w:r>
            <w:r w:rsidRPr="00646597">
              <w:t xml:space="preserve">term refuges for native fish, waterbirds, turtles and frogs (ELA 2019; UNE &amp; 2 Rog Consulting 2020a). </w:t>
            </w:r>
            <w:proofErr w:type="spellStart"/>
            <w:r w:rsidRPr="00646597">
              <w:t>Boera</w:t>
            </w:r>
            <w:proofErr w:type="spellEnd"/>
            <w:r w:rsidRPr="00646597">
              <w:t xml:space="preserve"> and </w:t>
            </w:r>
            <w:proofErr w:type="spellStart"/>
            <w:r w:rsidRPr="00646597">
              <w:t>Booka</w:t>
            </w:r>
            <w:proofErr w:type="spellEnd"/>
            <w:r w:rsidRPr="00646597">
              <w:t xml:space="preserve"> dams provide the most persistent refuges. Environmental water can help replenish and re-connect refuge habitat in the Warrego River and the Darling River near </w:t>
            </w:r>
            <w:proofErr w:type="spellStart"/>
            <w:r w:rsidRPr="00646597">
              <w:t>Toorale</w:t>
            </w:r>
            <w:proofErr w:type="spellEnd"/>
            <w:r w:rsidRPr="00646597">
              <w:t xml:space="preserve"> (ELA 2019; UNE &amp; 2 Rog Consulting 2020a).</w:t>
            </w:r>
          </w:p>
          <w:p w14:paraId="16E8C99A" w14:textId="77777777" w:rsidR="009300C5" w:rsidRPr="00646597" w:rsidRDefault="00CD0ABA" w:rsidP="00646597">
            <w:pPr>
              <w:pStyle w:val="TableBullet1"/>
            </w:pPr>
            <w:r w:rsidRPr="00646597">
              <w:t>The Moonie river has around 8.8% of refuge waterholes that remain wet even during peak drought (for example 2018</w:t>
            </w:r>
            <w:r w:rsidR="00D270D8" w:rsidRPr="00646597">
              <w:t>–</w:t>
            </w:r>
            <w:r w:rsidRPr="00646597">
              <w:t xml:space="preserve">2020). This is considerably less than the Border Rivers (at 22%, but more than catchments further west (Warrego and Paroo) (Marshall &amp; </w:t>
            </w:r>
            <w:proofErr w:type="spellStart"/>
            <w:r w:rsidRPr="00646597">
              <w:t>Lobegeiger</w:t>
            </w:r>
            <w:proofErr w:type="spellEnd"/>
            <w:r w:rsidRPr="00646597">
              <w:t xml:space="preserve"> 2020).</w:t>
            </w:r>
          </w:p>
          <w:p w14:paraId="29D42824" w14:textId="6ED5B0B4" w:rsidR="00CD0ABA" w:rsidRPr="00646597" w:rsidRDefault="00CD0ABA" w:rsidP="00646597">
            <w:pPr>
              <w:pStyle w:val="TableBullet1"/>
            </w:pPr>
            <w:r w:rsidRPr="00646597">
              <w:t xml:space="preserve">Of the 7.6 square kilometres of waterhole habitat that exists in the Moonie River three months after flow (McGregor et al., 2018), only 5% persisted in January 2020 at the peak of the drought, representing 95% habitat loss (Marshall &amp; </w:t>
            </w:r>
            <w:proofErr w:type="spellStart"/>
            <w:r w:rsidRPr="00646597">
              <w:t>Lobegeiger</w:t>
            </w:r>
            <w:proofErr w:type="spellEnd"/>
            <w:r w:rsidRPr="00646597">
              <w:t xml:space="preserve"> 2020).</w:t>
            </w:r>
          </w:p>
        </w:tc>
      </w:tr>
      <w:tr w:rsidR="00CD0ABA" w14:paraId="22E32D18" w14:textId="77777777" w:rsidTr="00646597">
        <w:tc>
          <w:tcPr>
            <w:tcW w:w="1701" w:type="dxa"/>
          </w:tcPr>
          <w:p w14:paraId="72BEE97A" w14:textId="77777777" w:rsidR="00CD0ABA" w:rsidRPr="00022511" w:rsidRDefault="00CD0ABA" w:rsidP="00022511">
            <w:pPr>
              <w:pStyle w:val="TableText"/>
              <w:rPr>
                <w:rStyle w:val="Strong"/>
              </w:rPr>
            </w:pPr>
            <w:r w:rsidRPr="00022511">
              <w:rPr>
                <w:rStyle w:val="Strong"/>
              </w:rPr>
              <w:lastRenderedPageBreak/>
              <w:t>Other aquatic animals</w:t>
            </w:r>
          </w:p>
        </w:tc>
        <w:tc>
          <w:tcPr>
            <w:tcW w:w="7371" w:type="dxa"/>
          </w:tcPr>
          <w:p w14:paraId="210FE907" w14:textId="541C439B" w:rsidR="00CD0ABA" w:rsidRPr="00646597" w:rsidRDefault="00CD0ABA" w:rsidP="00646597">
            <w:pPr>
              <w:pStyle w:val="TableBullet1"/>
            </w:pPr>
            <w:r w:rsidRPr="00646597">
              <w:t xml:space="preserve">Surveys in March 2021 found frogs across all sites in the </w:t>
            </w:r>
            <w:r w:rsidR="0075139F" w:rsidRPr="00646597">
              <w:t xml:space="preserve">Warrego </w:t>
            </w:r>
            <w:r w:rsidRPr="00646597">
              <w:t xml:space="preserve">Selected Area, with </w:t>
            </w:r>
            <w:proofErr w:type="spellStart"/>
            <w:r w:rsidRPr="00646597">
              <w:t>Booka</w:t>
            </w:r>
            <w:proofErr w:type="spellEnd"/>
            <w:r w:rsidRPr="00646597">
              <w:t xml:space="preserve"> Dam having the highest count (mostly desert froglet) (UNE &amp; 2 Rog Consulting 2020b).</w:t>
            </w:r>
          </w:p>
          <w:p w14:paraId="7A6B872F" w14:textId="77777777" w:rsidR="00CD0ABA" w:rsidRPr="00646597" w:rsidRDefault="00CD0ABA" w:rsidP="00646597">
            <w:pPr>
              <w:pStyle w:val="TableBullet1"/>
            </w:pPr>
            <w:r w:rsidRPr="00646597">
              <w:t>Frog species are expected to recover further following the 2020–21 flows in the Warrego catchment.</w:t>
            </w:r>
          </w:p>
          <w:p w14:paraId="0A2E0785" w14:textId="6708FD9B" w:rsidR="00CD0ABA" w:rsidRPr="00646597" w:rsidRDefault="00CD0ABA" w:rsidP="00646597">
            <w:pPr>
              <w:pStyle w:val="TableBullet1"/>
            </w:pPr>
            <w:r w:rsidRPr="00646597">
              <w:t xml:space="preserve">Large turtles were detected in most dams at </w:t>
            </w:r>
            <w:proofErr w:type="spellStart"/>
            <w:r w:rsidRPr="00646597">
              <w:t>Toorale</w:t>
            </w:r>
            <w:proofErr w:type="spellEnd"/>
            <w:r w:rsidRPr="00646597">
              <w:t xml:space="preserve"> in early 2021. Some turtles exceeded 7 kilograms in weight, which suggests that food resources were still relatively abundant, despite the drier conditions during the first half of the water year (UNE &amp; 2 Rog Consulting 2020b).</w:t>
            </w:r>
          </w:p>
        </w:tc>
      </w:tr>
    </w:tbl>
    <w:p w14:paraId="56C0BFF5" w14:textId="77777777" w:rsidR="00E868C2" w:rsidRDefault="00E868C2">
      <w:pPr>
        <w:spacing w:after="0" w:line="240" w:lineRule="auto"/>
        <w:rPr>
          <w:rFonts w:ascii="Calibri" w:eastAsia="Times New Roman" w:hAnsi="Calibri" w:cs="Times New Roman"/>
          <w:b/>
          <w:bCs/>
          <w:color w:val="5F497A"/>
          <w:sz w:val="36"/>
          <w:szCs w:val="24"/>
        </w:rPr>
      </w:pPr>
      <w:bookmarkStart w:id="45" w:name="_Toc61430055"/>
      <w:bookmarkStart w:id="46" w:name="_Hlk62589455"/>
      <w:r>
        <w:br w:type="page"/>
      </w:r>
    </w:p>
    <w:p w14:paraId="0045B8E8" w14:textId="25494718" w:rsidR="00CD0ABA" w:rsidRPr="00395420" w:rsidRDefault="00CD0ABA" w:rsidP="00CD0ABA">
      <w:pPr>
        <w:pStyle w:val="Heading3"/>
        <w:numPr>
          <w:ilvl w:val="0"/>
          <w:numId w:val="0"/>
        </w:numPr>
      </w:pPr>
      <w:bookmarkStart w:id="47" w:name="_Toc80294619"/>
      <w:r>
        <w:lastRenderedPageBreak/>
        <w:t>References</w:t>
      </w:r>
      <w:bookmarkEnd w:id="45"/>
      <w:bookmarkEnd w:id="47"/>
    </w:p>
    <w:bookmarkEnd w:id="46"/>
    <w:p w14:paraId="3B35B0F9" w14:textId="1BF0E46D" w:rsidR="009300C5" w:rsidRDefault="00CD0ABA" w:rsidP="00866AF6">
      <w:pPr>
        <w:rPr>
          <w:rFonts w:ascii="Arial" w:hAnsi="Arial" w:cs="Arial"/>
          <w:color w:val="00313C"/>
          <w:sz w:val="23"/>
          <w:szCs w:val="23"/>
          <w:shd w:val="clear" w:color="auto" w:fill="FFFFFF"/>
        </w:rPr>
      </w:pPr>
      <w:r>
        <w:t xml:space="preserve">Balcombe, S, Arthington, AA, Foster, ND, </w:t>
      </w:r>
      <w:proofErr w:type="spellStart"/>
      <w:r>
        <w:t>Thoms</w:t>
      </w:r>
      <w:proofErr w:type="spellEnd"/>
      <w:r>
        <w:t xml:space="preserve">, MC, Wilson, GG &amp; Bunn, SE 2006, </w:t>
      </w:r>
      <w:hyperlink r:id="rId29" w:history="1">
        <w:r w:rsidRPr="00225392">
          <w:rPr>
            <w:rStyle w:val="Hyperlink"/>
          </w:rPr>
          <w:t>Fish assemblages of an Australian dryland river: abundance, assemblage structure and recruitment patterns in the Warrego River, Murray-Darling Basin</w:t>
        </w:r>
      </w:hyperlink>
      <w:r>
        <w:t xml:space="preserve">, </w:t>
      </w:r>
      <w:r>
        <w:rPr>
          <w:i/>
          <w:iCs/>
        </w:rPr>
        <w:t xml:space="preserve">Marine &amp; Freshwater Research, </w:t>
      </w:r>
      <w:r w:rsidRPr="005926C0">
        <w:t>vol.</w:t>
      </w:r>
      <w:r w:rsidR="00E409A2">
        <w:t xml:space="preserve"> </w:t>
      </w:r>
      <w:r w:rsidRPr="005926C0">
        <w:t>57,</w:t>
      </w:r>
      <w:r>
        <w:rPr>
          <w:u w:val="single"/>
        </w:rPr>
        <w:t xml:space="preserve"> </w:t>
      </w:r>
      <w:r w:rsidRPr="00225392">
        <w:t xml:space="preserve">no.6, p.619, DOI: </w:t>
      </w:r>
      <w:r w:rsidRPr="005926C0">
        <w:t>10.1071/MF06025, accessed 3 June 2021.</w:t>
      </w:r>
    </w:p>
    <w:p w14:paraId="674F2728" w14:textId="77777777" w:rsidR="009300C5" w:rsidRDefault="00CD0ABA" w:rsidP="00866AF6">
      <w:r>
        <w:t xml:space="preserve">Bino, G, Kingsford, RT &amp; Porter, J 2015, </w:t>
      </w:r>
      <w:hyperlink r:id="rId30" w:history="1">
        <w:r w:rsidRPr="00777032">
          <w:rPr>
            <w:rStyle w:val="Hyperlink"/>
          </w:rPr>
          <w:t>Prioritising wetlands for waterbirds in a boom and bust system: waterbird refugia and breeding in the Murray-Darling Basin</w:t>
        </w:r>
      </w:hyperlink>
      <w:r>
        <w:t xml:space="preserve">, </w:t>
      </w:r>
      <w:proofErr w:type="spellStart"/>
      <w:r w:rsidRPr="00777032">
        <w:rPr>
          <w:i/>
          <w:iCs/>
        </w:rPr>
        <w:t>PLoS</w:t>
      </w:r>
      <w:proofErr w:type="spellEnd"/>
      <w:r w:rsidRPr="00777032">
        <w:rPr>
          <w:i/>
          <w:iCs/>
        </w:rPr>
        <w:t xml:space="preserve"> One</w:t>
      </w:r>
      <w:r>
        <w:rPr>
          <w:i/>
          <w:iCs/>
        </w:rPr>
        <w:t xml:space="preserve">, </w:t>
      </w:r>
      <w:r>
        <w:t>vol.10, no.7, DOI: 10.1371/journal.pone.0132682, accessed 24 May 2021.</w:t>
      </w:r>
    </w:p>
    <w:p w14:paraId="022514B8" w14:textId="77777777" w:rsidR="009300C5" w:rsidRDefault="00CD0ABA" w:rsidP="00866AF6">
      <w:r>
        <w:t xml:space="preserve">BOM 2021a, </w:t>
      </w:r>
      <w:hyperlink r:id="rId31" w:history="1">
        <w:r w:rsidRPr="003919CE">
          <w:rPr>
            <w:rStyle w:val="Hyperlink"/>
          </w:rPr>
          <w:t>Recent and historical rainfall maps rainfall deciles for Queensland from 1 July 2020 to 31 May 2021</w:t>
        </w:r>
      </w:hyperlink>
      <w:r>
        <w:t>, Bureau of Meteorology, Canberra, accessed 3 June 2021.</w:t>
      </w:r>
    </w:p>
    <w:p w14:paraId="66760158" w14:textId="1FE01C7A" w:rsidR="009300C5" w:rsidRDefault="00B818AD" w:rsidP="00866AF6">
      <w:r w:rsidRPr="00CE02B6">
        <w:t>——</w:t>
      </w:r>
      <w:r w:rsidR="00CD0ABA">
        <w:t xml:space="preserve">2021b, </w:t>
      </w:r>
      <w:hyperlink r:id="rId32" w:history="1">
        <w:r w:rsidR="00CD0ABA" w:rsidRPr="003919CE">
          <w:rPr>
            <w:rStyle w:val="Hyperlink"/>
          </w:rPr>
          <w:t>Water reporting summary – Warrego catchment 1 April 2021</w:t>
        </w:r>
      </w:hyperlink>
      <w:r w:rsidR="00CD0ABA">
        <w:t>, Bureau of Meteorology, Canberra, accessed 3 June 2021.</w:t>
      </w:r>
    </w:p>
    <w:p w14:paraId="024A719C" w14:textId="58F79A4A" w:rsidR="009300C5" w:rsidRDefault="00B818AD" w:rsidP="00866AF6">
      <w:r w:rsidRPr="00CE02B6">
        <w:t>——</w:t>
      </w:r>
      <w:r w:rsidR="00CD0ABA">
        <w:t xml:space="preserve">2021c, </w:t>
      </w:r>
      <w:hyperlink r:id="rId33" w:anchor="/rainfall/median/seasonal/1" w:history="1">
        <w:r w:rsidR="00CD0ABA" w:rsidRPr="001C73F4">
          <w:rPr>
            <w:rStyle w:val="Hyperlink"/>
          </w:rPr>
          <w:t>Climate outlooks rainfall – the chance of above median rainfall for July to September 2021</w:t>
        </w:r>
      </w:hyperlink>
      <w:r w:rsidR="00CD0ABA">
        <w:t>. Bureau of Meteorology, Canberra, accessed 3 June 2021.</w:t>
      </w:r>
    </w:p>
    <w:p w14:paraId="5A1EE01A" w14:textId="38401B8B" w:rsidR="00CD0ABA" w:rsidRDefault="00B818AD" w:rsidP="00866AF6">
      <w:r w:rsidRPr="00CE02B6">
        <w:t>——</w:t>
      </w:r>
      <w:r w:rsidR="00CD0ABA">
        <w:t xml:space="preserve">2021d, </w:t>
      </w:r>
      <w:hyperlink r:id="rId34" w:anchor="/temperature/maximum/median/seasonal/1" w:history="1">
        <w:r w:rsidR="00CD0ABA" w:rsidRPr="001C73F4">
          <w:rPr>
            <w:rStyle w:val="Hyperlink"/>
          </w:rPr>
          <w:t>Climate outlooks temperature – the chance of above median maximum temperature for July to September 2021</w:t>
        </w:r>
      </w:hyperlink>
      <w:r w:rsidR="00CD0ABA">
        <w:t>. Bureau of Meteorology, Canberra, accessed 3 June 2021.</w:t>
      </w:r>
    </w:p>
    <w:p w14:paraId="6D883456" w14:textId="193A603F" w:rsidR="00CD0ABA" w:rsidRDefault="00B818AD" w:rsidP="00866AF6">
      <w:r w:rsidRPr="00CE02B6">
        <w:t>——</w:t>
      </w:r>
      <w:r w:rsidR="00CD0ABA">
        <w:t xml:space="preserve">2021e, </w:t>
      </w:r>
      <w:hyperlink r:id="rId35" w:anchor="/temperature/minimum/median/seasonal/1" w:history="1">
        <w:r w:rsidR="00CD0ABA" w:rsidRPr="001C73F4">
          <w:rPr>
            <w:rStyle w:val="Hyperlink"/>
          </w:rPr>
          <w:t>Climate outlooks temperature – the chance of above median minimum temperature for July to September 2021</w:t>
        </w:r>
      </w:hyperlink>
      <w:r w:rsidR="00CD0ABA">
        <w:t>. Bureau of Meteorology, Canberra, accessed 3 June 2021.</w:t>
      </w:r>
    </w:p>
    <w:p w14:paraId="1D4CC0DA" w14:textId="100D310D" w:rsidR="00CD0ABA" w:rsidRDefault="00B818AD" w:rsidP="00866AF6">
      <w:r w:rsidRPr="00CE02B6">
        <w:t>——</w:t>
      </w:r>
      <w:r w:rsidR="00CD0ABA" w:rsidRPr="00604818">
        <w:t>2021</w:t>
      </w:r>
      <w:r w:rsidR="00CD0ABA">
        <w:t>f</w:t>
      </w:r>
      <w:r w:rsidR="00CD0ABA" w:rsidRPr="00604818">
        <w:t xml:space="preserve">, </w:t>
      </w:r>
      <w:hyperlink r:id="rId36" w:history="1">
        <w:r w:rsidR="00CD0ABA" w:rsidRPr="00604818">
          <w:rPr>
            <w:rStyle w:val="Hyperlink"/>
          </w:rPr>
          <w:t>Recent and historical rainfall maps – rainfall deciles for Queensland for July to September 2020,</w:t>
        </w:r>
      </w:hyperlink>
      <w:r w:rsidR="00CD0ABA" w:rsidRPr="00604818">
        <w:t xml:space="preserve"> Canberra, accessed 1 June 2021.</w:t>
      </w:r>
    </w:p>
    <w:p w14:paraId="54B7D025" w14:textId="5089BCED" w:rsidR="009300C5" w:rsidRDefault="00B818AD" w:rsidP="00866AF6">
      <w:r w:rsidRPr="00CE02B6">
        <w:t>——</w:t>
      </w:r>
      <w:r w:rsidR="00CD0ABA" w:rsidRPr="00E01187">
        <w:t>2021</w:t>
      </w:r>
      <w:r w:rsidR="00CD0ABA">
        <w:t>g</w:t>
      </w:r>
      <w:r w:rsidR="00CD0ABA" w:rsidRPr="00E01187">
        <w:t xml:space="preserve">, </w:t>
      </w:r>
      <w:hyperlink r:id="rId37" w:history="1">
        <w:r w:rsidR="00CD0ABA" w:rsidRPr="00E01187">
          <w:rPr>
            <w:rStyle w:val="Hyperlink"/>
          </w:rPr>
          <w:t>Six month maximum temperature deciles for Queensland for 1 July to 31 December 2020</w:t>
        </w:r>
      </w:hyperlink>
      <w:r w:rsidR="00CD0ABA" w:rsidRPr="00E01187">
        <w:t>, Canberra, accessed 2 June 2021.</w:t>
      </w:r>
    </w:p>
    <w:p w14:paraId="2638C8E0" w14:textId="0FE69E4E" w:rsidR="00CD0ABA" w:rsidRDefault="00B818AD" w:rsidP="00866AF6">
      <w:r w:rsidRPr="00CE02B6">
        <w:t>——</w:t>
      </w:r>
      <w:r w:rsidR="00CD0ABA" w:rsidRPr="006C5C7C">
        <w:t>2021</w:t>
      </w:r>
      <w:r w:rsidR="00CD0ABA">
        <w:t>h</w:t>
      </w:r>
      <w:r w:rsidR="00CD0ABA" w:rsidRPr="006C5C7C">
        <w:t xml:space="preserve">, </w:t>
      </w:r>
      <w:hyperlink r:id="rId38" w:history="1">
        <w:r w:rsidR="00CD0ABA" w:rsidRPr="006C5C7C">
          <w:rPr>
            <w:rStyle w:val="Hyperlink"/>
          </w:rPr>
          <w:t>Six month maximum temperature deciles for Queensland for 1 December 2020 to 31 May 2021</w:t>
        </w:r>
      </w:hyperlink>
      <w:r w:rsidR="00CD0ABA" w:rsidRPr="006C5C7C">
        <w:t>, Canberra, accessed 2 June 2021.</w:t>
      </w:r>
    </w:p>
    <w:p w14:paraId="6B7F08DF" w14:textId="1DBEDEEA" w:rsidR="00CD0ABA" w:rsidRDefault="00B818AD" w:rsidP="00866AF6">
      <w:r w:rsidRPr="00CE02B6">
        <w:t>——</w:t>
      </w:r>
      <w:r w:rsidR="00CD0ABA" w:rsidRPr="00604818">
        <w:t>2021</w:t>
      </w:r>
      <w:r w:rsidR="00CD0ABA">
        <w:t>i</w:t>
      </w:r>
      <w:r w:rsidR="00CD0ABA" w:rsidRPr="00604818">
        <w:t xml:space="preserve">, </w:t>
      </w:r>
      <w:hyperlink r:id="rId39" w:history="1">
        <w:r w:rsidR="00CD0ABA" w:rsidRPr="00604818">
          <w:rPr>
            <w:rStyle w:val="Hyperlink"/>
          </w:rPr>
          <w:t>Recent and historical rainfall maps – rainfall deciles for Queensland for September to December 2020</w:t>
        </w:r>
      </w:hyperlink>
      <w:r w:rsidR="00CD0ABA" w:rsidRPr="00604818">
        <w:t>, Canberra, accessed 1 June 2021.</w:t>
      </w:r>
    </w:p>
    <w:p w14:paraId="5351CA97" w14:textId="3899B6A0" w:rsidR="009300C5" w:rsidRDefault="00B818AD" w:rsidP="00866AF6">
      <w:r w:rsidRPr="00CE02B6">
        <w:t>——</w:t>
      </w:r>
      <w:r w:rsidR="00CD0ABA" w:rsidRPr="00E01187">
        <w:t>2021</w:t>
      </w:r>
      <w:r w:rsidR="00CD0ABA">
        <w:t>j</w:t>
      </w:r>
      <w:r w:rsidR="00CD0ABA" w:rsidRPr="00E01187">
        <w:t xml:space="preserve"> , </w:t>
      </w:r>
      <w:hyperlink r:id="rId40" w:history="1">
        <w:r w:rsidR="00CD0ABA" w:rsidRPr="00E01187">
          <w:rPr>
            <w:color w:val="165788"/>
            <w:u w:val="single"/>
          </w:rPr>
          <w:t>Recent and historical rainfall maps – rainfall deciles for Queensland for January to March 2021</w:t>
        </w:r>
      </w:hyperlink>
      <w:r w:rsidR="00CD0ABA" w:rsidRPr="00E01187">
        <w:t>, Canberra, accessed 1 June 2021.</w:t>
      </w:r>
    </w:p>
    <w:p w14:paraId="04DE2926" w14:textId="1A6C6C48" w:rsidR="00CD0ABA" w:rsidRDefault="00B818AD" w:rsidP="00866AF6">
      <w:r w:rsidRPr="00CE02B6">
        <w:t>——</w:t>
      </w:r>
      <w:r w:rsidR="00CD0ABA" w:rsidRPr="00E01187">
        <w:t>2021</w:t>
      </w:r>
      <w:r w:rsidR="00CD0ABA">
        <w:t>k</w:t>
      </w:r>
      <w:r w:rsidR="00CD0ABA" w:rsidRPr="00E01187">
        <w:t xml:space="preserve"> ,</w:t>
      </w:r>
      <w:hyperlink r:id="rId41" w:history="1">
        <w:r w:rsidR="00CD0ABA" w:rsidRPr="00E01187">
          <w:rPr>
            <w:color w:val="165788"/>
            <w:u w:val="single"/>
          </w:rPr>
          <w:t>Recent and historical rainfall maps – rainfall deciles for Queensland for March to May 2021,</w:t>
        </w:r>
      </w:hyperlink>
      <w:r w:rsidR="00CD0ABA" w:rsidRPr="00E01187">
        <w:t xml:space="preserve"> Canberra, accessed 1 June 2021.</w:t>
      </w:r>
    </w:p>
    <w:p w14:paraId="2B0760D4" w14:textId="77777777" w:rsidR="009300C5" w:rsidRDefault="00CD0ABA" w:rsidP="00866AF6">
      <w:r w:rsidRPr="00C854BC">
        <w:t xml:space="preserve">CSIRO 2021, </w:t>
      </w:r>
      <w:hyperlink r:id="rId42" w:history="1">
        <w:r w:rsidRPr="00C854BC">
          <w:rPr>
            <w:color w:val="165788"/>
            <w:u w:val="single"/>
          </w:rPr>
          <w:t>Waterbird breeding and movements: satellite tracking current satellite tracking 2017-2021,</w:t>
        </w:r>
      </w:hyperlink>
      <w:r w:rsidRPr="00C854BC">
        <w:t xml:space="preserve"> CSIRO Australia, Canberra, accessed 1 June 2021.</w:t>
      </w:r>
    </w:p>
    <w:p w14:paraId="61A693A1" w14:textId="494E9E16" w:rsidR="009300C5" w:rsidRDefault="00B818AD" w:rsidP="00866AF6">
      <w:r w:rsidRPr="00CE02B6">
        <w:t>——</w:t>
      </w:r>
      <w:r w:rsidR="00CD0ABA" w:rsidRPr="00B53499">
        <w:t xml:space="preserve">2008, </w:t>
      </w:r>
      <w:hyperlink r:id="rId43" w:history="1">
        <w:r w:rsidR="00CD0ABA" w:rsidRPr="00B53499">
          <w:rPr>
            <w:rStyle w:val="Hyperlink"/>
          </w:rPr>
          <w:t xml:space="preserve">Water availability in the Moonie. </w:t>
        </w:r>
        <w:r w:rsidR="00B53499" w:rsidRPr="00B53499">
          <w:rPr>
            <w:rStyle w:val="Hyperlink"/>
          </w:rPr>
          <w:t>a</w:t>
        </w:r>
        <w:r w:rsidR="00CD0ABA" w:rsidRPr="00B53499">
          <w:rPr>
            <w:rStyle w:val="Hyperlink"/>
          </w:rPr>
          <w:t xml:space="preserve"> report to the Australian Government from the CSIRO Murray-Darling Basin </w:t>
        </w:r>
        <w:r w:rsidR="00B53499" w:rsidRPr="00B53499">
          <w:rPr>
            <w:rStyle w:val="Hyperlink"/>
          </w:rPr>
          <w:t>s</w:t>
        </w:r>
        <w:r w:rsidR="00CD0ABA" w:rsidRPr="00B53499">
          <w:rPr>
            <w:rStyle w:val="Hyperlink"/>
          </w:rPr>
          <w:t xml:space="preserve">ustainable </w:t>
        </w:r>
        <w:r w:rsidR="00B53499" w:rsidRPr="00B53499">
          <w:rPr>
            <w:rStyle w:val="Hyperlink"/>
          </w:rPr>
          <w:t>y</w:t>
        </w:r>
        <w:r w:rsidR="00CD0ABA" w:rsidRPr="00B53499">
          <w:rPr>
            <w:rStyle w:val="Hyperlink"/>
          </w:rPr>
          <w:t xml:space="preserve">ields </w:t>
        </w:r>
        <w:r w:rsidR="00B53499" w:rsidRPr="00B53499">
          <w:rPr>
            <w:rStyle w:val="Hyperlink"/>
          </w:rPr>
          <w:t>p</w:t>
        </w:r>
        <w:r w:rsidR="00CD0ABA" w:rsidRPr="00B53499">
          <w:rPr>
            <w:rStyle w:val="Hyperlink"/>
          </w:rPr>
          <w:t>rojec</w:t>
        </w:r>
        <w:r w:rsidR="00CA6A68" w:rsidRPr="00B53499">
          <w:rPr>
            <w:rStyle w:val="Hyperlink"/>
          </w:rPr>
          <w:t>t</w:t>
        </w:r>
      </w:hyperlink>
      <w:r w:rsidR="00CA6A68" w:rsidRPr="00B53499">
        <w:rPr>
          <w:rStyle w:val="Hyperlink"/>
        </w:rPr>
        <w:t>,</w:t>
      </w:r>
      <w:r w:rsidR="00CD0ABA" w:rsidRPr="00B53499">
        <w:t xml:space="preserve"> CSIRO, Canberra, accessed 3 June 2021.</w:t>
      </w:r>
    </w:p>
    <w:p w14:paraId="3F19EB96" w14:textId="4C6744E1" w:rsidR="009300C5" w:rsidRDefault="00B818AD" w:rsidP="00866AF6">
      <w:bookmarkStart w:id="48" w:name="_Hlk76111640"/>
      <w:r w:rsidRPr="00CE02B6">
        <w:t>——</w:t>
      </w:r>
      <w:r w:rsidR="00CD0ABA">
        <w:t xml:space="preserve">2007, </w:t>
      </w:r>
      <w:hyperlink r:id="rId44" w:history="1">
        <w:r w:rsidR="00CD0ABA" w:rsidRPr="00305B4F">
          <w:rPr>
            <w:rStyle w:val="Hyperlink"/>
          </w:rPr>
          <w:t>Water availability in the Warrego: a report to the Australian Government from the CSIRO Murray-Darling Basin sustainable yields project</w:t>
        </w:r>
      </w:hyperlink>
      <w:r w:rsidR="00CD0ABA">
        <w:t xml:space="preserve">, </w:t>
      </w:r>
      <w:bookmarkStart w:id="49" w:name="_Hlk73628199"/>
      <w:r w:rsidR="00CD0ABA">
        <w:t>CSIRO, Canberra, accessed 3 June 2021.</w:t>
      </w:r>
      <w:bookmarkEnd w:id="49"/>
    </w:p>
    <w:bookmarkEnd w:id="48"/>
    <w:p w14:paraId="52AA84AF" w14:textId="77777777" w:rsidR="009300C5" w:rsidRDefault="00CD0ABA" w:rsidP="00866AF6">
      <w:r>
        <w:lastRenderedPageBreak/>
        <w:t>DEHP 2016</w:t>
      </w:r>
      <w:hyperlink r:id="rId45" w:history="1">
        <w:r w:rsidRPr="003D56A0">
          <w:rPr>
            <w:rStyle w:val="Hyperlink"/>
          </w:rPr>
          <w:t xml:space="preserve">, Healthy waters management plan Warrego, Paroo, Bulloo and </w:t>
        </w:r>
        <w:proofErr w:type="spellStart"/>
        <w:r w:rsidRPr="003D56A0">
          <w:rPr>
            <w:rStyle w:val="Hyperlink"/>
          </w:rPr>
          <w:t>Nebine</w:t>
        </w:r>
        <w:proofErr w:type="spellEnd"/>
        <w:r w:rsidRPr="003D56A0">
          <w:rPr>
            <w:rStyle w:val="Hyperlink"/>
          </w:rPr>
          <w:t xml:space="preserve"> Basins</w:t>
        </w:r>
      </w:hyperlink>
      <w:r>
        <w:t>, Queensland Department of Environment and Heritage Protection, Brisbane, accessed 3 June 2021.</w:t>
      </w:r>
    </w:p>
    <w:p w14:paraId="42E9B505" w14:textId="77777777" w:rsidR="009300C5" w:rsidRDefault="00CD0ABA" w:rsidP="00866AF6">
      <w:r>
        <w:t xml:space="preserve">DES 2018, </w:t>
      </w:r>
      <w:hyperlink r:id="rId46" w:history="1">
        <w:r w:rsidRPr="00C52BA9">
          <w:rPr>
            <w:rStyle w:val="Hyperlink"/>
          </w:rPr>
          <w:t>Review of water plan (Moonie) 2003 and resource operations plan environmental assessment report</w:t>
        </w:r>
      </w:hyperlink>
      <w:r>
        <w:t>, Queensland Department of Environment and Science, Brisbane, accessed 10 June 2021.</w:t>
      </w:r>
    </w:p>
    <w:p w14:paraId="45B424ED" w14:textId="0086C591" w:rsidR="00CD0ABA" w:rsidRDefault="00CD0ABA" w:rsidP="00866AF6">
      <w:r>
        <w:t xml:space="preserve">DRDMW 2021a, </w:t>
      </w:r>
      <w:hyperlink r:id="rId47" w:history="1">
        <w:r w:rsidRPr="000B3424">
          <w:rPr>
            <w:rStyle w:val="Hyperlink"/>
          </w:rPr>
          <w:t>Queensland government water monitoring information portal stream flow data Warrego Basin.</w:t>
        </w:r>
      </w:hyperlink>
      <w:r>
        <w:t xml:space="preserve"> Department of Regional Development, Manufacturing and Water, Brisbane. Accessed 26 May 2021.</w:t>
      </w:r>
    </w:p>
    <w:p w14:paraId="3CDFE984" w14:textId="2D90315B" w:rsidR="00CD0ABA" w:rsidRDefault="00B818AD" w:rsidP="00866AF6">
      <w:r w:rsidRPr="00CE02B6">
        <w:t>——</w:t>
      </w:r>
      <w:r w:rsidR="00CD0ABA">
        <w:t xml:space="preserve">2021b, </w:t>
      </w:r>
      <w:hyperlink r:id="rId48" w:history="1">
        <w:r w:rsidR="00CD0ABA">
          <w:rPr>
            <w:rStyle w:val="Hyperlink"/>
          </w:rPr>
          <w:t>Queensland government water monitoring information portal stream flow data Moonie Basin.</w:t>
        </w:r>
      </w:hyperlink>
      <w:r w:rsidR="00CD0ABA">
        <w:t xml:space="preserve"> Department of Regional Development, Manufacturing and Water, Brisbane. Accessed 26 May 2021</w:t>
      </w:r>
    </w:p>
    <w:p w14:paraId="137C8ADD" w14:textId="77777777" w:rsidR="00D97BA3" w:rsidRDefault="00D97BA3" w:rsidP="00866AF6">
      <w:r>
        <w:t xml:space="preserve">DNR </w:t>
      </w:r>
      <w:r w:rsidRPr="00731DAD">
        <w:t>1999</w:t>
      </w:r>
      <w:r>
        <w:t>,</w:t>
      </w:r>
      <w:r w:rsidRPr="00731DAD">
        <w:t xml:space="preserve"> Overview of Water Resources and Related Issues: The Moonie River Catchment. </w:t>
      </w:r>
      <w:r>
        <w:t xml:space="preserve">Queensland </w:t>
      </w:r>
      <w:r w:rsidRPr="00731DAD">
        <w:t>Department of Natural Resources, Queensland.</w:t>
      </w:r>
    </w:p>
    <w:p w14:paraId="41905678" w14:textId="7974C0D9" w:rsidR="00CD0ABA" w:rsidDel="005B3F33" w:rsidRDefault="00CD0ABA" w:rsidP="00866AF6">
      <w:r>
        <w:t xml:space="preserve">DRNME 2018, </w:t>
      </w:r>
      <w:hyperlink r:id="rId49" w:history="1">
        <w:r w:rsidRPr="00C52BA9">
          <w:rPr>
            <w:rStyle w:val="Hyperlink"/>
          </w:rPr>
          <w:t>Review of water plan (Border Rivers) 2003 summary of monitoring January 2018</w:t>
        </w:r>
      </w:hyperlink>
      <w:r>
        <w:t>, Queensland Department of Natural Resources, Mines and Energy, Toowoomba, accessed 10 June 2021</w:t>
      </w:r>
    </w:p>
    <w:p w14:paraId="5952038C" w14:textId="77777777" w:rsidR="00CD0ABA" w:rsidRDefault="00CD0ABA" w:rsidP="00866AF6">
      <w:r>
        <w:t>ELA 2019,</w:t>
      </w:r>
      <w:r w:rsidRPr="00FA4163">
        <w:t xml:space="preserve"> </w:t>
      </w:r>
      <w:hyperlink r:id="rId50" w:history="1">
        <w:r w:rsidRPr="00FA4163">
          <w:rPr>
            <w:rStyle w:val="Hyperlink"/>
          </w:rPr>
          <w:t>Commonwealth Environmental Water Office long term intervention monitoring project junction of the Warrego and Darling rivers selected area – five year evaluation report</w:t>
        </w:r>
      </w:hyperlink>
      <w:r>
        <w:rPr>
          <w:i/>
          <w:iCs/>
        </w:rPr>
        <w:t xml:space="preserve">. </w:t>
      </w:r>
      <w:r w:rsidRPr="00AC46CB">
        <w:t>Eco Logical Australia and</w:t>
      </w:r>
      <w:r>
        <w:rPr>
          <w:i/>
          <w:iCs/>
        </w:rPr>
        <w:t xml:space="preserve"> </w:t>
      </w:r>
      <w:r>
        <w:t>Commonwealth of Australia, Canberra, accessed 24 May 2021.</w:t>
      </w:r>
    </w:p>
    <w:p w14:paraId="3F6A8EF4" w14:textId="77777777" w:rsidR="009300C5" w:rsidRDefault="00CD0ABA" w:rsidP="00866AF6">
      <w:r>
        <w:t xml:space="preserve">Kingsford, RT &amp; Wainwright, P 2020, </w:t>
      </w:r>
      <w:hyperlink r:id="rId51" w:history="1">
        <w:r w:rsidRPr="007F3B50">
          <w:rPr>
            <w:rStyle w:val="Hyperlink"/>
          </w:rPr>
          <w:t>Day 3 – Bourke to Armidale</w:t>
        </w:r>
      </w:hyperlink>
      <w:r>
        <w:t>, University of New South Wales, Sydney, accessed 24 May 2021.</w:t>
      </w:r>
    </w:p>
    <w:p w14:paraId="3BC673AE" w14:textId="77777777" w:rsidR="009300C5" w:rsidRDefault="00CD0ABA" w:rsidP="00866AF6">
      <w:r>
        <w:t xml:space="preserve">Kingsford, RT, Curtin, A &amp; Porter, J 1999, </w:t>
      </w:r>
      <w:hyperlink r:id="rId52" w:history="1">
        <w:r w:rsidRPr="00C66CD4">
          <w:rPr>
            <w:rStyle w:val="Hyperlink"/>
          </w:rPr>
          <w:t>Water flows on Cooper Creek in arid Australia determine ‘boom’ and ‘bust’ periods for waterbirds</w:t>
        </w:r>
      </w:hyperlink>
      <w:r>
        <w:t xml:space="preserve">, </w:t>
      </w:r>
      <w:r w:rsidRPr="00AC46CB">
        <w:rPr>
          <w:i/>
          <w:iCs/>
        </w:rPr>
        <w:t>Biological Conservation,</w:t>
      </w:r>
      <w:r>
        <w:t xml:space="preserve"> vol. 88, no.2, p.231, DOI: </w:t>
      </w:r>
      <w:hyperlink r:id="rId53" w:tgtFrame="_blank" w:tooltip="Persistent link using digital object identifier" w:history="1">
        <w:r w:rsidRPr="00AC46CB">
          <w:t>10.1016/S0006-3207(98)00098-6</w:t>
        </w:r>
      </w:hyperlink>
      <w:r>
        <w:t>, accessed 9 June 2021.</w:t>
      </w:r>
    </w:p>
    <w:p w14:paraId="3BB0374D" w14:textId="77777777" w:rsidR="009300C5" w:rsidRDefault="00CD0ABA" w:rsidP="00866AF6">
      <w:r>
        <w:t xml:space="preserve">Kingsford, RT, Bino, G, Porter, JL &amp; Brandis, K 2013, </w:t>
      </w:r>
      <w:hyperlink r:id="rId54" w:history="1">
        <w:r w:rsidRPr="00DE5E7C">
          <w:rPr>
            <w:rStyle w:val="Hyperlink"/>
          </w:rPr>
          <w:t>Waterbird communities in the Murray-Darling Basin (1983-2013) report to Murray-Darling Basin Authority</w:t>
        </w:r>
      </w:hyperlink>
      <w:r>
        <w:t>, Murray-Darling Basin Authority, Canberra, accessed 9 June 2021.</w:t>
      </w:r>
    </w:p>
    <w:p w14:paraId="22557B18" w14:textId="2D44990C" w:rsidR="00CD0ABA" w:rsidRDefault="00CD0ABA" w:rsidP="00866AF6">
      <w:r w:rsidRPr="00BA469B">
        <w:t xml:space="preserve">Kingsford, RT, Thomas, RF </w:t>
      </w:r>
      <w:r>
        <w:t>&amp;</w:t>
      </w:r>
      <w:r w:rsidRPr="00BA469B">
        <w:t xml:space="preserve"> Wong, P</w:t>
      </w:r>
      <w:r>
        <w:t xml:space="preserve">S, </w:t>
      </w:r>
      <w:r w:rsidRPr="00BA469B">
        <w:t>1997</w:t>
      </w:r>
      <w:r>
        <w:t xml:space="preserve">, </w:t>
      </w:r>
      <w:r w:rsidRPr="00AC46CB">
        <w:rPr>
          <w:i/>
          <w:iCs/>
        </w:rPr>
        <w:t>Significant wetlands for waterbirds in the Murray-Darling Basin</w:t>
      </w:r>
      <w:r>
        <w:rPr>
          <w:i/>
          <w:iCs/>
        </w:rPr>
        <w:t xml:space="preserve">, </w:t>
      </w:r>
      <w:r w:rsidRPr="00BA469B">
        <w:t>NSW National Parks and Wildlife Service, Hurstville.</w:t>
      </w:r>
    </w:p>
    <w:p w14:paraId="323D4905" w14:textId="77777777" w:rsidR="009300C5" w:rsidRDefault="00CD0ABA" w:rsidP="00866AF6">
      <w:r>
        <w:t xml:space="preserve">Marshall, JC &amp; Lobegeiger, JS 2020, </w:t>
      </w:r>
      <w:r w:rsidRPr="00FA4163">
        <w:rPr>
          <w:i/>
          <w:iCs/>
        </w:rPr>
        <w:t>Fish population resilience following severe drought in the Northern Murray-Darling Basin: progress report 1 incorporating highlights and conceptual models from water drought mapping and flow connectivity analysis</w:t>
      </w:r>
      <w:r>
        <w:t>, Queensland Department of Environment and Science, Brisbane.</w:t>
      </w:r>
    </w:p>
    <w:p w14:paraId="572FD2D0" w14:textId="2A15BFB0" w:rsidR="00CD0ABA" w:rsidRDefault="00B818AD" w:rsidP="00866AF6">
      <w:r w:rsidRPr="00CE02B6">
        <w:t>——</w:t>
      </w:r>
      <w:r w:rsidR="00CD0ABA">
        <w:t>2021,</w:t>
      </w:r>
      <w:r w:rsidR="00CD0ABA" w:rsidRPr="00FA4163">
        <w:t xml:space="preserve"> </w:t>
      </w:r>
      <w:r w:rsidR="00CD0ABA" w:rsidRPr="00F50AA5">
        <w:t>Investigations into fish population resilience following severe drought in the northern Murray-Darling Basin: progress report 2 incorporating highlights</w:t>
      </w:r>
      <w:r w:rsidR="00CD0ABA">
        <w:t xml:space="preserve"> </w:t>
      </w:r>
      <w:r w:rsidR="00CD0ABA" w:rsidRPr="00F50AA5">
        <w:t>from first field sampling</w:t>
      </w:r>
      <w:r w:rsidR="00CD0ABA">
        <w:t>, Queensland Department of Environment and Science, Brisbane.</w:t>
      </w:r>
    </w:p>
    <w:p w14:paraId="74BB6516" w14:textId="020A5426" w:rsidR="00CD0ABA" w:rsidRDefault="00CD0ABA" w:rsidP="00866AF6">
      <w:r>
        <w:lastRenderedPageBreak/>
        <w:t xml:space="preserve">Marshall, JC, Menke, N, Crook, DA, Lobegeiger, JS, Balcombe, SR, Huey, JA, Fawcett, JH, Bond, NR, Starkey, AH, Sternberg, D, </w:t>
      </w:r>
      <w:proofErr w:type="spellStart"/>
      <w:r>
        <w:t>Linke</w:t>
      </w:r>
      <w:proofErr w:type="spellEnd"/>
      <w:r>
        <w:t xml:space="preserve">, S &amp; Arthington AH 2016, </w:t>
      </w:r>
      <w:hyperlink r:id="rId55" w:history="1">
        <w:r w:rsidRPr="00DE5E7C">
          <w:rPr>
            <w:rStyle w:val="Hyperlink"/>
          </w:rPr>
          <w:t>Go with the flow: the movement behaviour of fish from isolated waterhole refugia during connecting flow events in an intermittent dryland river</w:t>
        </w:r>
        <w:r>
          <w:rPr>
            <w:rStyle w:val="Hyperlink"/>
          </w:rPr>
          <w:t>,</w:t>
        </w:r>
      </w:hyperlink>
      <w:r>
        <w:t xml:space="preserve"> </w:t>
      </w:r>
      <w:r w:rsidRPr="00AC46CB">
        <w:t>Freshwater Biology</w:t>
      </w:r>
      <w:r>
        <w:t xml:space="preserve">, vol.61, no. 8, p.1242, DOI: </w:t>
      </w:r>
      <w:hyperlink r:id="rId56" w:history="1">
        <w:r w:rsidRPr="00AC46CB">
          <w:t>10.1111/fwb.12707</w:t>
        </w:r>
      </w:hyperlink>
      <w:r>
        <w:t>, accessed 9 June 2021.</w:t>
      </w:r>
    </w:p>
    <w:p w14:paraId="6F8D51F4" w14:textId="77777777" w:rsidR="009300C5" w:rsidRDefault="00CD0ABA" w:rsidP="00866AF6">
      <w:r w:rsidRPr="00C854BC">
        <w:t xml:space="preserve">McGregor, G, Marshall, J, Lobegeiger, J, Holloway, D, Menke, N, </w:t>
      </w:r>
      <w:proofErr w:type="spellStart"/>
      <w:r w:rsidRPr="00C854BC">
        <w:t>Mayger</w:t>
      </w:r>
      <w:proofErr w:type="spellEnd"/>
      <w:r w:rsidRPr="00C854BC">
        <w:t xml:space="preserve"> B, Raymond, M, </w:t>
      </w:r>
      <w:proofErr w:type="spellStart"/>
      <w:r w:rsidRPr="00C854BC">
        <w:t>Joo</w:t>
      </w:r>
      <w:proofErr w:type="spellEnd"/>
      <w:r w:rsidRPr="00C854BC">
        <w:t xml:space="preserve">, M, Bowlen, J, Schulz, C &amp; Steward A 2018, </w:t>
      </w:r>
      <w:hyperlink r:id="rId57" w:history="1">
        <w:r w:rsidRPr="00C854BC">
          <w:rPr>
            <w:color w:val="165788"/>
            <w:u w:val="single"/>
          </w:rPr>
          <w:t>Review of water plan (Moonie) 2003 and resource operations plan environmental assessment report January 2018,</w:t>
        </w:r>
      </w:hyperlink>
      <w:r w:rsidRPr="00C854BC">
        <w:t xml:space="preserve"> accessed 2 June 2021.</w:t>
      </w:r>
    </w:p>
    <w:p w14:paraId="20330977" w14:textId="7E7ED978" w:rsidR="00CD0ABA" w:rsidRDefault="00CD0ABA" w:rsidP="00866AF6">
      <w:r>
        <w:t xml:space="preserve">MDBA 2021a, </w:t>
      </w:r>
      <w:hyperlink r:id="rId58" w:history="1">
        <w:r w:rsidRPr="00305B4F">
          <w:rPr>
            <w:rStyle w:val="Hyperlink"/>
          </w:rPr>
          <w:t>Water management – catchments – Warrego,</w:t>
        </w:r>
      </w:hyperlink>
      <w:r>
        <w:t xml:space="preserve"> Murray-Darling Basin Authority, Canberra, accessed 3 June 2021.</w:t>
      </w:r>
    </w:p>
    <w:p w14:paraId="2B73DB6D" w14:textId="14E5FE91" w:rsidR="00CD0ABA" w:rsidRDefault="00B818AD" w:rsidP="00866AF6">
      <w:r w:rsidRPr="00CE02B6">
        <w:t>——</w:t>
      </w:r>
      <w:r w:rsidR="00CD0ABA">
        <w:t xml:space="preserve">2021b, </w:t>
      </w:r>
      <w:hyperlink r:id="rId59" w:history="1">
        <w:r w:rsidR="00CD0ABA">
          <w:rPr>
            <w:rStyle w:val="Hyperlink"/>
          </w:rPr>
          <w:t>Water management – catchments – Moonie</w:t>
        </w:r>
      </w:hyperlink>
      <w:r w:rsidR="00CD0ABA">
        <w:t xml:space="preserve"> Murray-Darling Basin Authority, Canberra, accessed 3 June 2021.</w:t>
      </w:r>
      <w:bookmarkStart w:id="50" w:name="_Hlk73956916"/>
    </w:p>
    <w:p w14:paraId="529FFFA8" w14:textId="0F2785DF" w:rsidR="00CD0ABA" w:rsidRDefault="00CD0ABA" w:rsidP="00866AF6">
      <w:r>
        <w:t>NS</w:t>
      </w:r>
      <w:r w:rsidRPr="00ED062B">
        <w:t xml:space="preserve">W </w:t>
      </w:r>
      <w:r>
        <w:t>DPIE</w:t>
      </w:r>
      <w:r w:rsidR="009A4D1F">
        <w:t xml:space="preserve"> </w:t>
      </w:r>
      <w:r w:rsidRPr="00ED062B">
        <w:t xml:space="preserve">2020, </w:t>
      </w:r>
      <w:hyperlink r:id="rId60" w:history="1">
        <w:r>
          <w:rPr>
            <w:rStyle w:val="Hyperlink"/>
          </w:rPr>
          <w:t>Intersecting Streams Long-Term Water Plan Part A and B: Draft for exhibition</w:t>
        </w:r>
      </w:hyperlink>
      <w:r w:rsidR="009A4D1F">
        <w:t xml:space="preserve"> </w:t>
      </w:r>
      <w:r w:rsidRPr="00ED062B">
        <w:t xml:space="preserve">Parramatta, </w:t>
      </w:r>
      <w:r>
        <w:t xml:space="preserve">NSW Department of Planning, Industry and Environment, Sydney, </w:t>
      </w:r>
      <w:r w:rsidRPr="00ED062B">
        <w:t>accessed 25 May 2021</w:t>
      </w:r>
      <w:r>
        <w:t>.</w:t>
      </w:r>
    </w:p>
    <w:p w14:paraId="5CADA2B7" w14:textId="225625CD" w:rsidR="00CD0ABA" w:rsidRDefault="00B818AD" w:rsidP="00866AF6">
      <w:r w:rsidRPr="00CE02B6">
        <w:t>——</w:t>
      </w:r>
      <w:r w:rsidR="00CD0ABA">
        <w:t xml:space="preserve">2021, </w:t>
      </w:r>
      <w:hyperlink r:id="rId61" w:history="1">
        <w:proofErr w:type="spellStart"/>
        <w:r w:rsidR="00CD0ABA" w:rsidRPr="00566E2E">
          <w:rPr>
            <w:rStyle w:val="Hyperlink"/>
          </w:rPr>
          <w:t>Toorale</w:t>
        </w:r>
        <w:proofErr w:type="spellEnd"/>
        <w:r w:rsidR="00CD0ABA" w:rsidRPr="00566E2E">
          <w:rPr>
            <w:rStyle w:val="Hyperlink"/>
          </w:rPr>
          <w:t xml:space="preserve"> water infrastructure project</w:t>
        </w:r>
      </w:hyperlink>
      <w:r w:rsidR="00CD0ABA">
        <w:t>, NSW Department of Planning, Industry and Environment, Sydney, accessed 9 June 2021.</w:t>
      </w:r>
    </w:p>
    <w:p w14:paraId="18232A8B" w14:textId="6C07ECE0" w:rsidR="009300C5" w:rsidRDefault="00CD0ABA" w:rsidP="00866AF6">
      <w:r w:rsidRPr="00C854BC">
        <w:t xml:space="preserve">Price, A, Balcombe, S, Humphries, P, King, A &amp; Zampatti, B 2019, </w:t>
      </w:r>
      <w:hyperlink r:id="rId62" w:history="1">
        <w:r w:rsidRPr="00C854BC">
          <w:rPr>
            <w:color w:val="165788"/>
            <w:u w:val="single"/>
          </w:rPr>
          <w:t>Murray‒Darling Basin environmental water knowledge and research project</w:t>
        </w:r>
        <w:r w:rsidR="009A4D1F">
          <w:rPr>
            <w:color w:val="165788"/>
            <w:u w:val="single"/>
          </w:rPr>
          <w:t xml:space="preserve"> – </w:t>
        </w:r>
        <w:r w:rsidRPr="00C854BC">
          <w:rPr>
            <w:color w:val="165788"/>
            <w:u w:val="single"/>
          </w:rPr>
          <w:t>fish theme research report,</w:t>
        </w:r>
      </w:hyperlink>
      <w:r w:rsidRPr="00C854BC">
        <w:t xml:space="preserve"> report prepared for the Department of the Environment and Energy, Commonwealth Environmental Water Office, Albury., accessed 2 June 2021.</w:t>
      </w:r>
    </w:p>
    <w:bookmarkEnd w:id="50"/>
    <w:p w14:paraId="4C24CDC9" w14:textId="376C3AEE" w:rsidR="00CD0ABA" w:rsidDel="005B3F33" w:rsidRDefault="00CD0ABA" w:rsidP="00866AF6">
      <w:r>
        <w:t xml:space="preserve">Thorburn, K 2020, </w:t>
      </w:r>
      <w:hyperlink r:id="rId63" w:history="1">
        <w:r w:rsidRPr="006D100E">
          <w:rPr>
            <w:rStyle w:val="Hyperlink"/>
          </w:rPr>
          <w:t>Birds of a feather (</w:t>
        </w:r>
        <w:proofErr w:type="spellStart"/>
        <w:r w:rsidRPr="006D100E">
          <w:rPr>
            <w:rStyle w:val="Hyperlink"/>
          </w:rPr>
          <w:t>Bushtracks</w:t>
        </w:r>
        <w:proofErr w:type="spellEnd"/>
        <w:r w:rsidRPr="006D100E">
          <w:rPr>
            <w:rStyle w:val="Hyperlink"/>
          </w:rPr>
          <w:t xml:space="preserve"> spring 2020),</w:t>
        </w:r>
      </w:hyperlink>
      <w:r>
        <w:t xml:space="preserve"> Bush Heritage Australia, Melbourne, accessed 24 May 2021.</w:t>
      </w:r>
    </w:p>
    <w:p w14:paraId="44EB7329" w14:textId="0A5679D8" w:rsidR="00CD0ABA" w:rsidDel="005B3F33" w:rsidRDefault="00CD0ABA" w:rsidP="00866AF6">
      <w:r>
        <w:t xml:space="preserve">University of New England &amp; 2 Rog Consulting 2020a, </w:t>
      </w:r>
      <w:hyperlink r:id="rId64" w:history="1">
        <w:r w:rsidRPr="009E0B05">
          <w:rPr>
            <w:rStyle w:val="Hyperlink"/>
          </w:rPr>
          <w:t>Junction of the Warrego and Darling rivers selected area 2019-20 annual summary report</w:t>
        </w:r>
      </w:hyperlink>
      <w:r>
        <w:t>. Commonwealth of Australia, Canberra. Accessed 24 May 2021.</w:t>
      </w:r>
    </w:p>
    <w:p w14:paraId="7DF82C74" w14:textId="56D6B87A" w:rsidR="00CD0ABA" w:rsidDel="005B3F33" w:rsidRDefault="00CD0ABA" w:rsidP="00866AF6">
      <w:r>
        <w:t xml:space="preserve">University of New England &amp; 2 Rog Consulting 2020b, </w:t>
      </w:r>
      <w:hyperlink r:id="rId65" w:history="1">
        <w:r w:rsidRPr="00F50AA5">
          <w:rPr>
            <w:rStyle w:val="Hyperlink"/>
          </w:rPr>
          <w:t>Warrego-Darling rivers selected area MER project newsletter 6 December 2020.</w:t>
        </w:r>
      </w:hyperlink>
      <w:r>
        <w:t xml:space="preserve"> Commonwealth of Australia, Canberra</w:t>
      </w:r>
      <w:r w:rsidR="00A46058">
        <w:t>, a</w:t>
      </w:r>
      <w:r>
        <w:t>ccessed 24 May 2021.</w:t>
      </w:r>
    </w:p>
    <w:p w14:paraId="69098A1D" w14:textId="23374452" w:rsidR="00CD0ABA" w:rsidDel="005B3F33" w:rsidRDefault="00CD0ABA" w:rsidP="00866AF6">
      <w:r>
        <w:t xml:space="preserve">University of New England &amp; 2 Rog Consulting, 2021, </w:t>
      </w:r>
      <w:r w:rsidRPr="00F50AA5">
        <w:rPr>
          <w:i/>
          <w:iCs/>
        </w:rPr>
        <w:t>The Warrego-Darling quarterly outcomes newsletter for the Warrego-Darling selected area Q3 January-March 2021.</w:t>
      </w:r>
      <w:r>
        <w:t xml:space="preserve"> Commonwealth of Australia, Canberra.</w:t>
      </w:r>
    </w:p>
    <w:p w14:paraId="7B6CE745" w14:textId="53F96844" w:rsidR="00CD0ABA" w:rsidDel="005B3F33" w:rsidRDefault="00CD0ABA" w:rsidP="00866AF6">
      <w:r>
        <w:t xml:space="preserve">WaterNSW 2021a, </w:t>
      </w:r>
      <w:hyperlink r:id="rId66" w:history="1">
        <w:r w:rsidRPr="000B3424">
          <w:rPr>
            <w:rStyle w:val="Hyperlink"/>
          </w:rPr>
          <w:t>Continuous water monitoring network real-time data rivers and streams 423 – Warrego</w:t>
        </w:r>
        <w:r>
          <w:rPr>
            <w:rStyle w:val="Hyperlink"/>
          </w:rPr>
          <w:t xml:space="preserve"> r</w:t>
        </w:r>
        <w:r w:rsidRPr="000B3424">
          <w:rPr>
            <w:rStyle w:val="Hyperlink"/>
          </w:rPr>
          <w:t xml:space="preserve">iver </w:t>
        </w:r>
        <w:r>
          <w:rPr>
            <w:rStyle w:val="Hyperlink"/>
          </w:rPr>
          <w:t>b</w:t>
        </w:r>
        <w:r w:rsidRPr="000B3424">
          <w:rPr>
            <w:rStyle w:val="Hyperlink"/>
          </w:rPr>
          <w:t>asin</w:t>
        </w:r>
      </w:hyperlink>
      <w:r>
        <w:t>.</w:t>
      </w:r>
      <w:r w:rsidR="009A4D1F">
        <w:t xml:space="preserve"> </w:t>
      </w:r>
      <w:r>
        <w:t>WaterNSW, Sydney. Accessed 26 May 2021.</w:t>
      </w:r>
    </w:p>
    <w:p w14:paraId="11E13EE2" w14:textId="620FF982" w:rsidR="00CD0ABA" w:rsidRDefault="00B818AD" w:rsidP="00866AF6">
      <w:r w:rsidRPr="00CE02B6">
        <w:t>——</w:t>
      </w:r>
      <w:r w:rsidR="00CD0ABA">
        <w:t xml:space="preserve">2021b, </w:t>
      </w:r>
      <w:hyperlink r:id="rId67" w:history="1">
        <w:r w:rsidR="00CD0ABA" w:rsidRPr="009E0B05">
          <w:rPr>
            <w:rStyle w:val="Hyperlink"/>
          </w:rPr>
          <w:t xml:space="preserve">Operations update </w:t>
        </w:r>
        <w:r w:rsidR="00CD0ABA">
          <w:rPr>
            <w:rStyle w:val="Hyperlink"/>
          </w:rPr>
          <w:t>n</w:t>
        </w:r>
        <w:r w:rsidR="00CD0ABA" w:rsidRPr="009E0B05">
          <w:rPr>
            <w:rStyle w:val="Hyperlink"/>
          </w:rPr>
          <w:t>orthern NSW rainfall event March 2021, 17 May 2021.</w:t>
        </w:r>
      </w:hyperlink>
      <w:r w:rsidR="00CD0ABA">
        <w:t xml:space="preserve"> WaterNSW, Sydney. Accessed 24 May 2021.</w:t>
      </w:r>
    </w:p>
    <w:p w14:paraId="0865849F" w14:textId="36050BC0" w:rsidR="009300C5" w:rsidRDefault="00B818AD" w:rsidP="00866AF6">
      <w:r w:rsidRPr="00CE02B6">
        <w:t>——</w:t>
      </w:r>
      <w:r w:rsidR="00CD0ABA" w:rsidRPr="003B246B">
        <w:t>2021</w:t>
      </w:r>
      <w:r w:rsidR="00CD0ABA">
        <w:t>c</w:t>
      </w:r>
      <w:r w:rsidR="00CD0ABA" w:rsidRPr="003B246B">
        <w:t xml:space="preserve">, </w:t>
      </w:r>
      <w:hyperlink r:id="rId68" w:history="1">
        <w:r w:rsidR="00CD0ABA" w:rsidRPr="003B246B">
          <w:rPr>
            <w:color w:val="165788"/>
            <w:u w:val="single"/>
          </w:rPr>
          <w:t>Operations update Northern NSW rainfall event 24 May 2021</w:t>
        </w:r>
      </w:hyperlink>
      <w:r w:rsidR="00CD0ABA" w:rsidRPr="003B246B">
        <w:t xml:space="preserve">, </w:t>
      </w:r>
      <w:proofErr w:type="spellStart"/>
      <w:r w:rsidR="00CD0ABA" w:rsidRPr="003B246B">
        <w:t>WaterNSW</w:t>
      </w:r>
      <w:proofErr w:type="spellEnd"/>
      <w:r w:rsidR="00CD0ABA" w:rsidRPr="003B246B">
        <w:t>, Sydney, accessed 2 June 2021.</w:t>
      </w:r>
    </w:p>
    <w:p w14:paraId="1AE6DA14" w14:textId="2C25C2EB" w:rsidR="00F50AA5" w:rsidRPr="00CD0ABA" w:rsidRDefault="00B818AD" w:rsidP="00866AF6">
      <w:r w:rsidRPr="00CE02B6">
        <w:lastRenderedPageBreak/>
        <w:t>——</w:t>
      </w:r>
      <w:r w:rsidR="00CD0ABA" w:rsidRPr="006905BB">
        <w:t>2021</w:t>
      </w:r>
      <w:r w:rsidR="00CD0ABA">
        <w:t>d</w:t>
      </w:r>
      <w:r w:rsidR="00CD0ABA" w:rsidRPr="006905BB">
        <w:t xml:space="preserve">, </w:t>
      </w:r>
      <w:hyperlink r:id="rId69" w:history="1">
        <w:r w:rsidR="00CD0ABA" w:rsidRPr="006C5C7C">
          <w:rPr>
            <w:rStyle w:val="Hyperlink"/>
          </w:rPr>
          <w:t>river and streams real time data – rivers and streams 417 – Moonie River Basin</w:t>
        </w:r>
      </w:hyperlink>
      <w:r w:rsidR="00CD0ABA" w:rsidRPr="006905BB">
        <w:t>, Sydney, accessed 2 June 20</w:t>
      </w:r>
      <w:r w:rsidR="009A4D1F">
        <w:t>2</w:t>
      </w:r>
      <w:r w:rsidR="002D5E78">
        <w:t>1</w:t>
      </w:r>
      <w:r w:rsidR="009A4D1F">
        <w:t>.</w:t>
      </w:r>
    </w:p>
    <w:sectPr w:rsidR="00F50AA5" w:rsidRPr="00CD0ABA">
      <w:headerReference w:type="even" r:id="rId70"/>
      <w:headerReference w:type="default" r:id="rId71"/>
      <w:footerReference w:type="default" r:id="rId72"/>
      <w:headerReference w:type="first" r:id="rId7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9590" w14:textId="77777777" w:rsidR="007F4FF6" w:rsidRDefault="007F4FF6">
      <w:r>
        <w:separator/>
      </w:r>
    </w:p>
    <w:p w14:paraId="2CCB936D" w14:textId="77777777" w:rsidR="007F4FF6" w:rsidRDefault="007F4FF6"/>
    <w:p w14:paraId="18E37579" w14:textId="77777777" w:rsidR="007F4FF6" w:rsidRDefault="007F4FF6"/>
  </w:endnote>
  <w:endnote w:type="continuationSeparator" w:id="0">
    <w:p w14:paraId="4B205AEB" w14:textId="77777777" w:rsidR="007F4FF6" w:rsidRDefault="007F4FF6">
      <w:r>
        <w:continuationSeparator/>
      </w:r>
    </w:p>
    <w:p w14:paraId="334CD292" w14:textId="77777777" w:rsidR="007F4FF6" w:rsidRDefault="007F4FF6"/>
    <w:p w14:paraId="253705C7" w14:textId="77777777" w:rsidR="007F4FF6" w:rsidRDefault="007F4FF6"/>
  </w:endnote>
  <w:endnote w:type="continuationNotice" w:id="1">
    <w:p w14:paraId="60CD7538" w14:textId="77777777" w:rsidR="007F4FF6" w:rsidRDefault="007F4FF6">
      <w:pPr>
        <w:pStyle w:val="Footer"/>
      </w:pPr>
    </w:p>
    <w:p w14:paraId="4516DE6E" w14:textId="77777777" w:rsidR="007F4FF6" w:rsidRDefault="007F4FF6"/>
    <w:p w14:paraId="195FE9D2" w14:textId="77777777" w:rsidR="007F4FF6" w:rsidRDefault="007F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9C54" w14:textId="77777777" w:rsidR="000A3139" w:rsidRDefault="000A3139">
    <w:pPr>
      <w:pStyle w:val="Footer"/>
    </w:pPr>
    <w:r>
      <w:t>Department of Agriculture, Water and the Environment</w:t>
    </w:r>
  </w:p>
  <w:p w14:paraId="37E90115" w14:textId="77777777" w:rsidR="000A3139" w:rsidRDefault="000A3139">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41C95E40" w:rsidR="000A3139" w:rsidRDefault="000A3139">
    <w:pPr>
      <w:pStyle w:val="Footer"/>
    </w:pPr>
    <w:r>
      <w:t>Department of Agriculture, Water and the Environment</w:t>
    </w:r>
  </w:p>
  <w:p w14:paraId="067BD8CF" w14:textId="77777777" w:rsidR="000A3139" w:rsidRDefault="000A3139">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B004" w14:textId="77777777" w:rsidR="007F4FF6" w:rsidRDefault="007F4FF6">
      <w:r>
        <w:separator/>
      </w:r>
    </w:p>
    <w:p w14:paraId="095B5249" w14:textId="77777777" w:rsidR="007F4FF6" w:rsidRDefault="007F4FF6"/>
    <w:p w14:paraId="0F708347" w14:textId="77777777" w:rsidR="007F4FF6" w:rsidRDefault="007F4FF6"/>
  </w:footnote>
  <w:footnote w:type="continuationSeparator" w:id="0">
    <w:p w14:paraId="58AEA609" w14:textId="77777777" w:rsidR="007F4FF6" w:rsidRDefault="007F4FF6">
      <w:r>
        <w:continuationSeparator/>
      </w:r>
    </w:p>
    <w:p w14:paraId="3F24932B" w14:textId="77777777" w:rsidR="007F4FF6" w:rsidRDefault="007F4FF6"/>
    <w:p w14:paraId="792EA1AC" w14:textId="77777777" w:rsidR="007F4FF6" w:rsidRDefault="007F4FF6"/>
  </w:footnote>
  <w:footnote w:type="continuationNotice" w:id="1">
    <w:p w14:paraId="6BAD2229" w14:textId="77777777" w:rsidR="007F4FF6" w:rsidRDefault="007F4FF6">
      <w:pPr>
        <w:pStyle w:val="Footer"/>
      </w:pPr>
    </w:p>
    <w:p w14:paraId="6C047A39" w14:textId="77777777" w:rsidR="007F4FF6" w:rsidRDefault="007F4FF6"/>
    <w:p w14:paraId="02D1DC50" w14:textId="77777777" w:rsidR="007F4FF6" w:rsidRDefault="007F4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23EE" w14:textId="0A7D425C" w:rsidR="000A3139" w:rsidRDefault="000A3139">
    <w:pPr>
      <w:pStyle w:val="Header"/>
    </w:pPr>
    <w:r>
      <w:rPr>
        <w:noProof/>
        <w:lang w:val="en-US"/>
      </w:rPr>
      <mc:AlternateContent>
        <mc:Choice Requires="wps">
          <w:drawing>
            <wp:inline distT="0" distB="0" distL="0" distR="0" wp14:anchorId="16D10E3C" wp14:editId="6347D2D9">
              <wp:extent cx="6960235" cy="1159510"/>
              <wp:effectExtent l="0" t="0" r="0" b="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235" cy="1159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21CA0" w14:textId="77777777" w:rsidR="000A3139" w:rsidRDefault="000A3139" w:rsidP="00CD0ABA">
                          <w:pPr>
                            <w:jc w:val="center"/>
                            <w:rPr>
                              <w:sz w:val="24"/>
                              <w:szCs w:val="24"/>
                            </w:rPr>
                          </w:pPr>
                          <w:r>
                            <w:rPr>
                              <w:rFonts w:eastAsia="Cambria"/>
                              <w:color w:val="808080"/>
                              <w:sz w:val="2"/>
                              <w:szCs w:val="2"/>
                              <w14:textFill>
                                <w14:solidFill>
                                  <w14:srgbClr w14:val="808080">
                                    <w14:alpha w14:val="50000"/>
                                  </w14:srgbClr>
                                </w14:solidFill>
                              </w14:textFill>
                            </w:rPr>
                            <w:t>EXAMPLE ONLY</w:t>
                          </w:r>
                        </w:p>
                      </w:txbxContent>
                    </wps:txbx>
                    <wps:bodyPr wrap="square" numCol="1" fromWordArt="1">
                      <a:prstTxWarp prst="textPlain">
                        <a:avLst>
                          <a:gd name="adj" fmla="val 50000"/>
                        </a:avLst>
                      </a:prstTxWarp>
                      <a:spAutoFit/>
                    </wps:bodyPr>
                  </wps:wsp>
                </a:graphicData>
              </a:graphic>
            </wp:inline>
          </w:drawing>
        </mc:Choice>
        <mc:Fallback>
          <w:pict>
            <v:shapetype w14:anchorId="16D10E3C" id="_x0000_t202" coordsize="21600,21600" o:spt="202" path="m,l,21600r21600,l21600,xe">
              <v:stroke joinstyle="miter"/>
              <v:path gradientshapeok="t" o:connecttype="rect"/>
            </v:shapetype>
            <v:shape id="Text Box 16" o:spid="_x0000_s1026" type="#_x0000_t202" style="width:548.05pt;height:91.3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" filled="f" stroked="f">
              <v:stroke joinstyle="round"/>
              <o:lock v:ext="edit" shapetype="t"/>
              <v:textbox style="mso-fit-shape-to-text:t">
                <w:txbxContent>
                  <w:p w14:paraId="4D921CA0" w14:textId="77777777" w:rsidR="000A3139" w:rsidRDefault="000A3139" w:rsidP="00CD0ABA">
                    <w:pPr>
                      <w:jc w:val="center"/>
                      <w:rPr>
                        <w:sz w:val="24"/>
                        <w:szCs w:val="24"/>
                      </w:rPr>
                    </w:pPr>
                    <w:r>
                      <w:rPr>
                        <w:rFonts w:eastAsia="Cambria"/>
                        <w:color w:val="808080"/>
                        <w:sz w:val="2"/>
                        <w:szCs w:val="2"/>
                        <w14:textFill>
                          <w14:solidFill>
                            <w14:srgbClr w14:val="808080">
                              <w14:alpha w14:val="50000"/>
                            </w14:srgbClr>
                          </w14:solidFill>
                        </w14:textFill>
                      </w:rPr>
                      <w:t>EXAMPLE ONLY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C04D" w14:textId="360A137B" w:rsidR="000A3139" w:rsidRPr="00C064B1" w:rsidRDefault="000A3139" w:rsidP="00C064B1">
    <w:pPr>
      <w:pStyle w:val="Header"/>
    </w:pPr>
    <w:r>
      <w:t>Warrego and Moonie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6F1E" w14:textId="4BE23A2C" w:rsidR="000A3139" w:rsidRDefault="000A3139">
    <w:pPr>
      <w:pStyle w:val="Header"/>
      <w:jc w:val="left"/>
    </w:pPr>
    <w:r w:rsidRPr="009A77BC">
      <w:rPr>
        <w:noProof/>
        <w:sz w:val="12"/>
      </w:rPr>
      <w:drawing>
        <wp:anchor distT="0" distB="0" distL="114300" distR="114300" simplePos="0" relativeHeight="251662338" behindDoc="1" locked="0" layoutInCell="0" allowOverlap="1" wp14:anchorId="643AE337" wp14:editId="422B9377">
          <wp:simplePos x="0" y="0"/>
          <wp:positionH relativeFrom="page">
            <wp:align>left</wp:align>
          </wp:positionH>
          <wp:positionV relativeFrom="page">
            <wp:align>top</wp:align>
          </wp:positionV>
          <wp:extent cx="7569642" cy="10778346"/>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0A3139" w:rsidRDefault="004D6BAD">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239;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D" w14:textId="396C3DB4" w:rsidR="000A3139" w:rsidRPr="00C064B1" w:rsidRDefault="000A3139" w:rsidP="00C064B1">
    <w:pPr>
      <w:pStyle w:val="Header"/>
    </w:pPr>
    <w:r>
      <w:t>Warrego Valley Water</w:t>
    </w:r>
    <w:r w:rsidRPr="00C064B1">
      <w:t xml:space="preserve"> Plan 202</w:t>
    </w:r>
    <w:r>
      <w:t>1</w:t>
    </w:r>
    <w:r w:rsidRPr="00C064B1">
      <w:t>–2</w:t>
    </w:r>
    <w: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0A3139" w:rsidRDefault="000A3139">
    <w:pPr>
      <w:pStyle w:val="Header"/>
      <w:jc w:val="left"/>
    </w:pPr>
    <w:r w:rsidRPr="009A77BC">
      <w:rPr>
        <w:noProof/>
        <w:sz w:val="12"/>
      </w:rPr>
      <w:drawing>
        <wp:anchor distT="0" distB="0" distL="114300" distR="114300" simplePos="0" relativeHeight="251658242"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4D6BAD">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E41097"/>
    <w:multiLevelType w:val="hybridMultilevel"/>
    <w:tmpl w:val="6516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E4A0B"/>
    <w:multiLevelType w:val="hybridMultilevel"/>
    <w:tmpl w:val="0E8A034A"/>
    <w:lvl w:ilvl="0" w:tplc="465A8014">
      <w:start w:val="4"/>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103637"/>
    <w:multiLevelType w:val="multilevel"/>
    <w:tmpl w:val="BE78A4F8"/>
    <w:numStyleLink w:val="Numberlist"/>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6D273F8C"/>
    <w:multiLevelType w:val="hybridMultilevel"/>
    <w:tmpl w:val="B92C5D0E"/>
    <w:lvl w:ilvl="0" w:tplc="60843F46">
      <w:start w:val="1"/>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934B7"/>
    <w:multiLevelType w:val="multilevel"/>
    <w:tmpl w:val="A0241B28"/>
    <w:numStyleLink w:val="List1"/>
  </w:abstractNum>
  <w:abstractNum w:abstractNumId="32" w15:restartNumberingAfterBreak="0">
    <w:nsid w:val="7E48609E"/>
    <w:multiLevelType w:val="hybridMultilevel"/>
    <w:tmpl w:val="5FAE3584"/>
    <w:lvl w:ilvl="0" w:tplc="390E27B2">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9"/>
  </w:num>
  <w:num w:numId="5">
    <w:abstractNumId w:val="26"/>
  </w:num>
  <w:num w:numId="6">
    <w:abstractNumId w:val="27"/>
  </w:num>
  <w:num w:numId="7">
    <w:abstractNumId w:val="7"/>
  </w:num>
  <w:num w:numId="8">
    <w:abstractNumId w:val="12"/>
  </w:num>
  <w:num w:numId="9">
    <w:abstractNumId w:val="18"/>
    <w:lvlOverride w:ilvl="0">
      <w:lvl w:ilvl="0">
        <w:start w:val="1"/>
        <w:numFmt w:val="none"/>
        <w:pStyle w:val="Heading2"/>
        <w:lvlText w:val="5"/>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15.%2"/>
        <w:lvlJc w:val="left"/>
        <w:pPr>
          <w:ind w:left="-6975" w:hanging="964"/>
        </w:pPr>
        <w:rPr>
          <w:rFonts w:hint="default"/>
        </w:rPr>
      </w:lvl>
    </w:lvlOverride>
    <w:lvlOverride w:ilvl="2">
      <w:lvl w:ilvl="2">
        <w:start w:val="1"/>
        <w:numFmt w:val="decimal"/>
        <w:pStyle w:val="Heading4"/>
        <w:lvlText w:val="5%1.%2.%3"/>
        <w:lvlJc w:val="left"/>
        <w:pPr>
          <w:ind w:left="-6975" w:hanging="964"/>
        </w:pPr>
        <w:rPr>
          <w:rFonts w:hint="default"/>
        </w:rPr>
      </w:lvl>
    </w:lvlOverride>
    <w:lvlOverride w:ilvl="3">
      <w:lvl w:ilvl="3">
        <w:start w:val="1"/>
        <w:numFmt w:val="decimal"/>
        <w:lvlText w:val="%4."/>
        <w:lvlJc w:val="left"/>
        <w:pPr>
          <w:ind w:left="-5059" w:hanging="360"/>
        </w:pPr>
        <w:rPr>
          <w:rFonts w:hint="default"/>
        </w:rPr>
      </w:lvl>
    </w:lvlOverride>
    <w:lvlOverride w:ilvl="4">
      <w:lvl w:ilvl="4">
        <w:start w:val="1"/>
        <w:numFmt w:val="lowerLetter"/>
        <w:lvlText w:val="%5."/>
        <w:lvlJc w:val="left"/>
        <w:pPr>
          <w:ind w:left="-4339" w:hanging="360"/>
        </w:pPr>
        <w:rPr>
          <w:rFonts w:hint="default"/>
        </w:rPr>
      </w:lvl>
    </w:lvlOverride>
    <w:lvlOverride w:ilvl="5">
      <w:lvl w:ilvl="5">
        <w:start w:val="1"/>
        <w:numFmt w:val="lowerRoman"/>
        <w:lvlText w:val="%6."/>
        <w:lvlJc w:val="right"/>
        <w:pPr>
          <w:ind w:left="-3619" w:hanging="180"/>
        </w:pPr>
        <w:rPr>
          <w:rFonts w:hint="default"/>
        </w:rPr>
      </w:lvl>
    </w:lvlOverride>
    <w:lvlOverride w:ilvl="6">
      <w:lvl w:ilvl="6">
        <w:start w:val="1"/>
        <w:numFmt w:val="decimal"/>
        <w:lvlText w:val="%7."/>
        <w:lvlJc w:val="left"/>
        <w:pPr>
          <w:ind w:left="-2899" w:hanging="360"/>
        </w:pPr>
        <w:rPr>
          <w:rFonts w:hint="default"/>
        </w:rPr>
      </w:lvl>
    </w:lvlOverride>
    <w:lvlOverride w:ilvl="7">
      <w:lvl w:ilvl="7">
        <w:start w:val="1"/>
        <w:numFmt w:val="lowerLetter"/>
        <w:lvlText w:val="%8."/>
        <w:lvlJc w:val="left"/>
        <w:pPr>
          <w:ind w:left="-2179" w:hanging="360"/>
        </w:pPr>
        <w:rPr>
          <w:rFonts w:hint="default"/>
        </w:rPr>
      </w:lvl>
    </w:lvlOverride>
    <w:lvlOverride w:ilvl="8">
      <w:lvl w:ilvl="8">
        <w:start w:val="1"/>
        <w:numFmt w:val="lowerRoman"/>
        <w:lvlText w:val="%9."/>
        <w:lvlJc w:val="right"/>
        <w:pPr>
          <w:ind w:left="-1459" w:hanging="180"/>
        </w:pPr>
        <w:rPr>
          <w:rFonts w:hint="default"/>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5"/>
  </w:num>
  <w:num w:numId="22">
    <w:abstractNumId w:val="22"/>
  </w:num>
  <w:num w:numId="23">
    <w:abstractNumId w:val="29"/>
  </w:num>
  <w:num w:numId="24">
    <w:abstractNumId w:val="11"/>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3"/>
  </w:num>
  <w:num w:numId="29">
    <w:abstractNumId w:val="25"/>
  </w:num>
  <w:num w:numId="30">
    <w:abstractNumId w:val="8"/>
  </w:num>
  <w:num w:numId="31">
    <w:abstractNumId w:val="16"/>
  </w:num>
  <w:num w:numId="32">
    <w:abstractNumId w:val="1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6"/>
  </w:num>
  <w:num w:numId="36">
    <w:abstractNumId w:val="26"/>
  </w:num>
  <w:num w:numId="37">
    <w:abstractNumId w:val="13"/>
  </w:num>
  <w:num w:numId="38">
    <w:abstractNumId w:val="32"/>
  </w:num>
  <w:num w:numId="39">
    <w:abstractNumId w:val="30"/>
  </w:num>
  <w:num w:numId="40">
    <w:abstractNumId w:val="14"/>
  </w:num>
  <w:num w:numId="41">
    <w:abstractNumId w:val="9"/>
  </w:num>
  <w:num w:numId="42">
    <w:abstractNumId w:val="9"/>
  </w:num>
  <w:num w:numId="43">
    <w:abstractNumId w:val="9"/>
  </w:num>
  <w:num w:numId="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01472"/>
    <w:rsid w:val="00001774"/>
    <w:rsid w:val="00004A1C"/>
    <w:rsid w:val="00004C2A"/>
    <w:rsid w:val="000131A1"/>
    <w:rsid w:val="000169B9"/>
    <w:rsid w:val="00017692"/>
    <w:rsid w:val="00022511"/>
    <w:rsid w:val="00025615"/>
    <w:rsid w:val="00026583"/>
    <w:rsid w:val="000327FA"/>
    <w:rsid w:val="00044576"/>
    <w:rsid w:val="0005178B"/>
    <w:rsid w:val="00055448"/>
    <w:rsid w:val="00064C48"/>
    <w:rsid w:val="00080D90"/>
    <w:rsid w:val="00081817"/>
    <w:rsid w:val="000837DA"/>
    <w:rsid w:val="000933C1"/>
    <w:rsid w:val="00097FA8"/>
    <w:rsid w:val="000A3139"/>
    <w:rsid w:val="000A7AAF"/>
    <w:rsid w:val="000A7E78"/>
    <w:rsid w:val="000B3424"/>
    <w:rsid w:val="000B75E1"/>
    <w:rsid w:val="000C030E"/>
    <w:rsid w:val="000C22EC"/>
    <w:rsid w:val="000D1B93"/>
    <w:rsid w:val="000E4135"/>
    <w:rsid w:val="000E4E12"/>
    <w:rsid w:val="000E684A"/>
    <w:rsid w:val="000F082E"/>
    <w:rsid w:val="000F4148"/>
    <w:rsid w:val="000F4289"/>
    <w:rsid w:val="00104229"/>
    <w:rsid w:val="00106B07"/>
    <w:rsid w:val="00111FA4"/>
    <w:rsid w:val="001154A3"/>
    <w:rsid w:val="00117F57"/>
    <w:rsid w:val="001266BB"/>
    <w:rsid w:val="001304FF"/>
    <w:rsid w:val="001346A2"/>
    <w:rsid w:val="001410CA"/>
    <w:rsid w:val="0014269B"/>
    <w:rsid w:val="001465A7"/>
    <w:rsid w:val="001469B4"/>
    <w:rsid w:val="00153F4D"/>
    <w:rsid w:val="00155F28"/>
    <w:rsid w:val="0016069F"/>
    <w:rsid w:val="00161F49"/>
    <w:rsid w:val="00163227"/>
    <w:rsid w:val="00163D04"/>
    <w:rsid w:val="00165BDF"/>
    <w:rsid w:val="00167C19"/>
    <w:rsid w:val="0017003F"/>
    <w:rsid w:val="00171BFB"/>
    <w:rsid w:val="00176573"/>
    <w:rsid w:val="00176BC2"/>
    <w:rsid w:val="001820DC"/>
    <w:rsid w:val="001959F3"/>
    <w:rsid w:val="001A05F9"/>
    <w:rsid w:val="001A1638"/>
    <w:rsid w:val="001A2D6C"/>
    <w:rsid w:val="001A3FBE"/>
    <w:rsid w:val="001A4E94"/>
    <w:rsid w:val="001B1841"/>
    <w:rsid w:val="001B2EFA"/>
    <w:rsid w:val="001C2E69"/>
    <w:rsid w:val="001D4326"/>
    <w:rsid w:val="001E3E7B"/>
    <w:rsid w:val="001E7FFB"/>
    <w:rsid w:val="001F1BE4"/>
    <w:rsid w:val="001F5E75"/>
    <w:rsid w:val="00201B36"/>
    <w:rsid w:val="00203E9D"/>
    <w:rsid w:val="00205E2E"/>
    <w:rsid w:val="0021025F"/>
    <w:rsid w:val="00215957"/>
    <w:rsid w:val="002218C6"/>
    <w:rsid w:val="00222137"/>
    <w:rsid w:val="00223CA0"/>
    <w:rsid w:val="00233B25"/>
    <w:rsid w:val="0023418B"/>
    <w:rsid w:val="0023627E"/>
    <w:rsid w:val="0024069A"/>
    <w:rsid w:val="00240BE6"/>
    <w:rsid w:val="002468BC"/>
    <w:rsid w:val="00252AEF"/>
    <w:rsid w:val="00253387"/>
    <w:rsid w:val="00256F50"/>
    <w:rsid w:val="00262ED3"/>
    <w:rsid w:val="00264EC6"/>
    <w:rsid w:val="00267131"/>
    <w:rsid w:val="00284D14"/>
    <w:rsid w:val="00286307"/>
    <w:rsid w:val="002930B2"/>
    <w:rsid w:val="002937E9"/>
    <w:rsid w:val="002B0A53"/>
    <w:rsid w:val="002B3D6D"/>
    <w:rsid w:val="002D1C71"/>
    <w:rsid w:val="002D3509"/>
    <w:rsid w:val="002D5E78"/>
    <w:rsid w:val="002D62B6"/>
    <w:rsid w:val="002E0B66"/>
    <w:rsid w:val="002E4BA0"/>
    <w:rsid w:val="002E6C80"/>
    <w:rsid w:val="002E79B0"/>
    <w:rsid w:val="002F03E4"/>
    <w:rsid w:val="002F1D14"/>
    <w:rsid w:val="002F522C"/>
    <w:rsid w:val="002F5714"/>
    <w:rsid w:val="003120B3"/>
    <w:rsid w:val="00321527"/>
    <w:rsid w:val="00321C6C"/>
    <w:rsid w:val="0032244F"/>
    <w:rsid w:val="003247E8"/>
    <w:rsid w:val="00324FB1"/>
    <w:rsid w:val="00326302"/>
    <w:rsid w:val="0032663E"/>
    <w:rsid w:val="003302DF"/>
    <w:rsid w:val="003339E1"/>
    <w:rsid w:val="0033490F"/>
    <w:rsid w:val="00336ACE"/>
    <w:rsid w:val="00342BC4"/>
    <w:rsid w:val="00344B29"/>
    <w:rsid w:val="00346A82"/>
    <w:rsid w:val="00346C30"/>
    <w:rsid w:val="0035434F"/>
    <w:rsid w:val="00356B76"/>
    <w:rsid w:val="00357D08"/>
    <w:rsid w:val="00375735"/>
    <w:rsid w:val="003768D9"/>
    <w:rsid w:val="0038071C"/>
    <w:rsid w:val="00382088"/>
    <w:rsid w:val="00383065"/>
    <w:rsid w:val="0038376C"/>
    <w:rsid w:val="00384C7A"/>
    <w:rsid w:val="00393FEF"/>
    <w:rsid w:val="003A388E"/>
    <w:rsid w:val="003A78ED"/>
    <w:rsid w:val="003B246B"/>
    <w:rsid w:val="003B7E31"/>
    <w:rsid w:val="003C3B66"/>
    <w:rsid w:val="003D51D2"/>
    <w:rsid w:val="003D5D6F"/>
    <w:rsid w:val="003D7BC2"/>
    <w:rsid w:val="003E71A7"/>
    <w:rsid w:val="0040284A"/>
    <w:rsid w:val="00403089"/>
    <w:rsid w:val="00405C01"/>
    <w:rsid w:val="00410122"/>
    <w:rsid w:val="0041151B"/>
    <w:rsid w:val="004119A5"/>
    <w:rsid w:val="00411D2B"/>
    <w:rsid w:val="00413330"/>
    <w:rsid w:val="00415BB2"/>
    <w:rsid w:val="0042144B"/>
    <w:rsid w:val="00422203"/>
    <w:rsid w:val="00423BA0"/>
    <w:rsid w:val="00424477"/>
    <w:rsid w:val="00431107"/>
    <w:rsid w:val="0043137F"/>
    <w:rsid w:val="0043202E"/>
    <w:rsid w:val="00432DC4"/>
    <w:rsid w:val="004353AC"/>
    <w:rsid w:val="00436BDA"/>
    <w:rsid w:val="00437861"/>
    <w:rsid w:val="0044215C"/>
    <w:rsid w:val="00451BBD"/>
    <w:rsid w:val="0045243F"/>
    <w:rsid w:val="00463324"/>
    <w:rsid w:val="0046341F"/>
    <w:rsid w:val="004672F5"/>
    <w:rsid w:val="004673C5"/>
    <w:rsid w:val="00474DE4"/>
    <w:rsid w:val="00481F42"/>
    <w:rsid w:val="0048247E"/>
    <w:rsid w:val="00491E5F"/>
    <w:rsid w:val="00492957"/>
    <w:rsid w:val="00496AC0"/>
    <w:rsid w:val="004971B8"/>
    <w:rsid w:val="004A2AC7"/>
    <w:rsid w:val="004A4E8D"/>
    <w:rsid w:val="004A57E3"/>
    <w:rsid w:val="004A6763"/>
    <w:rsid w:val="004A68F5"/>
    <w:rsid w:val="004A74ED"/>
    <w:rsid w:val="004B08DE"/>
    <w:rsid w:val="004B1D54"/>
    <w:rsid w:val="004C19D6"/>
    <w:rsid w:val="004C51EA"/>
    <w:rsid w:val="004D6BAD"/>
    <w:rsid w:val="004E5FAF"/>
    <w:rsid w:val="004F1616"/>
    <w:rsid w:val="005018BA"/>
    <w:rsid w:val="005043EB"/>
    <w:rsid w:val="005102AA"/>
    <w:rsid w:val="0052159E"/>
    <w:rsid w:val="005215DA"/>
    <w:rsid w:val="005449E9"/>
    <w:rsid w:val="00551F77"/>
    <w:rsid w:val="005551CD"/>
    <w:rsid w:val="00560671"/>
    <w:rsid w:val="00566E2E"/>
    <w:rsid w:val="005718E9"/>
    <w:rsid w:val="00595096"/>
    <w:rsid w:val="0059522F"/>
    <w:rsid w:val="005965EA"/>
    <w:rsid w:val="00596E15"/>
    <w:rsid w:val="005A0D74"/>
    <w:rsid w:val="005A7B22"/>
    <w:rsid w:val="005B3F33"/>
    <w:rsid w:val="005B4973"/>
    <w:rsid w:val="005C449F"/>
    <w:rsid w:val="005C4818"/>
    <w:rsid w:val="005C4E08"/>
    <w:rsid w:val="005C5A7D"/>
    <w:rsid w:val="005D5675"/>
    <w:rsid w:val="005D61C9"/>
    <w:rsid w:val="005E25BD"/>
    <w:rsid w:val="005F491E"/>
    <w:rsid w:val="005F7557"/>
    <w:rsid w:val="005F786E"/>
    <w:rsid w:val="00601A0B"/>
    <w:rsid w:val="00635F91"/>
    <w:rsid w:val="006424A3"/>
    <w:rsid w:val="00646597"/>
    <w:rsid w:val="006564C9"/>
    <w:rsid w:val="00656C3D"/>
    <w:rsid w:val="00660D45"/>
    <w:rsid w:val="00662BC6"/>
    <w:rsid w:val="0067150C"/>
    <w:rsid w:val="00673FCE"/>
    <w:rsid w:val="0068665B"/>
    <w:rsid w:val="00686AC6"/>
    <w:rsid w:val="006905BB"/>
    <w:rsid w:val="006907F7"/>
    <w:rsid w:val="00691239"/>
    <w:rsid w:val="00691763"/>
    <w:rsid w:val="00695E4E"/>
    <w:rsid w:val="006A02CF"/>
    <w:rsid w:val="006A1C02"/>
    <w:rsid w:val="006B277B"/>
    <w:rsid w:val="006B73EF"/>
    <w:rsid w:val="006C0042"/>
    <w:rsid w:val="006C0D24"/>
    <w:rsid w:val="006C16FF"/>
    <w:rsid w:val="006C4C6E"/>
    <w:rsid w:val="006C4DC0"/>
    <w:rsid w:val="006C5145"/>
    <w:rsid w:val="006C621F"/>
    <w:rsid w:val="006C75B8"/>
    <w:rsid w:val="006D100E"/>
    <w:rsid w:val="006D1E1C"/>
    <w:rsid w:val="006D7166"/>
    <w:rsid w:val="006D7754"/>
    <w:rsid w:val="006E3FF3"/>
    <w:rsid w:val="006E7B78"/>
    <w:rsid w:val="006F4486"/>
    <w:rsid w:val="006F4D69"/>
    <w:rsid w:val="007039E2"/>
    <w:rsid w:val="00704828"/>
    <w:rsid w:val="00723EE6"/>
    <w:rsid w:val="00724CDE"/>
    <w:rsid w:val="00726896"/>
    <w:rsid w:val="00730F92"/>
    <w:rsid w:val="00731DAD"/>
    <w:rsid w:val="007323D8"/>
    <w:rsid w:val="00733BF9"/>
    <w:rsid w:val="0075139F"/>
    <w:rsid w:val="00753068"/>
    <w:rsid w:val="00757337"/>
    <w:rsid w:val="00764D6A"/>
    <w:rsid w:val="007704D9"/>
    <w:rsid w:val="00773056"/>
    <w:rsid w:val="00777032"/>
    <w:rsid w:val="007923B9"/>
    <w:rsid w:val="00793BD2"/>
    <w:rsid w:val="00795EB5"/>
    <w:rsid w:val="007B34F5"/>
    <w:rsid w:val="007B4440"/>
    <w:rsid w:val="007C358A"/>
    <w:rsid w:val="007C3A7E"/>
    <w:rsid w:val="007D09C0"/>
    <w:rsid w:val="007D60F0"/>
    <w:rsid w:val="007E4DCC"/>
    <w:rsid w:val="007E6CC7"/>
    <w:rsid w:val="007E6F87"/>
    <w:rsid w:val="007F2847"/>
    <w:rsid w:val="007F3B50"/>
    <w:rsid w:val="007F4FF6"/>
    <w:rsid w:val="007F6493"/>
    <w:rsid w:val="008001E5"/>
    <w:rsid w:val="00801496"/>
    <w:rsid w:val="008026F2"/>
    <w:rsid w:val="008153E4"/>
    <w:rsid w:val="008276CF"/>
    <w:rsid w:val="00830A3A"/>
    <w:rsid w:val="00830A9F"/>
    <w:rsid w:val="00833964"/>
    <w:rsid w:val="008339E6"/>
    <w:rsid w:val="00834C9B"/>
    <w:rsid w:val="0084068C"/>
    <w:rsid w:val="008447DC"/>
    <w:rsid w:val="00851657"/>
    <w:rsid w:val="00852239"/>
    <w:rsid w:val="0085311E"/>
    <w:rsid w:val="00857622"/>
    <w:rsid w:val="008622EF"/>
    <w:rsid w:val="00866AF6"/>
    <w:rsid w:val="00866EAC"/>
    <w:rsid w:val="008724FC"/>
    <w:rsid w:val="008773EE"/>
    <w:rsid w:val="008774E4"/>
    <w:rsid w:val="008823CD"/>
    <w:rsid w:val="008872E6"/>
    <w:rsid w:val="008956DD"/>
    <w:rsid w:val="008A58F3"/>
    <w:rsid w:val="008B104B"/>
    <w:rsid w:val="008B2011"/>
    <w:rsid w:val="008B38E3"/>
    <w:rsid w:val="008B7469"/>
    <w:rsid w:val="008C25BD"/>
    <w:rsid w:val="008C3F97"/>
    <w:rsid w:val="008D06F2"/>
    <w:rsid w:val="008D1B7C"/>
    <w:rsid w:val="008D3A87"/>
    <w:rsid w:val="008D7108"/>
    <w:rsid w:val="008F2924"/>
    <w:rsid w:val="008F6B3E"/>
    <w:rsid w:val="00900828"/>
    <w:rsid w:val="00905B71"/>
    <w:rsid w:val="0091130F"/>
    <w:rsid w:val="00915D2E"/>
    <w:rsid w:val="009210BB"/>
    <w:rsid w:val="00921285"/>
    <w:rsid w:val="0092469F"/>
    <w:rsid w:val="009300C5"/>
    <w:rsid w:val="0093399C"/>
    <w:rsid w:val="00940422"/>
    <w:rsid w:val="00942D06"/>
    <w:rsid w:val="00945B89"/>
    <w:rsid w:val="00947835"/>
    <w:rsid w:val="00956556"/>
    <w:rsid w:val="009569E5"/>
    <w:rsid w:val="00963BCF"/>
    <w:rsid w:val="00964560"/>
    <w:rsid w:val="009679A7"/>
    <w:rsid w:val="00970ED1"/>
    <w:rsid w:val="009735AC"/>
    <w:rsid w:val="009755D1"/>
    <w:rsid w:val="00977C6B"/>
    <w:rsid w:val="00980AC9"/>
    <w:rsid w:val="009839E4"/>
    <w:rsid w:val="00984908"/>
    <w:rsid w:val="009956B5"/>
    <w:rsid w:val="009A1A76"/>
    <w:rsid w:val="009A1DA8"/>
    <w:rsid w:val="009A4146"/>
    <w:rsid w:val="009A4D1F"/>
    <w:rsid w:val="009A7C89"/>
    <w:rsid w:val="009B417D"/>
    <w:rsid w:val="009B50C4"/>
    <w:rsid w:val="009C63C3"/>
    <w:rsid w:val="009D0B69"/>
    <w:rsid w:val="009D205D"/>
    <w:rsid w:val="009D5007"/>
    <w:rsid w:val="009D7A4F"/>
    <w:rsid w:val="009E0B05"/>
    <w:rsid w:val="009E0BD1"/>
    <w:rsid w:val="009E11BE"/>
    <w:rsid w:val="009F5387"/>
    <w:rsid w:val="009F6AA5"/>
    <w:rsid w:val="009F6D48"/>
    <w:rsid w:val="009F76FC"/>
    <w:rsid w:val="00A01C7F"/>
    <w:rsid w:val="00A028A1"/>
    <w:rsid w:val="00A03A79"/>
    <w:rsid w:val="00A043FD"/>
    <w:rsid w:val="00A0518F"/>
    <w:rsid w:val="00A05F12"/>
    <w:rsid w:val="00A069CB"/>
    <w:rsid w:val="00A14745"/>
    <w:rsid w:val="00A16580"/>
    <w:rsid w:val="00A25079"/>
    <w:rsid w:val="00A327F8"/>
    <w:rsid w:val="00A35DA7"/>
    <w:rsid w:val="00A46058"/>
    <w:rsid w:val="00A47400"/>
    <w:rsid w:val="00A55B43"/>
    <w:rsid w:val="00A615E6"/>
    <w:rsid w:val="00A6239B"/>
    <w:rsid w:val="00A63575"/>
    <w:rsid w:val="00A63D72"/>
    <w:rsid w:val="00A63FFE"/>
    <w:rsid w:val="00A71AAA"/>
    <w:rsid w:val="00A83595"/>
    <w:rsid w:val="00A94CFB"/>
    <w:rsid w:val="00AA4DEF"/>
    <w:rsid w:val="00AC35F5"/>
    <w:rsid w:val="00AC4EF6"/>
    <w:rsid w:val="00AD7153"/>
    <w:rsid w:val="00AE42DA"/>
    <w:rsid w:val="00AE5385"/>
    <w:rsid w:val="00AF2B5C"/>
    <w:rsid w:val="00AF2E9F"/>
    <w:rsid w:val="00AF541D"/>
    <w:rsid w:val="00B01E54"/>
    <w:rsid w:val="00B058BF"/>
    <w:rsid w:val="00B06BCC"/>
    <w:rsid w:val="00B23775"/>
    <w:rsid w:val="00B23830"/>
    <w:rsid w:val="00B2480B"/>
    <w:rsid w:val="00B336AE"/>
    <w:rsid w:val="00B3577C"/>
    <w:rsid w:val="00B40831"/>
    <w:rsid w:val="00B40CC2"/>
    <w:rsid w:val="00B41B5B"/>
    <w:rsid w:val="00B440BB"/>
    <w:rsid w:val="00B44DA5"/>
    <w:rsid w:val="00B53499"/>
    <w:rsid w:val="00B55531"/>
    <w:rsid w:val="00B5740E"/>
    <w:rsid w:val="00B635E8"/>
    <w:rsid w:val="00B651A9"/>
    <w:rsid w:val="00B66EF5"/>
    <w:rsid w:val="00B72456"/>
    <w:rsid w:val="00B818AD"/>
    <w:rsid w:val="00B861B4"/>
    <w:rsid w:val="00B8668D"/>
    <w:rsid w:val="00B87CCF"/>
    <w:rsid w:val="00B94780"/>
    <w:rsid w:val="00B97E61"/>
    <w:rsid w:val="00BA1835"/>
    <w:rsid w:val="00BA469B"/>
    <w:rsid w:val="00BA4FF1"/>
    <w:rsid w:val="00BA500B"/>
    <w:rsid w:val="00BA64C4"/>
    <w:rsid w:val="00BB1E1F"/>
    <w:rsid w:val="00BB30A2"/>
    <w:rsid w:val="00BC2984"/>
    <w:rsid w:val="00BD055B"/>
    <w:rsid w:val="00BD10A5"/>
    <w:rsid w:val="00BD1AA9"/>
    <w:rsid w:val="00BD2901"/>
    <w:rsid w:val="00BE02B6"/>
    <w:rsid w:val="00BE1F65"/>
    <w:rsid w:val="00BE509C"/>
    <w:rsid w:val="00BE561A"/>
    <w:rsid w:val="00BE6511"/>
    <w:rsid w:val="00BF1808"/>
    <w:rsid w:val="00BF4847"/>
    <w:rsid w:val="00C003C5"/>
    <w:rsid w:val="00C02519"/>
    <w:rsid w:val="00C064B1"/>
    <w:rsid w:val="00C13788"/>
    <w:rsid w:val="00C20219"/>
    <w:rsid w:val="00C2374F"/>
    <w:rsid w:val="00C26162"/>
    <w:rsid w:val="00C33358"/>
    <w:rsid w:val="00C3558B"/>
    <w:rsid w:val="00C376A6"/>
    <w:rsid w:val="00C42F65"/>
    <w:rsid w:val="00C47E23"/>
    <w:rsid w:val="00C52BA9"/>
    <w:rsid w:val="00C57C60"/>
    <w:rsid w:val="00C64618"/>
    <w:rsid w:val="00C66CD4"/>
    <w:rsid w:val="00C718EE"/>
    <w:rsid w:val="00C72621"/>
    <w:rsid w:val="00C72B7A"/>
    <w:rsid w:val="00C8273F"/>
    <w:rsid w:val="00C832C3"/>
    <w:rsid w:val="00C854BC"/>
    <w:rsid w:val="00C85C62"/>
    <w:rsid w:val="00C92840"/>
    <w:rsid w:val="00CA08B6"/>
    <w:rsid w:val="00CA1C8B"/>
    <w:rsid w:val="00CA39DF"/>
    <w:rsid w:val="00CA6A68"/>
    <w:rsid w:val="00CB3001"/>
    <w:rsid w:val="00CC4842"/>
    <w:rsid w:val="00CC574F"/>
    <w:rsid w:val="00CD0ABA"/>
    <w:rsid w:val="00CD5826"/>
    <w:rsid w:val="00CD5B6A"/>
    <w:rsid w:val="00CE03A5"/>
    <w:rsid w:val="00CE45B7"/>
    <w:rsid w:val="00CE4704"/>
    <w:rsid w:val="00CF1D85"/>
    <w:rsid w:val="00D01B3A"/>
    <w:rsid w:val="00D04764"/>
    <w:rsid w:val="00D0528F"/>
    <w:rsid w:val="00D05983"/>
    <w:rsid w:val="00D07751"/>
    <w:rsid w:val="00D10D34"/>
    <w:rsid w:val="00D17269"/>
    <w:rsid w:val="00D22D60"/>
    <w:rsid w:val="00D267BA"/>
    <w:rsid w:val="00D270D8"/>
    <w:rsid w:val="00D27489"/>
    <w:rsid w:val="00D33D76"/>
    <w:rsid w:val="00D355B2"/>
    <w:rsid w:val="00D42F23"/>
    <w:rsid w:val="00D47121"/>
    <w:rsid w:val="00D542A4"/>
    <w:rsid w:val="00D56E8B"/>
    <w:rsid w:val="00D63776"/>
    <w:rsid w:val="00D6580B"/>
    <w:rsid w:val="00D6732E"/>
    <w:rsid w:val="00D67A64"/>
    <w:rsid w:val="00D67BC0"/>
    <w:rsid w:val="00D83EC9"/>
    <w:rsid w:val="00D92F9B"/>
    <w:rsid w:val="00D94717"/>
    <w:rsid w:val="00D9732D"/>
    <w:rsid w:val="00D97705"/>
    <w:rsid w:val="00D97BA3"/>
    <w:rsid w:val="00DA0487"/>
    <w:rsid w:val="00DA084A"/>
    <w:rsid w:val="00DA401B"/>
    <w:rsid w:val="00DA46DB"/>
    <w:rsid w:val="00DA7292"/>
    <w:rsid w:val="00DB0E7C"/>
    <w:rsid w:val="00DB5A9A"/>
    <w:rsid w:val="00DC0E2B"/>
    <w:rsid w:val="00DC1B77"/>
    <w:rsid w:val="00DC2585"/>
    <w:rsid w:val="00DC2E2D"/>
    <w:rsid w:val="00DC3D60"/>
    <w:rsid w:val="00DC6F9C"/>
    <w:rsid w:val="00DD4AAD"/>
    <w:rsid w:val="00DE5E7C"/>
    <w:rsid w:val="00DF651F"/>
    <w:rsid w:val="00E01187"/>
    <w:rsid w:val="00E12BED"/>
    <w:rsid w:val="00E2065D"/>
    <w:rsid w:val="00E20810"/>
    <w:rsid w:val="00E21163"/>
    <w:rsid w:val="00E229A7"/>
    <w:rsid w:val="00E247EF"/>
    <w:rsid w:val="00E409A2"/>
    <w:rsid w:val="00E42561"/>
    <w:rsid w:val="00E538D0"/>
    <w:rsid w:val="00E64F93"/>
    <w:rsid w:val="00E70E34"/>
    <w:rsid w:val="00E868C2"/>
    <w:rsid w:val="00E90446"/>
    <w:rsid w:val="00E91D72"/>
    <w:rsid w:val="00EA3E2A"/>
    <w:rsid w:val="00EB24FC"/>
    <w:rsid w:val="00EB79C7"/>
    <w:rsid w:val="00EC3F2F"/>
    <w:rsid w:val="00EC63D9"/>
    <w:rsid w:val="00EC7117"/>
    <w:rsid w:val="00EE096D"/>
    <w:rsid w:val="00EE1322"/>
    <w:rsid w:val="00EE3983"/>
    <w:rsid w:val="00EE4D0F"/>
    <w:rsid w:val="00EF55CC"/>
    <w:rsid w:val="00EF5BB9"/>
    <w:rsid w:val="00EF6219"/>
    <w:rsid w:val="00EF6D71"/>
    <w:rsid w:val="00F03969"/>
    <w:rsid w:val="00F04729"/>
    <w:rsid w:val="00F10837"/>
    <w:rsid w:val="00F10E6B"/>
    <w:rsid w:val="00F154B4"/>
    <w:rsid w:val="00F176C9"/>
    <w:rsid w:val="00F21C51"/>
    <w:rsid w:val="00F22AC9"/>
    <w:rsid w:val="00F24797"/>
    <w:rsid w:val="00F3074F"/>
    <w:rsid w:val="00F3276A"/>
    <w:rsid w:val="00F41C23"/>
    <w:rsid w:val="00F4412C"/>
    <w:rsid w:val="00F47C75"/>
    <w:rsid w:val="00F50AA5"/>
    <w:rsid w:val="00F60E99"/>
    <w:rsid w:val="00F67CDD"/>
    <w:rsid w:val="00F71A55"/>
    <w:rsid w:val="00F904FB"/>
    <w:rsid w:val="00F93D35"/>
    <w:rsid w:val="00FA15B2"/>
    <w:rsid w:val="00FA2199"/>
    <w:rsid w:val="00FA2743"/>
    <w:rsid w:val="00FA3469"/>
    <w:rsid w:val="00FA4163"/>
    <w:rsid w:val="00FA6269"/>
    <w:rsid w:val="00FB4F68"/>
    <w:rsid w:val="00FB7C79"/>
    <w:rsid w:val="00FC0C76"/>
    <w:rsid w:val="00FC15CF"/>
    <w:rsid w:val="00FD08E3"/>
    <w:rsid w:val="00FD0B7E"/>
    <w:rsid w:val="00FD6E00"/>
    <w:rsid w:val="00FE0C6D"/>
    <w:rsid w:val="00FE274C"/>
    <w:rsid w:val="00FE327C"/>
    <w:rsid w:val="00FF0CD7"/>
    <w:rsid w:val="00FF4043"/>
    <w:rsid w:val="00FF484C"/>
    <w:rsid w:val="00FF5ACD"/>
    <w:rsid w:val="00FF7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9"/>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9"/>
      </w:numPr>
      <w:ind w:left="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9"/>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 w:type="paragraph" w:styleId="Revision">
    <w:name w:val="Revision"/>
    <w:hidden/>
    <w:uiPriority w:val="99"/>
    <w:semiHidden/>
    <w:rsid w:val="0093399C"/>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681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546059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140113">
      <w:bodyDiv w:val="1"/>
      <w:marLeft w:val="0"/>
      <w:marRight w:val="0"/>
      <w:marTop w:val="0"/>
      <w:marBottom w:val="0"/>
      <w:divBdr>
        <w:top w:val="none" w:sz="0" w:space="0" w:color="auto"/>
        <w:left w:val="none" w:sz="0" w:space="0" w:color="auto"/>
        <w:bottom w:val="none" w:sz="0" w:space="0" w:color="auto"/>
        <w:right w:val="none" w:sz="0" w:space="0" w:color="auto"/>
      </w:divBdr>
    </w:div>
    <w:div w:id="778376373">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www.environment.gov.au/water/cewo/publications/water-management-plan-2021-22" TargetMode="External"/><Relationship Id="rId39" Type="http://schemas.openxmlformats.org/officeDocument/2006/relationships/hyperlink" Target="http://www.bom.gov.au/climate/maps/rainfall/?variable=rainfall&amp;map=decile&amp;period=3month&amp;region=qd&amp;year=2020&amp;month=12&amp;day=31" TargetMode="External"/><Relationship Id="rId21" Type="http://schemas.openxmlformats.org/officeDocument/2006/relationships/footer" Target="footer1.xml"/><Relationship Id="rId34" Type="http://schemas.openxmlformats.org/officeDocument/2006/relationships/hyperlink" Target="http://www.bom.gov.au/climate/outlooks/" TargetMode="External"/><Relationship Id="rId42" Type="http://schemas.openxmlformats.org/officeDocument/2006/relationships/hyperlink" Target="https://research.csiro.au/ewkrwaterbirds/current-satellite-tracking-2017-2018/" TargetMode="External"/><Relationship Id="rId47" Type="http://schemas.openxmlformats.org/officeDocument/2006/relationships/hyperlink" Target="https://water-monitoring.information.qld.gov.au?ppbm=WARREGO|OPEN_STATIONS&amp;rs&amp;2&amp;rsvm_org" TargetMode="External"/><Relationship Id="rId50" Type="http://schemas.openxmlformats.org/officeDocument/2006/relationships/hyperlink" Target="https://www.environment.gov.au/system/files/resources/545a872f-a950-42f1-89bd-53e2f456a119/files/warrego-ltim-five-year-evaluation-report.pdf" TargetMode="External"/><Relationship Id="rId55" Type="http://schemas.openxmlformats.org/officeDocument/2006/relationships/hyperlink" Target="https://onlinelibrary.wiley.com/doi/abs/10.1111/fwb.12707" TargetMode="External"/><Relationship Id="rId63" Type="http://schemas.openxmlformats.org/officeDocument/2006/relationships/hyperlink" Target="https://www.bushheritage.org.au/newsletters/2020/spring/birds-of-a-feather" TargetMode="External"/><Relationship Id="rId68" Type="http://schemas.openxmlformats.org/officeDocument/2006/relationships/hyperlink" Target="https://www.waternsw.com.au/__data/assets/pdf_file/0012/166998/Operations-Update-24-May-21-Barwon-Darling-flow-event-March-2021.pdf" TargetMode="External"/><Relationship Id="rId7" Type="http://schemas.openxmlformats.org/officeDocument/2006/relationships/settings" Target="settings.xml"/><Relationship Id="rId71"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9" Type="http://schemas.openxmlformats.org/officeDocument/2006/relationships/hyperlink" Target="https://www.publish.csiro.au/mf/mf06025"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www.environment.gov.au/water/cewo/publications/water-management-plan-2021-22" TargetMode="External"/><Relationship Id="rId32" Type="http://schemas.openxmlformats.org/officeDocument/2006/relationships/hyperlink" Target="http://www.bom.gov.au/water/nrtwreporting/documents/1_April_2021/QLD_Warrego_1_April_2021.pdf" TargetMode="External"/><Relationship Id="rId37" Type="http://schemas.openxmlformats.org/officeDocument/2006/relationships/hyperlink" Target="http://www.bom.gov.au/jsp/awap/temp/index.jsp?colour=colour&amp;time=history%2Fqd%2F2020080120210131&amp;step=6&amp;map=maxdecile&amp;period=6month&amp;area=qd" TargetMode="External"/><Relationship Id="rId40" Type="http://schemas.openxmlformats.org/officeDocument/2006/relationships/hyperlink" Target="http://www.bom.gov.au/climate/maps/rainfall/?variable=rainfall&amp;map=decile&amp;period=3month&amp;region=qd&amp;year=2021&amp;month=03&amp;day=31" TargetMode="External"/><Relationship Id="rId45" Type="http://schemas.openxmlformats.org/officeDocument/2006/relationships/hyperlink" Target="https://environment.des.qld.gov.au/__data/assets/pdf_file/0032/87971/hwmp-warrego-paroo-bullo-nebine.pdf" TargetMode="External"/><Relationship Id="rId53" Type="http://schemas.openxmlformats.org/officeDocument/2006/relationships/hyperlink" Target="https://doi.org/10.1016/S0006-3207(98)00098-6" TargetMode="External"/><Relationship Id="rId58" Type="http://schemas.openxmlformats.org/officeDocument/2006/relationships/hyperlink" Target="https://www.mdba.gov.au/water-management/catchments/warrego" TargetMode="External"/><Relationship Id="rId66" Type="http://schemas.openxmlformats.org/officeDocument/2006/relationships/hyperlink" Target="https://realtimedata.waternsw.com.au?ppbm=423_WARREGO|SURFACE_WATER&amp;rs&amp;2&amp;rsvm_or"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image" Target="media/image3.png"/><Relationship Id="rId28" Type="http://schemas.openxmlformats.org/officeDocument/2006/relationships/hyperlink" Target="https://www.environment.gov.au/water/cewo/catchment/northern-unregulated-rivers/monitoring" TargetMode="External"/><Relationship Id="rId36" Type="http://schemas.openxmlformats.org/officeDocument/2006/relationships/hyperlink" Target="http://www.bom.gov.au/climate/maps/rainfall/?variable=rainfall&amp;map=decile&amp;period=3month&amp;region=qd&amp;year=2020&amp;month=09&amp;day=30" TargetMode="External"/><Relationship Id="rId49" Type="http://schemas.openxmlformats.org/officeDocument/2006/relationships/hyperlink" Target="https://www.mdba.gov.au/sites/default/files/pubs/qld-border-rivers-moonie-review-of-water-plan-environmental-assessment-report-moonie-2019_1.PDF" TargetMode="External"/><Relationship Id="rId57" Type="http://schemas.openxmlformats.org/officeDocument/2006/relationships/hyperlink" Target="https://www.mdba.gov.au/sites/default/files/pubs/qld-border-rivers-moonie-review-of-water-plan-environmental-assessment-report-moonie-2019_1.PDF" TargetMode="External"/><Relationship Id="rId61" Type="http://schemas.openxmlformats.org/officeDocument/2006/relationships/hyperlink" Target="https://www.environment.nsw.gov.au/topics/water/water-for-the-environment/planning-and-reporting/toorale-water-infrastructure-projec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bom.gov.au/climate/maps/rainfall/?variable=rainfall&amp;map=decile&amp;period=11month&amp;region=qd&amp;year=2021&amp;month=05&amp;day=31" TargetMode="External"/><Relationship Id="rId44" Type="http://schemas.openxmlformats.org/officeDocument/2006/relationships/hyperlink" Target="http://www.clw.csiro.au/publications/waterforahealthycountry/mdbsy/pdf/Warrego-Report.pdf" TargetMode="External"/><Relationship Id="rId52" Type="http://schemas.openxmlformats.org/officeDocument/2006/relationships/hyperlink" Target="https://www.sciencedirect.com/science/article/pii/S0006320798000986" TargetMode="External"/><Relationship Id="rId60" Type="http://schemas.openxmlformats.org/officeDocument/2006/relationships/hyperlink" Target="https://www.environment.nsw.gov.au/-/media/OEH/Corporate-Site/Documents/Water/Water-for-the-environment/intersecting-streams-long-term-water-plan-parts-a-b-190307.pdf" TargetMode="External"/><Relationship Id="rId65" Type="http://schemas.openxmlformats.org/officeDocument/2006/relationships/hyperlink" Target="https://www.environment.gov.au/system/files/pages/2c760e19-fb03-46f5-a814-366755a46e80/files/warrego-darling-mer-newsletter-6-dec-2020.pdf" TargetMode="External"/><Relationship Id="rId73"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gov.au/water/cewo/publications/water-management-plan-2021-22" TargetMode="Externa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hyperlink" Target="https://journals.plos.org/plosone/article?id=10.1371/journal.pone.0132682" TargetMode="External"/><Relationship Id="rId35" Type="http://schemas.openxmlformats.org/officeDocument/2006/relationships/hyperlink" Target="http://www.bom.gov.au/climate/outlooks/" TargetMode="External"/><Relationship Id="rId43" Type="http://schemas.openxmlformats.org/officeDocument/2006/relationships/hyperlink" Target="http://www.clw.csiro.au/publications/waterforahealthycountry/mdbsy/pdf/moonie-report.pdf" TargetMode="External"/><Relationship Id="rId48" Type="http://schemas.openxmlformats.org/officeDocument/2006/relationships/hyperlink" Target="https://water-monitoring.information.qld.gov.au/g" TargetMode="External"/><Relationship Id="rId56" Type="http://schemas.openxmlformats.org/officeDocument/2006/relationships/hyperlink" Target="https://doi.org/10.1111/fwb.12707" TargetMode="External"/><Relationship Id="rId64" Type="http://schemas.openxmlformats.org/officeDocument/2006/relationships/hyperlink" Target="https://www.environment.gov.au/system/files/resources/ceec9f90-25e4-4790-abd6-070d8fe35d5d/files/warrego-darling-rivers-selected-area-2019-20-annual-summary-report.pdf" TargetMode="External"/><Relationship Id="rId69" Type="http://schemas.openxmlformats.org/officeDocument/2006/relationships/hyperlink" Target="https://realtimedata.waternsw.com.au/" TargetMode="External"/><Relationship Id="rId8" Type="http://schemas.openxmlformats.org/officeDocument/2006/relationships/webSettings" Target="webSettings.xml"/><Relationship Id="rId51" Type="http://schemas.openxmlformats.org/officeDocument/2006/relationships/hyperlink" Target="https://www.ecosystem.unsw.edu.au/logs/day-3-bourke-armidale"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http://www.environment.gov.au/water/cewo/catchment/northern-unregulated-rivers/history" TargetMode="External"/><Relationship Id="rId33" Type="http://schemas.openxmlformats.org/officeDocument/2006/relationships/hyperlink" Target="http://www.bom.gov.au/climate/outlooks/" TargetMode="External"/><Relationship Id="rId38" Type="http://schemas.openxmlformats.org/officeDocument/2006/relationships/hyperlink" Target="http://www.bom.gov.au/jsp/awap/temp/index.jsp?colour=colour&amp;time=history%2Fqd%2F2020120120210531&amp;step=0&amp;map=maxdecile&amp;period=6month&amp;area=qd" TargetMode="External"/><Relationship Id="rId46" Type="http://schemas.openxmlformats.org/officeDocument/2006/relationships/hyperlink" Target="https://www.mdba.gov.au/sites/default/files/pubs/qld-border-rivers-moonie-review-of-water-plan-environmental-assessment-report-moonie-2019_1.PDF" TargetMode="External"/><Relationship Id="rId59" Type="http://schemas.openxmlformats.org/officeDocument/2006/relationships/hyperlink" Target="https://www.mdba.gov.au/water-management/catchments/moonie" TargetMode="External"/><Relationship Id="rId67" Type="http://schemas.openxmlformats.org/officeDocument/2006/relationships/hyperlink" Target="https://www.waternsw.com.au/__data/assets/pdf_file/0010/166852/Operations-Update-17-May-21-Barwon-Darling-flow-event-March-2021.pdf" TargetMode="External"/><Relationship Id="rId20" Type="http://schemas.openxmlformats.org/officeDocument/2006/relationships/header" Target="header2.xml"/><Relationship Id="rId41" Type="http://schemas.openxmlformats.org/officeDocument/2006/relationships/hyperlink" Target="http://www.bom.gov.au/climate/maps/rainfall/?variable=rainfall&amp;map=decile&amp;period=3month&amp;region=qd&amp;year=2021&amp;month=05&amp;day=31" TargetMode="External"/><Relationship Id="rId54" Type="http://schemas.openxmlformats.org/officeDocument/2006/relationships/hyperlink" Target="https://www.mdba.gov.au/sites/default/files/pubs/Waterbird-communities-mdb-aug-2013.pdf" TargetMode="External"/><Relationship Id="rId62" Type="http://schemas.openxmlformats.org/officeDocument/2006/relationships/hyperlink" Target="http://ewkr.com.au/wp-content/uploads/2019/11/MDB-EWKR-Fish-Theme-2019-Research-Report.pdf" TargetMode="External"/><Relationship Id="rId70" Type="http://schemas.openxmlformats.org/officeDocument/2006/relationships/header" Target="head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EFA0855-0211-436D-AAFD-032B40691B99}"/>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F861A23-DBED-4E2B-8F7B-E942ED6CC0BB}">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7cf0e0db-f490-4122-abae-21917392c74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9208</Words>
  <Characters>52490</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5 Warrego and Moonie Valley Water Management Plan</vt:lpstr>
    </vt:vector>
  </TitlesOfParts>
  <Company/>
  <LinksUpToDate>false</LinksUpToDate>
  <CharactersWithSpaces>61575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5 Warrego and Moonie Valley Water Management Plan</dc:title>
  <dc:creator>Commonwealth Environmental Water Office</dc:creator>
  <cp:lastModifiedBy>Bec Durack</cp:lastModifiedBy>
  <cp:revision>2</cp:revision>
  <cp:lastPrinted>2021-08-19T09:43:00Z</cp:lastPrinted>
  <dcterms:created xsi:type="dcterms:W3CDTF">2021-08-20T00:17:00Z</dcterms:created>
  <dcterms:modified xsi:type="dcterms:W3CDTF">2021-08-20T00:17:00Z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