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749765"/>
    <w:p w14:paraId="745852BD" w14:textId="2CDBB17D" w:rsidR="00C33FF6" w:rsidRDefault="00DD48EA" w:rsidP="001578C0">
      <w:pPr>
        <w:ind w:left="-1418" w:right="-144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4D85D" wp14:editId="2ED896FF">
                <wp:simplePos x="0" y="0"/>
                <wp:positionH relativeFrom="column">
                  <wp:posOffset>-914400</wp:posOffset>
                </wp:positionH>
                <wp:positionV relativeFrom="paragraph">
                  <wp:posOffset>-661959</wp:posOffset>
                </wp:positionV>
                <wp:extent cx="7552690" cy="10734675"/>
                <wp:effectExtent l="0" t="0" r="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0734675"/>
                          <a:chOff x="0" y="0"/>
                          <a:chExt cx="7552690" cy="10734675"/>
                        </a:xfrm>
                      </wpg:grpSpPr>
                      <wps:wsp>
                        <wps:cNvPr id="1" name="Rectangle 4"/>
                        <wps:cNvSpPr>
                          <a:spLocks/>
                        </wps:cNvSpPr>
                        <wps:spPr>
                          <a:xfrm>
                            <a:off x="6877050" y="9525"/>
                            <a:ext cx="675640" cy="1072515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>
                          <a:xfrm>
                            <a:off x="0" y="9525"/>
                            <a:ext cx="6879590" cy="4505325"/>
                          </a:xfrm>
                          <a:prstGeom prst="rect">
                            <a:avLst/>
                          </a:prstGeom>
                          <a:solidFill>
                            <a:srgbClr val="EAFDF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002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bookmarkStart w:id="1" w:name="_Hlk108080866" w:displacedByCustomXml="next"/>
                            <w:sdt>
                              <w:sdtPr>
                                <w:rPr>
                                  <w:rFonts w:ascii="Arial" w:eastAsiaTheme="majorEastAsia" w:hAnsi="Arial" w:cs="Arial"/>
                                  <w:color w:val="49533D" w:themeColor="text2" w:themeShade="BF"/>
                                  <w:kern w:val="28"/>
                                  <w:sz w:val="44"/>
                                  <w:szCs w:val="44"/>
                                  <w:lang w:eastAsia="en-US"/>
                                  <w14:ligatures w14:val="standard"/>
                                  <w14:numForm w14:val="oldStyle"/>
                                </w:rPr>
                                <w:alias w:val="Title"/>
                                <w:id w:val="127536114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4DA2CCF2" w14:textId="68053F02" w:rsidR="00013A29" w:rsidRPr="00013A29" w:rsidRDefault="00013A29" w:rsidP="00013A29">
                                  <w:pPr>
                                    <w:numPr>
                                      <w:ilvl w:val="1"/>
                                      <w:numId w:val="0"/>
                                    </w:numPr>
                                    <w:spacing w:before="120"/>
                                    <w:ind w:left="-993"/>
                                    <w:rPr>
                                      <w:rFonts w:ascii="Arial" w:eastAsiaTheme="majorEastAsia" w:hAnsi="Arial" w:cs="Arial"/>
                                      <w:color w:val="49533D" w:themeColor="text2" w:themeShade="BF"/>
                                      <w:kern w:val="28"/>
                                      <w:sz w:val="44"/>
                                      <w:szCs w:val="44"/>
                                      <w:lang w:eastAsia="en-US"/>
                                      <w14:ligatures w14:val="standard"/>
                                      <w14:numForm w14:val="oldStyle"/>
                                    </w:rPr>
                                  </w:pPr>
                                  <w:r w:rsidRPr="00013A29">
                                    <w:rPr>
                                      <w:rFonts w:ascii="Arial" w:eastAsiaTheme="majorEastAsia" w:hAnsi="Arial" w:cs="Arial"/>
                                      <w:color w:val="49533D" w:themeColor="text2" w:themeShade="BF"/>
                                      <w:kern w:val="28"/>
                                      <w:sz w:val="44"/>
                                      <w:szCs w:val="44"/>
                                      <w:lang w:eastAsia="en-US"/>
                                      <w14:ligatures w14:val="standard"/>
                                      <w14:numForm w14:val="oldStyle"/>
                                    </w:rPr>
                                    <w:t>TERMS OF REFERENCE</w:t>
                                  </w:r>
                                </w:p>
                              </w:sdtContent>
                            </w:sdt>
                            <w:bookmarkEnd w:id="1" w:displacedByCustomXml="next"/>
                            <w:sdt>
                              <w:sdtPr>
                                <w:rPr>
                                  <w:rFonts w:eastAsiaTheme="majorEastAsia" w:cstheme="majorBidi"/>
                                  <w:b/>
                                  <w:bCs/>
                                  <w:iCs/>
                                  <w:color w:val="637052" w:themeColor="text2"/>
                                  <w:sz w:val="62"/>
                                  <w:szCs w:val="62"/>
                                  <w:lang w:eastAsia="en-US" w:bidi="hi-IN"/>
                                </w:rPr>
                                <w:alias w:val="Subtitle"/>
                                <w:id w:val="-27807230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99D3ACD" w14:textId="2E938483" w:rsidR="00013A29" w:rsidRPr="00DD48EA" w:rsidRDefault="004E7D88" w:rsidP="00013A29">
                                  <w:pPr>
                                    <w:ind w:left="-993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</w:pPr>
                                  <w:r w:rsidRPr="00DD48EA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 xml:space="preserve">Virtual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>F</w:t>
                                  </w:r>
                                  <w:r w:rsidRPr="00DD48EA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 xml:space="preserve">encing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>H</w:t>
                                  </w:r>
                                  <w:r w:rsidRPr="00DD48EA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 xml:space="preserve">armonisation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>P</w:t>
                                  </w:r>
                                  <w:r w:rsidRPr="00DD48EA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Cs/>
                                      <w:color w:val="637052" w:themeColor="text2"/>
                                      <w:sz w:val="62"/>
                                      <w:szCs w:val="62"/>
                                      <w:lang w:eastAsia="en-US" w:bidi="hi-IN"/>
                                    </w:rPr>
                                    <w:t>roject: Stakeholder Reference Group (SRG)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10058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>
                          <a:xfrm>
                            <a:off x="6877050" y="0"/>
                            <a:ext cx="675640" cy="460057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34D85D" id="Group 12" o:spid="_x0000_s1026" style="position:absolute;left:0;text-align:left;margin-left:-1in;margin-top:-52.1pt;width:594.7pt;height:845.25pt;z-index:251666432;mso-width-relative:margin" coordsize="75526,10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">
                <v:rect id="Rectangle 4" o:spid="_x0000_s1027" style="position:absolute;left:68770;top:95;width:6756;height:107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" fillcolor="#637052 [3215]" stroked="f" strokeweight="1pt"/>
                <v:rect id="Rectangle 17" o:spid="_x0000_s1028" style="position:absolute;top:95;width:68795;height:45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" fillcolor="#eafdfd" stroked="f" strokeweight="1pt">
                  <v:textbox inset="79.2pt">
                    <w:txbxContent>
                      <w:bookmarkStart w:id="2" w:name="_Hlk108080866" w:displacedByCustomXml="next"/>
                      <w:sdt>
                        <w:sdtPr>
                          <w:rPr>
                            <w:rFonts w:ascii="Arial" w:eastAsiaTheme="majorEastAsia" w:hAnsi="Arial" w:cs="Arial"/>
                            <w:color w:val="49533D" w:themeColor="text2" w:themeShade="BF"/>
                            <w:kern w:val="28"/>
                            <w:sz w:val="44"/>
                            <w:szCs w:val="44"/>
                            <w:lang w:eastAsia="en-US"/>
                            <w14:ligatures w14:val="standard"/>
                            <w14:numForm w14:val="oldStyle"/>
                          </w:rPr>
                          <w:alias w:val="Title"/>
                          <w:id w:val="127536114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14:paraId="4DA2CCF2" w14:textId="68053F02" w:rsidR="00013A29" w:rsidRPr="00013A29" w:rsidRDefault="00013A29" w:rsidP="00013A29">
                            <w:pPr>
                              <w:numPr>
                                <w:ilvl w:val="1"/>
                                <w:numId w:val="0"/>
                              </w:numPr>
                              <w:spacing w:before="120"/>
                              <w:ind w:left="-993"/>
                              <w:rPr>
                                <w:rFonts w:ascii="Arial" w:eastAsiaTheme="majorEastAsia" w:hAnsi="Arial" w:cs="Arial"/>
                                <w:color w:val="49533D" w:themeColor="text2" w:themeShade="BF"/>
                                <w:kern w:val="28"/>
                                <w:sz w:val="44"/>
                                <w:szCs w:val="44"/>
                                <w:lang w:eastAsia="en-US"/>
                                <w14:ligatures w14:val="standard"/>
                                <w14:numForm w14:val="oldStyle"/>
                              </w:rPr>
                            </w:pPr>
                            <w:r w:rsidRPr="00013A29">
                              <w:rPr>
                                <w:rFonts w:ascii="Arial" w:eastAsiaTheme="majorEastAsia" w:hAnsi="Arial" w:cs="Arial"/>
                                <w:color w:val="49533D" w:themeColor="text2" w:themeShade="BF"/>
                                <w:kern w:val="28"/>
                                <w:sz w:val="44"/>
                                <w:szCs w:val="44"/>
                                <w:lang w:eastAsia="en-US"/>
                                <w14:ligatures w14:val="standard"/>
                                <w14:numForm w14:val="oldStyle"/>
                              </w:rPr>
                              <w:t>TERMS OF REFERENCE</w:t>
                            </w:r>
                          </w:p>
                        </w:sdtContent>
                      </w:sdt>
                      <w:bookmarkEnd w:id="2" w:displacedByCustomXml="next"/>
                      <w:sdt>
                        <w:sdtPr>
                          <w:rPr>
                            <w:rFonts w:eastAsiaTheme="majorEastAsia" w:cstheme="majorBidi"/>
                            <w:b/>
                            <w:bCs/>
                            <w:iCs/>
                            <w:color w:val="637052" w:themeColor="text2"/>
                            <w:sz w:val="62"/>
                            <w:szCs w:val="62"/>
                            <w:lang w:eastAsia="en-US" w:bidi="hi-IN"/>
                          </w:rPr>
                          <w:alias w:val="Subtitle"/>
                          <w:id w:val="-27807230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14:paraId="799D3ACD" w14:textId="2E938483" w:rsidR="00013A29" w:rsidRPr="00DD48EA" w:rsidRDefault="004E7D88" w:rsidP="00013A29">
                            <w:pPr>
                              <w:ind w:left="-993"/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</w:pPr>
                            <w:r w:rsidRPr="00DD48EA"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 xml:space="preserve">Virtual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>F</w:t>
                            </w:r>
                            <w:r w:rsidRPr="00DD48EA"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 xml:space="preserve">encing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>H</w:t>
                            </w:r>
                            <w:r w:rsidRPr="00DD48EA"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 xml:space="preserve">armonisation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>P</w:t>
                            </w:r>
                            <w:r w:rsidRPr="00DD48EA">
                              <w:rPr>
                                <w:rFonts w:eastAsiaTheme="majorEastAsia" w:cstheme="majorBidi"/>
                                <w:b/>
                                <w:bCs/>
                                <w:iCs/>
                                <w:color w:val="637052" w:themeColor="text2"/>
                                <w:sz w:val="62"/>
                                <w:szCs w:val="62"/>
                                <w:lang w:eastAsia="en-US" w:bidi="hi-IN"/>
                              </w:rPr>
                              <w:t>roject: Stakeholder Reference Group (SRG)</w:t>
                            </w:r>
                          </w:p>
                        </w:sdtContent>
                      </w:sdt>
                    </w:txbxContent>
                  </v:textbox>
                </v:rect>
                <v:rect id="Rectangle 5" o:spid="_x0000_s1029" style="position:absolute;left:68770;width:6756;height:46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" fillcolor="#e48312 [3204]" stroked="f" strokeweight="1pt"/>
              </v:group>
            </w:pict>
          </mc:Fallback>
        </mc:AlternateContent>
      </w:r>
      <w:r w:rsidR="00013A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11628" wp14:editId="77D85D32">
                <wp:simplePos x="0" y="0"/>
                <wp:positionH relativeFrom="page">
                  <wp:posOffset>6867525</wp:posOffset>
                </wp:positionH>
                <wp:positionV relativeFrom="page">
                  <wp:posOffset>6350</wp:posOffset>
                </wp:positionV>
                <wp:extent cx="699770" cy="3972560"/>
                <wp:effectExtent l="0" t="0" r="5080" b="88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39725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/>
                    </wps:wsp>
                  </a:graphicData>
                </a:graphic>
                <wp14:sizeRelH relativeFrom="page">
                  <wp14:pctWidth>9000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535F" id="Rectangle 5" o:spid="_x0000_s1026" style="position:absolute;margin-left:540.75pt;margin-top:.5pt;width:55.1pt;height:312.8pt;z-index:251661312;visibility:visible;mso-wrap-style:square;mso-width-percent:9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" fillcolor="#e48312 [3204]" stroked="f" strokeweight="1pt">
                <w10:wrap anchorx="page" anchory="page"/>
              </v:rect>
            </w:pict>
          </mc:Fallback>
        </mc:AlternateContent>
      </w:r>
    </w:p>
    <w:bookmarkEnd w:id="0"/>
    <w:p w14:paraId="3DDACDB9" w14:textId="27091053" w:rsidR="00013A29" w:rsidRPr="00013A29" w:rsidRDefault="00013A29" w:rsidP="00013A29">
      <w:pPr>
        <w:pStyle w:val="Header"/>
        <w:ind w:left="-2127"/>
      </w:pPr>
      <w:r>
        <w:rPr>
          <w:rFonts w:ascii="Arial" w:eastAsiaTheme="majorEastAsia" w:hAnsi="Arial" w:cs="Arial"/>
          <w:b/>
          <w:bCs/>
          <w:iCs/>
          <w:color w:val="637052" w:themeColor="text2"/>
          <w:sz w:val="28"/>
          <w:szCs w:val="28"/>
          <w:lang w:eastAsia="en-US" w:bidi="hi-IN"/>
        </w:rPr>
        <w:br w:type="page"/>
      </w:r>
    </w:p>
    <w:p w14:paraId="52E7DFFC" w14:textId="0BFE8256" w:rsidR="002D7FAA" w:rsidRPr="005E7C14" w:rsidRDefault="002D7FAA" w:rsidP="005E7C14">
      <w:pPr>
        <w:pStyle w:val="HeadingTOR"/>
        <w:spacing w:after="240" w:line="240" w:lineRule="auto"/>
      </w:pPr>
      <w:r w:rsidRPr="005E7C14">
        <w:lastRenderedPageBreak/>
        <w:t>Background</w:t>
      </w:r>
    </w:p>
    <w:p w14:paraId="36E6E6E7" w14:textId="2AC7C327" w:rsidR="00812CCC" w:rsidRPr="005E7C14" w:rsidRDefault="00812CCC" w:rsidP="005E7C14">
      <w:pPr>
        <w:tabs>
          <w:tab w:val="left" w:pos="1755"/>
        </w:tabs>
        <w:spacing w:after="120" w:line="240" w:lineRule="auto"/>
        <w:rPr>
          <w:rFonts w:ascii="Arial" w:hAnsi="Arial" w:cs="Arial"/>
          <w:bCs/>
        </w:rPr>
      </w:pPr>
      <w:r w:rsidRPr="005E7C14">
        <w:rPr>
          <w:rFonts w:ascii="Arial" w:hAnsi="Arial" w:cs="Arial"/>
          <w:bCs/>
        </w:rPr>
        <w:t xml:space="preserve">The Animal Welfare Task Group (AWTG) </w:t>
      </w:r>
      <w:r w:rsidR="00B7159B" w:rsidRPr="005E7C14">
        <w:rPr>
          <w:rFonts w:ascii="Arial" w:hAnsi="Arial" w:cs="Arial"/>
          <w:bCs/>
        </w:rPr>
        <w:t>is</w:t>
      </w:r>
      <w:r w:rsidRPr="005E7C14">
        <w:rPr>
          <w:rFonts w:ascii="Arial" w:hAnsi="Arial" w:cs="Arial"/>
          <w:bCs/>
        </w:rPr>
        <w:t xml:space="preserve"> develop</w:t>
      </w:r>
      <w:r w:rsidR="00B7159B" w:rsidRPr="005E7C14">
        <w:rPr>
          <w:rFonts w:ascii="Arial" w:hAnsi="Arial" w:cs="Arial"/>
          <w:bCs/>
        </w:rPr>
        <w:t>ing</w:t>
      </w:r>
      <w:r w:rsidRPr="005E7C14">
        <w:rPr>
          <w:rFonts w:ascii="Arial" w:hAnsi="Arial" w:cs="Arial"/>
          <w:bCs/>
        </w:rPr>
        <w:t xml:space="preserve"> a mechanism to harmonise </w:t>
      </w:r>
      <w:r w:rsidR="00B7159B" w:rsidRPr="005E7C14">
        <w:rPr>
          <w:rFonts w:ascii="Arial" w:hAnsi="Arial" w:cs="Arial"/>
          <w:bCs/>
        </w:rPr>
        <w:t xml:space="preserve">virtual fencing </w:t>
      </w:r>
      <w:r w:rsidRPr="005E7C14">
        <w:rPr>
          <w:rFonts w:ascii="Arial" w:hAnsi="Arial" w:cs="Arial"/>
          <w:bCs/>
        </w:rPr>
        <w:t xml:space="preserve">animal welfare </w:t>
      </w:r>
      <w:r w:rsidR="00B7159B" w:rsidRPr="005E7C14">
        <w:rPr>
          <w:rFonts w:ascii="Arial" w:hAnsi="Arial" w:cs="Arial"/>
          <w:bCs/>
        </w:rPr>
        <w:t>regulations across jurisdictions</w:t>
      </w:r>
      <w:r w:rsidRPr="005E7C14">
        <w:rPr>
          <w:rFonts w:ascii="Arial" w:hAnsi="Arial" w:cs="Arial"/>
          <w:bCs/>
        </w:rPr>
        <w:t>. A Virtual Fencing Subgroup has been established to examine the issues that are involved and propose a mechanism to achieve harmonisation.</w:t>
      </w:r>
    </w:p>
    <w:p w14:paraId="70DA969F" w14:textId="4C9676F3" w:rsidR="00776AC1" w:rsidRPr="005E7C14" w:rsidRDefault="00812CCC" w:rsidP="005E7C14">
      <w:pPr>
        <w:tabs>
          <w:tab w:val="left" w:pos="1755"/>
        </w:tabs>
        <w:spacing w:before="240" w:after="120" w:line="240" w:lineRule="auto"/>
        <w:rPr>
          <w:rFonts w:ascii="Arial" w:hAnsi="Arial" w:cs="Arial"/>
          <w:bCs/>
        </w:rPr>
      </w:pPr>
      <w:r w:rsidRPr="005E7C14">
        <w:rPr>
          <w:rFonts w:ascii="Arial" w:hAnsi="Arial" w:cs="Arial"/>
          <w:bCs/>
        </w:rPr>
        <w:t xml:space="preserve">A literature review of contemporary </w:t>
      </w:r>
      <w:r w:rsidR="00AC4E6C" w:rsidRPr="005E7C14">
        <w:rPr>
          <w:rFonts w:ascii="Arial" w:hAnsi="Arial" w:cs="Arial"/>
          <w:bCs/>
        </w:rPr>
        <w:t xml:space="preserve">animal welfare </w:t>
      </w:r>
      <w:r w:rsidRPr="005E7C14">
        <w:rPr>
          <w:rFonts w:ascii="Arial" w:hAnsi="Arial" w:cs="Arial"/>
          <w:bCs/>
        </w:rPr>
        <w:t xml:space="preserve">research and science </w:t>
      </w:r>
      <w:r w:rsidR="00AC4E6C" w:rsidRPr="005E7C14">
        <w:rPr>
          <w:rFonts w:ascii="Arial" w:hAnsi="Arial" w:cs="Arial"/>
          <w:bCs/>
        </w:rPr>
        <w:t xml:space="preserve">regarding animals exposed </w:t>
      </w:r>
      <w:r w:rsidRPr="005E7C14">
        <w:rPr>
          <w:rFonts w:ascii="Arial" w:hAnsi="Arial" w:cs="Arial"/>
          <w:bCs/>
        </w:rPr>
        <w:t>to the technology will underpin this work.</w:t>
      </w:r>
    </w:p>
    <w:p w14:paraId="01A6C64A" w14:textId="0AF649A0" w:rsidR="005E7C14" w:rsidRDefault="00DF6DA7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  <w:r w:rsidRPr="005E7C14">
        <w:rPr>
          <w:rFonts w:ascii="Arial" w:hAnsi="Arial" w:cs="Arial"/>
          <w:bCs/>
        </w:rPr>
        <w:t xml:space="preserve">To ensure harmonisation meets the needs of </w:t>
      </w:r>
      <w:r w:rsidR="00646687" w:rsidRPr="005E7C14">
        <w:rPr>
          <w:rFonts w:ascii="Arial" w:hAnsi="Arial" w:cs="Arial"/>
          <w:bCs/>
        </w:rPr>
        <w:t xml:space="preserve">the public, </w:t>
      </w:r>
      <w:r w:rsidRPr="005E7C14">
        <w:rPr>
          <w:rFonts w:ascii="Arial" w:hAnsi="Arial" w:cs="Arial"/>
          <w:bCs/>
        </w:rPr>
        <w:t>industry, consumers</w:t>
      </w:r>
      <w:r w:rsidR="00810AFB" w:rsidRPr="005E7C14">
        <w:rPr>
          <w:rFonts w:ascii="Arial" w:hAnsi="Arial" w:cs="Arial"/>
          <w:bCs/>
        </w:rPr>
        <w:t>,</w:t>
      </w:r>
      <w:r w:rsidRPr="005E7C14">
        <w:rPr>
          <w:rFonts w:ascii="Arial" w:hAnsi="Arial" w:cs="Arial"/>
          <w:bCs/>
        </w:rPr>
        <w:t xml:space="preserve"> and developers</w:t>
      </w:r>
      <w:r w:rsidR="00776AC1" w:rsidRPr="005E7C14">
        <w:rPr>
          <w:rFonts w:ascii="Arial" w:hAnsi="Arial" w:cs="Arial"/>
          <w:bCs/>
        </w:rPr>
        <w:t xml:space="preserve"> and </w:t>
      </w:r>
      <w:r w:rsidR="00646687" w:rsidRPr="005E7C14">
        <w:rPr>
          <w:rFonts w:ascii="Arial" w:hAnsi="Arial" w:cs="Arial"/>
          <w:bCs/>
        </w:rPr>
        <w:t>has</w:t>
      </w:r>
      <w:r w:rsidR="00776AC1" w:rsidRPr="005E7C14">
        <w:rPr>
          <w:rFonts w:ascii="Arial" w:hAnsi="Arial" w:cs="Arial"/>
          <w:bCs/>
        </w:rPr>
        <w:t xml:space="preserve"> good animal welfare outcomes, t</w:t>
      </w:r>
      <w:r w:rsidR="00F05719" w:rsidRPr="005E7C14">
        <w:rPr>
          <w:rFonts w:ascii="Arial" w:hAnsi="Arial" w:cs="Arial"/>
          <w:bCs/>
        </w:rPr>
        <w:t>he work of the AWTG Virtual Fencing Subgroup</w:t>
      </w:r>
      <w:r w:rsidRPr="005E7C14">
        <w:rPr>
          <w:rFonts w:ascii="Arial" w:hAnsi="Arial" w:cs="Arial"/>
          <w:bCs/>
        </w:rPr>
        <w:t xml:space="preserve"> will be informed by science and </w:t>
      </w:r>
      <w:r w:rsidR="00D50D98" w:rsidRPr="005E7C14">
        <w:rPr>
          <w:rFonts w:ascii="Arial" w:hAnsi="Arial" w:cs="Arial"/>
          <w:bCs/>
        </w:rPr>
        <w:t xml:space="preserve">the input of </w:t>
      </w:r>
      <w:r w:rsidRPr="005E7C14">
        <w:rPr>
          <w:rFonts w:ascii="Arial" w:hAnsi="Arial" w:cs="Arial"/>
          <w:bCs/>
        </w:rPr>
        <w:t>key stakeholder</w:t>
      </w:r>
      <w:r w:rsidR="00D50D98" w:rsidRPr="005E7C14">
        <w:rPr>
          <w:rFonts w:ascii="Arial" w:hAnsi="Arial" w:cs="Arial"/>
          <w:bCs/>
        </w:rPr>
        <w:t>s</w:t>
      </w:r>
      <w:r w:rsidRPr="005E7C14">
        <w:rPr>
          <w:rFonts w:ascii="Arial" w:hAnsi="Arial" w:cs="Arial"/>
          <w:bCs/>
        </w:rPr>
        <w:t xml:space="preserve"> via a Stakeholder Reference Group (SRG).</w:t>
      </w:r>
    </w:p>
    <w:p w14:paraId="25734389" w14:textId="77777777" w:rsidR="005E7C14" w:rsidRPr="005E7C14" w:rsidRDefault="005E7C14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</w:p>
    <w:p w14:paraId="0439176E" w14:textId="6B62A6A1" w:rsidR="0010393A" w:rsidRPr="005E7C14" w:rsidRDefault="00F910F0" w:rsidP="005E7C14">
      <w:pPr>
        <w:pStyle w:val="HeadingTOR"/>
        <w:spacing w:after="240" w:line="240" w:lineRule="auto"/>
      </w:pPr>
      <w:r w:rsidRPr="005E7C14">
        <w:t>Purpose</w:t>
      </w:r>
      <w:r w:rsidR="0010393A" w:rsidRPr="005E7C14">
        <w:t xml:space="preserve"> of the SRG</w:t>
      </w:r>
    </w:p>
    <w:p w14:paraId="6F585944" w14:textId="27B92124" w:rsidR="0010393A" w:rsidRPr="005E7C14" w:rsidRDefault="0010393A" w:rsidP="005E7C14">
      <w:p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The SRG will:</w:t>
      </w:r>
    </w:p>
    <w:p w14:paraId="215E089F" w14:textId="259B8203" w:rsidR="0010393A" w:rsidRPr="005E7C14" w:rsidRDefault="00F05719" w:rsidP="005E7C14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be consulted</w:t>
      </w:r>
      <w:r w:rsidR="0010393A" w:rsidRPr="005E7C14">
        <w:rPr>
          <w:rFonts w:ascii="Arial" w:hAnsi="Arial" w:cs="Arial"/>
        </w:rPr>
        <w:t xml:space="preserve"> during the process of </w:t>
      </w:r>
      <w:r w:rsidR="00AE6B3B" w:rsidRPr="005E7C14">
        <w:rPr>
          <w:rFonts w:ascii="Arial" w:hAnsi="Arial" w:cs="Arial"/>
        </w:rPr>
        <w:t xml:space="preserve">developing </w:t>
      </w:r>
      <w:r w:rsidR="0010393A" w:rsidRPr="005E7C14">
        <w:rPr>
          <w:rFonts w:ascii="Arial" w:hAnsi="Arial" w:cs="Arial"/>
        </w:rPr>
        <w:t xml:space="preserve">a mechanism to harmonise </w:t>
      </w:r>
      <w:proofErr w:type="gramStart"/>
      <w:r w:rsidR="0010393A" w:rsidRPr="005E7C14">
        <w:rPr>
          <w:rFonts w:ascii="Arial" w:hAnsi="Arial" w:cs="Arial"/>
        </w:rPr>
        <w:t>regulations</w:t>
      </w:r>
      <w:proofErr w:type="gramEnd"/>
    </w:p>
    <w:p w14:paraId="7E4E7777" w14:textId="5A50110E" w:rsidR="0010393A" w:rsidRPr="005E7C14" w:rsidRDefault="00F05719" w:rsidP="005E7C14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provide </w:t>
      </w:r>
      <w:r w:rsidR="0010393A" w:rsidRPr="005E7C14">
        <w:rPr>
          <w:rFonts w:ascii="Arial" w:hAnsi="Arial" w:cs="Arial"/>
        </w:rPr>
        <w:t xml:space="preserve">advice to the AWTG Virtual Fencing Subgroup on materials </w:t>
      </w:r>
      <w:proofErr w:type="gramStart"/>
      <w:r w:rsidR="0010393A" w:rsidRPr="005E7C14">
        <w:rPr>
          <w:rFonts w:ascii="Arial" w:hAnsi="Arial" w:cs="Arial"/>
        </w:rPr>
        <w:t>received</w:t>
      </w:r>
      <w:proofErr w:type="gramEnd"/>
      <w:r w:rsidR="0010393A" w:rsidRPr="005E7C14">
        <w:rPr>
          <w:rFonts w:ascii="Arial" w:hAnsi="Arial" w:cs="Arial"/>
        </w:rPr>
        <w:t xml:space="preserve"> </w:t>
      </w:r>
    </w:p>
    <w:p w14:paraId="689B7EA4" w14:textId="77641CA8" w:rsidR="0010393A" w:rsidRPr="005E7C14" w:rsidRDefault="00BB0D54" w:rsidP="005E7C14">
      <w:pPr>
        <w:pStyle w:val="ListParagraph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ex</w:t>
      </w:r>
      <w:r w:rsidR="0010393A" w:rsidRPr="005E7C14">
        <w:rPr>
          <w:rFonts w:ascii="Arial" w:hAnsi="Arial" w:cs="Arial"/>
        </w:rPr>
        <w:t>change information on virtual fencing technology, focusing on animal welfare outcomes</w:t>
      </w:r>
      <w:r w:rsidR="002E2D60" w:rsidRPr="005E7C14">
        <w:rPr>
          <w:rFonts w:ascii="Arial" w:hAnsi="Arial" w:cs="Arial"/>
        </w:rPr>
        <w:t>.</w:t>
      </w:r>
    </w:p>
    <w:p w14:paraId="2C426434" w14:textId="5852ED7C" w:rsidR="005E7C14" w:rsidRDefault="0010393A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  <w:r w:rsidRPr="005E7C14">
        <w:rPr>
          <w:rFonts w:ascii="Arial" w:hAnsi="Arial" w:cs="Arial"/>
          <w:bCs/>
        </w:rPr>
        <w:t>The SRG will not develop</w:t>
      </w:r>
      <w:r w:rsidR="00AB2716">
        <w:rPr>
          <w:rFonts w:ascii="Arial" w:hAnsi="Arial" w:cs="Arial"/>
          <w:bCs/>
        </w:rPr>
        <w:t xml:space="preserve"> or </w:t>
      </w:r>
      <w:r w:rsidR="00D766FB">
        <w:rPr>
          <w:rFonts w:ascii="Arial" w:hAnsi="Arial" w:cs="Arial"/>
          <w:bCs/>
        </w:rPr>
        <w:t>make decisions</w:t>
      </w:r>
      <w:r w:rsidR="00E742B6">
        <w:rPr>
          <w:rFonts w:ascii="Arial" w:hAnsi="Arial" w:cs="Arial"/>
          <w:bCs/>
        </w:rPr>
        <w:t xml:space="preserve"> </w:t>
      </w:r>
      <w:r w:rsidR="00C40A4F">
        <w:rPr>
          <w:rFonts w:ascii="Arial" w:hAnsi="Arial" w:cs="Arial"/>
          <w:bCs/>
        </w:rPr>
        <w:t>about</w:t>
      </w:r>
      <w:r w:rsidRPr="005E7C14">
        <w:rPr>
          <w:rFonts w:ascii="Arial" w:hAnsi="Arial" w:cs="Arial"/>
          <w:bCs/>
        </w:rPr>
        <w:t xml:space="preserve"> the mechanism for harmonisation, although relevant advice will be considered by </w:t>
      </w:r>
      <w:r w:rsidR="00740527" w:rsidRPr="005E7C14">
        <w:rPr>
          <w:rFonts w:ascii="Arial" w:hAnsi="Arial" w:cs="Arial"/>
          <w:bCs/>
        </w:rPr>
        <w:t xml:space="preserve">the </w:t>
      </w:r>
      <w:r w:rsidR="00F05719" w:rsidRPr="005E7C14">
        <w:rPr>
          <w:rFonts w:ascii="Arial" w:hAnsi="Arial" w:cs="Arial"/>
          <w:bCs/>
        </w:rPr>
        <w:t xml:space="preserve">AWTG Virtual Fencing Subgroup </w:t>
      </w:r>
      <w:r w:rsidRPr="005E7C14">
        <w:rPr>
          <w:rFonts w:ascii="Arial" w:hAnsi="Arial" w:cs="Arial"/>
          <w:bCs/>
        </w:rPr>
        <w:t>members.</w:t>
      </w:r>
    </w:p>
    <w:p w14:paraId="66B27513" w14:textId="77777777" w:rsidR="005E7C14" w:rsidRPr="005E7C14" w:rsidRDefault="005E7C14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</w:p>
    <w:p w14:paraId="3A3209B6" w14:textId="3DECDD31" w:rsidR="00F910F0" w:rsidRPr="005E7C14" w:rsidRDefault="0010393A" w:rsidP="005E7C14">
      <w:pPr>
        <w:pStyle w:val="HeadingTOR"/>
        <w:spacing w:after="240" w:line="240" w:lineRule="auto"/>
      </w:pPr>
      <w:r w:rsidRPr="005E7C14">
        <w:t>Scope and duration</w:t>
      </w:r>
    </w:p>
    <w:p w14:paraId="60850028" w14:textId="6742566E" w:rsidR="005E7C14" w:rsidRDefault="0010393A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  <w:r w:rsidRPr="005E7C14">
        <w:rPr>
          <w:rFonts w:ascii="Arial" w:hAnsi="Arial" w:cs="Arial"/>
          <w:bCs/>
        </w:rPr>
        <w:t xml:space="preserve">The SRG will be invited to consider </w:t>
      </w:r>
      <w:r w:rsidR="00F05719" w:rsidRPr="005E7C14">
        <w:rPr>
          <w:rFonts w:ascii="Arial" w:hAnsi="Arial" w:cs="Arial"/>
          <w:bCs/>
        </w:rPr>
        <w:t>materials</w:t>
      </w:r>
      <w:r w:rsidRPr="005E7C14">
        <w:rPr>
          <w:rFonts w:ascii="Arial" w:hAnsi="Arial" w:cs="Arial"/>
          <w:bCs/>
        </w:rPr>
        <w:t xml:space="preserve"> referred by the AWTG Virtual Fencing Subgroup</w:t>
      </w:r>
      <w:r w:rsidR="00255F2B" w:rsidRPr="005E7C14">
        <w:rPr>
          <w:rFonts w:ascii="Arial" w:hAnsi="Arial" w:cs="Arial"/>
          <w:bCs/>
        </w:rPr>
        <w:t>. The SRG</w:t>
      </w:r>
      <w:r w:rsidRPr="005E7C14">
        <w:rPr>
          <w:rFonts w:ascii="Arial" w:hAnsi="Arial" w:cs="Arial"/>
          <w:bCs/>
        </w:rPr>
        <w:t xml:space="preserve"> will exist for the duration of the development of the mechanism to achieve harmonisation.</w:t>
      </w:r>
      <w:r w:rsidR="00644B5F" w:rsidRPr="005E7C14">
        <w:rPr>
          <w:rFonts w:ascii="Arial" w:hAnsi="Arial" w:cs="Arial"/>
          <w:bCs/>
        </w:rPr>
        <w:t xml:space="preserve"> The SRG will provide written or verbal feedback on materials as requested by the AWTG Virtual Fencing Subgroup. The SRG is not a decision-making body, but feedback provided by the SRG will be considered by the AWTG Virtual Fencing Subgroup. </w:t>
      </w:r>
    </w:p>
    <w:p w14:paraId="76FAB5D0" w14:textId="77777777" w:rsidR="005E7C14" w:rsidRPr="005E7C14" w:rsidRDefault="005E7C14" w:rsidP="005E7C14">
      <w:pPr>
        <w:tabs>
          <w:tab w:val="left" w:pos="1755"/>
        </w:tabs>
        <w:spacing w:line="240" w:lineRule="auto"/>
        <w:rPr>
          <w:rFonts w:ascii="Arial" w:hAnsi="Arial" w:cs="Arial"/>
          <w:bCs/>
        </w:rPr>
      </w:pPr>
    </w:p>
    <w:p w14:paraId="4D9708AC" w14:textId="55DBD07F" w:rsidR="00C75AA5" w:rsidRPr="005E7C14" w:rsidRDefault="0010393A" w:rsidP="005E7C14">
      <w:pPr>
        <w:pStyle w:val="HeadingTOR"/>
        <w:spacing w:after="240" w:line="240" w:lineRule="auto"/>
      </w:pPr>
      <w:r w:rsidRPr="005E7C14">
        <w:t>Membersh</w:t>
      </w:r>
      <w:r w:rsidR="00C75AA5" w:rsidRPr="005E7C14">
        <w:t>ip</w:t>
      </w:r>
    </w:p>
    <w:p w14:paraId="6B56B7D8" w14:textId="05FA2976" w:rsidR="00C75AA5" w:rsidRPr="005E7C14" w:rsidRDefault="00C75AA5" w:rsidP="005E7C14">
      <w:pPr>
        <w:spacing w:line="240" w:lineRule="auto"/>
        <w:rPr>
          <w:rFonts w:ascii="Arial" w:hAnsi="Arial" w:cs="Arial"/>
          <w:b/>
          <w:color w:val="20436B"/>
          <w:sz w:val="24"/>
          <w:szCs w:val="24"/>
        </w:rPr>
      </w:pPr>
      <w:r w:rsidRPr="005E7C14">
        <w:rPr>
          <w:rFonts w:ascii="Arial" w:hAnsi="Arial" w:cs="Arial"/>
        </w:rPr>
        <w:t>Membership of the SRG will include</w:t>
      </w:r>
      <w:r w:rsidR="00BA3B53" w:rsidRPr="005E7C14">
        <w:rPr>
          <w:rFonts w:ascii="Arial" w:hAnsi="Arial" w:cs="Arial"/>
        </w:rPr>
        <w:t xml:space="preserve"> animal welfare and agricultural scientists and representatives</w:t>
      </w:r>
      <w:r w:rsidRPr="005E7C14">
        <w:rPr>
          <w:rFonts w:ascii="Arial" w:hAnsi="Arial" w:cs="Arial"/>
        </w:rPr>
        <w:t xml:space="preserve"> </w:t>
      </w:r>
      <w:r w:rsidR="003459F1" w:rsidRPr="005E7C14">
        <w:rPr>
          <w:rFonts w:ascii="Arial" w:hAnsi="Arial" w:cs="Arial"/>
        </w:rPr>
        <w:t>from</w:t>
      </w:r>
      <w:r w:rsidR="004B204B" w:rsidRPr="005E7C14">
        <w:rPr>
          <w:rFonts w:ascii="Arial" w:hAnsi="Arial" w:cs="Arial"/>
        </w:rPr>
        <w:t xml:space="preserve"> agricultural industry groups, animal welfare organisations</w:t>
      </w:r>
      <w:r w:rsidR="00BA3B53" w:rsidRPr="005E7C14">
        <w:rPr>
          <w:rFonts w:ascii="Arial" w:hAnsi="Arial" w:cs="Arial"/>
        </w:rPr>
        <w:t xml:space="preserve"> and the veterinary industry from across Australia. </w:t>
      </w:r>
    </w:p>
    <w:p w14:paraId="78D7DA58" w14:textId="6A265976" w:rsidR="00C75AA5" w:rsidRPr="005E7C14" w:rsidRDefault="00C75AA5" w:rsidP="005E7C14">
      <w:pPr>
        <w:spacing w:before="24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State and </w:t>
      </w:r>
      <w:r w:rsidR="002276CD" w:rsidRPr="005E7C14">
        <w:rPr>
          <w:rFonts w:ascii="Arial" w:hAnsi="Arial" w:cs="Arial"/>
        </w:rPr>
        <w:t>t</w:t>
      </w:r>
      <w:r w:rsidRPr="005E7C14">
        <w:rPr>
          <w:rFonts w:ascii="Arial" w:hAnsi="Arial" w:cs="Arial"/>
        </w:rPr>
        <w:t xml:space="preserve">erritory </w:t>
      </w:r>
      <w:r w:rsidR="002276CD" w:rsidRPr="005E7C14">
        <w:rPr>
          <w:rFonts w:ascii="Arial" w:hAnsi="Arial" w:cs="Arial"/>
        </w:rPr>
        <w:t>government</w:t>
      </w:r>
      <w:r w:rsidRPr="005E7C14">
        <w:rPr>
          <w:rFonts w:ascii="Arial" w:hAnsi="Arial" w:cs="Arial"/>
        </w:rPr>
        <w:t xml:space="preserve"> agencies </w:t>
      </w:r>
      <w:r w:rsidR="002276CD" w:rsidRPr="005E7C14">
        <w:rPr>
          <w:rFonts w:ascii="Arial" w:hAnsi="Arial" w:cs="Arial"/>
        </w:rPr>
        <w:t>responsible for animal welfare</w:t>
      </w:r>
      <w:r w:rsidRPr="005E7C14">
        <w:rPr>
          <w:rFonts w:ascii="Arial" w:hAnsi="Arial" w:cs="Arial"/>
        </w:rPr>
        <w:t xml:space="preserve"> </w:t>
      </w:r>
      <w:r w:rsidR="00083D1C" w:rsidRPr="005E7C14">
        <w:rPr>
          <w:rFonts w:ascii="Arial" w:hAnsi="Arial" w:cs="Arial"/>
        </w:rPr>
        <w:t xml:space="preserve">will </w:t>
      </w:r>
      <w:r w:rsidRPr="005E7C14">
        <w:rPr>
          <w:rFonts w:ascii="Arial" w:hAnsi="Arial" w:cs="Arial"/>
        </w:rPr>
        <w:t>observe SRG meetings to ensure they have a good understanding of discussions leading to SRG advice and recommendations</w:t>
      </w:r>
      <w:r w:rsidR="007E35F4" w:rsidRPr="005E7C14">
        <w:rPr>
          <w:rFonts w:ascii="Arial" w:hAnsi="Arial" w:cs="Arial"/>
        </w:rPr>
        <w:t xml:space="preserve"> but will not participate unless requested by the facilitator</w:t>
      </w:r>
      <w:r w:rsidRPr="005E7C14">
        <w:rPr>
          <w:rFonts w:ascii="Arial" w:hAnsi="Arial" w:cs="Arial"/>
        </w:rPr>
        <w:t>.</w:t>
      </w:r>
    </w:p>
    <w:p w14:paraId="5E2756B4" w14:textId="51C5A92F" w:rsidR="004B204B" w:rsidRPr="005E7C14" w:rsidRDefault="004B204B" w:rsidP="005E7C14">
      <w:pPr>
        <w:spacing w:before="24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Representatives from virtual fencing manufacturing companies and end users of the technology </w:t>
      </w:r>
      <w:r w:rsidR="003337B6" w:rsidRPr="005E7C14">
        <w:rPr>
          <w:rFonts w:ascii="Arial" w:hAnsi="Arial" w:cs="Arial"/>
        </w:rPr>
        <w:t xml:space="preserve">will attend as requested by the AWTG Virtual Fencing Subgroup to provide advice on relevant topics including device design, </w:t>
      </w:r>
      <w:proofErr w:type="gramStart"/>
      <w:r w:rsidR="003337B6" w:rsidRPr="005E7C14">
        <w:rPr>
          <w:rFonts w:ascii="Arial" w:hAnsi="Arial" w:cs="Arial"/>
        </w:rPr>
        <w:t>operation</w:t>
      </w:r>
      <w:proofErr w:type="gramEnd"/>
      <w:r w:rsidR="003337B6" w:rsidRPr="005E7C14">
        <w:rPr>
          <w:rFonts w:ascii="Arial" w:hAnsi="Arial" w:cs="Arial"/>
        </w:rPr>
        <w:t xml:space="preserve"> and implementation. </w:t>
      </w:r>
    </w:p>
    <w:p w14:paraId="3AAF154D" w14:textId="0B1DF66F" w:rsidR="005E7C14" w:rsidRDefault="000B51D6" w:rsidP="005E7C14">
      <w:pPr>
        <w:spacing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lastRenderedPageBreak/>
        <w:t>O</w:t>
      </w:r>
      <w:r w:rsidR="00377825" w:rsidRPr="005E7C14">
        <w:rPr>
          <w:rFonts w:ascii="Arial" w:hAnsi="Arial" w:cs="Arial"/>
        </w:rPr>
        <w:t>n</w:t>
      </w:r>
      <w:r w:rsidR="006C77CB" w:rsidRPr="005E7C14">
        <w:rPr>
          <w:rFonts w:ascii="Arial" w:hAnsi="Arial" w:cs="Arial"/>
        </w:rPr>
        <w:t>ly on</w:t>
      </w:r>
      <w:r w:rsidR="00377825" w:rsidRPr="005E7C14">
        <w:rPr>
          <w:rFonts w:ascii="Arial" w:hAnsi="Arial" w:cs="Arial"/>
        </w:rPr>
        <w:t xml:space="preserve">e representative from </w:t>
      </w:r>
      <w:r w:rsidR="007E35F4" w:rsidRPr="005E7C14">
        <w:rPr>
          <w:rFonts w:ascii="Arial" w:hAnsi="Arial" w:cs="Arial"/>
        </w:rPr>
        <w:t xml:space="preserve">each </w:t>
      </w:r>
      <w:r w:rsidR="00377825" w:rsidRPr="005E7C14">
        <w:rPr>
          <w:rFonts w:ascii="Arial" w:hAnsi="Arial" w:cs="Arial"/>
        </w:rPr>
        <w:t xml:space="preserve">organisation </w:t>
      </w:r>
      <w:r w:rsidR="007E35F4" w:rsidRPr="005E7C14">
        <w:rPr>
          <w:rFonts w:ascii="Arial" w:hAnsi="Arial" w:cs="Arial"/>
        </w:rPr>
        <w:t>should actively participate in the meeting</w:t>
      </w:r>
      <w:r w:rsidR="007F5CBC" w:rsidRPr="005E7C14">
        <w:rPr>
          <w:rFonts w:ascii="Arial" w:hAnsi="Arial" w:cs="Arial"/>
        </w:rPr>
        <w:t>. W</w:t>
      </w:r>
      <w:r w:rsidR="00377825" w:rsidRPr="005E7C14">
        <w:rPr>
          <w:rFonts w:ascii="Arial" w:hAnsi="Arial" w:cs="Arial"/>
        </w:rPr>
        <w:t>here possible this should be the same person</w:t>
      </w:r>
      <w:r w:rsidR="006C77CB" w:rsidRPr="005E7C14">
        <w:rPr>
          <w:rFonts w:ascii="Arial" w:hAnsi="Arial" w:cs="Arial"/>
        </w:rPr>
        <w:t xml:space="preserve"> at each meeting</w:t>
      </w:r>
      <w:r w:rsidR="006E0541" w:rsidRPr="005E7C14">
        <w:rPr>
          <w:rFonts w:ascii="Arial" w:hAnsi="Arial" w:cs="Arial"/>
        </w:rPr>
        <w:t>.</w:t>
      </w:r>
      <w:r w:rsidRPr="005E7C14">
        <w:rPr>
          <w:rFonts w:ascii="Arial" w:hAnsi="Arial" w:cs="Arial"/>
        </w:rPr>
        <w:t xml:space="preserve"> </w:t>
      </w:r>
      <w:r w:rsidR="007E35F4" w:rsidRPr="005E7C14">
        <w:rPr>
          <w:rFonts w:ascii="Arial" w:hAnsi="Arial" w:cs="Arial"/>
        </w:rPr>
        <w:t>Silent attendees</w:t>
      </w:r>
      <w:r w:rsidRPr="005E7C14">
        <w:rPr>
          <w:rFonts w:ascii="Arial" w:hAnsi="Arial" w:cs="Arial"/>
        </w:rPr>
        <w:t xml:space="preserve"> </w:t>
      </w:r>
      <w:r w:rsidR="00255F2B" w:rsidRPr="005E7C14">
        <w:rPr>
          <w:rFonts w:ascii="Arial" w:hAnsi="Arial" w:cs="Arial"/>
        </w:rPr>
        <w:t xml:space="preserve">must </w:t>
      </w:r>
      <w:r w:rsidRPr="005E7C14">
        <w:rPr>
          <w:rFonts w:ascii="Arial" w:hAnsi="Arial" w:cs="Arial"/>
        </w:rPr>
        <w:t>be</w:t>
      </w:r>
      <w:r w:rsidR="002276CD" w:rsidRPr="005E7C14">
        <w:rPr>
          <w:rFonts w:ascii="Arial" w:hAnsi="Arial" w:cs="Arial"/>
        </w:rPr>
        <w:t xml:space="preserve"> </w:t>
      </w:r>
      <w:r w:rsidRPr="005E7C14">
        <w:rPr>
          <w:rFonts w:ascii="Arial" w:hAnsi="Arial" w:cs="Arial"/>
        </w:rPr>
        <w:t xml:space="preserve">approved by the </w:t>
      </w:r>
      <w:r w:rsidR="007E35F4" w:rsidRPr="005E7C14">
        <w:rPr>
          <w:rFonts w:ascii="Arial" w:hAnsi="Arial" w:cs="Arial"/>
        </w:rPr>
        <w:t>secretariat</w:t>
      </w:r>
      <w:r w:rsidRPr="005E7C14">
        <w:rPr>
          <w:rFonts w:ascii="Arial" w:hAnsi="Arial" w:cs="Arial"/>
        </w:rPr>
        <w:t>.</w:t>
      </w:r>
    </w:p>
    <w:p w14:paraId="1783BC32" w14:textId="77777777" w:rsidR="005E7C14" w:rsidRPr="005E7C14" w:rsidRDefault="005E7C14" w:rsidP="005E7C14">
      <w:pPr>
        <w:spacing w:line="240" w:lineRule="auto"/>
        <w:rPr>
          <w:rFonts w:ascii="Arial" w:hAnsi="Arial" w:cs="Arial"/>
        </w:rPr>
      </w:pPr>
    </w:p>
    <w:p w14:paraId="447AD314" w14:textId="716E6AE0" w:rsidR="00E74B86" w:rsidRPr="005E7C14" w:rsidRDefault="00E74B86" w:rsidP="005E7C14">
      <w:pPr>
        <w:pStyle w:val="HeadingTOR"/>
        <w:spacing w:before="0" w:after="240" w:line="240" w:lineRule="auto"/>
      </w:pPr>
      <w:r w:rsidRPr="005E7C14">
        <w:t>Chair</w:t>
      </w:r>
    </w:p>
    <w:p w14:paraId="0F261A1B" w14:textId="33D782A9" w:rsidR="005E7C14" w:rsidRDefault="00644B5F" w:rsidP="005E7C14">
      <w:pPr>
        <w:spacing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The S</w:t>
      </w:r>
      <w:r w:rsidR="00C75AA5" w:rsidRPr="005E7C14">
        <w:rPr>
          <w:rFonts w:ascii="Arial" w:hAnsi="Arial" w:cs="Arial"/>
        </w:rPr>
        <w:t>R</w:t>
      </w:r>
      <w:r w:rsidRPr="005E7C14">
        <w:rPr>
          <w:rFonts w:ascii="Arial" w:hAnsi="Arial" w:cs="Arial"/>
        </w:rPr>
        <w:t>G will be chaired by an independent facilitator. The chair will be independent from the cattle and sheep industr</w:t>
      </w:r>
      <w:r w:rsidR="00B664C0" w:rsidRPr="005E7C14">
        <w:rPr>
          <w:rFonts w:ascii="Arial" w:hAnsi="Arial" w:cs="Arial"/>
        </w:rPr>
        <w:t>ies</w:t>
      </w:r>
      <w:r w:rsidRPr="005E7C14">
        <w:rPr>
          <w:rFonts w:ascii="Arial" w:hAnsi="Arial" w:cs="Arial"/>
        </w:rPr>
        <w:t xml:space="preserve">, and animal welfare, veterinary </w:t>
      </w:r>
      <w:proofErr w:type="gramStart"/>
      <w:r w:rsidRPr="005E7C14">
        <w:rPr>
          <w:rFonts w:ascii="Arial" w:hAnsi="Arial" w:cs="Arial"/>
        </w:rPr>
        <w:t>science</w:t>
      </w:r>
      <w:proofErr w:type="gramEnd"/>
      <w:r w:rsidRPr="005E7C14">
        <w:rPr>
          <w:rFonts w:ascii="Arial" w:hAnsi="Arial" w:cs="Arial"/>
        </w:rPr>
        <w:t xml:space="preserve"> and regulation areas, and will have professional expertise in facilitation.</w:t>
      </w:r>
    </w:p>
    <w:p w14:paraId="6DBC6595" w14:textId="77777777" w:rsidR="005E7C14" w:rsidRPr="005E7C14" w:rsidRDefault="005E7C14" w:rsidP="005E7C14">
      <w:pPr>
        <w:spacing w:line="240" w:lineRule="auto"/>
        <w:rPr>
          <w:rFonts w:ascii="Arial" w:hAnsi="Arial" w:cs="Arial"/>
        </w:rPr>
      </w:pPr>
    </w:p>
    <w:p w14:paraId="0B95B0C8" w14:textId="3AE7D225" w:rsidR="00FF2C7C" w:rsidRPr="005E7C14" w:rsidRDefault="00E74B86" w:rsidP="005E7C14">
      <w:pPr>
        <w:pStyle w:val="HeadingTOR"/>
        <w:spacing w:after="240" w:line="240" w:lineRule="auto"/>
        <w:rPr>
          <w:b w:val="0"/>
        </w:rPr>
      </w:pPr>
      <w:r w:rsidRPr="005E7C14">
        <w:t>Expectations of members</w:t>
      </w:r>
    </w:p>
    <w:p w14:paraId="5C446191" w14:textId="2538B573" w:rsidR="00E74B86" w:rsidRPr="005E7C14" w:rsidRDefault="00E74B86" w:rsidP="005E7C14">
      <w:p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Members of the SRG are expected to:</w:t>
      </w:r>
    </w:p>
    <w:p w14:paraId="115DE682" w14:textId="3A1AD1FD" w:rsidR="00E74B86" w:rsidRPr="005E7C14" w:rsidRDefault="00255F2B" w:rsidP="005E7C1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represent </w:t>
      </w:r>
      <w:r w:rsidR="00FF2C7C" w:rsidRPr="005E7C14">
        <w:rPr>
          <w:rFonts w:ascii="Arial" w:hAnsi="Arial" w:cs="Arial"/>
        </w:rPr>
        <w:t xml:space="preserve">their </w:t>
      </w:r>
      <w:r w:rsidR="00A30528" w:rsidRPr="005E7C14">
        <w:rPr>
          <w:rFonts w:ascii="Arial" w:hAnsi="Arial" w:cs="Arial"/>
        </w:rPr>
        <w:t>groups/</w:t>
      </w:r>
      <w:r w:rsidR="00FF2C7C" w:rsidRPr="005E7C14">
        <w:rPr>
          <w:rFonts w:ascii="Arial" w:hAnsi="Arial" w:cs="Arial"/>
        </w:rPr>
        <w:t xml:space="preserve">organisations, bringing relevant knowledge and </w:t>
      </w:r>
      <w:proofErr w:type="gramStart"/>
      <w:r w:rsidR="00FF2C7C" w:rsidRPr="005E7C14">
        <w:rPr>
          <w:rFonts w:ascii="Arial" w:hAnsi="Arial" w:cs="Arial"/>
        </w:rPr>
        <w:t>skills</w:t>
      </w:r>
      <w:proofErr w:type="gramEnd"/>
      <w:r w:rsidR="00FF2C7C" w:rsidRPr="005E7C14">
        <w:rPr>
          <w:rFonts w:ascii="Arial" w:hAnsi="Arial" w:cs="Arial"/>
        </w:rPr>
        <w:t xml:space="preserve"> </w:t>
      </w:r>
    </w:p>
    <w:p w14:paraId="1B9F6556" w14:textId="56561DBF" w:rsidR="00FF2C7C" w:rsidRPr="005E7C14" w:rsidRDefault="00255F2B" w:rsidP="005E7C1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respect </w:t>
      </w:r>
      <w:r w:rsidR="00FF2C7C" w:rsidRPr="005E7C14">
        <w:rPr>
          <w:rFonts w:ascii="Arial" w:hAnsi="Arial" w:cs="Arial"/>
        </w:rPr>
        <w:t xml:space="preserve">the diverse views of other members of the </w:t>
      </w:r>
      <w:proofErr w:type="gramStart"/>
      <w:r w:rsidR="00FF2C7C" w:rsidRPr="005E7C14">
        <w:rPr>
          <w:rFonts w:ascii="Arial" w:hAnsi="Arial" w:cs="Arial"/>
        </w:rPr>
        <w:t>S</w:t>
      </w:r>
      <w:r w:rsidR="00C75AA5" w:rsidRPr="005E7C14">
        <w:rPr>
          <w:rFonts w:ascii="Arial" w:hAnsi="Arial" w:cs="Arial"/>
        </w:rPr>
        <w:t>R</w:t>
      </w:r>
      <w:r w:rsidR="00FF2C7C" w:rsidRPr="005E7C14">
        <w:rPr>
          <w:rFonts w:ascii="Arial" w:hAnsi="Arial" w:cs="Arial"/>
        </w:rPr>
        <w:t>G</w:t>
      </w:r>
      <w:proofErr w:type="gramEnd"/>
    </w:p>
    <w:p w14:paraId="723D3A25" w14:textId="5FF306E7" w:rsidR="00FF2C7C" w:rsidRPr="005E7C14" w:rsidRDefault="00255F2B" w:rsidP="005E7C1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not </w:t>
      </w:r>
      <w:r w:rsidR="00FF2C7C" w:rsidRPr="005E7C14">
        <w:rPr>
          <w:rFonts w:ascii="Arial" w:hAnsi="Arial" w:cs="Arial"/>
        </w:rPr>
        <w:t xml:space="preserve">share any information identified as confidential during the </w:t>
      </w:r>
      <w:proofErr w:type="gramStart"/>
      <w:r w:rsidR="00FF2C7C" w:rsidRPr="005E7C14">
        <w:rPr>
          <w:rFonts w:ascii="Arial" w:hAnsi="Arial" w:cs="Arial"/>
        </w:rPr>
        <w:t>meetings</w:t>
      </w:r>
      <w:proofErr w:type="gramEnd"/>
    </w:p>
    <w:p w14:paraId="00C699EF" w14:textId="095CBB31" w:rsidR="00FF2C7C" w:rsidRPr="005E7C14" w:rsidRDefault="00255F2B" w:rsidP="005E7C1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adequately </w:t>
      </w:r>
      <w:r w:rsidR="00FF2C7C" w:rsidRPr="005E7C14">
        <w:rPr>
          <w:rFonts w:ascii="Arial" w:hAnsi="Arial" w:cs="Arial"/>
        </w:rPr>
        <w:t>prepare themselves for meetings including considering any meeting papers</w:t>
      </w:r>
    </w:p>
    <w:p w14:paraId="3E3EC0CA" w14:textId="4585F029" w:rsidR="00FF2C7C" w:rsidRPr="005E7C14" w:rsidRDefault="00255F2B" w:rsidP="005E7C14">
      <w:pPr>
        <w:pStyle w:val="ListParagraph"/>
        <w:numPr>
          <w:ilvl w:val="0"/>
          <w:numId w:val="10"/>
        </w:num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provide </w:t>
      </w:r>
      <w:r w:rsidR="00FF2C7C" w:rsidRPr="005E7C14">
        <w:rPr>
          <w:rFonts w:ascii="Arial" w:hAnsi="Arial" w:cs="Arial"/>
        </w:rPr>
        <w:t>feedback in a timely and constructive manner.</w:t>
      </w:r>
    </w:p>
    <w:p w14:paraId="5841D396" w14:textId="6F91FD50" w:rsidR="005E7C14" w:rsidRDefault="00FF2C7C" w:rsidP="005E7C14">
      <w:pPr>
        <w:spacing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Where a representative is unavailable for a meeting, a suitable proxy may attend on the representative’s behalf</w:t>
      </w:r>
      <w:r w:rsidR="005E7C14">
        <w:rPr>
          <w:rFonts w:ascii="Arial" w:hAnsi="Arial" w:cs="Arial"/>
        </w:rPr>
        <w:t>.</w:t>
      </w:r>
      <w:r w:rsidRPr="005E7C14">
        <w:rPr>
          <w:rFonts w:ascii="Arial" w:hAnsi="Arial" w:cs="Arial"/>
        </w:rPr>
        <w:t xml:space="preserve"> </w:t>
      </w:r>
    </w:p>
    <w:p w14:paraId="4EAFCD63" w14:textId="77777777" w:rsidR="005E7C14" w:rsidRPr="005E7C14" w:rsidRDefault="005E7C14" w:rsidP="005E7C14">
      <w:pPr>
        <w:spacing w:line="240" w:lineRule="auto"/>
        <w:rPr>
          <w:rFonts w:ascii="Arial" w:hAnsi="Arial" w:cs="Arial"/>
        </w:rPr>
      </w:pPr>
    </w:p>
    <w:p w14:paraId="2F4C316C" w14:textId="4BD51AEE" w:rsidR="00FF2C7C" w:rsidRPr="005E7C14" w:rsidRDefault="00FF2C7C" w:rsidP="005E7C14">
      <w:pPr>
        <w:pStyle w:val="HeadingTOR"/>
        <w:spacing w:after="240" w:line="240" w:lineRule="auto"/>
      </w:pPr>
      <w:r w:rsidRPr="005E7C14">
        <w:t>Remuneration</w:t>
      </w:r>
    </w:p>
    <w:p w14:paraId="0A8B9323" w14:textId="49673B63" w:rsidR="005E7C14" w:rsidRDefault="00FF2C7C" w:rsidP="005E7C14">
      <w:pPr>
        <w:spacing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There will be no remuneration for members. All meetings will be conducted </w:t>
      </w:r>
      <w:proofErr w:type="gramStart"/>
      <w:r w:rsidR="002E2D60" w:rsidRPr="005E7C14">
        <w:rPr>
          <w:rFonts w:ascii="Arial" w:hAnsi="Arial" w:cs="Arial"/>
        </w:rPr>
        <w:t>remotely</w:t>
      </w:r>
      <w:proofErr w:type="gramEnd"/>
      <w:r w:rsidRPr="005E7C14">
        <w:rPr>
          <w:rFonts w:ascii="Arial" w:hAnsi="Arial" w:cs="Arial"/>
        </w:rPr>
        <w:t xml:space="preserve"> and any expenses associated with participating will be met by each member’s respective organisation.</w:t>
      </w:r>
    </w:p>
    <w:p w14:paraId="185E1870" w14:textId="77777777" w:rsidR="005E7C14" w:rsidRPr="005E7C14" w:rsidRDefault="005E7C14" w:rsidP="005E7C14">
      <w:pPr>
        <w:spacing w:line="240" w:lineRule="auto"/>
        <w:rPr>
          <w:rFonts w:ascii="Arial" w:hAnsi="Arial" w:cs="Arial"/>
        </w:rPr>
      </w:pPr>
    </w:p>
    <w:p w14:paraId="59CC694F" w14:textId="11F0D611" w:rsidR="005E7C14" w:rsidRPr="005E7C14" w:rsidRDefault="00FF2C7C" w:rsidP="005E7C14">
      <w:pPr>
        <w:pStyle w:val="HeadingTOR"/>
        <w:spacing w:after="240" w:line="240" w:lineRule="auto"/>
      </w:pPr>
      <w:r w:rsidRPr="005E7C14">
        <w:t>Secretariat Support</w:t>
      </w:r>
    </w:p>
    <w:p w14:paraId="6684F158" w14:textId="2E69592B" w:rsidR="002E2D60" w:rsidRPr="005E7C14" w:rsidRDefault="00FF2C7C" w:rsidP="005E7C14">
      <w:pPr>
        <w:spacing w:after="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The AWTG secretariat </w:t>
      </w:r>
      <w:r w:rsidR="00FA3E95" w:rsidRPr="005E7C14">
        <w:rPr>
          <w:rFonts w:ascii="Arial" w:hAnsi="Arial" w:cs="Arial"/>
        </w:rPr>
        <w:t>(The Department of Agriculture</w:t>
      </w:r>
      <w:r w:rsidR="00646687" w:rsidRPr="005E7C14">
        <w:rPr>
          <w:rFonts w:ascii="Arial" w:hAnsi="Arial" w:cs="Arial"/>
        </w:rPr>
        <w:t>,</w:t>
      </w:r>
      <w:r w:rsidR="00C75AA5" w:rsidRPr="005E7C14">
        <w:rPr>
          <w:rFonts w:ascii="Arial" w:hAnsi="Arial" w:cs="Arial"/>
        </w:rPr>
        <w:t xml:space="preserve"> Fisheries and Forestry</w:t>
      </w:r>
      <w:r w:rsidR="00FA3E95" w:rsidRPr="005E7C14">
        <w:rPr>
          <w:rFonts w:ascii="Arial" w:hAnsi="Arial" w:cs="Arial"/>
        </w:rPr>
        <w:t xml:space="preserve">) </w:t>
      </w:r>
      <w:r w:rsidRPr="005E7C14">
        <w:rPr>
          <w:rFonts w:ascii="Arial" w:hAnsi="Arial" w:cs="Arial"/>
        </w:rPr>
        <w:t>will provide secretariat support for the SRG</w:t>
      </w:r>
      <w:r w:rsidR="00FA3E95" w:rsidRPr="005E7C14">
        <w:rPr>
          <w:rFonts w:ascii="Arial" w:hAnsi="Arial" w:cs="Arial"/>
        </w:rPr>
        <w:t>. This support will include:</w:t>
      </w:r>
    </w:p>
    <w:p w14:paraId="2673872A" w14:textId="77777777" w:rsidR="002E2D60" w:rsidRPr="005E7C14" w:rsidRDefault="002E2D60" w:rsidP="005E7C14">
      <w:pPr>
        <w:spacing w:after="0" w:line="240" w:lineRule="auto"/>
        <w:rPr>
          <w:rFonts w:ascii="Arial" w:hAnsi="Arial" w:cs="Arial"/>
        </w:rPr>
      </w:pPr>
    </w:p>
    <w:p w14:paraId="79D872A4" w14:textId="087520F4" w:rsidR="00FA3E95" w:rsidRPr="005E7C14" w:rsidRDefault="00255F2B" w:rsidP="005E7C1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preparing </w:t>
      </w:r>
      <w:r w:rsidR="00FA3E95" w:rsidRPr="005E7C14">
        <w:rPr>
          <w:rFonts w:ascii="Arial" w:hAnsi="Arial" w:cs="Arial"/>
        </w:rPr>
        <w:t xml:space="preserve">and distributing agendas, </w:t>
      </w:r>
      <w:r w:rsidR="00D50D98" w:rsidRPr="005E7C14">
        <w:rPr>
          <w:rFonts w:ascii="Arial" w:hAnsi="Arial" w:cs="Arial"/>
        </w:rPr>
        <w:t>papers,</w:t>
      </w:r>
      <w:r w:rsidR="00FA3E95" w:rsidRPr="005E7C14">
        <w:rPr>
          <w:rFonts w:ascii="Arial" w:hAnsi="Arial" w:cs="Arial"/>
        </w:rPr>
        <w:t xml:space="preserve"> and meeting minutes</w:t>
      </w:r>
    </w:p>
    <w:p w14:paraId="01422C6B" w14:textId="04C6AA39" w:rsidR="00FA3E95" w:rsidRPr="005E7C14" w:rsidRDefault="00255F2B" w:rsidP="005E7C1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acting </w:t>
      </w:r>
      <w:r w:rsidR="00FA3E95" w:rsidRPr="005E7C14">
        <w:rPr>
          <w:rFonts w:ascii="Arial" w:hAnsi="Arial" w:cs="Arial"/>
        </w:rPr>
        <w:t>as an</w:t>
      </w:r>
      <w:r w:rsidR="00BB0D54" w:rsidRPr="005E7C14">
        <w:rPr>
          <w:rFonts w:ascii="Arial" w:hAnsi="Arial" w:cs="Arial"/>
        </w:rPr>
        <w:t xml:space="preserve"> intermediary be</w:t>
      </w:r>
      <w:r w:rsidR="00FA3E95" w:rsidRPr="005E7C14">
        <w:rPr>
          <w:rFonts w:ascii="Arial" w:hAnsi="Arial" w:cs="Arial"/>
        </w:rPr>
        <w:t xml:space="preserve">tween the SRG and </w:t>
      </w:r>
      <w:r w:rsidR="004E7D88" w:rsidRPr="005E7C14">
        <w:rPr>
          <w:rFonts w:ascii="Arial" w:hAnsi="Arial" w:cs="Arial"/>
        </w:rPr>
        <w:t xml:space="preserve">the </w:t>
      </w:r>
      <w:r w:rsidR="00FA3E95" w:rsidRPr="005E7C14">
        <w:rPr>
          <w:rFonts w:ascii="Arial" w:hAnsi="Arial" w:cs="Arial"/>
        </w:rPr>
        <w:t>AWTG Virtual Fencing Sub</w:t>
      </w:r>
      <w:r w:rsidR="002E763C" w:rsidRPr="005E7C14">
        <w:rPr>
          <w:rFonts w:ascii="Arial" w:hAnsi="Arial" w:cs="Arial"/>
        </w:rPr>
        <w:t>group</w:t>
      </w:r>
    </w:p>
    <w:p w14:paraId="193E0E83" w14:textId="6CDC4180" w:rsidR="005E7C14" w:rsidRDefault="00255F2B" w:rsidP="005E7C14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providing </w:t>
      </w:r>
      <w:r w:rsidR="00FA3E95" w:rsidRPr="005E7C14">
        <w:rPr>
          <w:rFonts w:ascii="Arial" w:hAnsi="Arial" w:cs="Arial"/>
        </w:rPr>
        <w:t>other background information related to the work of the SRG.</w:t>
      </w:r>
      <w:bookmarkStart w:id="2" w:name="_Toc51749766"/>
    </w:p>
    <w:p w14:paraId="58C9A9E9" w14:textId="77777777" w:rsidR="005E7C14" w:rsidRPr="005E7C14" w:rsidRDefault="005E7C14" w:rsidP="005E7C14">
      <w:pPr>
        <w:spacing w:line="240" w:lineRule="auto"/>
        <w:ind w:left="360"/>
        <w:rPr>
          <w:rFonts w:ascii="Arial" w:hAnsi="Arial" w:cs="Arial"/>
        </w:rPr>
      </w:pPr>
    </w:p>
    <w:p w14:paraId="2FD2816A" w14:textId="4ADA7BE1" w:rsidR="006E0541" w:rsidRPr="005E7C14" w:rsidRDefault="006E0541" w:rsidP="005E7C14">
      <w:pPr>
        <w:pStyle w:val="HeadingTOR"/>
        <w:spacing w:after="240" w:line="240" w:lineRule="auto"/>
      </w:pPr>
      <w:r w:rsidRPr="005E7C14">
        <w:t>Meetings</w:t>
      </w:r>
      <w:bookmarkEnd w:id="2"/>
    </w:p>
    <w:p w14:paraId="5A07B737" w14:textId="4C58ED64" w:rsidR="004D2B71" w:rsidRPr="005E7C14" w:rsidRDefault="006E0541" w:rsidP="005E7C14">
      <w:p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 xml:space="preserve">The </w:t>
      </w:r>
      <w:r w:rsidR="00FF7DA8" w:rsidRPr="005E7C14">
        <w:rPr>
          <w:rFonts w:ascii="Arial" w:hAnsi="Arial" w:cs="Arial"/>
        </w:rPr>
        <w:t>SRG</w:t>
      </w:r>
      <w:r w:rsidRPr="005E7C14">
        <w:rPr>
          <w:rFonts w:ascii="Arial" w:hAnsi="Arial" w:cs="Arial"/>
        </w:rPr>
        <w:t xml:space="preserve"> will</w:t>
      </w:r>
      <w:r w:rsidR="006835B4" w:rsidRPr="005E7C14">
        <w:rPr>
          <w:rFonts w:ascii="Arial" w:hAnsi="Arial" w:cs="Arial"/>
        </w:rPr>
        <w:t xml:space="preserve"> convene</w:t>
      </w:r>
      <w:r w:rsidRPr="005E7C14">
        <w:rPr>
          <w:rFonts w:ascii="Arial" w:hAnsi="Arial" w:cs="Arial"/>
        </w:rPr>
        <w:t xml:space="preserve"> </w:t>
      </w:r>
      <w:r w:rsidR="00F06B02" w:rsidRPr="005E7C14">
        <w:rPr>
          <w:rFonts w:ascii="Arial" w:hAnsi="Arial" w:cs="Arial"/>
        </w:rPr>
        <w:t>a minimum of 4 times</w:t>
      </w:r>
      <w:r w:rsidR="00FA3E95" w:rsidRPr="005E7C14">
        <w:rPr>
          <w:rFonts w:ascii="Arial" w:hAnsi="Arial" w:cs="Arial"/>
        </w:rPr>
        <w:t>, with the schedule to be advised</w:t>
      </w:r>
      <w:r w:rsidRPr="005E7C14">
        <w:rPr>
          <w:rFonts w:ascii="Arial" w:hAnsi="Arial" w:cs="Arial"/>
        </w:rPr>
        <w:t xml:space="preserve">. </w:t>
      </w:r>
      <w:r w:rsidR="00FA3E95" w:rsidRPr="005E7C14">
        <w:rPr>
          <w:rFonts w:ascii="Arial" w:hAnsi="Arial" w:cs="Arial"/>
        </w:rPr>
        <w:t>Some correspondence may be circulated out of session to ensure the timely progress of work.</w:t>
      </w:r>
    </w:p>
    <w:p w14:paraId="68D7CC77" w14:textId="59F8BDE4" w:rsidR="006E0541" w:rsidRPr="005E7C14" w:rsidRDefault="006E0541" w:rsidP="005E7C14">
      <w:p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lastRenderedPageBreak/>
        <w:t xml:space="preserve">A meeting quorum comprises the </w:t>
      </w:r>
      <w:r w:rsidR="004E7D88" w:rsidRPr="005E7C14">
        <w:rPr>
          <w:rFonts w:ascii="Arial" w:hAnsi="Arial" w:cs="Arial"/>
        </w:rPr>
        <w:t>c</w:t>
      </w:r>
      <w:r w:rsidRPr="005E7C14">
        <w:rPr>
          <w:rFonts w:ascii="Arial" w:hAnsi="Arial" w:cs="Arial"/>
        </w:rPr>
        <w:t xml:space="preserve">hair and not less than 75 per cent of the remaining </w:t>
      </w:r>
      <w:r w:rsidR="001A13BC" w:rsidRPr="005E7C14">
        <w:rPr>
          <w:rFonts w:ascii="Arial" w:hAnsi="Arial" w:cs="Arial"/>
        </w:rPr>
        <w:t>S</w:t>
      </w:r>
      <w:r w:rsidR="00FF7DA8" w:rsidRPr="005E7C14">
        <w:rPr>
          <w:rFonts w:ascii="Arial" w:hAnsi="Arial" w:cs="Arial"/>
        </w:rPr>
        <w:t>RG</w:t>
      </w:r>
      <w:r w:rsidRPr="005E7C14">
        <w:rPr>
          <w:rFonts w:ascii="Arial" w:hAnsi="Arial" w:cs="Arial"/>
        </w:rPr>
        <w:t xml:space="preserve"> </w:t>
      </w:r>
      <w:r w:rsidR="003337B6" w:rsidRPr="005E7C14">
        <w:rPr>
          <w:rFonts w:ascii="Arial" w:hAnsi="Arial" w:cs="Arial"/>
        </w:rPr>
        <w:t>m</w:t>
      </w:r>
      <w:r w:rsidRPr="005E7C14">
        <w:rPr>
          <w:rFonts w:ascii="Arial" w:hAnsi="Arial" w:cs="Arial"/>
        </w:rPr>
        <w:t xml:space="preserve">embership. </w:t>
      </w:r>
      <w:r w:rsidR="008652F8" w:rsidRPr="005E7C14">
        <w:rPr>
          <w:rFonts w:ascii="Arial" w:hAnsi="Arial" w:cs="Arial"/>
        </w:rPr>
        <w:t>If</w:t>
      </w:r>
      <w:r w:rsidRPr="005E7C14">
        <w:rPr>
          <w:rFonts w:ascii="Arial" w:hAnsi="Arial" w:cs="Arial"/>
        </w:rPr>
        <w:t xml:space="preserve"> the </w:t>
      </w:r>
      <w:r w:rsidR="004E7D88" w:rsidRPr="005E7C14">
        <w:rPr>
          <w:rFonts w:ascii="Arial" w:hAnsi="Arial" w:cs="Arial"/>
        </w:rPr>
        <w:t>c</w:t>
      </w:r>
      <w:r w:rsidRPr="005E7C14">
        <w:rPr>
          <w:rFonts w:ascii="Arial" w:hAnsi="Arial" w:cs="Arial"/>
        </w:rPr>
        <w:t xml:space="preserve">hair is unable to participate, an </w:t>
      </w:r>
      <w:r w:rsidR="004E7D88" w:rsidRPr="005E7C14">
        <w:rPr>
          <w:rFonts w:ascii="Arial" w:hAnsi="Arial" w:cs="Arial"/>
        </w:rPr>
        <w:t>a</w:t>
      </w:r>
      <w:r w:rsidRPr="005E7C14">
        <w:rPr>
          <w:rFonts w:ascii="Arial" w:hAnsi="Arial" w:cs="Arial"/>
        </w:rPr>
        <w:t xml:space="preserve">cting </w:t>
      </w:r>
      <w:r w:rsidR="004E7D88" w:rsidRPr="005E7C14">
        <w:rPr>
          <w:rFonts w:ascii="Arial" w:hAnsi="Arial" w:cs="Arial"/>
        </w:rPr>
        <w:t>c</w:t>
      </w:r>
      <w:r w:rsidRPr="005E7C14">
        <w:rPr>
          <w:rFonts w:ascii="Arial" w:hAnsi="Arial" w:cs="Arial"/>
        </w:rPr>
        <w:t xml:space="preserve">hair </w:t>
      </w:r>
      <w:r w:rsidR="00B860EF" w:rsidRPr="005E7C14">
        <w:rPr>
          <w:rFonts w:ascii="Arial" w:hAnsi="Arial" w:cs="Arial"/>
        </w:rPr>
        <w:t>may</w:t>
      </w:r>
      <w:r w:rsidR="00F61CDC" w:rsidRPr="005E7C14">
        <w:rPr>
          <w:rFonts w:ascii="Arial" w:hAnsi="Arial" w:cs="Arial"/>
        </w:rPr>
        <w:t xml:space="preserve"> </w:t>
      </w:r>
      <w:r w:rsidRPr="005E7C14">
        <w:rPr>
          <w:rFonts w:ascii="Arial" w:hAnsi="Arial" w:cs="Arial"/>
        </w:rPr>
        <w:t>be nominated from the AWTG</w:t>
      </w:r>
      <w:r w:rsidR="006835B4" w:rsidRPr="005E7C14">
        <w:rPr>
          <w:rFonts w:ascii="Arial" w:hAnsi="Arial" w:cs="Arial"/>
        </w:rPr>
        <w:t xml:space="preserve"> </w:t>
      </w:r>
      <w:r w:rsidR="001A13BC" w:rsidRPr="005E7C14">
        <w:rPr>
          <w:rFonts w:ascii="Arial" w:hAnsi="Arial" w:cs="Arial"/>
        </w:rPr>
        <w:t xml:space="preserve">Virtual Fencing </w:t>
      </w:r>
      <w:r w:rsidR="00C75AA5" w:rsidRPr="005E7C14">
        <w:rPr>
          <w:rFonts w:ascii="Arial" w:hAnsi="Arial" w:cs="Arial"/>
        </w:rPr>
        <w:t>Sub</w:t>
      </w:r>
      <w:r w:rsidR="002E763C" w:rsidRPr="005E7C14">
        <w:rPr>
          <w:rFonts w:ascii="Arial" w:hAnsi="Arial" w:cs="Arial"/>
        </w:rPr>
        <w:t>group</w:t>
      </w:r>
      <w:r w:rsidR="00F61CDC" w:rsidRPr="005E7C14">
        <w:rPr>
          <w:rFonts w:ascii="Arial" w:hAnsi="Arial" w:cs="Arial"/>
        </w:rPr>
        <w:t xml:space="preserve"> if </w:t>
      </w:r>
      <w:r w:rsidR="00B860EF" w:rsidRPr="005E7C14">
        <w:rPr>
          <w:rFonts w:ascii="Arial" w:hAnsi="Arial" w:cs="Arial"/>
        </w:rPr>
        <w:t xml:space="preserve">there is a </w:t>
      </w:r>
      <w:r w:rsidR="00F61CDC" w:rsidRPr="005E7C14">
        <w:rPr>
          <w:rFonts w:ascii="Arial" w:hAnsi="Arial" w:cs="Arial"/>
        </w:rPr>
        <w:t>consensus agreement on their suitability</w:t>
      </w:r>
      <w:r w:rsidRPr="005E7C14">
        <w:rPr>
          <w:rFonts w:ascii="Arial" w:hAnsi="Arial" w:cs="Arial"/>
        </w:rPr>
        <w:t>.</w:t>
      </w:r>
    </w:p>
    <w:p w14:paraId="23617842" w14:textId="4E62557C" w:rsidR="00100304" w:rsidRPr="004D2B71" w:rsidRDefault="0069065E" w:rsidP="005E7C14">
      <w:pPr>
        <w:spacing w:after="120" w:line="240" w:lineRule="auto"/>
        <w:rPr>
          <w:rFonts w:ascii="Arial" w:hAnsi="Arial" w:cs="Arial"/>
        </w:rPr>
      </w:pPr>
      <w:r w:rsidRPr="005E7C14">
        <w:rPr>
          <w:rFonts w:ascii="Arial" w:hAnsi="Arial" w:cs="Arial"/>
        </w:rPr>
        <w:t>In some cases</w:t>
      </w:r>
      <w:r w:rsidR="00F61CDC" w:rsidRPr="005E7C14">
        <w:rPr>
          <w:rFonts w:ascii="Arial" w:hAnsi="Arial" w:cs="Arial"/>
        </w:rPr>
        <w:t>,</w:t>
      </w:r>
      <w:r w:rsidRPr="005E7C14">
        <w:rPr>
          <w:rFonts w:ascii="Arial" w:hAnsi="Arial" w:cs="Arial"/>
        </w:rPr>
        <w:t xml:space="preserve"> </w:t>
      </w:r>
      <w:r w:rsidR="00F61CDC" w:rsidRPr="005E7C14">
        <w:rPr>
          <w:rFonts w:ascii="Arial" w:hAnsi="Arial" w:cs="Arial"/>
        </w:rPr>
        <w:t xml:space="preserve">the AWTG Virtual Fencing Subgroup may convene </w:t>
      </w:r>
      <w:r w:rsidRPr="005E7C14">
        <w:rPr>
          <w:rFonts w:ascii="Arial" w:hAnsi="Arial" w:cs="Arial"/>
        </w:rPr>
        <w:t>special meetings with a subset of the SRG membership</w:t>
      </w:r>
      <w:r w:rsidR="00F61CDC" w:rsidRPr="005E7C14">
        <w:rPr>
          <w:rFonts w:ascii="Arial" w:hAnsi="Arial" w:cs="Arial"/>
        </w:rPr>
        <w:t xml:space="preserve">. This may be necessary </w:t>
      </w:r>
      <w:r w:rsidRPr="005E7C14">
        <w:rPr>
          <w:rFonts w:ascii="Arial" w:hAnsi="Arial" w:cs="Arial"/>
        </w:rPr>
        <w:t>to allow discussion of commercially sensitive information.</w:t>
      </w:r>
      <w:r w:rsidR="00593D14" w:rsidRPr="005E7C14">
        <w:rPr>
          <w:rFonts w:ascii="Arial" w:hAnsi="Arial" w:cs="Arial"/>
        </w:rPr>
        <w:t xml:space="preserve"> One on one direct consultations may also be used at the discretion of the AWTG Virtual Fencing Subgro</w:t>
      </w:r>
      <w:r w:rsidR="00593D14">
        <w:rPr>
          <w:rFonts w:ascii="Arial" w:hAnsi="Arial" w:cs="Arial"/>
        </w:rPr>
        <w:t>up.</w:t>
      </w:r>
    </w:p>
    <w:sectPr w:rsidR="00100304" w:rsidRPr="004D2B71" w:rsidSect="00075D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C209" w14:textId="77777777" w:rsidR="004D04DC" w:rsidRDefault="004D04DC" w:rsidP="00461553">
      <w:pPr>
        <w:spacing w:after="0" w:line="240" w:lineRule="auto"/>
      </w:pPr>
      <w:r>
        <w:separator/>
      </w:r>
    </w:p>
  </w:endnote>
  <w:endnote w:type="continuationSeparator" w:id="0">
    <w:p w14:paraId="20C3DEF9" w14:textId="77777777" w:rsidR="004D04DC" w:rsidRDefault="004D04DC" w:rsidP="00461553">
      <w:pPr>
        <w:spacing w:after="0" w:line="240" w:lineRule="auto"/>
      </w:pPr>
      <w:r>
        <w:continuationSeparator/>
      </w:r>
    </w:p>
  </w:endnote>
  <w:endnote w:type="continuationNotice" w:id="1">
    <w:p w14:paraId="607CDBFC" w14:textId="77777777" w:rsidR="004D04DC" w:rsidRDefault="004D0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63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87224B" w14:textId="4A3F4C02" w:rsidR="00075DAF" w:rsidRDefault="001B7043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53C70C" wp14:editId="57E3FE99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2" name="MSIPCM2baf4d4aa10929950bd72403" descr="{&quot;HashCode&quot;:-1264680268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D1301" w14:textId="1AA73120" w:rsidR="001B7043" w:rsidRPr="001B7043" w:rsidRDefault="001B7043" w:rsidP="001B7043">
                              <w:pPr>
                                <w:spacing w:after="0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4"/>
                                </w:rPr>
                              </w:pPr>
                              <w:r w:rsidRPr="001B7043">
                                <w:rPr>
                                  <w:rFonts w:ascii="Calibri" w:hAnsi="Calibri"/>
                                  <w:color w:val="000000"/>
                                  <w:sz w:val="24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953C70C" id="_x0000_t202" coordsize="21600,21600" o:spt="202" path="m,l,21600r21600,l21600,xe">
                  <v:stroke joinstyle="miter"/>
                  <v:path gradientshapeok="t" o:connecttype="rect"/>
                </v:shapetype>
                <v:shape id="MSIPCM2baf4d4aa10929950bd72403" o:spid="_x0000_s1031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    <v:textbox inset=",0,,0">
                    <w:txbxContent>
                      <w:p w14:paraId="2BCD1301" w14:textId="1AA73120" w:rsidR="001B7043" w:rsidRPr="001B7043" w:rsidRDefault="001B7043" w:rsidP="001B7043">
                        <w:pPr>
                          <w:spacing w:after="0"/>
                          <w:jc w:val="center"/>
                          <w:rPr>
                            <w:rFonts w:ascii="Calibri" w:hAnsi="Calibri"/>
                            <w:color w:val="000000"/>
                            <w:sz w:val="24"/>
                          </w:rPr>
                        </w:pPr>
                        <w:r w:rsidRPr="001B7043">
                          <w:rPr>
                            <w:rFonts w:ascii="Calibri" w:hAnsi="Calibri"/>
                            <w:color w:val="000000"/>
                            <w:sz w:val="24"/>
                          </w:rPr>
                          <w:t>OFFICIAL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sdt>
          <w:sdtPr>
            <w:id w:val="-15475954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075DAF">
              <w:fldChar w:fldCharType="begin"/>
            </w:r>
            <w:r w:rsidR="00075DAF">
              <w:instrText xml:space="preserve"> PAGE   \* MERGEFORMAT </w:instrText>
            </w:r>
            <w:r w:rsidR="00075DAF">
              <w:fldChar w:fldCharType="separate"/>
            </w:r>
            <w:r w:rsidR="00075DAF">
              <w:rPr>
                <w:noProof/>
              </w:rPr>
              <w:t>2</w:t>
            </w:r>
            <w:r w:rsidR="00075DAF">
              <w:rPr>
                <w:noProof/>
              </w:rPr>
              <w:fldChar w:fldCharType="end"/>
            </w:r>
          </w:sdtContent>
        </w:sdt>
      </w:p>
    </w:sdtContent>
  </w:sdt>
  <w:p w14:paraId="03E35BDE" w14:textId="77777777" w:rsidR="00461553" w:rsidRDefault="00461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449" w14:textId="1F39E25F" w:rsidR="001B7043" w:rsidRDefault="001B70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AE1AC6" wp14:editId="36DAA5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a03d4a36a41f273aa5850337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E42F5" w14:textId="56A54F5E" w:rsidR="001B7043" w:rsidRPr="001B7043" w:rsidRDefault="001B7043" w:rsidP="001B7043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r w:rsidRPr="001B7043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E1AC6" id="_x0000_t202" coordsize="21600,21600" o:spt="202" path="m,l,21600r21600,l21600,xe">
              <v:stroke joinstyle="miter"/>
              <v:path gradientshapeok="t" o:connecttype="rect"/>
            </v:shapetype>
            <v:shape id="MSIPCMa03d4a36a41f273aa5850337" o:spid="_x0000_s1033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7DAE42F5" w14:textId="56A54F5E" w:rsidR="001B7043" w:rsidRPr="001B7043" w:rsidRDefault="001B7043" w:rsidP="001B7043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4"/>
                      </w:rPr>
                    </w:pPr>
                    <w:r w:rsidRPr="001B7043">
                      <w:rPr>
                        <w:rFonts w:ascii="Calibri" w:hAnsi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8807" w14:textId="77777777" w:rsidR="004D04DC" w:rsidRDefault="004D04DC" w:rsidP="00461553">
      <w:pPr>
        <w:spacing w:after="0" w:line="240" w:lineRule="auto"/>
      </w:pPr>
      <w:r>
        <w:separator/>
      </w:r>
    </w:p>
  </w:footnote>
  <w:footnote w:type="continuationSeparator" w:id="0">
    <w:p w14:paraId="2D12FB6E" w14:textId="77777777" w:rsidR="004D04DC" w:rsidRDefault="004D04DC" w:rsidP="00461553">
      <w:pPr>
        <w:spacing w:after="0" w:line="240" w:lineRule="auto"/>
      </w:pPr>
      <w:r>
        <w:continuationSeparator/>
      </w:r>
    </w:p>
  </w:footnote>
  <w:footnote w:type="continuationNotice" w:id="1">
    <w:p w14:paraId="795A38A7" w14:textId="77777777" w:rsidR="004D04DC" w:rsidRDefault="004D0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73DA" w14:textId="0D62CC01" w:rsidR="001173A6" w:rsidRDefault="001B7043" w:rsidP="001173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A55FC0" wp14:editId="29111F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9ac54943ac5b4289fe135b17" descr="{&quot;HashCode&quot;:-12888178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923AA" w14:textId="1C0D3AE2" w:rsidR="001B7043" w:rsidRPr="001B7043" w:rsidRDefault="001B7043" w:rsidP="001B7043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r w:rsidRPr="001B7043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55FC0" id="_x0000_t202" coordsize="21600,21600" o:spt="202" path="m,l,21600r21600,l21600,xe">
              <v:stroke joinstyle="miter"/>
              <v:path gradientshapeok="t" o:connecttype="rect"/>
            </v:shapetype>
            <v:shape id="MSIPCM9ac54943ac5b4289fe135b17" o:spid="_x0000_s1030" type="#_x0000_t202" alt="{&quot;HashCode&quot;:-128881783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A2923AA" w14:textId="1C0D3AE2" w:rsidR="001B7043" w:rsidRPr="001B7043" w:rsidRDefault="001B7043" w:rsidP="001B7043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4"/>
                      </w:rPr>
                    </w:pPr>
                    <w:r w:rsidRPr="001B7043">
                      <w:rPr>
                        <w:rFonts w:ascii="Calibri" w:hAnsi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5DAF">
      <w:t xml:space="preserve">Terms of </w:t>
    </w:r>
    <w:r w:rsidR="00740527">
      <w:t>R</w:t>
    </w:r>
    <w:r w:rsidR="00075DAF">
      <w:t>eference</w:t>
    </w:r>
    <w:r w:rsidR="001173A6">
      <w:t xml:space="preserve"> |Stakeholder Reference Group </w:t>
    </w:r>
  </w:p>
  <w:p w14:paraId="1D7643D3" w14:textId="50B036FB" w:rsidR="00075DAF" w:rsidRDefault="00075DAF">
    <w:pPr>
      <w:pStyle w:val="Header"/>
    </w:pPr>
  </w:p>
  <w:p w14:paraId="2EBA0D81" w14:textId="77777777" w:rsidR="00075DAF" w:rsidRDefault="00075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FD1D" w14:textId="5BBCD8A0" w:rsidR="001B7043" w:rsidRDefault="001B70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6CF6523" wp14:editId="2BE717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c05f4698922b222f06b78b00" descr="{&quot;HashCode&quot;:-128881783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56B34C" w14:textId="2FD7D602" w:rsidR="001B7043" w:rsidRPr="001B7043" w:rsidRDefault="001B7043" w:rsidP="001B7043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</w:pPr>
                          <w:r w:rsidRPr="001B7043">
                            <w:rPr>
                              <w:rFonts w:ascii="Calibri" w:hAnsi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F6523" id="_x0000_t202" coordsize="21600,21600" o:spt="202" path="m,l,21600r21600,l21600,xe">
              <v:stroke joinstyle="miter"/>
              <v:path gradientshapeok="t" o:connecttype="rect"/>
            </v:shapetype>
            <v:shape id="MSIPCMc05f4698922b222f06b78b00" o:spid="_x0000_s1032" type="#_x0000_t202" alt="{&quot;HashCode&quot;:-1288817837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U4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saBvM+9ELG18HFcpmSUFWWhbXZWB5LR8wisi/d&#10;K3P2BH9A4h5hEBcr3rHQ5/ZoL/cBpEoURXx7NE+woyITc6fXEyX/9j9lXd744hcA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IGbdTgXAgAAKwQAAA4AAAAAAAAAAAAAAAAALgIAAGRycy9lMm9Eb2MueG1sUEsBAi0AFAAGAAgA&#10;AAAhAEsiCebcAAAABwEAAA8AAAAAAAAAAAAAAAAAcQQAAGRycy9kb3ducmV2LnhtbFBLBQYAAAAA&#10;BAAEAPMAAAB6BQAAAAA=&#10;" o:allowincell="f" filled="f" stroked="f" strokeweight=".5pt">
              <v:textbox inset=",0,,0">
                <w:txbxContent>
                  <w:p w14:paraId="2056B34C" w14:textId="2FD7D602" w:rsidR="001B7043" w:rsidRPr="001B7043" w:rsidRDefault="001B7043" w:rsidP="001B7043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4"/>
                      </w:rPr>
                    </w:pPr>
                    <w:r w:rsidRPr="001B7043">
                      <w:rPr>
                        <w:rFonts w:ascii="Calibri" w:hAnsi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69D"/>
    <w:multiLevelType w:val="hybridMultilevel"/>
    <w:tmpl w:val="74229FAA"/>
    <w:lvl w:ilvl="0" w:tplc="308826CA">
      <w:numFmt w:val="bullet"/>
      <w:lvlText w:val="•"/>
      <w:lvlJc w:val="left"/>
      <w:pPr>
        <w:ind w:left="930" w:hanging="57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1B5"/>
    <w:multiLevelType w:val="hybridMultilevel"/>
    <w:tmpl w:val="9B861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215"/>
    <w:multiLevelType w:val="hybridMultilevel"/>
    <w:tmpl w:val="A634AED0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B1589"/>
    <w:multiLevelType w:val="hybridMultilevel"/>
    <w:tmpl w:val="A810D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D7A09"/>
    <w:multiLevelType w:val="hybridMultilevel"/>
    <w:tmpl w:val="EF7E6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1FB8"/>
    <w:multiLevelType w:val="hybridMultilevel"/>
    <w:tmpl w:val="02385D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20106"/>
    <w:multiLevelType w:val="hybridMultilevel"/>
    <w:tmpl w:val="E8107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0F5D"/>
    <w:multiLevelType w:val="hybridMultilevel"/>
    <w:tmpl w:val="3D625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672DF"/>
    <w:multiLevelType w:val="hybridMultilevel"/>
    <w:tmpl w:val="17B61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24D2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67ED5"/>
    <w:multiLevelType w:val="hybridMultilevel"/>
    <w:tmpl w:val="2968C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1106E"/>
    <w:multiLevelType w:val="hybridMultilevel"/>
    <w:tmpl w:val="DE809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6351">
    <w:abstractNumId w:val="5"/>
  </w:num>
  <w:num w:numId="2" w16cid:durableId="329599937">
    <w:abstractNumId w:val="9"/>
  </w:num>
  <w:num w:numId="3" w16cid:durableId="56781007">
    <w:abstractNumId w:val="1"/>
  </w:num>
  <w:num w:numId="4" w16cid:durableId="927730489">
    <w:abstractNumId w:val="0"/>
  </w:num>
  <w:num w:numId="5" w16cid:durableId="2096434030">
    <w:abstractNumId w:val="8"/>
  </w:num>
  <w:num w:numId="6" w16cid:durableId="933829502">
    <w:abstractNumId w:val="7"/>
  </w:num>
  <w:num w:numId="7" w16cid:durableId="1151169461">
    <w:abstractNumId w:val="2"/>
  </w:num>
  <w:num w:numId="8" w16cid:durableId="1933389815">
    <w:abstractNumId w:val="6"/>
  </w:num>
  <w:num w:numId="9" w16cid:durableId="181087695">
    <w:abstractNumId w:val="4"/>
  </w:num>
  <w:num w:numId="10" w16cid:durableId="657996396">
    <w:abstractNumId w:val="3"/>
  </w:num>
  <w:num w:numId="11" w16cid:durableId="30886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41"/>
    <w:rsid w:val="00005434"/>
    <w:rsid w:val="00013A29"/>
    <w:rsid w:val="00026AD8"/>
    <w:rsid w:val="000424CC"/>
    <w:rsid w:val="000672BA"/>
    <w:rsid w:val="000672EA"/>
    <w:rsid w:val="00075DAF"/>
    <w:rsid w:val="00083D1C"/>
    <w:rsid w:val="000857F2"/>
    <w:rsid w:val="00095DF5"/>
    <w:rsid w:val="000B42B3"/>
    <w:rsid w:val="000B51D6"/>
    <w:rsid w:val="000F4A74"/>
    <w:rsid w:val="00100304"/>
    <w:rsid w:val="0010393A"/>
    <w:rsid w:val="001149B2"/>
    <w:rsid w:val="001173A6"/>
    <w:rsid w:val="00127FA7"/>
    <w:rsid w:val="00144934"/>
    <w:rsid w:val="001578C0"/>
    <w:rsid w:val="00174DAE"/>
    <w:rsid w:val="00190487"/>
    <w:rsid w:val="00191F88"/>
    <w:rsid w:val="001A13BC"/>
    <w:rsid w:val="001B7043"/>
    <w:rsid w:val="001E6A70"/>
    <w:rsid w:val="001F647E"/>
    <w:rsid w:val="00210724"/>
    <w:rsid w:val="002276CD"/>
    <w:rsid w:val="002429B2"/>
    <w:rsid w:val="00255F2B"/>
    <w:rsid w:val="00274B17"/>
    <w:rsid w:val="002D06C0"/>
    <w:rsid w:val="002D6C29"/>
    <w:rsid w:val="002D7FAA"/>
    <w:rsid w:val="002E2D60"/>
    <w:rsid w:val="002E763C"/>
    <w:rsid w:val="002F495F"/>
    <w:rsid w:val="00303026"/>
    <w:rsid w:val="00303657"/>
    <w:rsid w:val="003218D5"/>
    <w:rsid w:val="003337B6"/>
    <w:rsid w:val="003459F1"/>
    <w:rsid w:val="00347990"/>
    <w:rsid w:val="003722E9"/>
    <w:rsid w:val="00377825"/>
    <w:rsid w:val="0038380E"/>
    <w:rsid w:val="003B7DFF"/>
    <w:rsid w:val="00420945"/>
    <w:rsid w:val="0042325C"/>
    <w:rsid w:val="00461553"/>
    <w:rsid w:val="00465DD9"/>
    <w:rsid w:val="004813C4"/>
    <w:rsid w:val="004A3315"/>
    <w:rsid w:val="004A5419"/>
    <w:rsid w:val="004B204B"/>
    <w:rsid w:val="004C0AF6"/>
    <w:rsid w:val="004D04DC"/>
    <w:rsid w:val="004D2B71"/>
    <w:rsid w:val="004D7AB6"/>
    <w:rsid w:val="004E7D88"/>
    <w:rsid w:val="004F5D31"/>
    <w:rsid w:val="00506B28"/>
    <w:rsid w:val="00593D14"/>
    <w:rsid w:val="005E7C14"/>
    <w:rsid w:val="005F01E9"/>
    <w:rsid w:val="00623C67"/>
    <w:rsid w:val="00625054"/>
    <w:rsid w:val="00644B5F"/>
    <w:rsid w:val="00646687"/>
    <w:rsid w:val="00662AC3"/>
    <w:rsid w:val="006835B4"/>
    <w:rsid w:val="0069065E"/>
    <w:rsid w:val="006A08B3"/>
    <w:rsid w:val="006C77CB"/>
    <w:rsid w:val="006E0541"/>
    <w:rsid w:val="00740527"/>
    <w:rsid w:val="0076080B"/>
    <w:rsid w:val="00776AC1"/>
    <w:rsid w:val="007825C6"/>
    <w:rsid w:val="007A7A18"/>
    <w:rsid w:val="007B2620"/>
    <w:rsid w:val="007E35F4"/>
    <w:rsid w:val="007F5CBC"/>
    <w:rsid w:val="00810AFB"/>
    <w:rsid w:val="00812CCC"/>
    <w:rsid w:val="00820CFC"/>
    <w:rsid w:val="00847A18"/>
    <w:rsid w:val="008652F8"/>
    <w:rsid w:val="008B3719"/>
    <w:rsid w:val="008D2386"/>
    <w:rsid w:val="00932547"/>
    <w:rsid w:val="009361CD"/>
    <w:rsid w:val="00986DCE"/>
    <w:rsid w:val="009B046A"/>
    <w:rsid w:val="009D16E9"/>
    <w:rsid w:val="00A17389"/>
    <w:rsid w:val="00A30528"/>
    <w:rsid w:val="00A3738F"/>
    <w:rsid w:val="00A7195D"/>
    <w:rsid w:val="00AB2716"/>
    <w:rsid w:val="00AC4E6C"/>
    <w:rsid w:val="00AC4F0C"/>
    <w:rsid w:val="00AD4FD6"/>
    <w:rsid w:val="00AE565C"/>
    <w:rsid w:val="00AE6B3B"/>
    <w:rsid w:val="00B01956"/>
    <w:rsid w:val="00B1425A"/>
    <w:rsid w:val="00B578C3"/>
    <w:rsid w:val="00B664C0"/>
    <w:rsid w:val="00B7159B"/>
    <w:rsid w:val="00B860EF"/>
    <w:rsid w:val="00BA3B53"/>
    <w:rsid w:val="00BB0D54"/>
    <w:rsid w:val="00BD4BA8"/>
    <w:rsid w:val="00BF4A86"/>
    <w:rsid w:val="00C11A17"/>
    <w:rsid w:val="00C124A1"/>
    <w:rsid w:val="00C33286"/>
    <w:rsid w:val="00C33FF6"/>
    <w:rsid w:val="00C34182"/>
    <w:rsid w:val="00C40A4F"/>
    <w:rsid w:val="00C75AA5"/>
    <w:rsid w:val="00C76B65"/>
    <w:rsid w:val="00C77CA3"/>
    <w:rsid w:val="00CA07C5"/>
    <w:rsid w:val="00CA3F21"/>
    <w:rsid w:val="00CD4F21"/>
    <w:rsid w:val="00CE5A26"/>
    <w:rsid w:val="00D057D9"/>
    <w:rsid w:val="00D116DA"/>
    <w:rsid w:val="00D46610"/>
    <w:rsid w:val="00D47365"/>
    <w:rsid w:val="00D50D98"/>
    <w:rsid w:val="00D62771"/>
    <w:rsid w:val="00D766FB"/>
    <w:rsid w:val="00D7709A"/>
    <w:rsid w:val="00D84825"/>
    <w:rsid w:val="00DD48EA"/>
    <w:rsid w:val="00DF6DA7"/>
    <w:rsid w:val="00E742B6"/>
    <w:rsid w:val="00E74B86"/>
    <w:rsid w:val="00E807AA"/>
    <w:rsid w:val="00EA4594"/>
    <w:rsid w:val="00F05719"/>
    <w:rsid w:val="00F06B02"/>
    <w:rsid w:val="00F551EE"/>
    <w:rsid w:val="00F61CDC"/>
    <w:rsid w:val="00F910F0"/>
    <w:rsid w:val="00F913AE"/>
    <w:rsid w:val="00FA3E95"/>
    <w:rsid w:val="00FF2C7C"/>
    <w:rsid w:val="00FF61E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C544"/>
  <w15:chartTrackingRefBased/>
  <w15:docId w15:val="{C77A597C-2F19-4D8F-B94E-A36344E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41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541"/>
    <w:rPr>
      <w:rFonts w:asciiTheme="majorHAnsi" w:eastAsiaTheme="majorEastAsia" w:hAnsiTheme="majorHAnsi" w:cstheme="majorBidi"/>
      <w:b/>
      <w:bCs/>
      <w:color w:val="E48312" w:themeColor="accent1"/>
      <w:sz w:val="26"/>
      <w:szCs w:val="26"/>
      <w:lang w:eastAsia="en-AU"/>
    </w:rPr>
  </w:style>
  <w:style w:type="paragraph" w:styleId="ListParagraph">
    <w:name w:val="List Paragraph"/>
    <w:basedOn w:val="Normal"/>
    <w:uiPriority w:val="99"/>
    <w:qFormat/>
    <w:rsid w:val="006E0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F2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05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719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719"/>
    <w:rPr>
      <w:rFonts w:eastAsiaTheme="minorEastAsia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578C0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61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53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61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53"/>
    <w:rPr>
      <w:rFonts w:eastAsiaTheme="minorEastAsia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5DAF"/>
    <w:rPr>
      <w:rFonts w:asciiTheme="majorHAnsi" w:eastAsiaTheme="majorEastAsia" w:hAnsiTheme="majorHAnsi" w:cstheme="majorBidi"/>
      <w:color w:val="AA610D" w:themeColor="accent1" w:themeShade="BF"/>
      <w:sz w:val="32"/>
      <w:szCs w:val="32"/>
      <w:lang w:eastAsia="en-AU"/>
    </w:rPr>
  </w:style>
  <w:style w:type="paragraph" w:customStyle="1" w:styleId="HeadingTOR">
    <w:name w:val="Heading TOR"/>
    <w:basedOn w:val="Heading2"/>
    <w:qFormat/>
    <w:rsid w:val="003337B6"/>
    <w:pPr>
      <w:tabs>
        <w:tab w:val="left" w:pos="2940"/>
      </w:tabs>
    </w:pPr>
    <w:rPr>
      <w:rFonts w:ascii="Arial" w:hAnsi="Arial" w:cs="Arial"/>
      <w:bCs w:val="0"/>
      <w:iCs/>
      <w:color w:val="637052" w:themeColor="text2"/>
      <w:sz w:val="28"/>
      <w:szCs w:val="28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</vt:lpstr>
    </vt:vector>
  </TitlesOfParts>
  <Company>Department of Agriculture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>Virtual Fencing Harmonisation Project: Stakeholder Reference Group (SRG)</dc:subject>
  <dc:creator>Orchard-Mills, Emily</dc:creator>
  <cp:keywords/>
  <dc:description/>
  <cp:lastModifiedBy>Mundy, Leanne</cp:lastModifiedBy>
  <cp:revision>7</cp:revision>
  <cp:lastPrinted>2022-04-20T06:05:00Z</cp:lastPrinted>
  <dcterms:created xsi:type="dcterms:W3CDTF">2023-12-06T06:42:00Z</dcterms:created>
  <dcterms:modified xsi:type="dcterms:W3CDTF">2024-01-31T22:50:00Z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20220503094044027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2022-09-07T07:42:54Z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2544c677-c057-4d4b-8113-75d4f877ff95</vt:lpwstr>
  </property>
  <property fmtid="{D5CDD505-2E9C-101B-9397-08002B2CF9AE}" pid="9" name="MSIP_Label_d00a4df9-c942-4b09-b23a-6c1023f6de27_ContentBits">
    <vt:lpwstr>3</vt:lpwstr>
  </property>
</Properties>
</file>